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F90A444">
      <w:pPr>
        <w:adjustRightInd w:val="0"/>
        <w:snapToGrid w:val="0"/>
        <w:ind w:firstLine="0" w:firstLineChars="0"/>
        <w:jc w:val="center"/>
        <w:outlineLvl w:val="0"/>
        <w:rPr>
          <w:rFonts w:ascii="Calibri" w:hAnsi="Calibri" w:eastAsia="Calibri"/>
          <w:b/>
          <w:sz w:val="72"/>
          <w:szCs w:val="72"/>
        </w:rPr>
      </w:pPr>
      <w:bookmarkStart w:id="0" w:name="_Toc1371"/>
      <w:bookmarkStart w:id="26" w:name="_GoBack"/>
      <w:bookmarkEnd w:id="26"/>
    </w:p>
    <w:p w14:paraId="45A79126">
      <w:pPr>
        <w:adjustRightInd w:val="0"/>
        <w:snapToGrid w:val="0"/>
        <w:ind w:firstLine="0" w:firstLineChars="0"/>
        <w:jc w:val="center"/>
        <w:outlineLvl w:val="0"/>
        <w:rPr>
          <w:rFonts w:ascii="Calibri" w:hAnsi="Calibri" w:eastAsia="Calibri"/>
          <w:b/>
          <w:sz w:val="72"/>
          <w:szCs w:val="72"/>
        </w:rPr>
      </w:pPr>
    </w:p>
    <w:p w14:paraId="704E92F6">
      <w:pPr>
        <w:adjustRightInd w:val="0"/>
        <w:snapToGrid w:val="0"/>
        <w:ind w:firstLine="0" w:firstLineChars="0"/>
        <w:jc w:val="center"/>
        <w:outlineLvl w:val="0"/>
        <w:rPr>
          <w:rFonts w:ascii="Calibri" w:hAnsi="Calibri" w:eastAsia="Calibri"/>
          <w:b/>
          <w:sz w:val="72"/>
          <w:szCs w:val="72"/>
        </w:rPr>
      </w:pPr>
      <w:r>
        <w:rPr>
          <w:rFonts w:hint="eastAsia" w:ascii="Calibri" w:hAnsi="Calibri" w:eastAsia="Calibri"/>
          <w:b/>
          <w:sz w:val="72"/>
          <w:szCs w:val="72"/>
        </w:rPr>
        <w:t>建设项目环境影响报告表</w:t>
      </w:r>
    </w:p>
    <w:p w14:paraId="32ED5DAA">
      <w:pPr>
        <w:ind w:firstLine="482"/>
        <w:rPr>
          <w:b/>
        </w:rPr>
      </w:pPr>
    </w:p>
    <w:p w14:paraId="32DB5A1A">
      <w:pPr>
        <w:ind w:firstLine="1044"/>
        <w:jc w:val="center"/>
        <w:rPr>
          <w:rFonts w:eastAsia="仿宋"/>
          <w:b/>
          <w:sz w:val="52"/>
          <w:szCs w:val="52"/>
        </w:rPr>
      </w:pPr>
    </w:p>
    <w:p w14:paraId="5A809262">
      <w:pPr>
        <w:ind w:firstLine="883"/>
        <w:rPr>
          <w:rFonts w:eastAsia="仿宋"/>
          <w:b/>
          <w:sz w:val="44"/>
          <w:szCs w:val="44"/>
        </w:rPr>
      </w:pPr>
    </w:p>
    <w:p w14:paraId="74D95DBF">
      <w:pPr>
        <w:adjustRightInd w:val="0"/>
        <w:snapToGrid w:val="0"/>
        <w:spacing w:line="288" w:lineRule="auto"/>
        <w:ind w:firstLine="883"/>
        <w:rPr>
          <w:rFonts w:eastAsia="仿宋"/>
          <w:b/>
          <w:sz w:val="44"/>
          <w:szCs w:val="44"/>
        </w:rPr>
      </w:pPr>
    </w:p>
    <w:p w14:paraId="0B643202">
      <w:pPr>
        <w:adjustRightInd w:val="0"/>
        <w:snapToGrid w:val="0"/>
        <w:spacing w:line="288" w:lineRule="auto"/>
        <w:ind w:firstLine="803"/>
        <w:rPr>
          <w:rFonts w:hint="eastAsia" w:ascii="宋体" w:hAnsi="宋体"/>
          <w:b/>
          <w:sz w:val="40"/>
          <w:szCs w:val="40"/>
        </w:rPr>
      </w:pPr>
    </w:p>
    <w:p w14:paraId="10D5C348">
      <w:pPr>
        <w:adjustRightInd w:val="0"/>
        <w:snapToGrid w:val="0"/>
        <w:ind w:left="1800" w:hanging="1800" w:hangingChars="500"/>
        <w:rPr>
          <w:rFonts w:hint="eastAsia" w:ascii="宋体" w:hAnsi="宋体"/>
          <w:bCs/>
          <w:sz w:val="36"/>
          <w:szCs w:val="36"/>
        </w:rPr>
      </w:pPr>
      <w:r>
        <w:rPr>
          <w:rFonts w:hint="eastAsia" w:ascii="宋体" w:hAnsi="宋体"/>
          <w:bCs/>
          <w:sz w:val="36"/>
          <w:szCs w:val="36"/>
        </w:rPr>
        <w:t>项目名称：</w:t>
      </w:r>
      <w:r>
        <w:rPr>
          <w:rFonts w:hint="eastAsia" w:ascii="宋体" w:hAnsi="宋体"/>
          <w:bCs/>
          <w:sz w:val="36"/>
          <w:szCs w:val="36"/>
          <w:u w:val="single"/>
        </w:rPr>
        <w:t>内蒙古新蒙新科技有限公司10万吨负极材料项目110kV 变电站工程</w:t>
      </w:r>
    </w:p>
    <w:p w14:paraId="0F58A2FA">
      <w:pPr>
        <w:adjustRightInd w:val="0"/>
        <w:snapToGrid w:val="0"/>
        <w:ind w:firstLine="0" w:firstLineChars="0"/>
        <w:rPr>
          <w:rFonts w:hint="eastAsia" w:ascii="宋体" w:hAnsi="宋体"/>
          <w:bCs/>
          <w:sz w:val="36"/>
          <w:szCs w:val="36"/>
        </w:rPr>
      </w:pPr>
      <w:r>
        <w:rPr>
          <w:rFonts w:hint="eastAsia" w:ascii="宋体" w:hAnsi="宋体"/>
          <w:bCs/>
          <w:sz w:val="36"/>
          <w:szCs w:val="36"/>
        </w:rPr>
        <w:t>建设单位（盖章）：</w:t>
      </w:r>
      <w:r>
        <w:rPr>
          <w:rFonts w:hint="eastAsia" w:ascii="宋体" w:hAnsi="宋体"/>
          <w:bCs/>
          <w:sz w:val="36"/>
          <w:szCs w:val="36"/>
          <w:u w:val="single"/>
        </w:rPr>
        <w:t xml:space="preserve">内蒙古新蒙新科技有限公司 </w:t>
      </w:r>
      <w:r>
        <w:rPr>
          <w:rFonts w:hint="eastAsia" w:ascii="宋体" w:hAnsi="宋体"/>
          <w:bCs/>
          <w:sz w:val="36"/>
          <w:szCs w:val="36"/>
        </w:rPr>
        <w:t xml:space="preserve">  </w:t>
      </w:r>
      <w:r>
        <w:rPr>
          <w:rFonts w:hint="eastAsia" w:ascii="宋体" w:hAnsi="宋体"/>
          <w:bCs/>
          <w:sz w:val="32"/>
          <w:szCs w:val="32"/>
        </w:rPr>
        <w:t xml:space="preserve">  </w:t>
      </w:r>
      <w:r>
        <w:rPr>
          <w:rFonts w:hint="eastAsia" w:ascii="宋体" w:hAnsi="宋体"/>
          <w:bCs/>
          <w:sz w:val="36"/>
          <w:szCs w:val="36"/>
        </w:rPr>
        <w:t xml:space="preserve">               </w:t>
      </w:r>
    </w:p>
    <w:p w14:paraId="1548FA03">
      <w:pPr>
        <w:adjustRightInd w:val="0"/>
        <w:snapToGrid w:val="0"/>
        <w:spacing w:line="288" w:lineRule="auto"/>
        <w:ind w:firstLine="720"/>
        <w:rPr>
          <w:rFonts w:hint="eastAsia" w:ascii="宋体" w:hAnsi="宋体"/>
          <w:bCs/>
          <w:sz w:val="36"/>
          <w:szCs w:val="36"/>
        </w:rPr>
      </w:pPr>
      <w:r>
        <w:rPr>
          <w:rFonts w:ascii="宋体" w:hAnsi="宋体"/>
          <w:bCs/>
          <w:sz w:val="36"/>
          <w:szCs w:val="36"/>
        </w:rPr>
        <w:t xml:space="preserve">                        </w:t>
      </w:r>
      <w:r>
        <w:rPr>
          <w:rFonts w:hint="eastAsia" w:ascii="宋体" w:hAnsi="宋体"/>
          <w:bCs/>
          <w:sz w:val="36"/>
          <w:szCs w:val="36"/>
        </w:rPr>
        <w:t xml:space="preserve"> </w:t>
      </w:r>
    </w:p>
    <w:p w14:paraId="12E23CC6">
      <w:pPr>
        <w:adjustRightInd w:val="0"/>
        <w:snapToGrid w:val="0"/>
        <w:spacing w:line="288" w:lineRule="auto"/>
        <w:ind w:firstLine="720"/>
        <w:rPr>
          <w:rFonts w:hint="eastAsia" w:ascii="宋体" w:hAnsi="宋体"/>
          <w:bCs/>
          <w:sz w:val="36"/>
          <w:szCs w:val="36"/>
        </w:rPr>
      </w:pPr>
    </w:p>
    <w:p w14:paraId="075A6155">
      <w:pPr>
        <w:adjustRightInd w:val="0"/>
        <w:snapToGrid w:val="0"/>
        <w:spacing w:line="288" w:lineRule="auto"/>
        <w:ind w:firstLine="720"/>
        <w:rPr>
          <w:rFonts w:hint="eastAsia" w:ascii="宋体" w:hAnsi="宋体"/>
          <w:bCs/>
          <w:sz w:val="36"/>
          <w:szCs w:val="36"/>
        </w:rPr>
      </w:pPr>
    </w:p>
    <w:p w14:paraId="479DBA8D">
      <w:pPr>
        <w:adjustRightInd w:val="0"/>
        <w:snapToGrid w:val="0"/>
        <w:spacing w:line="288" w:lineRule="auto"/>
        <w:ind w:firstLine="720"/>
        <w:rPr>
          <w:rFonts w:hint="eastAsia" w:ascii="宋体" w:hAnsi="宋体"/>
          <w:bCs/>
          <w:sz w:val="36"/>
          <w:szCs w:val="36"/>
        </w:rPr>
      </w:pPr>
    </w:p>
    <w:p w14:paraId="5655CE76">
      <w:pPr>
        <w:adjustRightInd w:val="0"/>
        <w:snapToGrid w:val="0"/>
        <w:ind w:firstLine="360" w:firstLineChars="100"/>
        <w:jc w:val="left"/>
        <w:rPr>
          <w:rFonts w:hint="eastAsia" w:ascii="宋体" w:hAnsi="宋体"/>
          <w:bCs/>
          <w:sz w:val="36"/>
          <w:szCs w:val="36"/>
        </w:rPr>
      </w:pPr>
      <w:r>
        <w:rPr>
          <w:rFonts w:hint="eastAsia" w:ascii="宋体" w:hAnsi="宋体"/>
          <w:bCs/>
          <w:sz w:val="36"/>
          <w:szCs w:val="36"/>
        </w:rPr>
        <w:t>编制单位： 内蒙古博海环境科技有限责任公司</w:t>
      </w:r>
    </w:p>
    <w:p w14:paraId="675D232B">
      <w:pPr>
        <w:ind w:firstLine="360" w:firstLineChars="100"/>
        <w:jc w:val="left"/>
      </w:pPr>
      <w:r>
        <w:rPr>
          <w:rFonts w:hint="eastAsia" w:ascii="宋体" w:hAnsi="宋体"/>
          <w:bCs/>
          <w:sz w:val="36"/>
          <w:szCs w:val="36"/>
        </w:rPr>
        <w:t xml:space="preserve">编制日期： </w:t>
      </w:r>
      <w:r>
        <w:rPr>
          <w:rFonts w:ascii="宋体" w:hAnsi="宋体"/>
          <w:bCs/>
          <w:sz w:val="36"/>
          <w:szCs w:val="36"/>
        </w:rPr>
        <w:t xml:space="preserve">      202</w:t>
      </w:r>
      <w:r>
        <w:rPr>
          <w:rFonts w:hint="eastAsia" w:ascii="宋体" w:hAnsi="宋体"/>
          <w:bCs/>
          <w:sz w:val="36"/>
          <w:szCs w:val="36"/>
        </w:rPr>
        <w:t>5</w:t>
      </w:r>
      <w:r>
        <w:rPr>
          <w:rFonts w:ascii="宋体" w:hAnsi="宋体"/>
          <w:bCs/>
          <w:sz w:val="36"/>
          <w:szCs w:val="36"/>
        </w:rPr>
        <w:t>年</w:t>
      </w:r>
      <w:r>
        <w:rPr>
          <w:rFonts w:hint="eastAsia" w:ascii="宋体" w:hAnsi="宋体"/>
          <w:bCs/>
          <w:sz w:val="36"/>
          <w:szCs w:val="36"/>
        </w:rPr>
        <w:t>10</w:t>
      </w:r>
      <w:r>
        <w:rPr>
          <w:rFonts w:ascii="宋体" w:hAnsi="宋体"/>
          <w:bCs/>
          <w:sz w:val="36"/>
          <w:szCs w:val="36"/>
        </w:rPr>
        <w:t>月</w:t>
      </w:r>
    </w:p>
    <w:p w14:paraId="2F1B3DCA">
      <w:pPr>
        <w:pStyle w:val="28"/>
        <w:ind w:left="-464" w:leftChars="-200" w:hanging="16" w:hangingChars="8"/>
        <w:sectPr>
          <w:headerReference r:id="rId5" w:type="default"/>
          <w:footerReference r:id="rId6" w:type="default"/>
          <w:pgSz w:w="11906" w:h="16838"/>
          <w:pgMar w:top="1701" w:right="1531" w:bottom="1701" w:left="1531" w:header="851" w:footer="1077" w:gutter="0"/>
          <w:pgNumType w:fmt="numberInDash" w:start="1"/>
          <w:cols w:space="720" w:num="1"/>
          <w:docGrid w:linePitch="326" w:charSpace="0"/>
        </w:sectPr>
      </w:pPr>
    </w:p>
    <w:p w14:paraId="1C4F891B">
      <w:pPr>
        <w:pStyle w:val="28"/>
        <w:ind w:left="-464" w:leftChars="-200" w:hanging="16" w:hangingChars="8"/>
      </w:pPr>
    </w:p>
    <w:bookmarkEnd w:id="0"/>
    <w:p w14:paraId="0EC9538C">
      <w:pPr>
        <w:ind w:firstLine="0" w:firstLineChars="0"/>
        <w:jc w:val="center"/>
        <w:rPr>
          <w:rFonts w:hint="eastAsia" w:ascii="宋体" w:hAnsi="宋体"/>
          <w:sz w:val="28"/>
          <w:szCs w:val="28"/>
        </w:rPr>
      </w:pPr>
      <w:bookmarkStart w:id="1" w:name="_Hlk57884087"/>
    </w:p>
    <w:p w14:paraId="43DD40A8">
      <w:pPr>
        <w:ind w:firstLine="0" w:firstLineChars="0"/>
        <w:jc w:val="center"/>
        <w:rPr>
          <w:sz w:val="28"/>
          <w:szCs w:val="28"/>
        </w:rPr>
      </w:pPr>
      <w:r>
        <w:rPr>
          <w:rFonts w:ascii="宋体" w:hAnsi="宋体"/>
          <w:sz w:val="28"/>
          <w:szCs w:val="28"/>
        </w:rPr>
        <w:t>目录</w:t>
      </w:r>
    </w:p>
    <w:p w14:paraId="0E04A7AF">
      <w:pPr>
        <w:pStyle w:val="75"/>
        <w:tabs>
          <w:tab w:val="right" w:leader="dot" w:pos="8844"/>
        </w:tabs>
        <w:spacing w:line="360" w:lineRule="auto"/>
        <w:rPr>
          <w:sz w:val="28"/>
          <w:szCs w:val="28"/>
        </w:rPr>
      </w:pPr>
      <w:r>
        <w:rPr>
          <w:rFonts w:hint="eastAsia" w:ascii="宋体" w:hAnsi="宋体"/>
          <w:b/>
          <w:bCs/>
          <w:snapToGrid w:val="0"/>
          <w:color w:val="000000" w:themeColor="text1"/>
          <w:sz w:val="28"/>
          <w:szCs w:val="28"/>
          <w14:textFill>
            <w14:solidFill>
              <w14:schemeClr w14:val="tx1"/>
            </w14:solidFill>
          </w14:textFill>
        </w:rPr>
        <w:fldChar w:fldCharType="begin"/>
      </w:r>
      <w:r>
        <w:rPr>
          <w:rFonts w:hint="eastAsia" w:ascii="宋体" w:hAnsi="宋体"/>
          <w:b/>
          <w:bCs/>
          <w:snapToGrid w:val="0"/>
          <w:color w:val="000000" w:themeColor="text1"/>
          <w:sz w:val="28"/>
          <w:szCs w:val="28"/>
          <w14:textFill>
            <w14:solidFill>
              <w14:schemeClr w14:val="tx1"/>
            </w14:solidFill>
          </w14:textFill>
        </w:rPr>
        <w:instrText xml:space="preserve">TOC \o "1-1" \h \u </w:instrText>
      </w:r>
      <w:r>
        <w:rPr>
          <w:rFonts w:hint="eastAsia" w:ascii="宋体" w:hAnsi="宋体"/>
          <w:b/>
          <w:bCs/>
          <w:snapToGrid w:val="0"/>
          <w:color w:val="000000" w:themeColor="text1"/>
          <w:sz w:val="28"/>
          <w:szCs w:val="28"/>
          <w14:textFill>
            <w14:solidFill>
              <w14:schemeClr w14:val="tx1"/>
            </w14:solidFill>
          </w14:textFill>
        </w:rPr>
        <w:fldChar w:fldCharType="separate"/>
      </w:r>
    </w:p>
    <w:p w14:paraId="078EDB80">
      <w:pPr>
        <w:pStyle w:val="75"/>
        <w:tabs>
          <w:tab w:val="right" w:leader="dot" w:pos="8844"/>
        </w:tabs>
        <w:spacing w:line="360" w:lineRule="auto"/>
        <w:rPr>
          <w:sz w:val="28"/>
          <w:szCs w:val="28"/>
        </w:rPr>
      </w:pPr>
      <w:r>
        <w:fldChar w:fldCharType="begin"/>
      </w:r>
      <w:r>
        <w:instrText xml:space="preserve"> HYPERLINK \l "_Toc12176" </w:instrText>
      </w:r>
      <w:r>
        <w:fldChar w:fldCharType="separate"/>
      </w:r>
      <w:r>
        <w:rPr>
          <w:rFonts w:hint="eastAsia" w:ascii="宋体" w:hAnsi="宋体"/>
          <w:bCs/>
          <w:snapToGrid w:val="0"/>
          <w:sz w:val="28"/>
          <w:szCs w:val="28"/>
        </w:rPr>
        <w:t>一、建设项目基本情况</w:t>
      </w:r>
      <w:r>
        <w:rPr>
          <w:sz w:val="28"/>
          <w:szCs w:val="28"/>
        </w:rPr>
        <w:tab/>
      </w:r>
      <w:r>
        <w:rPr>
          <w:sz w:val="28"/>
          <w:szCs w:val="28"/>
        </w:rPr>
        <w:fldChar w:fldCharType="begin"/>
      </w:r>
      <w:r>
        <w:rPr>
          <w:sz w:val="28"/>
          <w:szCs w:val="28"/>
        </w:rPr>
        <w:instrText xml:space="preserve"> PAGEREF _Toc12176 \h </w:instrText>
      </w:r>
      <w:r>
        <w:rPr>
          <w:sz w:val="28"/>
          <w:szCs w:val="28"/>
        </w:rPr>
        <w:fldChar w:fldCharType="separate"/>
      </w:r>
      <w:r>
        <w:rPr>
          <w:sz w:val="28"/>
          <w:szCs w:val="28"/>
        </w:rPr>
        <w:t>- 1 -</w:t>
      </w:r>
      <w:r>
        <w:rPr>
          <w:sz w:val="28"/>
          <w:szCs w:val="28"/>
        </w:rPr>
        <w:fldChar w:fldCharType="end"/>
      </w:r>
      <w:r>
        <w:rPr>
          <w:sz w:val="28"/>
          <w:szCs w:val="28"/>
        </w:rPr>
        <w:fldChar w:fldCharType="end"/>
      </w:r>
    </w:p>
    <w:p w14:paraId="54A820CF">
      <w:pPr>
        <w:pStyle w:val="75"/>
        <w:tabs>
          <w:tab w:val="right" w:leader="dot" w:pos="8844"/>
        </w:tabs>
        <w:spacing w:line="360" w:lineRule="auto"/>
        <w:rPr>
          <w:sz w:val="28"/>
          <w:szCs w:val="28"/>
        </w:rPr>
      </w:pPr>
      <w:r>
        <w:fldChar w:fldCharType="begin"/>
      </w:r>
      <w:r>
        <w:instrText xml:space="preserve"> HYPERLINK \l "_Toc20128" </w:instrText>
      </w:r>
      <w:r>
        <w:fldChar w:fldCharType="separate"/>
      </w:r>
      <w:r>
        <w:rPr>
          <w:rFonts w:hint="eastAsia" w:ascii="宋体" w:hAnsi="宋体"/>
          <w:bCs/>
          <w:snapToGrid w:val="0"/>
          <w:sz w:val="28"/>
          <w:szCs w:val="28"/>
        </w:rPr>
        <w:t>二、建设内容</w:t>
      </w:r>
      <w:r>
        <w:rPr>
          <w:sz w:val="28"/>
          <w:szCs w:val="28"/>
        </w:rPr>
        <w:tab/>
      </w:r>
      <w:r>
        <w:rPr>
          <w:sz w:val="28"/>
          <w:szCs w:val="28"/>
        </w:rPr>
        <w:fldChar w:fldCharType="begin"/>
      </w:r>
      <w:r>
        <w:rPr>
          <w:sz w:val="28"/>
          <w:szCs w:val="28"/>
        </w:rPr>
        <w:instrText xml:space="preserve"> PAGEREF _Toc20128 \h </w:instrText>
      </w:r>
      <w:r>
        <w:rPr>
          <w:sz w:val="28"/>
          <w:szCs w:val="28"/>
        </w:rPr>
        <w:fldChar w:fldCharType="separate"/>
      </w:r>
      <w:r>
        <w:rPr>
          <w:sz w:val="28"/>
          <w:szCs w:val="28"/>
        </w:rPr>
        <w:t>- 5 -</w:t>
      </w:r>
      <w:r>
        <w:rPr>
          <w:sz w:val="28"/>
          <w:szCs w:val="28"/>
        </w:rPr>
        <w:fldChar w:fldCharType="end"/>
      </w:r>
      <w:r>
        <w:rPr>
          <w:sz w:val="28"/>
          <w:szCs w:val="28"/>
        </w:rPr>
        <w:fldChar w:fldCharType="end"/>
      </w:r>
    </w:p>
    <w:p w14:paraId="190CA5E1">
      <w:pPr>
        <w:pStyle w:val="75"/>
        <w:tabs>
          <w:tab w:val="right" w:leader="dot" w:pos="8844"/>
        </w:tabs>
        <w:spacing w:line="360" w:lineRule="auto"/>
        <w:rPr>
          <w:sz w:val="28"/>
          <w:szCs w:val="28"/>
        </w:rPr>
      </w:pPr>
      <w:r>
        <w:fldChar w:fldCharType="begin"/>
      </w:r>
      <w:r>
        <w:instrText xml:space="preserve"> HYPERLINK \l "_Toc19925" </w:instrText>
      </w:r>
      <w:r>
        <w:fldChar w:fldCharType="separate"/>
      </w:r>
      <w:r>
        <w:rPr>
          <w:rFonts w:hint="eastAsia" w:ascii="宋体" w:hAnsi="宋体"/>
          <w:bCs/>
          <w:snapToGrid w:val="0"/>
          <w:sz w:val="28"/>
          <w:szCs w:val="28"/>
        </w:rPr>
        <w:t>三、生态环境现状、保护目标及评价标准</w:t>
      </w:r>
      <w:r>
        <w:rPr>
          <w:sz w:val="28"/>
          <w:szCs w:val="28"/>
        </w:rPr>
        <w:tab/>
      </w:r>
      <w:r>
        <w:rPr>
          <w:sz w:val="28"/>
          <w:szCs w:val="28"/>
        </w:rPr>
        <w:fldChar w:fldCharType="begin"/>
      </w:r>
      <w:r>
        <w:rPr>
          <w:sz w:val="28"/>
          <w:szCs w:val="28"/>
        </w:rPr>
        <w:instrText xml:space="preserve"> PAGEREF _Toc19925 \h </w:instrText>
      </w:r>
      <w:r>
        <w:rPr>
          <w:sz w:val="28"/>
          <w:szCs w:val="28"/>
        </w:rPr>
        <w:fldChar w:fldCharType="separate"/>
      </w:r>
      <w:r>
        <w:rPr>
          <w:sz w:val="28"/>
          <w:szCs w:val="28"/>
        </w:rPr>
        <w:t>- 11 -</w:t>
      </w:r>
      <w:r>
        <w:rPr>
          <w:sz w:val="28"/>
          <w:szCs w:val="28"/>
        </w:rPr>
        <w:fldChar w:fldCharType="end"/>
      </w:r>
      <w:r>
        <w:rPr>
          <w:sz w:val="28"/>
          <w:szCs w:val="28"/>
        </w:rPr>
        <w:fldChar w:fldCharType="end"/>
      </w:r>
    </w:p>
    <w:p w14:paraId="35B1E4DE">
      <w:pPr>
        <w:pStyle w:val="75"/>
        <w:tabs>
          <w:tab w:val="right" w:leader="dot" w:pos="8844"/>
        </w:tabs>
        <w:spacing w:line="360" w:lineRule="auto"/>
        <w:rPr>
          <w:sz w:val="28"/>
          <w:szCs w:val="28"/>
        </w:rPr>
      </w:pPr>
      <w:r>
        <w:fldChar w:fldCharType="begin"/>
      </w:r>
      <w:r>
        <w:instrText xml:space="preserve"> HYPERLINK \l "_Toc23224" </w:instrText>
      </w:r>
      <w:r>
        <w:fldChar w:fldCharType="separate"/>
      </w:r>
      <w:r>
        <w:rPr>
          <w:rFonts w:hint="eastAsia" w:ascii="宋体" w:hAnsi="宋体"/>
          <w:bCs/>
          <w:snapToGrid w:val="0"/>
          <w:sz w:val="28"/>
          <w:szCs w:val="28"/>
        </w:rPr>
        <w:t>四、生态环境影响分析</w:t>
      </w:r>
      <w:r>
        <w:rPr>
          <w:sz w:val="28"/>
          <w:szCs w:val="28"/>
        </w:rPr>
        <w:tab/>
      </w:r>
      <w:r>
        <w:rPr>
          <w:sz w:val="28"/>
          <w:szCs w:val="28"/>
        </w:rPr>
        <w:fldChar w:fldCharType="begin"/>
      </w:r>
      <w:r>
        <w:rPr>
          <w:sz w:val="28"/>
          <w:szCs w:val="28"/>
        </w:rPr>
        <w:instrText xml:space="preserve"> PAGEREF _Toc23224 \h </w:instrText>
      </w:r>
      <w:r>
        <w:rPr>
          <w:sz w:val="28"/>
          <w:szCs w:val="28"/>
        </w:rPr>
        <w:fldChar w:fldCharType="separate"/>
      </w:r>
      <w:r>
        <w:rPr>
          <w:sz w:val="28"/>
          <w:szCs w:val="28"/>
        </w:rPr>
        <w:t>- 21 -</w:t>
      </w:r>
      <w:r>
        <w:rPr>
          <w:sz w:val="28"/>
          <w:szCs w:val="28"/>
        </w:rPr>
        <w:fldChar w:fldCharType="end"/>
      </w:r>
      <w:r>
        <w:rPr>
          <w:sz w:val="28"/>
          <w:szCs w:val="28"/>
        </w:rPr>
        <w:fldChar w:fldCharType="end"/>
      </w:r>
    </w:p>
    <w:p w14:paraId="71FC6675">
      <w:pPr>
        <w:pStyle w:val="75"/>
        <w:tabs>
          <w:tab w:val="right" w:leader="dot" w:pos="8844"/>
        </w:tabs>
        <w:spacing w:line="360" w:lineRule="auto"/>
        <w:rPr>
          <w:sz w:val="28"/>
          <w:szCs w:val="28"/>
        </w:rPr>
      </w:pPr>
      <w:r>
        <w:fldChar w:fldCharType="begin"/>
      </w:r>
      <w:r>
        <w:instrText xml:space="preserve"> HYPERLINK \l "_Toc30069" </w:instrText>
      </w:r>
      <w:r>
        <w:fldChar w:fldCharType="separate"/>
      </w:r>
      <w:r>
        <w:rPr>
          <w:rFonts w:hint="eastAsia" w:ascii="宋体" w:hAnsi="宋体"/>
          <w:bCs/>
          <w:snapToGrid w:val="0"/>
          <w:sz w:val="28"/>
          <w:szCs w:val="28"/>
        </w:rPr>
        <w:t>五、主要生态环境保护措施</w:t>
      </w:r>
      <w:r>
        <w:rPr>
          <w:sz w:val="28"/>
          <w:szCs w:val="28"/>
        </w:rPr>
        <w:tab/>
      </w:r>
      <w:r>
        <w:rPr>
          <w:sz w:val="28"/>
          <w:szCs w:val="28"/>
        </w:rPr>
        <w:fldChar w:fldCharType="begin"/>
      </w:r>
      <w:r>
        <w:rPr>
          <w:sz w:val="28"/>
          <w:szCs w:val="28"/>
        </w:rPr>
        <w:instrText xml:space="preserve"> PAGEREF _Toc30069 \h </w:instrText>
      </w:r>
      <w:r>
        <w:rPr>
          <w:sz w:val="28"/>
          <w:szCs w:val="28"/>
        </w:rPr>
        <w:fldChar w:fldCharType="separate"/>
      </w:r>
      <w:r>
        <w:rPr>
          <w:sz w:val="28"/>
          <w:szCs w:val="28"/>
        </w:rPr>
        <w:t>33</w:t>
      </w:r>
      <w:r>
        <w:rPr>
          <w:sz w:val="28"/>
          <w:szCs w:val="28"/>
        </w:rPr>
        <w:fldChar w:fldCharType="end"/>
      </w:r>
      <w:r>
        <w:rPr>
          <w:sz w:val="28"/>
          <w:szCs w:val="28"/>
        </w:rPr>
        <w:fldChar w:fldCharType="end"/>
      </w:r>
    </w:p>
    <w:p w14:paraId="11392894">
      <w:pPr>
        <w:pStyle w:val="75"/>
        <w:tabs>
          <w:tab w:val="right" w:leader="dot" w:pos="8844"/>
        </w:tabs>
        <w:spacing w:line="360" w:lineRule="auto"/>
        <w:rPr>
          <w:sz w:val="28"/>
          <w:szCs w:val="28"/>
        </w:rPr>
      </w:pPr>
      <w:r>
        <w:fldChar w:fldCharType="begin"/>
      </w:r>
      <w:r>
        <w:instrText xml:space="preserve"> HYPERLINK \l "_Toc32320" </w:instrText>
      </w:r>
      <w:r>
        <w:fldChar w:fldCharType="separate"/>
      </w:r>
      <w:r>
        <w:rPr>
          <w:rFonts w:hint="eastAsia" w:ascii="宋体" w:hAnsi="宋体"/>
          <w:bCs/>
          <w:snapToGrid w:val="0"/>
          <w:sz w:val="28"/>
          <w:szCs w:val="28"/>
        </w:rPr>
        <w:t>六、生态环境保护措施监督检查清单</w:t>
      </w:r>
      <w:r>
        <w:rPr>
          <w:sz w:val="28"/>
          <w:szCs w:val="28"/>
        </w:rPr>
        <w:tab/>
      </w:r>
      <w:r>
        <w:rPr>
          <w:sz w:val="28"/>
          <w:szCs w:val="28"/>
        </w:rPr>
        <w:fldChar w:fldCharType="begin"/>
      </w:r>
      <w:r>
        <w:rPr>
          <w:sz w:val="28"/>
          <w:szCs w:val="28"/>
        </w:rPr>
        <w:instrText xml:space="preserve"> PAGEREF _Toc32320 \h </w:instrText>
      </w:r>
      <w:r>
        <w:rPr>
          <w:sz w:val="28"/>
          <w:szCs w:val="28"/>
        </w:rPr>
        <w:fldChar w:fldCharType="separate"/>
      </w:r>
      <w:r>
        <w:rPr>
          <w:sz w:val="28"/>
          <w:szCs w:val="28"/>
        </w:rPr>
        <w:t>40</w:t>
      </w:r>
      <w:r>
        <w:rPr>
          <w:sz w:val="28"/>
          <w:szCs w:val="28"/>
        </w:rPr>
        <w:fldChar w:fldCharType="end"/>
      </w:r>
      <w:r>
        <w:rPr>
          <w:sz w:val="28"/>
          <w:szCs w:val="28"/>
        </w:rPr>
        <w:fldChar w:fldCharType="end"/>
      </w:r>
    </w:p>
    <w:p w14:paraId="13487923">
      <w:pPr>
        <w:pStyle w:val="75"/>
        <w:tabs>
          <w:tab w:val="right" w:leader="dot" w:pos="8844"/>
        </w:tabs>
        <w:spacing w:line="360" w:lineRule="auto"/>
        <w:rPr>
          <w:sz w:val="28"/>
          <w:szCs w:val="28"/>
        </w:rPr>
      </w:pPr>
      <w:r>
        <w:fldChar w:fldCharType="begin"/>
      </w:r>
      <w:r>
        <w:instrText xml:space="preserve"> HYPERLINK \l "_Toc16721" </w:instrText>
      </w:r>
      <w:r>
        <w:fldChar w:fldCharType="separate"/>
      </w:r>
      <w:r>
        <w:rPr>
          <w:rFonts w:hint="eastAsia" w:ascii="宋体" w:hAnsi="宋体"/>
          <w:bCs/>
          <w:snapToGrid w:val="0"/>
          <w:sz w:val="28"/>
          <w:szCs w:val="28"/>
        </w:rPr>
        <w:t>七、结论</w:t>
      </w:r>
      <w:r>
        <w:rPr>
          <w:sz w:val="28"/>
          <w:szCs w:val="28"/>
        </w:rPr>
        <w:tab/>
      </w:r>
      <w:r>
        <w:rPr>
          <w:sz w:val="28"/>
          <w:szCs w:val="28"/>
        </w:rPr>
        <w:fldChar w:fldCharType="begin"/>
      </w:r>
      <w:r>
        <w:rPr>
          <w:sz w:val="28"/>
          <w:szCs w:val="28"/>
        </w:rPr>
        <w:instrText xml:space="preserve"> PAGEREF _Toc16721 \h </w:instrText>
      </w:r>
      <w:r>
        <w:rPr>
          <w:sz w:val="28"/>
          <w:szCs w:val="28"/>
        </w:rPr>
        <w:fldChar w:fldCharType="separate"/>
      </w:r>
      <w:r>
        <w:rPr>
          <w:sz w:val="28"/>
          <w:szCs w:val="28"/>
        </w:rPr>
        <w:t>43</w:t>
      </w:r>
      <w:r>
        <w:rPr>
          <w:sz w:val="28"/>
          <w:szCs w:val="28"/>
        </w:rPr>
        <w:fldChar w:fldCharType="end"/>
      </w:r>
      <w:r>
        <w:rPr>
          <w:sz w:val="28"/>
          <w:szCs w:val="28"/>
        </w:rPr>
        <w:fldChar w:fldCharType="end"/>
      </w:r>
    </w:p>
    <w:p w14:paraId="525197A8">
      <w:pPr>
        <w:pStyle w:val="75"/>
        <w:tabs>
          <w:tab w:val="right" w:leader="dot" w:pos="8844"/>
        </w:tabs>
        <w:spacing w:line="360" w:lineRule="auto"/>
        <w:rPr>
          <w:sz w:val="28"/>
          <w:szCs w:val="28"/>
        </w:rPr>
      </w:pPr>
      <w:r>
        <w:fldChar w:fldCharType="begin"/>
      </w:r>
      <w:r>
        <w:instrText xml:space="preserve"> HYPERLINK \l "_Toc26232" </w:instrText>
      </w:r>
      <w:r>
        <w:fldChar w:fldCharType="separate"/>
      </w:r>
      <w:r>
        <w:rPr>
          <w:rFonts w:hint="eastAsia" w:ascii="宋体" w:hAnsi="宋体"/>
          <w:sz w:val="28"/>
          <w:szCs w:val="28"/>
        </w:rPr>
        <w:t>电磁环境影响专题评价</w:t>
      </w:r>
      <w:r>
        <w:rPr>
          <w:sz w:val="28"/>
          <w:szCs w:val="28"/>
        </w:rPr>
        <w:tab/>
      </w:r>
      <w:r>
        <w:rPr>
          <w:sz w:val="28"/>
          <w:szCs w:val="28"/>
        </w:rPr>
        <w:fldChar w:fldCharType="begin"/>
      </w:r>
      <w:r>
        <w:rPr>
          <w:sz w:val="28"/>
          <w:szCs w:val="28"/>
        </w:rPr>
        <w:instrText xml:space="preserve"> PAGEREF _Toc26232 \h </w:instrText>
      </w:r>
      <w:r>
        <w:rPr>
          <w:sz w:val="28"/>
          <w:szCs w:val="28"/>
        </w:rPr>
        <w:fldChar w:fldCharType="separate"/>
      </w:r>
      <w:r>
        <w:rPr>
          <w:sz w:val="28"/>
          <w:szCs w:val="28"/>
        </w:rPr>
        <w:t>46</w:t>
      </w:r>
      <w:r>
        <w:rPr>
          <w:sz w:val="28"/>
          <w:szCs w:val="28"/>
        </w:rPr>
        <w:fldChar w:fldCharType="end"/>
      </w:r>
      <w:r>
        <w:rPr>
          <w:sz w:val="28"/>
          <w:szCs w:val="28"/>
        </w:rPr>
        <w:fldChar w:fldCharType="end"/>
      </w:r>
    </w:p>
    <w:p w14:paraId="3E1C918D">
      <w:pPr>
        <w:pStyle w:val="75"/>
        <w:tabs>
          <w:tab w:val="right" w:leader="dot" w:pos="8844"/>
        </w:tabs>
        <w:spacing w:line="360" w:lineRule="auto"/>
        <w:rPr>
          <w:sz w:val="28"/>
          <w:szCs w:val="28"/>
        </w:rPr>
      </w:pPr>
    </w:p>
    <w:p w14:paraId="5CA4CB99">
      <w:pPr>
        <w:widowControl/>
        <w:ind w:firstLine="0" w:firstLineChars="0"/>
        <w:jc w:val="center"/>
        <w:rPr>
          <w:rFonts w:hint="eastAsia" w:ascii="宋体" w:hAnsi="宋体" w:cs="Times New Roman"/>
          <w:b/>
          <w:bCs/>
          <w:snapToGrid w:val="0"/>
          <w:color w:val="000000" w:themeColor="text1"/>
          <w:kern w:val="0"/>
          <w:sz w:val="32"/>
          <w:szCs w:val="32"/>
          <w14:textFill>
            <w14:solidFill>
              <w14:schemeClr w14:val="tx1"/>
            </w14:solidFill>
          </w14:textFill>
        </w:rPr>
        <w:sectPr>
          <w:headerReference r:id="rId7" w:type="default"/>
          <w:footerReference r:id="rId8" w:type="default"/>
          <w:pgSz w:w="11906" w:h="16838"/>
          <w:pgMar w:top="1701" w:right="1531" w:bottom="1701" w:left="1531" w:header="851" w:footer="1077" w:gutter="0"/>
          <w:pgNumType w:fmt="numberInDash" w:start="1"/>
          <w:cols w:space="720" w:num="1"/>
          <w:docGrid w:linePitch="326" w:charSpace="0"/>
        </w:sectPr>
      </w:pPr>
      <w:r>
        <w:rPr>
          <w:rFonts w:hint="eastAsia" w:ascii="宋体" w:hAnsi="宋体" w:cs="Times New Roman"/>
          <w:bCs/>
          <w:snapToGrid w:val="0"/>
          <w:color w:val="000000" w:themeColor="text1"/>
          <w:kern w:val="0"/>
          <w:sz w:val="28"/>
          <w:szCs w:val="28"/>
          <w14:textFill>
            <w14:solidFill>
              <w14:schemeClr w14:val="tx1"/>
            </w14:solidFill>
          </w14:textFill>
        </w:rPr>
        <w:fldChar w:fldCharType="end"/>
      </w:r>
    </w:p>
    <w:p w14:paraId="21E1F6B4">
      <w:pPr>
        <w:widowControl/>
        <w:spacing w:line="240" w:lineRule="auto"/>
        <w:ind w:firstLine="0" w:firstLineChars="0"/>
        <w:jc w:val="center"/>
        <w:outlineLvl w:val="0"/>
        <w:rPr>
          <w:rFonts w:hint="eastAsia" w:ascii="宋体" w:hAnsi="宋体" w:cs="Times New Roman"/>
          <w:b/>
          <w:bCs/>
          <w:snapToGrid w:val="0"/>
          <w:color w:val="000000" w:themeColor="text1"/>
          <w:kern w:val="0"/>
          <w:sz w:val="32"/>
          <w:szCs w:val="32"/>
          <w14:textFill>
            <w14:solidFill>
              <w14:schemeClr w14:val="tx1"/>
            </w14:solidFill>
          </w14:textFill>
        </w:rPr>
      </w:pPr>
      <w:bookmarkStart w:id="2" w:name="_Toc12176"/>
      <w:r>
        <w:rPr>
          <w:rFonts w:hint="eastAsia" w:ascii="宋体" w:hAnsi="宋体" w:cs="Times New Roman"/>
          <w:b/>
          <w:bCs/>
          <w:snapToGrid w:val="0"/>
          <w:color w:val="000000" w:themeColor="text1"/>
          <w:kern w:val="0"/>
          <w:sz w:val="32"/>
          <w:szCs w:val="32"/>
          <w14:textFill>
            <w14:solidFill>
              <w14:schemeClr w14:val="tx1"/>
            </w14:solidFill>
          </w14:textFill>
        </w:rPr>
        <w:t>一、建设项目基本情况</w:t>
      </w:r>
      <w:bookmarkEnd w:id="2"/>
    </w:p>
    <w:tbl>
      <w:tblPr>
        <w:tblStyle w:val="21"/>
        <w:tblW w:w="9498" w:type="dxa"/>
        <w:tblInd w:w="-294"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844"/>
        <w:gridCol w:w="2026"/>
        <w:gridCol w:w="2025"/>
        <w:gridCol w:w="3603"/>
      </w:tblGrid>
      <w:tr w14:paraId="2D256E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844" w:type="dxa"/>
            <w:tcMar>
              <w:top w:w="16" w:type="dxa"/>
              <w:left w:w="16" w:type="dxa"/>
              <w:right w:w="16" w:type="dxa"/>
            </w:tcMar>
            <w:vAlign w:val="center"/>
          </w:tcPr>
          <w:p w14:paraId="5887A2AF">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建设项目名称</w:t>
            </w:r>
          </w:p>
        </w:tc>
        <w:tc>
          <w:tcPr>
            <w:tcW w:w="7654" w:type="dxa"/>
            <w:gridSpan w:val="3"/>
            <w:vAlign w:val="center"/>
          </w:tcPr>
          <w:p w14:paraId="0F199A8B">
            <w:pPr>
              <w:pStyle w:val="4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内蒙古新蒙新科技有限公司10万吨负极材料项目110kV 变电站工程</w:t>
            </w:r>
          </w:p>
        </w:tc>
      </w:tr>
      <w:tr w14:paraId="079AE1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844" w:type="dxa"/>
            <w:tcMar>
              <w:top w:w="16" w:type="dxa"/>
              <w:left w:w="16" w:type="dxa"/>
              <w:right w:w="16" w:type="dxa"/>
            </w:tcMar>
            <w:vAlign w:val="center"/>
          </w:tcPr>
          <w:p w14:paraId="0A084EA7">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项目代码</w:t>
            </w:r>
          </w:p>
        </w:tc>
        <w:tc>
          <w:tcPr>
            <w:tcW w:w="7654" w:type="dxa"/>
            <w:gridSpan w:val="3"/>
            <w:vAlign w:val="center"/>
          </w:tcPr>
          <w:p w14:paraId="2436DC3A">
            <w:pPr>
              <w:pStyle w:val="4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2208-152524-04-01-776548</w:t>
            </w:r>
          </w:p>
        </w:tc>
      </w:tr>
      <w:tr w14:paraId="025F2B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844" w:type="dxa"/>
            <w:tcMar>
              <w:top w:w="16" w:type="dxa"/>
              <w:left w:w="16" w:type="dxa"/>
              <w:right w:w="16" w:type="dxa"/>
            </w:tcMar>
            <w:vAlign w:val="center"/>
          </w:tcPr>
          <w:p w14:paraId="6804C070">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建设单位联系人</w:t>
            </w:r>
          </w:p>
        </w:tc>
        <w:tc>
          <w:tcPr>
            <w:tcW w:w="2026" w:type="dxa"/>
            <w:vAlign w:val="center"/>
          </w:tcPr>
          <w:p w14:paraId="484E1019">
            <w:pPr>
              <w:pStyle w:val="4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刘伟</w:t>
            </w:r>
          </w:p>
        </w:tc>
        <w:tc>
          <w:tcPr>
            <w:tcW w:w="2025" w:type="dxa"/>
            <w:vAlign w:val="center"/>
          </w:tcPr>
          <w:p w14:paraId="5CC81AC6">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联系方式</w:t>
            </w:r>
          </w:p>
        </w:tc>
        <w:tc>
          <w:tcPr>
            <w:tcW w:w="3603" w:type="dxa"/>
            <w:vAlign w:val="center"/>
          </w:tcPr>
          <w:p w14:paraId="67650B28">
            <w:pPr>
              <w:pStyle w:val="4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180 4790 2221</w:t>
            </w:r>
          </w:p>
        </w:tc>
      </w:tr>
      <w:tr w14:paraId="1DC49A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844" w:type="dxa"/>
            <w:tcMar>
              <w:top w:w="16" w:type="dxa"/>
              <w:left w:w="16" w:type="dxa"/>
              <w:right w:w="16" w:type="dxa"/>
            </w:tcMar>
            <w:vAlign w:val="center"/>
          </w:tcPr>
          <w:p w14:paraId="39033D87">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建设地点</w:t>
            </w:r>
          </w:p>
        </w:tc>
        <w:tc>
          <w:tcPr>
            <w:tcW w:w="7654" w:type="dxa"/>
            <w:gridSpan w:val="3"/>
            <w:vAlign w:val="center"/>
          </w:tcPr>
          <w:p w14:paraId="4015C1D1">
            <w:pPr>
              <w:pStyle w:val="4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内蒙古自治区锡林郭勒盟苏尼特右旗朱日和镇</w:t>
            </w:r>
          </w:p>
          <w:p w14:paraId="79262A29">
            <w:pPr>
              <w:pStyle w:val="4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内蒙古新蒙新科技有限公司厂区内 </w:t>
            </w:r>
            <w:r>
              <w:rPr>
                <w:color w:val="000000" w:themeColor="text1"/>
                <w:sz w:val="24"/>
                <w:szCs w:val="24"/>
                <w14:textFill>
                  <w14:solidFill>
                    <w14:schemeClr w14:val="tx1"/>
                  </w14:solidFill>
                </w14:textFill>
              </w:rPr>
              <w:t xml:space="preserve"> </w:t>
            </w:r>
          </w:p>
        </w:tc>
      </w:tr>
      <w:tr w14:paraId="7B9924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844" w:type="dxa"/>
            <w:tcMar>
              <w:top w:w="16" w:type="dxa"/>
              <w:left w:w="16" w:type="dxa"/>
              <w:right w:w="16" w:type="dxa"/>
            </w:tcMar>
            <w:vAlign w:val="center"/>
          </w:tcPr>
          <w:p w14:paraId="45A09AD8">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地理坐标</w:t>
            </w:r>
          </w:p>
        </w:tc>
        <w:tc>
          <w:tcPr>
            <w:tcW w:w="7654" w:type="dxa"/>
            <w:gridSpan w:val="3"/>
            <w:vAlign w:val="center"/>
          </w:tcPr>
          <w:p w14:paraId="206E691C">
            <w:pPr>
              <w:pStyle w:val="40"/>
              <w:rPr>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站址中心坐标</w:t>
            </w:r>
            <w:r>
              <w:rPr>
                <w:rFonts w:hint="eastAsia" w:cs="Times New Roman"/>
                <w:color w:val="000000" w:themeColor="text1"/>
                <w:sz w:val="24"/>
                <w:szCs w:val="24"/>
                <w14:textFill>
                  <w14:solidFill>
                    <w14:schemeClr w14:val="tx1"/>
                  </w14:solidFill>
                </w14:textFill>
              </w:rPr>
              <w:t>（东经</w:t>
            </w:r>
            <w:r>
              <w:rPr>
                <w:rFonts w:cs="Times New Roman"/>
                <w:color w:val="000000" w:themeColor="text1"/>
                <w:sz w:val="24"/>
                <w:szCs w:val="24"/>
                <w14:textFill>
                  <w14:solidFill>
                    <w14:schemeClr w14:val="tx1"/>
                  </w14:solidFill>
                </w14:textFill>
              </w:rPr>
              <w:t>112°54'48.269",</w:t>
            </w:r>
            <w:r>
              <w:rPr>
                <w:rFonts w:hint="eastAsia" w:cs="Times New Roman"/>
                <w:color w:val="000000" w:themeColor="text1"/>
                <w:sz w:val="24"/>
                <w:szCs w:val="24"/>
                <w14:textFill>
                  <w14:solidFill>
                    <w14:schemeClr w14:val="tx1"/>
                  </w14:solidFill>
                </w14:textFill>
              </w:rPr>
              <w:t>北纬</w:t>
            </w:r>
            <w:r>
              <w:rPr>
                <w:rFonts w:cs="Times New Roman"/>
                <w:color w:val="000000" w:themeColor="text1"/>
                <w:sz w:val="24"/>
                <w:szCs w:val="24"/>
                <w14:textFill>
                  <w14:solidFill>
                    <w14:schemeClr w14:val="tx1"/>
                  </w14:solidFill>
                </w14:textFill>
              </w:rPr>
              <w:t>42°23'58.137"</w:t>
            </w:r>
            <w:r>
              <w:rPr>
                <w:rFonts w:hint="eastAsia" w:cs="Times New Roman"/>
                <w:color w:val="000000" w:themeColor="text1"/>
                <w:sz w:val="24"/>
                <w:szCs w:val="24"/>
                <w14:textFill>
                  <w14:solidFill>
                    <w14:schemeClr w14:val="tx1"/>
                  </w14:solidFill>
                </w14:textFill>
              </w:rPr>
              <w:t>）</w:t>
            </w:r>
          </w:p>
        </w:tc>
      </w:tr>
      <w:tr w14:paraId="7881CF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844" w:type="dxa"/>
            <w:tcMar>
              <w:top w:w="16" w:type="dxa"/>
              <w:left w:w="16" w:type="dxa"/>
              <w:right w:w="16" w:type="dxa"/>
            </w:tcMar>
            <w:vAlign w:val="center"/>
          </w:tcPr>
          <w:p w14:paraId="6E89FDF2">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建设项目</w:t>
            </w:r>
          </w:p>
          <w:p w14:paraId="5E8ABF4B">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行业类别</w:t>
            </w:r>
          </w:p>
        </w:tc>
        <w:tc>
          <w:tcPr>
            <w:tcW w:w="2026" w:type="dxa"/>
            <w:vAlign w:val="center"/>
          </w:tcPr>
          <w:p w14:paraId="2B66295A">
            <w:pPr>
              <w:pStyle w:val="4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五十五、核与辐射；</w:t>
            </w:r>
          </w:p>
          <w:p w14:paraId="0F50500F">
            <w:pPr>
              <w:pStyle w:val="4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161 输变电工程</w:t>
            </w:r>
          </w:p>
        </w:tc>
        <w:tc>
          <w:tcPr>
            <w:tcW w:w="2025" w:type="dxa"/>
            <w:vAlign w:val="center"/>
          </w:tcPr>
          <w:p w14:paraId="5D819D93">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用地（用海）面积（</w:t>
            </w:r>
            <w:r>
              <w:rPr>
                <w:b/>
                <w:bCs/>
                <w:color w:val="000000" w:themeColor="text1"/>
                <w:sz w:val="24"/>
                <w:szCs w:val="24"/>
                <w14:textFill>
                  <w14:solidFill>
                    <w14:schemeClr w14:val="tx1"/>
                  </w14:solidFill>
                </w14:textFill>
              </w:rPr>
              <w:t>m</w:t>
            </w:r>
            <w:r>
              <w:rPr>
                <w:b/>
                <w:bCs/>
                <w:color w:val="000000" w:themeColor="text1"/>
                <w:sz w:val="24"/>
                <w:szCs w:val="24"/>
                <w:vertAlign w:val="superscript"/>
                <w14:textFill>
                  <w14:solidFill>
                    <w14:schemeClr w14:val="tx1"/>
                  </w14:solidFill>
                </w14:textFill>
              </w:rPr>
              <w:t>2</w:t>
            </w:r>
            <w:r>
              <w:rPr>
                <w:rFonts w:hint="eastAsia"/>
                <w:b/>
                <w:bCs/>
                <w:color w:val="000000" w:themeColor="text1"/>
                <w:sz w:val="24"/>
                <w:szCs w:val="24"/>
                <w14:textFill>
                  <w14:solidFill>
                    <w14:schemeClr w14:val="tx1"/>
                  </w14:solidFill>
                </w14:textFill>
              </w:rPr>
              <w:t>）</w:t>
            </w:r>
            <w:r>
              <w:rPr>
                <w:b/>
                <w:bCs/>
                <w:color w:val="000000" w:themeColor="text1"/>
                <w:sz w:val="24"/>
                <w:szCs w:val="24"/>
                <w14:textFill>
                  <w14:solidFill>
                    <w14:schemeClr w14:val="tx1"/>
                  </w14:solidFill>
                </w14:textFill>
              </w:rPr>
              <w:t>/</w:t>
            </w:r>
            <w:r>
              <w:rPr>
                <w:rFonts w:hint="eastAsia"/>
                <w:b/>
                <w:bCs/>
                <w:color w:val="000000" w:themeColor="text1"/>
                <w:sz w:val="24"/>
                <w:szCs w:val="24"/>
                <w14:textFill>
                  <w14:solidFill>
                    <w14:schemeClr w14:val="tx1"/>
                  </w14:solidFill>
                </w14:textFill>
              </w:rPr>
              <w:t>长度（</w:t>
            </w:r>
            <w:r>
              <w:rPr>
                <w:b/>
                <w:bCs/>
                <w:color w:val="000000" w:themeColor="text1"/>
                <w:sz w:val="24"/>
                <w:szCs w:val="24"/>
                <w14:textFill>
                  <w14:solidFill>
                    <w14:schemeClr w14:val="tx1"/>
                  </w14:solidFill>
                </w14:textFill>
              </w:rPr>
              <w:t>km</w:t>
            </w:r>
            <w:r>
              <w:rPr>
                <w:rFonts w:hint="eastAsia"/>
                <w:b/>
                <w:bCs/>
                <w:color w:val="000000" w:themeColor="text1"/>
                <w:sz w:val="24"/>
                <w:szCs w:val="24"/>
                <w14:textFill>
                  <w14:solidFill>
                    <w14:schemeClr w14:val="tx1"/>
                  </w14:solidFill>
                </w14:textFill>
              </w:rPr>
              <w:t>）</w:t>
            </w:r>
          </w:p>
        </w:tc>
        <w:tc>
          <w:tcPr>
            <w:tcW w:w="3603" w:type="dxa"/>
            <w:vAlign w:val="center"/>
          </w:tcPr>
          <w:p w14:paraId="49BA5015">
            <w:pPr>
              <w:pStyle w:val="40"/>
              <w:rPr>
                <w:color w:val="auto"/>
                <w:sz w:val="24"/>
                <w:szCs w:val="24"/>
              </w:rPr>
            </w:pPr>
            <w:r>
              <w:rPr>
                <w:rFonts w:hint="eastAsia"/>
                <w:color w:val="auto"/>
                <w:sz w:val="24"/>
                <w:szCs w:val="24"/>
              </w:rPr>
              <w:t>临时占地：900m</w:t>
            </w:r>
            <w:r>
              <w:rPr>
                <w:rFonts w:hint="eastAsia"/>
                <w:color w:val="auto"/>
                <w:sz w:val="24"/>
                <w:szCs w:val="24"/>
                <w:vertAlign w:val="superscript"/>
              </w:rPr>
              <w:t>2</w:t>
            </w:r>
          </w:p>
          <w:p w14:paraId="301C445F">
            <w:pPr>
              <w:pStyle w:val="40"/>
              <w:rPr>
                <w:rFonts w:cs="Times New Roman"/>
                <w:color w:val="000000" w:themeColor="text1"/>
                <w:sz w:val="24"/>
                <w:szCs w:val="24"/>
                <w14:textFill>
                  <w14:solidFill>
                    <w14:schemeClr w14:val="tx1"/>
                  </w14:solidFill>
                </w14:textFill>
              </w:rPr>
            </w:pPr>
            <w:r>
              <w:rPr>
                <w:rFonts w:hint="eastAsia"/>
                <w:color w:val="auto"/>
                <w:sz w:val="24"/>
                <w:szCs w:val="24"/>
              </w:rPr>
              <w:t>永久占地：4200m</w:t>
            </w:r>
            <w:r>
              <w:rPr>
                <w:rFonts w:hint="eastAsia"/>
                <w:color w:val="auto"/>
                <w:sz w:val="24"/>
                <w:szCs w:val="24"/>
                <w:vertAlign w:val="superscript"/>
              </w:rPr>
              <w:t>2</w:t>
            </w:r>
          </w:p>
        </w:tc>
      </w:tr>
      <w:tr w14:paraId="3CDCA9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844" w:type="dxa"/>
            <w:tcMar>
              <w:top w:w="16" w:type="dxa"/>
              <w:left w:w="16" w:type="dxa"/>
              <w:right w:w="16" w:type="dxa"/>
            </w:tcMar>
            <w:vAlign w:val="center"/>
          </w:tcPr>
          <w:p w14:paraId="678BE664">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建设性质</w:t>
            </w:r>
          </w:p>
        </w:tc>
        <w:tc>
          <w:tcPr>
            <w:tcW w:w="2026" w:type="dxa"/>
            <w:vAlign w:val="center"/>
          </w:tcPr>
          <w:p w14:paraId="55C68901">
            <w:pPr>
              <w:pStyle w:val="40"/>
              <w:jc w:val="left"/>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√新建（迁建）</w:t>
            </w:r>
          </w:p>
          <w:p w14:paraId="2A7CD388">
            <w:pPr>
              <w:pStyle w:val="40"/>
              <w:jc w:val="left"/>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□改建</w:t>
            </w:r>
          </w:p>
          <w:p w14:paraId="3A23F647">
            <w:pPr>
              <w:pStyle w:val="40"/>
              <w:jc w:val="left"/>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□扩建</w:t>
            </w:r>
          </w:p>
          <w:p w14:paraId="063CA996">
            <w:pPr>
              <w:pStyle w:val="40"/>
              <w:jc w:val="left"/>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□技术改造</w:t>
            </w:r>
          </w:p>
        </w:tc>
        <w:tc>
          <w:tcPr>
            <w:tcW w:w="2025" w:type="dxa"/>
            <w:vAlign w:val="center"/>
          </w:tcPr>
          <w:p w14:paraId="57A6633A">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建设项目</w:t>
            </w:r>
          </w:p>
          <w:p w14:paraId="257DE18E">
            <w:pPr>
              <w:pStyle w:val="40"/>
              <w:rPr>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申报情形</w:t>
            </w:r>
          </w:p>
        </w:tc>
        <w:tc>
          <w:tcPr>
            <w:tcW w:w="3603" w:type="dxa"/>
            <w:vAlign w:val="center"/>
          </w:tcPr>
          <w:p w14:paraId="0A666BD6">
            <w:pPr>
              <w:pStyle w:val="40"/>
              <w:jc w:val="left"/>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☑首次申报项目</w:t>
            </w:r>
          </w:p>
          <w:p w14:paraId="619722CA">
            <w:pPr>
              <w:pStyle w:val="40"/>
              <w:jc w:val="left"/>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□不予批准后再次申报项目</w:t>
            </w:r>
          </w:p>
          <w:p w14:paraId="0D017586">
            <w:pPr>
              <w:pStyle w:val="40"/>
              <w:jc w:val="left"/>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□超五年重新审核项目</w:t>
            </w:r>
          </w:p>
          <w:p w14:paraId="57466227">
            <w:pPr>
              <w:pStyle w:val="40"/>
              <w:jc w:val="left"/>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□重大变动重新报批项目</w:t>
            </w:r>
          </w:p>
        </w:tc>
      </w:tr>
      <w:tr w14:paraId="3A26D7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1844" w:type="dxa"/>
            <w:tcMar>
              <w:top w:w="16" w:type="dxa"/>
              <w:left w:w="16" w:type="dxa"/>
              <w:right w:w="16" w:type="dxa"/>
            </w:tcMar>
            <w:vAlign w:val="center"/>
          </w:tcPr>
          <w:p w14:paraId="74221518">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项目审批（核准</w:t>
            </w:r>
            <w:r>
              <w:rPr>
                <w:b/>
                <w:bCs/>
                <w:color w:val="000000" w:themeColor="text1"/>
                <w:sz w:val="24"/>
                <w:szCs w:val="24"/>
                <w14:textFill>
                  <w14:solidFill>
                    <w14:schemeClr w14:val="tx1"/>
                  </w14:solidFill>
                </w14:textFill>
              </w:rPr>
              <w:t>/</w:t>
            </w:r>
          </w:p>
          <w:p w14:paraId="7ECC6938">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备案）部门（选填）</w:t>
            </w:r>
          </w:p>
        </w:tc>
        <w:tc>
          <w:tcPr>
            <w:tcW w:w="2026" w:type="dxa"/>
            <w:vAlign w:val="center"/>
          </w:tcPr>
          <w:p w14:paraId="136F6163">
            <w:pPr>
              <w:pStyle w:val="4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苏尼特右旗发展和改革委员会</w:t>
            </w:r>
          </w:p>
        </w:tc>
        <w:tc>
          <w:tcPr>
            <w:tcW w:w="2025" w:type="dxa"/>
            <w:vAlign w:val="center"/>
          </w:tcPr>
          <w:p w14:paraId="2C66F54E">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项目审批（核准</w:t>
            </w:r>
            <w:r>
              <w:rPr>
                <w:b/>
                <w:bCs/>
                <w:color w:val="000000" w:themeColor="text1"/>
                <w:sz w:val="24"/>
                <w:szCs w:val="24"/>
                <w14:textFill>
                  <w14:solidFill>
                    <w14:schemeClr w14:val="tx1"/>
                  </w14:solidFill>
                </w14:textFill>
              </w:rPr>
              <w:t>/</w:t>
            </w:r>
          </w:p>
          <w:p w14:paraId="701B0956">
            <w:pPr>
              <w:pStyle w:val="40"/>
              <w:rPr>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备案）文号（选填）</w:t>
            </w:r>
          </w:p>
        </w:tc>
        <w:tc>
          <w:tcPr>
            <w:tcW w:w="3603" w:type="dxa"/>
            <w:vAlign w:val="center"/>
          </w:tcPr>
          <w:p w14:paraId="25B62617">
            <w:pPr>
              <w:pStyle w:val="4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w:t>
            </w:r>
          </w:p>
        </w:tc>
      </w:tr>
      <w:tr w14:paraId="02D107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844" w:type="dxa"/>
            <w:tcMar>
              <w:top w:w="16" w:type="dxa"/>
              <w:left w:w="16" w:type="dxa"/>
              <w:right w:w="16" w:type="dxa"/>
            </w:tcMar>
            <w:vAlign w:val="center"/>
          </w:tcPr>
          <w:p w14:paraId="0056A211">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总投资（万元）</w:t>
            </w:r>
          </w:p>
        </w:tc>
        <w:tc>
          <w:tcPr>
            <w:tcW w:w="2026" w:type="dxa"/>
            <w:vAlign w:val="center"/>
          </w:tcPr>
          <w:p w14:paraId="4044FAFB">
            <w:pPr>
              <w:pStyle w:val="4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3069</w:t>
            </w:r>
          </w:p>
        </w:tc>
        <w:tc>
          <w:tcPr>
            <w:tcW w:w="2025" w:type="dxa"/>
            <w:tcMar>
              <w:top w:w="16" w:type="dxa"/>
              <w:left w:w="16" w:type="dxa"/>
              <w:right w:w="16" w:type="dxa"/>
            </w:tcMar>
            <w:vAlign w:val="center"/>
          </w:tcPr>
          <w:p w14:paraId="2FDD3367">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环保投资（万元）</w:t>
            </w:r>
          </w:p>
        </w:tc>
        <w:tc>
          <w:tcPr>
            <w:tcW w:w="3603" w:type="dxa"/>
            <w:vAlign w:val="center"/>
          </w:tcPr>
          <w:p w14:paraId="191B4F3F">
            <w:pPr>
              <w:pStyle w:val="4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33</w:t>
            </w:r>
          </w:p>
        </w:tc>
      </w:tr>
      <w:tr w14:paraId="21804B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844" w:type="dxa"/>
            <w:tcMar>
              <w:top w:w="16" w:type="dxa"/>
              <w:left w:w="16" w:type="dxa"/>
              <w:right w:w="16" w:type="dxa"/>
            </w:tcMar>
            <w:vAlign w:val="center"/>
          </w:tcPr>
          <w:p w14:paraId="69124515">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环保投资占比（</w:t>
            </w:r>
            <w:r>
              <w:rPr>
                <w:b/>
                <w:bCs/>
                <w:color w:val="000000" w:themeColor="text1"/>
                <w:sz w:val="24"/>
                <w:szCs w:val="24"/>
                <w14:textFill>
                  <w14:solidFill>
                    <w14:schemeClr w14:val="tx1"/>
                  </w14:solidFill>
                </w14:textFill>
              </w:rPr>
              <w:t>%</w:t>
            </w:r>
            <w:r>
              <w:rPr>
                <w:rFonts w:hint="eastAsia"/>
                <w:b/>
                <w:bCs/>
                <w:color w:val="000000" w:themeColor="text1"/>
                <w:sz w:val="24"/>
                <w:szCs w:val="24"/>
                <w14:textFill>
                  <w14:solidFill>
                    <w14:schemeClr w14:val="tx1"/>
                  </w14:solidFill>
                </w14:textFill>
              </w:rPr>
              <w:t>）</w:t>
            </w:r>
          </w:p>
        </w:tc>
        <w:tc>
          <w:tcPr>
            <w:tcW w:w="2026" w:type="dxa"/>
            <w:vAlign w:val="center"/>
          </w:tcPr>
          <w:p w14:paraId="1266FB97">
            <w:pPr>
              <w:pStyle w:val="40"/>
              <w:rPr>
                <w:rFonts w:hint="eastAsia" w:eastAsia="宋体"/>
                <w:color w:val="000000" w:themeColor="text1"/>
                <w:sz w:val="24"/>
                <w:szCs w:val="24"/>
                <w:lang w:eastAsia="zh-CN"/>
                <w14:textFill>
                  <w14:solidFill>
                    <w14:schemeClr w14:val="tx1"/>
                  </w14:solidFill>
                </w14:textFill>
              </w:rPr>
            </w:pPr>
            <w:r>
              <w:rPr>
                <w:rFonts w:hint="eastAsia"/>
                <w:color w:val="000000" w:themeColor="text1"/>
                <w:sz w:val="24"/>
                <w:szCs w:val="24"/>
                <w14:textFill>
                  <w14:solidFill>
                    <w14:schemeClr w14:val="tx1"/>
                  </w14:solidFill>
                </w14:textFill>
              </w:rPr>
              <w:t>1.</w:t>
            </w:r>
            <w:r>
              <w:rPr>
                <w:rFonts w:hint="eastAsia"/>
                <w:color w:val="000000" w:themeColor="text1"/>
                <w:sz w:val="24"/>
                <w:szCs w:val="24"/>
                <w:lang w:val="en-US" w:eastAsia="zh-CN"/>
                <w14:textFill>
                  <w14:solidFill>
                    <w14:schemeClr w14:val="tx1"/>
                  </w14:solidFill>
                </w14:textFill>
              </w:rPr>
              <w:t>1</w:t>
            </w:r>
          </w:p>
        </w:tc>
        <w:tc>
          <w:tcPr>
            <w:tcW w:w="2025" w:type="dxa"/>
            <w:tcMar>
              <w:top w:w="16" w:type="dxa"/>
              <w:left w:w="16" w:type="dxa"/>
              <w:right w:w="16" w:type="dxa"/>
            </w:tcMar>
            <w:vAlign w:val="center"/>
          </w:tcPr>
          <w:p w14:paraId="2A566DA0">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施工工期</w:t>
            </w:r>
          </w:p>
        </w:tc>
        <w:tc>
          <w:tcPr>
            <w:tcW w:w="3603" w:type="dxa"/>
            <w:vAlign w:val="center"/>
          </w:tcPr>
          <w:p w14:paraId="72C558FE">
            <w:pPr>
              <w:ind w:firstLine="0" w:firstLineChars="0"/>
              <w:jc w:val="center"/>
              <w:rPr>
                <w:rFonts w:cs="Times New Roman"/>
                <w:color w:val="000000"/>
              </w:rPr>
            </w:pPr>
            <w:r>
              <w:rPr>
                <w:rFonts w:hint="eastAsia" w:cs="Times New Roman"/>
                <w:color w:val="000000"/>
              </w:rPr>
              <w:t>6个月</w:t>
            </w:r>
          </w:p>
        </w:tc>
      </w:tr>
      <w:tr w14:paraId="54DCC3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83" w:hRule="atLeast"/>
        </w:trPr>
        <w:tc>
          <w:tcPr>
            <w:tcW w:w="1844" w:type="dxa"/>
            <w:tcMar>
              <w:top w:w="16" w:type="dxa"/>
              <w:left w:w="16" w:type="dxa"/>
              <w:right w:w="16" w:type="dxa"/>
            </w:tcMar>
            <w:vAlign w:val="center"/>
          </w:tcPr>
          <w:p w14:paraId="69DAC0BA">
            <w:pPr>
              <w:pStyle w:val="4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是否开工建设</w:t>
            </w:r>
          </w:p>
        </w:tc>
        <w:tc>
          <w:tcPr>
            <w:tcW w:w="7654" w:type="dxa"/>
            <w:gridSpan w:val="3"/>
            <w:vAlign w:val="center"/>
          </w:tcPr>
          <w:p w14:paraId="5DF7DF21">
            <w:pPr>
              <w:pStyle w:val="40"/>
              <w:jc w:val="left"/>
              <w:rPr>
                <w:color w:val="000000" w:themeColor="text1"/>
                <w:sz w:val="24"/>
                <w:szCs w:val="24"/>
                <w14:textFill>
                  <w14:solidFill>
                    <w14:schemeClr w14:val="tx1"/>
                  </w14:solidFill>
                </w14:textFill>
              </w:rPr>
            </w:pPr>
            <w:r>
              <w:rPr>
                <w:rFonts w:hint="eastAsia"/>
                <w:color w:val="000000" w:themeColor="text1"/>
                <w14:textFill>
                  <w14:solidFill>
                    <w14:schemeClr w14:val="tx1"/>
                  </w14:solidFill>
                </w14:textFill>
              </w:rPr>
              <w:sym w:font="Wingdings 2" w:char="0052"/>
            </w:r>
            <w:r>
              <w:rPr>
                <w:rFonts w:hint="eastAsia"/>
                <w:color w:val="000000" w:themeColor="text1"/>
                <w:sz w:val="24"/>
                <w:szCs w:val="24"/>
                <w14:textFill>
                  <w14:solidFill>
                    <w14:schemeClr w14:val="tx1"/>
                  </w14:solidFill>
                </w14:textFill>
              </w:rPr>
              <w:t>否</w:t>
            </w:r>
          </w:p>
          <w:p w14:paraId="36CA6BA1">
            <w:pPr>
              <w:pStyle w:val="40"/>
              <w:spacing w:line="360" w:lineRule="auto"/>
              <w:jc w:val="both"/>
              <w:rPr>
                <w:color w:val="000000" w:themeColor="text1"/>
                <w:szCs w:val="28"/>
                <w14:textFill>
                  <w14:solidFill>
                    <w14:schemeClr w14:val="tx1"/>
                  </w14:solidFill>
                </w14:textFill>
              </w:rPr>
            </w:pPr>
            <w:r>
              <w:rPr>
                <w:rFonts w:hint="eastAsia"/>
                <w:color w:val="000000" w:themeColor="text1"/>
                <w14:textFill>
                  <w14:solidFill>
                    <w14:schemeClr w14:val="tx1"/>
                  </w14:solidFill>
                </w14:textFill>
              </w:rPr>
              <w:sym w:font="Wingdings 2" w:char="00A3"/>
            </w:r>
            <w:r>
              <w:rPr>
                <w:rFonts w:hint="eastAsia"/>
                <w:color w:val="000000" w:themeColor="text1"/>
                <w:sz w:val="24"/>
                <w:szCs w:val="24"/>
                <w14:textFill>
                  <w14:solidFill>
                    <w14:schemeClr w14:val="tx1"/>
                  </w14:solidFill>
                </w14:textFill>
              </w:rPr>
              <w:t>是</w:t>
            </w:r>
          </w:p>
        </w:tc>
      </w:tr>
      <w:tr w14:paraId="533A97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7" w:hRule="atLeast"/>
        </w:trPr>
        <w:tc>
          <w:tcPr>
            <w:tcW w:w="1844" w:type="dxa"/>
            <w:tcMar>
              <w:top w:w="16" w:type="dxa"/>
              <w:left w:w="16" w:type="dxa"/>
              <w:right w:w="16" w:type="dxa"/>
            </w:tcMar>
            <w:vAlign w:val="center"/>
          </w:tcPr>
          <w:p w14:paraId="0180179B">
            <w:pPr>
              <w:pStyle w:val="40"/>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t>专项评价设置</w:t>
            </w:r>
          </w:p>
          <w:p w14:paraId="03DD6E00">
            <w:pPr>
              <w:pStyle w:val="40"/>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t>情况</w:t>
            </w:r>
          </w:p>
        </w:tc>
        <w:tc>
          <w:tcPr>
            <w:tcW w:w="7654" w:type="dxa"/>
            <w:gridSpan w:val="3"/>
            <w:tcMar>
              <w:top w:w="16" w:type="dxa"/>
              <w:left w:w="16" w:type="dxa"/>
              <w:right w:w="16" w:type="dxa"/>
            </w:tcMar>
            <w:vAlign w:val="center"/>
          </w:tcPr>
          <w:p w14:paraId="1745393E">
            <w:pPr>
              <w:pStyle w:val="40"/>
              <w:spacing w:line="360" w:lineRule="auto"/>
              <w:jc w:val="left"/>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 xml:space="preserve">    根据《环境影响评价技术导则 输变电》（HJ24-2020）要求设置电磁环境影响评价专题</w:t>
            </w:r>
          </w:p>
        </w:tc>
      </w:tr>
      <w:tr w14:paraId="0BF4EF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844" w:type="dxa"/>
            <w:tcMar>
              <w:top w:w="16" w:type="dxa"/>
              <w:left w:w="16" w:type="dxa"/>
              <w:right w:w="16" w:type="dxa"/>
            </w:tcMar>
            <w:vAlign w:val="center"/>
          </w:tcPr>
          <w:p w14:paraId="65123A1F">
            <w:pPr>
              <w:pStyle w:val="40"/>
              <w:rPr>
                <w:b/>
                <w:bCs/>
                <w:color w:val="000000" w:themeColor="text1"/>
                <w:kern w:val="0"/>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规划情况</w:t>
            </w:r>
          </w:p>
        </w:tc>
        <w:tc>
          <w:tcPr>
            <w:tcW w:w="7654" w:type="dxa"/>
            <w:gridSpan w:val="3"/>
            <w:tcMar>
              <w:top w:w="16" w:type="dxa"/>
              <w:left w:w="16" w:type="dxa"/>
              <w:right w:w="16" w:type="dxa"/>
            </w:tcMar>
            <w:vAlign w:val="center"/>
          </w:tcPr>
          <w:p w14:paraId="5AD18510">
            <w:pPr>
              <w:pStyle w:val="40"/>
              <w:spacing w:line="360" w:lineRule="auto"/>
              <w:jc w:val="left"/>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无</w:t>
            </w:r>
          </w:p>
        </w:tc>
      </w:tr>
      <w:tr w14:paraId="185C6F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5" w:hRule="atLeast"/>
        </w:trPr>
        <w:tc>
          <w:tcPr>
            <w:tcW w:w="1844" w:type="dxa"/>
            <w:tcMar>
              <w:top w:w="16" w:type="dxa"/>
              <w:left w:w="16" w:type="dxa"/>
              <w:right w:w="16" w:type="dxa"/>
            </w:tcMar>
            <w:vAlign w:val="center"/>
          </w:tcPr>
          <w:p w14:paraId="65A6AF5F">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规划环境影响</w:t>
            </w:r>
          </w:p>
          <w:p w14:paraId="3D65BF36">
            <w:pPr>
              <w:pStyle w:val="40"/>
              <w:rPr>
                <w:b/>
                <w:bCs/>
                <w:color w:val="000000" w:themeColor="text1"/>
                <w:kern w:val="0"/>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评价情况</w:t>
            </w:r>
          </w:p>
        </w:tc>
        <w:tc>
          <w:tcPr>
            <w:tcW w:w="7654" w:type="dxa"/>
            <w:gridSpan w:val="3"/>
            <w:tcMar>
              <w:top w:w="16" w:type="dxa"/>
              <w:left w:w="16" w:type="dxa"/>
              <w:right w:w="16" w:type="dxa"/>
            </w:tcMar>
            <w:vAlign w:val="center"/>
          </w:tcPr>
          <w:p w14:paraId="3DB05950">
            <w:pPr>
              <w:pStyle w:val="40"/>
              <w:spacing w:line="360" w:lineRule="auto"/>
              <w:jc w:val="left"/>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无</w:t>
            </w:r>
          </w:p>
        </w:tc>
      </w:tr>
      <w:tr w14:paraId="29F07B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67" w:hRule="atLeast"/>
        </w:trPr>
        <w:tc>
          <w:tcPr>
            <w:tcW w:w="1844" w:type="dxa"/>
            <w:tcMar>
              <w:top w:w="16" w:type="dxa"/>
              <w:left w:w="16" w:type="dxa"/>
              <w:right w:w="16" w:type="dxa"/>
            </w:tcMar>
            <w:vAlign w:val="center"/>
          </w:tcPr>
          <w:p w14:paraId="06E9BF34">
            <w:pPr>
              <w:pStyle w:val="40"/>
              <w:rPr>
                <w:b/>
                <w:bCs/>
                <w:color w:val="000000" w:themeColor="text1"/>
                <w:kern w:val="0"/>
                <w:sz w:val="24"/>
                <w:szCs w:val="24"/>
                <w14:textFill>
                  <w14:solidFill>
                    <w14:schemeClr w14:val="tx1"/>
                  </w14:solidFill>
                </w14:textFill>
              </w:rPr>
            </w:pPr>
            <w:r>
              <w:rPr>
                <w:rFonts w:hint="eastAsia"/>
                <w:b/>
                <w:bCs/>
                <w:color w:val="000000" w:themeColor="text1"/>
                <w:kern w:val="0"/>
                <w:sz w:val="24"/>
                <w:szCs w:val="24"/>
                <w14:textFill>
                  <w14:solidFill>
                    <w14:schemeClr w14:val="tx1"/>
                  </w14:solidFill>
                </w14:textFill>
              </w:rPr>
              <w:t>规划及</w:t>
            </w:r>
            <w:r>
              <w:rPr>
                <w:rFonts w:hint="eastAsia"/>
                <w:b/>
                <w:bCs/>
                <w:color w:val="000000" w:themeColor="text1"/>
                <w:sz w:val="24"/>
                <w:szCs w:val="24"/>
                <w14:textFill>
                  <w14:solidFill>
                    <w14:schemeClr w14:val="tx1"/>
                  </w14:solidFill>
                </w14:textFill>
              </w:rPr>
              <w:t>规划环境影响评价</w:t>
            </w:r>
            <w:r>
              <w:rPr>
                <w:rFonts w:hint="eastAsia"/>
                <w:b/>
                <w:bCs/>
                <w:color w:val="000000" w:themeColor="text1"/>
                <w:kern w:val="0"/>
                <w:sz w:val="24"/>
                <w:szCs w:val="24"/>
                <w14:textFill>
                  <w14:solidFill>
                    <w14:schemeClr w14:val="tx1"/>
                  </w14:solidFill>
                </w14:textFill>
              </w:rPr>
              <w:t>符合性分析</w:t>
            </w:r>
          </w:p>
        </w:tc>
        <w:tc>
          <w:tcPr>
            <w:tcW w:w="7654" w:type="dxa"/>
            <w:gridSpan w:val="3"/>
            <w:tcMar>
              <w:top w:w="16" w:type="dxa"/>
              <w:left w:w="16" w:type="dxa"/>
              <w:right w:w="16" w:type="dxa"/>
            </w:tcMar>
            <w:vAlign w:val="center"/>
          </w:tcPr>
          <w:p w14:paraId="693622DB">
            <w:pPr>
              <w:pStyle w:val="40"/>
              <w:spacing w:line="360" w:lineRule="auto"/>
              <w:jc w:val="left"/>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无</w:t>
            </w:r>
          </w:p>
        </w:tc>
      </w:tr>
      <w:tr w14:paraId="027DCF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1844" w:type="dxa"/>
            <w:tcMar>
              <w:top w:w="16" w:type="dxa"/>
              <w:left w:w="16" w:type="dxa"/>
              <w:right w:w="16" w:type="dxa"/>
            </w:tcMar>
            <w:vAlign w:val="center"/>
          </w:tcPr>
          <w:p w14:paraId="0DC5CB2C">
            <w:pPr>
              <w:pStyle w:val="40"/>
              <w:rPr>
                <w:b/>
                <w:bCs/>
                <w:color w:val="000000" w:themeColor="text1"/>
                <w:kern w:val="0"/>
                <w:sz w:val="24"/>
                <w:szCs w:val="24"/>
                <w14:textFill>
                  <w14:solidFill>
                    <w14:schemeClr w14:val="tx1"/>
                  </w14:solidFill>
                </w14:textFill>
              </w:rPr>
            </w:pPr>
            <w:bookmarkStart w:id="3" w:name="_Hlk56690880"/>
            <w:r>
              <w:rPr>
                <w:rFonts w:hint="eastAsia"/>
                <w:b/>
                <w:bCs/>
                <w:color w:val="000000" w:themeColor="text1"/>
                <w:kern w:val="0"/>
                <w:sz w:val="24"/>
                <w:szCs w:val="24"/>
                <w14:textFill>
                  <w14:solidFill>
                    <w14:schemeClr w14:val="tx1"/>
                  </w14:solidFill>
                </w14:textFill>
              </w:rPr>
              <w:t>其他符合性分析</w:t>
            </w:r>
            <w:bookmarkEnd w:id="3"/>
          </w:p>
        </w:tc>
        <w:tc>
          <w:tcPr>
            <w:tcW w:w="7654" w:type="dxa"/>
            <w:gridSpan w:val="3"/>
            <w:tcMar>
              <w:top w:w="16" w:type="dxa"/>
              <w:left w:w="16" w:type="dxa"/>
              <w:right w:w="16" w:type="dxa"/>
            </w:tcMar>
            <w:vAlign w:val="center"/>
          </w:tcPr>
          <w:p w14:paraId="79E17B87">
            <w:pPr>
              <w:pStyle w:val="38"/>
              <w:numPr>
                <w:ilvl w:val="0"/>
                <w:numId w:val="2"/>
              </w:numPr>
            </w:pPr>
            <w:r>
              <w:rPr>
                <w:rFonts w:hint="eastAsia"/>
              </w:rPr>
              <w:t>与生态环境分区管控符合性分析</w:t>
            </w:r>
          </w:p>
          <w:p w14:paraId="70621696">
            <w:pPr>
              <w:ind w:firstLine="480"/>
            </w:pPr>
            <w:r>
              <w:rPr>
                <w:rFonts w:hint="eastAsia"/>
              </w:rPr>
              <w:t>①生态红线</w:t>
            </w:r>
          </w:p>
          <w:p w14:paraId="772E8663">
            <w:pPr>
              <w:ind w:firstLine="480"/>
            </w:pPr>
            <w:r>
              <w:rPr>
                <w:rFonts w:hint="eastAsia"/>
              </w:rPr>
              <w:t>根据</w:t>
            </w:r>
            <w:r>
              <w:rPr>
                <w:rFonts w:ascii="宋体" w:hAnsi="宋体" w:cs="宋体"/>
                <w:szCs w:val="24"/>
              </w:rPr>
              <w:t>《〈锡林郭勒盟生态环境保护委员会关于实施“三线一单”生态环 境分区管控的意见》修改单(2023年版)》和《锡林郭勒盟 生态环境准入清单(2023年版)》</w:t>
            </w:r>
            <w:r>
              <w:rPr>
                <w:rFonts w:hint="eastAsia"/>
              </w:rPr>
              <w:t>，全盟共划定优先保护单元共99个，面积占全盟国土总面积的76.65%，主要包括生态保护红线、自然保护地、集中式饮用水水源保护区等生态功能重要区和生态环境敏感区。重点管控单元共46个，面积占全盟国土总面积的4.44%，主要包括工业园区、矿区、城镇开发边界内等开发强度高、污染排放量大、环境问题相对集中的区域。一般管控单元共12个，面积占全盟国土面积的18.91%，为优先保护单元、重点管控单元之外的其他区域。</w:t>
            </w:r>
          </w:p>
          <w:p w14:paraId="1E51E9AB">
            <w:pPr>
              <w:ind w:firstLine="480"/>
            </w:pPr>
            <w:r>
              <w:rPr>
                <w:rFonts w:hint="eastAsia"/>
              </w:rPr>
              <w:t>本项目位于</w:t>
            </w:r>
            <w:r>
              <w:rPr>
                <w:rFonts w:hint="eastAsia"/>
                <w:color w:val="000000" w:themeColor="text1"/>
                <w:szCs w:val="24"/>
                <w14:textFill>
                  <w14:solidFill>
                    <w14:schemeClr w14:val="tx1"/>
                  </w14:solidFill>
                </w14:textFill>
              </w:rPr>
              <w:t>内蒙古新蒙新科技有限公司厂区内，属于</w:t>
            </w:r>
            <w:r>
              <w:rPr>
                <w:rFonts w:hint="eastAsia"/>
              </w:rPr>
              <w:t>苏尼特右旗采矿用地，编码为ZH15252420003，属于重点管控单元，本项目可做到污染物达标排放，环境风险可防可控，满足重点管控单元的要求，满足重点管控单元的要求。</w:t>
            </w:r>
          </w:p>
          <w:p w14:paraId="7D367DE5">
            <w:pPr>
              <w:ind w:firstLine="480"/>
            </w:pPr>
            <w:r>
              <w:rPr>
                <w:rFonts w:hint="eastAsia"/>
              </w:rPr>
              <w:t>本项目用地性质为工业用地；项目不在名胜古迹、风景名胜区、自然保护区、饮用水源保护区范围内；根据锡林郭勒盟环境管控单元划分，生态保护红线属于优先保护范围，项目不在生态红线区范围内，符合生态保护红线要求。</w:t>
            </w:r>
          </w:p>
          <w:p w14:paraId="34EA7154">
            <w:pPr>
              <w:ind w:firstLine="480"/>
            </w:pPr>
            <w:r>
              <w:rPr>
                <w:rFonts w:hint="eastAsia"/>
              </w:rPr>
              <w:t>②环境质量底线</w:t>
            </w:r>
          </w:p>
          <w:p w14:paraId="5A8CFABF">
            <w:pPr>
              <w:ind w:firstLine="480"/>
            </w:pPr>
            <w:r>
              <w:rPr>
                <w:rFonts w:hint="eastAsia"/>
              </w:rPr>
              <w:t>根据现状监测数据可知，评价范围内环境空气、噪声、土壤、地下水现状监测指标满足相应的标准限值。本项目运营后污染物可以达标排放，对周围大气环境质量影响较小；</w:t>
            </w:r>
            <w:r>
              <w:rPr>
                <w:rFonts w:hint="eastAsia"/>
                <w:lang w:val="en-US" w:eastAsia="zh-CN"/>
              </w:rPr>
              <w:t>生活污水</w:t>
            </w:r>
            <w:r>
              <w:rPr>
                <w:rFonts w:hint="eastAsia"/>
              </w:rPr>
              <w:t>回用，不外排，不会对地下水和土壤造成污染；项目建成后周围环境质量符合环境功能区划要求，可以达到环境质量目标，符合环境质量底线要求。</w:t>
            </w:r>
          </w:p>
          <w:p w14:paraId="19848D4B">
            <w:pPr>
              <w:ind w:firstLine="480"/>
            </w:pPr>
            <w:r>
              <w:rPr>
                <w:rFonts w:hint="eastAsia"/>
              </w:rPr>
              <w:t>③资源利用上线</w:t>
            </w:r>
          </w:p>
          <w:p w14:paraId="684904C7">
            <w:pPr>
              <w:pStyle w:val="38"/>
            </w:pPr>
            <w:r>
              <w:rPr>
                <w:rFonts w:hint="eastAsia"/>
              </w:rPr>
              <w:t>本项目消耗资源主要为电力和新鲜水，电的消耗主要用于站内照明、空调及通风，用水为运维人员的生活用水，项目资源利用量较小。</w:t>
            </w:r>
          </w:p>
          <w:p w14:paraId="444D5334">
            <w:pPr>
              <w:ind w:firstLine="480"/>
            </w:pPr>
            <w:r>
              <w:rPr>
                <w:rFonts w:hint="eastAsia"/>
              </w:rPr>
              <w:t>④环境准入清单</w:t>
            </w:r>
          </w:p>
          <w:p w14:paraId="314AB712">
            <w:pPr>
              <w:pStyle w:val="38"/>
              <w:rPr>
                <w:rFonts w:hint="eastAsia" w:eastAsia="宋体"/>
                <w:lang w:val="en-US" w:eastAsia="zh-CN"/>
              </w:rPr>
            </w:pPr>
            <w:r>
              <w:rPr>
                <w:rFonts w:hint="eastAsia"/>
              </w:rPr>
              <w:t>根据《锡林郭勒盟行政公署关于实施“三线一单”生态环境分区管控的意见》给出的锡林郭勒盟环境管控单元分类图，本项目位于苏尼特右旗采矿用地，编码为ZH15252420003，均属于重点管控单元，本项目生态环境准入清单符合性见下表：</w:t>
            </w:r>
            <w:r>
              <w:rPr>
                <w:rFonts w:hint="eastAsia"/>
                <w:lang w:val="en-US" w:eastAsia="zh-CN"/>
              </w:rPr>
              <w:t>2</w:t>
            </w:r>
          </w:p>
          <w:p w14:paraId="1E2AE001">
            <w:pPr>
              <w:pStyle w:val="38"/>
              <w:jc w:val="center"/>
              <w:rPr>
                <w:b/>
                <w:bCs/>
                <w:sz w:val="21"/>
                <w:szCs w:val="21"/>
              </w:rPr>
            </w:pPr>
            <w:r>
              <w:rPr>
                <w:rFonts w:hint="eastAsia"/>
                <w:b/>
                <w:bCs/>
                <w:sz w:val="21"/>
                <w:szCs w:val="21"/>
              </w:rPr>
              <w:t>表1.1 本项目所属管控单元管控要求符合性分析</w:t>
            </w:r>
          </w:p>
          <w:tbl>
            <w:tblPr>
              <w:tblStyle w:val="22"/>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0"/>
              <w:gridCol w:w="561"/>
              <w:gridCol w:w="3995"/>
              <w:gridCol w:w="1516"/>
              <w:gridCol w:w="571"/>
            </w:tblGrid>
            <w:tr w14:paraId="2BC3BF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7" w:type="pct"/>
                  <w:tcBorders>
                    <w:tl2br w:val="nil"/>
                    <w:tr2bl w:val="nil"/>
                  </w:tcBorders>
                  <w:vAlign w:val="center"/>
                </w:tcPr>
                <w:p w14:paraId="1D970437">
                  <w:pPr>
                    <w:pStyle w:val="26"/>
                    <w:rPr>
                      <w:b w:val="0"/>
                      <w:bCs w:val="0"/>
                    </w:rPr>
                  </w:pPr>
                  <w:r>
                    <w:rPr>
                      <w:rFonts w:hint="eastAsia"/>
                      <w:b w:val="0"/>
                      <w:bCs w:val="0"/>
                    </w:rPr>
                    <w:t>环境管控单元名称</w:t>
                  </w:r>
                </w:p>
              </w:tc>
              <w:tc>
                <w:tcPr>
                  <w:tcW w:w="2990" w:type="pct"/>
                  <w:gridSpan w:val="2"/>
                  <w:tcBorders>
                    <w:tl2br w:val="nil"/>
                    <w:tr2bl w:val="nil"/>
                  </w:tcBorders>
                  <w:vAlign w:val="center"/>
                </w:tcPr>
                <w:p w14:paraId="1EA4A9E1">
                  <w:pPr>
                    <w:pStyle w:val="26"/>
                    <w:rPr>
                      <w:b w:val="0"/>
                      <w:bCs w:val="0"/>
                    </w:rPr>
                  </w:pPr>
                  <w:r>
                    <w:rPr>
                      <w:rFonts w:hint="eastAsia"/>
                      <w:b w:val="0"/>
                      <w:bCs w:val="0"/>
                    </w:rPr>
                    <w:t>管控要求</w:t>
                  </w:r>
                </w:p>
              </w:tc>
              <w:tc>
                <w:tcPr>
                  <w:tcW w:w="995" w:type="pct"/>
                  <w:tcBorders>
                    <w:tl2br w:val="nil"/>
                    <w:tr2bl w:val="nil"/>
                  </w:tcBorders>
                  <w:vAlign w:val="center"/>
                </w:tcPr>
                <w:p w14:paraId="67793659">
                  <w:pPr>
                    <w:pStyle w:val="26"/>
                    <w:rPr>
                      <w:b w:val="0"/>
                      <w:bCs w:val="0"/>
                    </w:rPr>
                  </w:pPr>
                  <w:r>
                    <w:rPr>
                      <w:rFonts w:hint="eastAsia"/>
                      <w:b w:val="0"/>
                      <w:bCs w:val="0"/>
                    </w:rPr>
                    <w:t>本项目落实情况</w:t>
                  </w:r>
                </w:p>
              </w:tc>
              <w:tc>
                <w:tcPr>
                  <w:tcW w:w="375" w:type="pct"/>
                  <w:tcBorders>
                    <w:tl2br w:val="nil"/>
                    <w:tr2bl w:val="nil"/>
                  </w:tcBorders>
                  <w:vAlign w:val="center"/>
                </w:tcPr>
                <w:p w14:paraId="20AECEB1">
                  <w:pPr>
                    <w:pStyle w:val="26"/>
                    <w:rPr>
                      <w:b w:val="0"/>
                      <w:bCs w:val="0"/>
                    </w:rPr>
                  </w:pPr>
                  <w:r>
                    <w:rPr>
                      <w:rFonts w:hint="eastAsia"/>
                      <w:b w:val="0"/>
                      <w:bCs w:val="0"/>
                    </w:rPr>
                    <w:t>符合性</w:t>
                  </w:r>
                </w:p>
              </w:tc>
            </w:tr>
            <w:tr w14:paraId="350490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7" w:type="pct"/>
                  <w:vMerge w:val="restart"/>
                  <w:tcBorders>
                    <w:tl2br w:val="nil"/>
                    <w:tr2bl w:val="nil"/>
                  </w:tcBorders>
                  <w:vAlign w:val="center"/>
                </w:tcPr>
                <w:p w14:paraId="0C87B671">
                  <w:pPr>
                    <w:pStyle w:val="26"/>
                    <w:rPr>
                      <w:b w:val="0"/>
                      <w:bCs w:val="0"/>
                    </w:rPr>
                  </w:pPr>
                  <w:r>
                    <w:rPr>
                      <w:rFonts w:hint="eastAsia"/>
                      <w:b w:val="0"/>
                      <w:bCs w:val="0"/>
                    </w:rPr>
                    <w:t>苏尼特右旗采矿用地</w:t>
                  </w:r>
                </w:p>
              </w:tc>
              <w:tc>
                <w:tcPr>
                  <w:tcW w:w="368" w:type="pct"/>
                  <w:tcBorders>
                    <w:tl2br w:val="nil"/>
                    <w:tr2bl w:val="nil"/>
                  </w:tcBorders>
                  <w:vAlign w:val="center"/>
                </w:tcPr>
                <w:p w14:paraId="3AD09AD7">
                  <w:pPr>
                    <w:pStyle w:val="26"/>
                    <w:rPr>
                      <w:b w:val="0"/>
                      <w:bCs w:val="0"/>
                    </w:rPr>
                  </w:pPr>
                  <w:r>
                    <w:rPr>
                      <w:rFonts w:hint="eastAsia"/>
                      <w:b w:val="0"/>
                      <w:bCs w:val="0"/>
                    </w:rPr>
                    <w:t>空间布局约束</w:t>
                  </w:r>
                </w:p>
              </w:tc>
              <w:tc>
                <w:tcPr>
                  <w:tcW w:w="2622" w:type="pct"/>
                  <w:tcBorders>
                    <w:tl2br w:val="nil"/>
                    <w:tr2bl w:val="nil"/>
                  </w:tcBorders>
                  <w:vAlign w:val="center"/>
                </w:tcPr>
                <w:p w14:paraId="04719C98">
                  <w:pPr>
                    <w:pStyle w:val="26"/>
                    <w:rPr>
                      <w:b w:val="0"/>
                      <w:bCs w:val="0"/>
                    </w:rPr>
                  </w:pPr>
                  <w:r>
                    <w:rPr>
                      <w:rFonts w:hint="eastAsia"/>
                      <w:b w:val="0"/>
                      <w:bCs w:val="0"/>
                      <w:lang w:val="en-US"/>
                    </w:rPr>
                    <w:t>执行锡林郭勒盟总体准入要求中第十七条关于自然保护区、饮用水源保护区等区域内矿产资源开发活动准入及退出的要求。非经国务院授权的有关主管部门同意，不得在以下地区开采矿产资源：（1）港口、机场、国防工程建设设施圈定地区以内；（2）重要工业区、大型水利工程设施、城镇市政工程设施附近一定距离以内；（3）铁路、重要公路两侧一定距离以内；（4）重要河流、堤坝两侧一定距离以内；（5）国家划定的自然保护区、重要风景名胜区，国家重点保护的不能移动的历史文物和名胜古迹所在地；（6）国家规定不得开采矿产资源的其他地区</w:t>
                  </w:r>
                  <w:r>
                    <w:rPr>
                      <w:rFonts w:hint="eastAsia"/>
                      <w:b w:val="0"/>
                      <w:bCs w:val="0"/>
                    </w:rPr>
                    <w:t>。</w:t>
                  </w:r>
                </w:p>
              </w:tc>
              <w:tc>
                <w:tcPr>
                  <w:tcW w:w="995" w:type="pct"/>
                  <w:tcBorders>
                    <w:tl2br w:val="nil"/>
                    <w:tr2bl w:val="nil"/>
                  </w:tcBorders>
                  <w:vAlign w:val="center"/>
                </w:tcPr>
                <w:p w14:paraId="4F266F7B">
                  <w:pPr>
                    <w:pStyle w:val="26"/>
                    <w:rPr>
                      <w:b w:val="0"/>
                      <w:bCs w:val="0"/>
                      <w:lang w:val="en-US"/>
                    </w:rPr>
                  </w:pPr>
                  <w:r>
                    <w:rPr>
                      <w:rFonts w:hint="eastAsia"/>
                      <w:b w:val="0"/>
                      <w:bCs w:val="0"/>
                      <w:lang w:val="en-US"/>
                    </w:rPr>
                    <w:t>本项目不涉及矿产资源开发，属于非金属新材料项目的配套供电工程，选址位于现有厂区内，满足空间布局约束要求。</w:t>
                  </w:r>
                </w:p>
              </w:tc>
              <w:tc>
                <w:tcPr>
                  <w:tcW w:w="375" w:type="pct"/>
                  <w:tcBorders>
                    <w:tl2br w:val="nil"/>
                    <w:tr2bl w:val="nil"/>
                  </w:tcBorders>
                  <w:vAlign w:val="center"/>
                </w:tcPr>
                <w:p w14:paraId="18C0C7C7">
                  <w:pPr>
                    <w:pStyle w:val="26"/>
                    <w:rPr>
                      <w:b w:val="0"/>
                      <w:bCs w:val="0"/>
                    </w:rPr>
                  </w:pPr>
                  <w:r>
                    <w:rPr>
                      <w:rFonts w:hint="eastAsia"/>
                      <w:b w:val="0"/>
                      <w:bCs w:val="0"/>
                    </w:rPr>
                    <w:t>符合</w:t>
                  </w:r>
                </w:p>
              </w:tc>
            </w:tr>
            <w:tr w14:paraId="71BA1B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7" w:type="pct"/>
                  <w:vMerge w:val="continue"/>
                  <w:tcBorders>
                    <w:tl2br w:val="nil"/>
                    <w:tr2bl w:val="nil"/>
                  </w:tcBorders>
                  <w:vAlign w:val="center"/>
                </w:tcPr>
                <w:p w14:paraId="13477F4E">
                  <w:pPr>
                    <w:pStyle w:val="26"/>
                    <w:rPr>
                      <w:b w:val="0"/>
                      <w:bCs w:val="0"/>
                    </w:rPr>
                  </w:pPr>
                </w:p>
              </w:tc>
              <w:tc>
                <w:tcPr>
                  <w:tcW w:w="368" w:type="pct"/>
                  <w:tcBorders>
                    <w:tl2br w:val="nil"/>
                    <w:tr2bl w:val="nil"/>
                  </w:tcBorders>
                  <w:vAlign w:val="center"/>
                </w:tcPr>
                <w:p w14:paraId="245CD050">
                  <w:pPr>
                    <w:pStyle w:val="26"/>
                    <w:rPr>
                      <w:b w:val="0"/>
                      <w:bCs w:val="0"/>
                    </w:rPr>
                  </w:pPr>
                  <w:r>
                    <w:rPr>
                      <w:rFonts w:hint="eastAsia"/>
                      <w:b w:val="0"/>
                      <w:bCs w:val="0"/>
                    </w:rPr>
                    <w:t>污染物排放管控</w:t>
                  </w:r>
                </w:p>
              </w:tc>
              <w:tc>
                <w:tcPr>
                  <w:tcW w:w="2622" w:type="pct"/>
                  <w:tcBorders>
                    <w:tl2br w:val="nil"/>
                    <w:tr2bl w:val="nil"/>
                  </w:tcBorders>
                  <w:vAlign w:val="center"/>
                </w:tcPr>
                <w:p w14:paraId="7ED29458">
                  <w:pPr>
                    <w:pStyle w:val="26"/>
                    <w:rPr>
                      <w:b w:val="0"/>
                      <w:bCs w:val="0"/>
                      <w:lang w:val="en-US"/>
                    </w:rPr>
                  </w:pPr>
                  <w:r>
                    <w:rPr>
                      <w:rFonts w:hint="eastAsia"/>
                      <w:b w:val="0"/>
                      <w:bCs w:val="0"/>
                      <w:lang w:val="en-US"/>
                    </w:rPr>
                    <w:t>严防矿产资源开发污染土壤。矿产资源开发活动集中的区域，执行重点污染物排放限值要求。</w:t>
                  </w:r>
                </w:p>
                <w:p w14:paraId="5D61A0C5">
                  <w:pPr>
                    <w:pStyle w:val="26"/>
                    <w:rPr>
                      <w:b w:val="0"/>
                      <w:bCs w:val="0"/>
                      <w:lang w:val="en-US"/>
                    </w:rPr>
                  </w:pPr>
                  <w:r>
                    <w:rPr>
                      <w:rFonts w:hint="eastAsia"/>
                      <w:b w:val="0"/>
                      <w:bCs w:val="0"/>
                      <w:lang w:val="en-US"/>
                    </w:rPr>
                    <w:t>矿产资源勘查以及采选过程中排土场、露天采场、尾矿库、矿区专用道路、矿山工业场地、沉陷区、矸石场、矿山污染场地等的生态环境保护与治理恢复工作须满足《矿山生态环境保护与治理恢复技术规范（试行）》（HJ651-2013）要求。落实边开采、边保护、边复垦的要求，使新建、在建矿山损毁土地得到全面复垦。</w:t>
                  </w:r>
                </w:p>
              </w:tc>
              <w:tc>
                <w:tcPr>
                  <w:tcW w:w="995" w:type="pct"/>
                  <w:tcBorders>
                    <w:tl2br w:val="nil"/>
                    <w:tr2bl w:val="nil"/>
                  </w:tcBorders>
                  <w:vAlign w:val="center"/>
                </w:tcPr>
                <w:p w14:paraId="1A7B856E">
                  <w:pPr>
                    <w:pStyle w:val="26"/>
                    <w:rPr>
                      <w:b w:val="0"/>
                      <w:bCs w:val="0"/>
                      <w:lang w:val="en-US"/>
                    </w:rPr>
                  </w:pPr>
                  <w:r>
                    <w:rPr>
                      <w:rFonts w:hint="eastAsia"/>
                      <w:b w:val="0"/>
                      <w:bCs w:val="0"/>
                      <w:lang w:val="en-US"/>
                    </w:rPr>
                    <w:t>本项目属于非金属新材料项目的配套供电工程，不涉及矿产开发，根据本次评价结论本项目污染物排放满足相应要求</w:t>
                  </w:r>
                </w:p>
              </w:tc>
              <w:tc>
                <w:tcPr>
                  <w:tcW w:w="375" w:type="pct"/>
                  <w:tcBorders>
                    <w:tl2br w:val="nil"/>
                    <w:tr2bl w:val="nil"/>
                  </w:tcBorders>
                  <w:vAlign w:val="center"/>
                </w:tcPr>
                <w:p w14:paraId="2AA12800">
                  <w:pPr>
                    <w:pStyle w:val="26"/>
                    <w:rPr>
                      <w:b w:val="0"/>
                      <w:bCs w:val="0"/>
                    </w:rPr>
                  </w:pPr>
                  <w:r>
                    <w:rPr>
                      <w:rFonts w:hint="eastAsia"/>
                      <w:b w:val="0"/>
                      <w:bCs w:val="0"/>
                      <w:lang w:val="en-US"/>
                    </w:rPr>
                    <w:t>符合</w:t>
                  </w:r>
                </w:p>
              </w:tc>
            </w:tr>
            <w:tr w14:paraId="5E4145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7" w:type="pct"/>
                  <w:vMerge w:val="continue"/>
                  <w:tcBorders>
                    <w:tl2br w:val="nil"/>
                    <w:tr2bl w:val="nil"/>
                  </w:tcBorders>
                  <w:vAlign w:val="center"/>
                </w:tcPr>
                <w:p w14:paraId="3834E94B">
                  <w:pPr>
                    <w:pStyle w:val="26"/>
                    <w:rPr>
                      <w:b w:val="0"/>
                      <w:bCs w:val="0"/>
                    </w:rPr>
                  </w:pPr>
                </w:p>
              </w:tc>
              <w:tc>
                <w:tcPr>
                  <w:tcW w:w="368" w:type="pct"/>
                  <w:tcBorders>
                    <w:tl2br w:val="nil"/>
                    <w:tr2bl w:val="nil"/>
                  </w:tcBorders>
                  <w:vAlign w:val="center"/>
                </w:tcPr>
                <w:p w14:paraId="20BE3FBF">
                  <w:pPr>
                    <w:pStyle w:val="26"/>
                    <w:rPr>
                      <w:b w:val="0"/>
                      <w:bCs w:val="0"/>
                    </w:rPr>
                  </w:pPr>
                  <w:r>
                    <w:rPr>
                      <w:rFonts w:hint="eastAsia"/>
                      <w:b w:val="0"/>
                      <w:bCs w:val="0"/>
                    </w:rPr>
                    <w:t>环境风险防控</w:t>
                  </w:r>
                </w:p>
              </w:tc>
              <w:tc>
                <w:tcPr>
                  <w:tcW w:w="2622" w:type="pct"/>
                  <w:tcBorders>
                    <w:tl2br w:val="nil"/>
                    <w:tr2bl w:val="nil"/>
                  </w:tcBorders>
                  <w:vAlign w:val="center"/>
                </w:tcPr>
                <w:p w14:paraId="767E7C6E">
                  <w:pPr>
                    <w:pStyle w:val="26"/>
                    <w:rPr>
                      <w:b w:val="0"/>
                      <w:bCs w:val="0"/>
                      <w:lang w:val="en-US"/>
                    </w:rPr>
                  </w:pPr>
                  <w:r>
                    <w:rPr>
                      <w:rFonts w:hint="eastAsia"/>
                      <w:b w:val="0"/>
                      <w:bCs w:val="0"/>
                      <w:lang w:val="en-US"/>
                    </w:rPr>
                    <w:t>制定环境风险应急预案，成立应急组织机构，配备必要的应急设施和应急物资，定期开展环境风险应急演练。</w:t>
                  </w:r>
                </w:p>
                <w:p w14:paraId="3BDECB52">
                  <w:pPr>
                    <w:pStyle w:val="26"/>
                    <w:rPr>
                      <w:b w:val="0"/>
                      <w:bCs w:val="0"/>
                      <w:lang w:val="en-US"/>
                    </w:rPr>
                  </w:pPr>
                  <w:r>
                    <w:rPr>
                      <w:rFonts w:hint="eastAsia"/>
                      <w:b w:val="0"/>
                      <w:bCs w:val="0"/>
                      <w:lang w:val="en-US"/>
                    </w:rPr>
                    <w:t>全面整治历史遗留尾矿库，完善覆膜、压土、排洪、堤坝加固等隐患治理和闭库措施。有重点监管尾矿库的企业要开展环境风险评估，完善污染治理设施，储备应急物资。加强对矿产资源开发利用活动的辐射安全监管，有关企业每年要对本矿区土壤进行辐射环境监测。</w:t>
                  </w:r>
                </w:p>
              </w:tc>
              <w:tc>
                <w:tcPr>
                  <w:tcW w:w="995" w:type="pct"/>
                  <w:tcBorders>
                    <w:tl2br w:val="nil"/>
                    <w:tr2bl w:val="nil"/>
                  </w:tcBorders>
                  <w:vAlign w:val="center"/>
                </w:tcPr>
                <w:p w14:paraId="1B00D6A4">
                  <w:pPr>
                    <w:pStyle w:val="26"/>
                    <w:rPr>
                      <w:b w:val="0"/>
                      <w:bCs w:val="0"/>
                      <w:lang w:val="en-US"/>
                    </w:rPr>
                  </w:pPr>
                  <w:r>
                    <w:rPr>
                      <w:rFonts w:hint="eastAsia"/>
                      <w:b w:val="0"/>
                      <w:bCs w:val="0"/>
                      <w:lang w:val="en-US"/>
                    </w:rPr>
                    <w:t>本项目不涉及尾矿库，主要风险为变压器事故油泄漏，项目拟建事故油池，大于单台主变最大油量，并按要求设计了防渗措施，满足风险防范要求。</w:t>
                  </w:r>
                </w:p>
              </w:tc>
              <w:tc>
                <w:tcPr>
                  <w:tcW w:w="375" w:type="pct"/>
                  <w:tcBorders>
                    <w:tl2br w:val="nil"/>
                    <w:tr2bl w:val="nil"/>
                  </w:tcBorders>
                  <w:vAlign w:val="center"/>
                </w:tcPr>
                <w:p w14:paraId="674286BE">
                  <w:pPr>
                    <w:pStyle w:val="26"/>
                    <w:rPr>
                      <w:b w:val="0"/>
                      <w:bCs w:val="0"/>
                    </w:rPr>
                  </w:pPr>
                  <w:r>
                    <w:rPr>
                      <w:rFonts w:hint="eastAsia"/>
                      <w:b w:val="0"/>
                      <w:bCs w:val="0"/>
                      <w:lang w:val="en-US"/>
                    </w:rPr>
                    <w:t>符合</w:t>
                  </w:r>
                </w:p>
              </w:tc>
            </w:tr>
            <w:tr w14:paraId="531C83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7" w:type="pct"/>
                  <w:vMerge w:val="continue"/>
                  <w:tcBorders>
                    <w:tl2br w:val="nil"/>
                    <w:tr2bl w:val="nil"/>
                  </w:tcBorders>
                  <w:vAlign w:val="center"/>
                </w:tcPr>
                <w:p w14:paraId="240265C7">
                  <w:pPr>
                    <w:pStyle w:val="26"/>
                    <w:rPr>
                      <w:b w:val="0"/>
                      <w:bCs w:val="0"/>
                    </w:rPr>
                  </w:pPr>
                </w:p>
              </w:tc>
              <w:tc>
                <w:tcPr>
                  <w:tcW w:w="368" w:type="pct"/>
                  <w:tcBorders>
                    <w:tl2br w:val="nil"/>
                    <w:tr2bl w:val="nil"/>
                  </w:tcBorders>
                  <w:vAlign w:val="center"/>
                </w:tcPr>
                <w:p w14:paraId="40EBF213">
                  <w:pPr>
                    <w:pStyle w:val="26"/>
                    <w:rPr>
                      <w:b w:val="0"/>
                      <w:bCs w:val="0"/>
                    </w:rPr>
                  </w:pPr>
                  <w:r>
                    <w:rPr>
                      <w:rFonts w:hint="eastAsia"/>
                      <w:b w:val="0"/>
                      <w:bCs w:val="0"/>
                    </w:rPr>
                    <w:t>资源利用效率要求</w:t>
                  </w:r>
                </w:p>
              </w:tc>
              <w:tc>
                <w:tcPr>
                  <w:tcW w:w="2622" w:type="pct"/>
                  <w:tcBorders>
                    <w:tl2br w:val="nil"/>
                    <w:tr2bl w:val="nil"/>
                  </w:tcBorders>
                  <w:vAlign w:val="center"/>
                </w:tcPr>
                <w:p w14:paraId="1DFB9484">
                  <w:pPr>
                    <w:pStyle w:val="26"/>
                    <w:rPr>
                      <w:b w:val="0"/>
                      <w:bCs w:val="0"/>
                      <w:lang w:val="en-US"/>
                    </w:rPr>
                  </w:pPr>
                  <w:r>
                    <w:rPr>
                      <w:rFonts w:hint="eastAsia"/>
                      <w:b w:val="0"/>
                      <w:bCs w:val="0"/>
                      <w:lang w:val="en-US"/>
                    </w:rPr>
                    <w:t>1、现有矿山开展资源整合和技术改造，生产工艺、设备水平、清洁生产水平进一步提升。对关闭及废弃矿山开展地质环境治理及生态修复工作。2、矿山“三率”水平达到国内同行业先进水平，矿山“三率”水平达标率达85%以上，尾矿排放重金属残留水平进一步降低。</w:t>
                  </w:r>
                </w:p>
              </w:tc>
              <w:tc>
                <w:tcPr>
                  <w:tcW w:w="995" w:type="pct"/>
                  <w:tcBorders>
                    <w:tl2br w:val="nil"/>
                    <w:tr2bl w:val="nil"/>
                  </w:tcBorders>
                  <w:vAlign w:val="center"/>
                </w:tcPr>
                <w:p w14:paraId="1A9AA2BF">
                  <w:pPr>
                    <w:pStyle w:val="26"/>
                    <w:rPr>
                      <w:b w:val="0"/>
                      <w:bCs w:val="0"/>
                      <w:lang w:val="en-US"/>
                    </w:rPr>
                  </w:pPr>
                  <w:r>
                    <w:rPr>
                      <w:rFonts w:hint="eastAsia"/>
                      <w:b w:val="0"/>
                      <w:bCs w:val="0"/>
                      <w:lang w:val="en-US"/>
                    </w:rPr>
                    <w:t>本项目不涉及矿山开采</w:t>
                  </w:r>
                </w:p>
              </w:tc>
              <w:tc>
                <w:tcPr>
                  <w:tcW w:w="375" w:type="pct"/>
                  <w:tcBorders>
                    <w:tl2br w:val="nil"/>
                    <w:tr2bl w:val="nil"/>
                  </w:tcBorders>
                  <w:vAlign w:val="center"/>
                </w:tcPr>
                <w:p w14:paraId="151F9E5F">
                  <w:pPr>
                    <w:pStyle w:val="26"/>
                    <w:rPr>
                      <w:b w:val="0"/>
                      <w:bCs w:val="0"/>
                      <w:lang w:val="en-US"/>
                    </w:rPr>
                  </w:pPr>
                  <w:r>
                    <w:rPr>
                      <w:rFonts w:hint="eastAsia"/>
                      <w:b w:val="0"/>
                      <w:bCs w:val="0"/>
                      <w:lang w:val="en-US"/>
                    </w:rPr>
                    <w:t>符合</w:t>
                  </w:r>
                </w:p>
              </w:tc>
            </w:tr>
          </w:tbl>
          <w:p w14:paraId="0465E7FE">
            <w:pPr>
              <w:pStyle w:val="79"/>
              <w:ind w:firstLine="480"/>
              <w:rPr>
                <w:rFonts w:hint="eastAsia" w:ascii="宋体" w:hAnsi="宋体" w:cs="宋体"/>
                <w:color w:val="000000" w:themeColor="text1"/>
                <w:szCs w:val="24"/>
                <w14:textFill>
                  <w14:solidFill>
                    <w14:schemeClr w14:val="tx1"/>
                  </w14:solidFill>
                </w14:textFill>
              </w:rPr>
            </w:pPr>
            <w:r>
              <w:rPr>
                <w:rFonts w:hint="eastAsia" w:ascii="宋体" w:hAnsi="宋体" w:cs="宋体"/>
                <w:color w:val="000000" w:themeColor="text1"/>
                <w:szCs w:val="24"/>
                <w:lang w:val="en-US"/>
                <w14:textFill>
                  <w14:solidFill>
                    <w14:schemeClr w14:val="tx1"/>
                  </w14:solidFill>
                </w14:textFill>
              </w:rPr>
              <w:t>本项目运行过程中拟对各项污染物等提出相应的防治措施，并采取一系列的风险防控措施保护生态环境。通过以上分析，本项目符合准入生态环境准入清单要求</w:t>
            </w:r>
            <w:r>
              <w:rPr>
                <w:rFonts w:hint="eastAsia"/>
                <w:color w:val="auto"/>
                <w:szCs w:val="24"/>
                <w:lang w:val="en-US"/>
              </w:rPr>
              <w:t>。</w:t>
            </w:r>
            <w:r>
              <w:rPr>
                <w:rFonts w:ascii="宋体" w:hAnsi="宋体" w:cs="宋体"/>
                <w:color w:val="000000" w:themeColor="text1"/>
                <w:szCs w:val="24"/>
                <w14:textFill>
                  <w14:solidFill>
                    <w14:schemeClr w14:val="tx1"/>
                  </w14:solidFill>
                </w14:textFill>
              </w:rPr>
              <w:t xml:space="preserve"> </w:t>
            </w:r>
          </w:p>
          <w:p w14:paraId="7E60F895">
            <w:pPr>
              <w:pStyle w:val="38"/>
            </w:pPr>
            <w:r>
              <w:t>2.</w:t>
            </w:r>
            <w:r>
              <w:rPr>
                <w:rFonts w:hint="eastAsia"/>
              </w:rPr>
              <w:t>产业政策符合性分析</w:t>
            </w:r>
          </w:p>
          <w:p w14:paraId="52EA1958">
            <w:pPr>
              <w:snapToGrid w:val="0"/>
              <w:ind w:firstLine="480"/>
            </w:pPr>
            <w:r>
              <w:rPr>
                <w:rFonts w:hint="eastAsia" w:cs="Times New Roman"/>
                <w:color w:val="000000" w:themeColor="text1"/>
                <w:szCs w:val="24"/>
                <w14:textFill>
                  <w14:solidFill>
                    <w14:schemeClr w14:val="tx1"/>
                  </w14:solidFill>
                </w14:textFill>
              </w:rPr>
              <w:t>本项目变电站的建设</w:t>
            </w:r>
            <w:r>
              <w:rPr>
                <w:rFonts w:cs="Times New Roman"/>
                <w:color w:val="000000" w:themeColor="text1"/>
                <w:szCs w:val="24"/>
                <w14:textFill>
                  <w14:solidFill>
                    <w14:schemeClr w14:val="tx1"/>
                  </w14:solidFill>
                </w14:textFill>
              </w:rPr>
              <w:t>，</w:t>
            </w:r>
            <w:r>
              <w:rPr>
                <w:rFonts w:hint="eastAsia" w:cs="Times New Roman"/>
                <w:color w:val="000000" w:themeColor="text1"/>
                <w:szCs w:val="24"/>
                <w14:textFill>
                  <w14:solidFill>
                    <w14:schemeClr w14:val="tx1"/>
                  </w14:solidFill>
                </w14:textFill>
              </w:rPr>
              <w:t>属于</w:t>
            </w:r>
            <w:r>
              <w:rPr>
                <w:rFonts w:cs="Times New Roman"/>
                <w:color w:val="000000" w:themeColor="text1"/>
                <w:szCs w:val="24"/>
                <w14:textFill>
                  <w14:solidFill>
                    <w14:schemeClr w14:val="tx1"/>
                  </w14:solidFill>
                </w14:textFill>
              </w:rPr>
              <w:t>国家发展和改革委员会发布的《产业结构调整指导目录（20</w:t>
            </w:r>
            <w:r>
              <w:rPr>
                <w:rFonts w:hint="eastAsia" w:cs="Times New Roman"/>
                <w:color w:val="000000" w:themeColor="text1"/>
                <w:szCs w:val="24"/>
                <w14:textFill>
                  <w14:solidFill>
                    <w14:schemeClr w14:val="tx1"/>
                  </w14:solidFill>
                </w14:textFill>
              </w:rPr>
              <w:t>24</w:t>
            </w:r>
            <w:r>
              <w:rPr>
                <w:rFonts w:cs="Times New Roman"/>
                <w:color w:val="000000" w:themeColor="text1"/>
                <w:szCs w:val="24"/>
                <w14:textFill>
                  <w14:solidFill>
                    <w14:schemeClr w14:val="tx1"/>
                  </w14:solidFill>
                </w14:textFill>
              </w:rPr>
              <w:t>年本）》中的“第一类鼓励类”中的“</w:t>
            </w:r>
            <w:r>
              <w:rPr>
                <w:rFonts w:hint="eastAsia" w:cs="Times New Roman"/>
                <w:color w:val="000000" w:themeColor="text1"/>
                <w:szCs w:val="24"/>
                <w14:textFill>
                  <w14:solidFill>
                    <w14:schemeClr w14:val="tx1"/>
                  </w14:solidFill>
                </w14:textFill>
              </w:rPr>
              <w:t>电力基础设施建设</w:t>
            </w:r>
            <w:r>
              <w:rPr>
                <w:rFonts w:cs="Times New Roman"/>
                <w:color w:val="000000" w:themeColor="text1"/>
                <w:szCs w:val="24"/>
                <w14:textFill>
                  <w14:solidFill>
                    <w14:schemeClr w14:val="tx1"/>
                  </w14:solidFill>
                </w14:textFill>
              </w:rPr>
              <w:t>”的鼓励类项目，符合国家产业政策。</w:t>
            </w:r>
          </w:p>
          <w:p w14:paraId="39AB29CC">
            <w:pPr>
              <w:pStyle w:val="7"/>
              <w:ind w:left="0" w:leftChars="0" w:firstLine="480"/>
              <w:rPr>
                <w:rFonts w:cs="Times New Roman"/>
                <w:szCs w:val="24"/>
              </w:rPr>
            </w:pPr>
            <w:r>
              <w:rPr>
                <w:rFonts w:hint="eastAsia" w:cs="Times New Roman"/>
                <w:szCs w:val="24"/>
              </w:rPr>
              <w:t>3、与《内蒙古自治区“十四五”生态环境保护规划》(内政办发【2021】51号)和《锡林郭勒盟“十四五”生态环境保护规划》相符性分析</w:t>
            </w:r>
          </w:p>
          <w:p w14:paraId="17262D8C">
            <w:pPr>
              <w:snapToGrid w:val="0"/>
              <w:ind w:firstLine="480"/>
              <w:rPr>
                <w:rFonts w:cs="Times New Roman"/>
                <w:szCs w:val="24"/>
              </w:rPr>
            </w:pPr>
            <w:r>
              <w:rPr>
                <w:rFonts w:hint="eastAsia" w:cs="Times New Roman"/>
                <w:szCs w:val="24"/>
              </w:rPr>
              <w:t>《内蒙古自治区“十四五”生态环境保护规划》中“加强核与辐射环境监管”中提出：有效控制电磁辐射污染。电磁辐射设施建设项目严格执行环境影响评价和“三同时”制度。推进电磁辐射建设项目的规范化管理，逐步推广“绿色基站”、“绿色变电站”建设。</w:t>
            </w:r>
          </w:p>
          <w:p w14:paraId="18FBC0D0">
            <w:pPr>
              <w:snapToGrid w:val="0"/>
              <w:ind w:firstLine="480"/>
            </w:pPr>
            <w:r>
              <w:rPr>
                <w:rFonts w:hint="eastAsia" w:cs="Times New Roman"/>
                <w:szCs w:val="24"/>
              </w:rPr>
              <w:t>《锡林郭勒盟“十四五”生态环境保护规划》中“加强核与辐射安全保障”中提出：有效控制电磁辐射污染，逐步推广“绿色基站”、“绿色变电站”建设。</w:t>
            </w:r>
          </w:p>
          <w:p w14:paraId="4BF1DA12">
            <w:pPr>
              <w:snapToGrid w:val="0"/>
              <w:ind w:firstLine="480"/>
              <w:rPr>
                <w:rFonts w:cs="Times New Roman"/>
                <w:szCs w:val="24"/>
              </w:rPr>
            </w:pPr>
            <w:r>
              <w:rPr>
                <w:rFonts w:hint="eastAsia" w:cs="Times New Roman"/>
                <w:szCs w:val="24"/>
              </w:rPr>
              <w:t>本项目按要求编制了环境影响评价报告，并执行“三同时”制度，项目建设位于现有厂区内，站内设计工艺布置合理，分工明确，接线均按远期预留空间，变压器采用自冷方式，</w:t>
            </w:r>
            <w:r>
              <w:rPr>
                <w:rFonts w:hint="eastAsia" w:cs="Times New Roman"/>
                <w:szCs w:val="24"/>
                <w:lang w:val="en-US" w:eastAsia="zh-CN"/>
              </w:rPr>
              <w:t>运维人员</w:t>
            </w:r>
            <w:r>
              <w:rPr>
                <w:rFonts w:hint="eastAsia" w:cs="Times New Roman"/>
                <w:szCs w:val="24"/>
              </w:rPr>
              <w:t>依托厂区办公生活，整体采用绿色环保节能材料设备，因此变电站在平面布置、占地、节能、节水、节材等方面符合绿色变电站要求。</w:t>
            </w:r>
          </w:p>
          <w:p w14:paraId="7738BD3B">
            <w:pPr>
              <w:snapToGrid w:val="0"/>
              <w:ind w:firstLine="480"/>
              <w:rPr>
                <w:rFonts w:cs="Times New Roman"/>
                <w:szCs w:val="24"/>
              </w:rPr>
            </w:pPr>
            <w:r>
              <w:rPr>
                <w:rFonts w:hint="eastAsia" w:cs="Times New Roman"/>
                <w:szCs w:val="24"/>
              </w:rPr>
              <w:t>综上，项目符合要求。</w:t>
            </w:r>
          </w:p>
          <w:p w14:paraId="24A6A3F4">
            <w:pPr>
              <w:snapToGrid w:val="0"/>
              <w:ind w:firstLine="480"/>
              <w:rPr>
                <w:rFonts w:cs="Times New Roman"/>
                <w:szCs w:val="24"/>
              </w:rPr>
            </w:pPr>
            <w:r>
              <w:rPr>
                <w:rFonts w:hint="eastAsia" w:cs="Times New Roman"/>
                <w:szCs w:val="24"/>
              </w:rPr>
              <w:t>4、与《生态环境分区管控管理暂行规定》的通知（环环评〔2024〕41号）的相符性分析</w:t>
            </w:r>
          </w:p>
          <w:p w14:paraId="2862B305">
            <w:pPr>
              <w:snapToGrid w:val="0"/>
              <w:ind w:firstLine="480"/>
              <w:rPr>
                <w:rFonts w:cs="Times New Roman"/>
                <w:szCs w:val="24"/>
              </w:rPr>
            </w:pPr>
            <w:r>
              <w:rPr>
                <w:rFonts w:hint="eastAsia" w:cs="Times New Roman"/>
                <w:szCs w:val="24"/>
              </w:rPr>
              <w:t>通知要求“</w:t>
            </w:r>
            <w:r>
              <w:rPr>
                <w:rFonts w:ascii="宋体" w:hAnsi="宋体" w:cs="宋体"/>
                <w:szCs w:val="24"/>
              </w:rPr>
              <w:t>建设项目开展环评工作初期，应分析与生态环境分区管控要求的符合性，对不满足要求的，应进一步论证其生态环境可行性，优化调整项目建设内容或重新选址。建设项目环评审批部门开展审批时，应重点审查项目选址选线、生态影响、污染物排放、风险防范等与生态环境分区管控方案的符合性。</w:t>
            </w:r>
            <w:r>
              <w:rPr>
                <w:rFonts w:hint="eastAsia" w:cs="Times New Roman"/>
                <w:szCs w:val="24"/>
              </w:rPr>
              <w:t>”</w:t>
            </w:r>
          </w:p>
          <w:p w14:paraId="548163F0">
            <w:pPr>
              <w:snapToGrid w:val="0"/>
              <w:ind w:firstLine="480"/>
              <w:rPr>
                <w:rFonts w:cs="Times New Roman"/>
                <w:color w:val="0000FF"/>
                <w:szCs w:val="24"/>
              </w:rPr>
            </w:pPr>
            <w:r>
              <w:rPr>
                <w:rFonts w:hint="eastAsia" w:cs="Times New Roman"/>
                <w:szCs w:val="24"/>
              </w:rPr>
              <w:t>经上文论证，满足</w:t>
            </w:r>
            <w:r>
              <w:rPr>
                <w:rFonts w:ascii="宋体" w:hAnsi="宋体" w:cs="宋体"/>
                <w:szCs w:val="24"/>
              </w:rPr>
              <w:t>生态环境分区管控要求</w:t>
            </w:r>
            <w:r>
              <w:rPr>
                <w:rFonts w:hint="eastAsia" w:ascii="宋体" w:hAnsi="宋体" w:cs="宋体"/>
                <w:szCs w:val="24"/>
              </w:rPr>
              <w:t>，本项目满足</w:t>
            </w:r>
            <w:r>
              <w:rPr>
                <w:rFonts w:hint="eastAsia" w:cs="Times New Roman"/>
                <w:szCs w:val="24"/>
              </w:rPr>
              <w:t>《生态环境分区管控管理暂行规定》的通知（环环评〔2024〕41号）的要求。</w:t>
            </w:r>
          </w:p>
        </w:tc>
      </w:tr>
    </w:tbl>
    <w:p w14:paraId="44F6E917">
      <w:pPr>
        <w:ind w:firstLine="600" w:firstLineChars="0"/>
        <w:rPr>
          <w:rFonts w:eastAsia="黑体" w:cs="Times New Roman"/>
          <w:color w:val="000000" w:themeColor="text1"/>
          <w:sz w:val="30"/>
          <w:szCs w:val="24"/>
          <w14:textFill>
            <w14:solidFill>
              <w14:schemeClr w14:val="tx1"/>
            </w14:solidFill>
          </w14:textFill>
        </w:rPr>
        <w:sectPr>
          <w:footerReference r:id="rId9" w:type="default"/>
          <w:pgSz w:w="11906" w:h="16838"/>
          <w:pgMar w:top="1701" w:right="1531" w:bottom="1701" w:left="1531" w:header="851" w:footer="1077" w:gutter="0"/>
          <w:pgNumType w:fmt="numberInDash" w:start="1"/>
          <w:cols w:space="720" w:num="1"/>
          <w:docGrid w:linePitch="326" w:charSpace="0"/>
        </w:sectPr>
      </w:pPr>
    </w:p>
    <w:p w14:paraId="288885DA">
      <w:pPr>
        <w:ind w:firstLine="0" w:firstLineChars="0"/>
        <w:rPr>
          <w:rFonts w:eastAsia="黑体" w:cs="Times New Roman"/>
          <w:color w:val="000000" w:themeColor="text1"/>
          <w:sz w:val="30"/>
          <w:szCs w:val="24"/>
          <w14:textFill>
            <w14:solidFill>
              <w14:schemeClr w14:val="tx1"/>
            </w14:solidFill>
          </w14:textFill>
        </w:rPr>
        <w:sectPr>
          <w:pgSz w:w="16838" w:h="11906" w:orient="landscape"/>
          <w:pgMar w:top="1531" w:right="1701" w:bottom="1531" w:left="1701" w:header="851" w:footer="1077" w:gutter="0"/>
          <w:pgNumType w:fmt="numberInDash"/>
          <w:cols w:space="0" w:num="1"/>
          <w:docGrid w:linePitch="326" w:charSpace="0"/>
        </w:sectPr>
      </w:pPr>
      <w:r>
        <w:drawing>
          <wp:inline distT="0" distB="0" distL="114300" distR="114300">
            <wp:extent cx="8522335" cy="4243070"/>
            <wp:effectExtent l="0" t="0" r="12065" b="508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3"/>
                    <a:stretch>
                      <a:fillRect/>
                    </a:stretch>
                  </pic:blipFill>
                  <pic:spPr>
                    <a:xfrm>
                      <a:off x="0" y="0"/>
                      <a:ext cx="8522335" cy="4243070"/>
                    </a:xfrm>
                    <a:prstGeom prst="rect">
                      <a:avLst/>
                    </a:prstGeom>
                    <a:noFill/>
                    <a:ln>
                      <a:noFill/>
                    </a:ln>
                  </pic:spPr>
                </pic:pic>
              </a:graphicData>
            </a:graphic>
          </wp:inline>
        </w:drawing>
      </w:r>
    </w:p>
    <w:p w14:paraId="7B4EDA3B">
      <w:pPr>
        <w:widowControl/>
        <w:spacing w:line="240" w:lineRule="auto"/>
        <w:ind w:firstLine="0" w:firstLineChars="0"/>
        <w:jc w:val="center"/>
        <w:outlineLvl w:val="0"/>
        <w:rPr>
          <w:rFonts w:hint="eastAsia" w:ascii="宋体" w:hAnsi="宋体" w:cs="Times New Roman"/>
          <w:b/>
          <w:bCs/>
          <w:snapToGrid w:val="0"/>
          <w:color w:val="000000" w:themeColor="text1"/>
          <w:kern w:val="0"/>
          <w:sz w:val="32"/>
          <w:szCs w:val="32"/>
          <w14:textFill>
            <w14:solidFill>
              <w14:schemeClr w14:val="tx1"/>
            </w14:solidFill>
          </w14:textFill>
        </w:rPr>
      </w:pPr>
      <w:bookmarkStart w:id="4" w:name="_Toc20128"/>
      <w:r>
        <w:rPr>
          <w:rFonts w:hint="eastAsia" w:ascii="宋体" w:hAnsi="宋体" w:cs="Times New Roman"/>
          <w:b/>
          <w:bCs/>
          <w:snapToGrid w:val="0"/>
          <w:color w:val="000000" w:themeColor="text1"/>
          <w:kern w:val="0"/>
          <w:sz w:val="32"/>
          <w:szCs w:val="32"/>
          <w14:textFill>
            <w14:solidFill>
              <w14:schemeClr w14:val="tx1"/>
            </w14:solidFill>
          </w14:textFill>
        </w:rPr>
        <w:t>二、建设内容</w:t>
      </w:r>
      <w:bookmarkEnd w:id="4"/>
    </w:p>
    <w:tbl>
      <w:tblPr>
        <w:tblStyle w:val="21"/>
        <w:tblW w:w="937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09"/>
        <w:gridCol w:w="8765"/>
      </w:tblGrid>
      <w:tr w14:paraId="24247E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609" w:type="dxa"/>
            <w:vAlign w:val="center"/>
          </w:tcPr>
          <w:p w14:paraId="2ACE6DA5">
            <w:pPr>
              <w:pStyle w:val="4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地理位置</w:t>
            </w:r>
          </w:p>
        </w:tc>
        <w:tc>
          <w:tcPr>
            <w:tcW w:w="8765" w:type="dxa"/>
            <w:vAlign w:val="center"/>
          </w:tcPr>
          <w:p w14:paraId="5A271597">
            <w:pPr>
              <w:pStyle w:val="40"/>
              <w:spacing w:line="360" w:lineRule="auto"/>
              <w:ind w:firstLine="480" w:firstLineChars="200"/>
              <w:jc w:val="both"/>
              <w:rPr>
                <w:rFonts w:cs="Times New Roman"/>
                <w:color w:val="000000" w:themeColor="text1"/>
                <w:sz w:val="24"/>
                <w:szCs w:val="24"/>
                <w14:textFill>
                  <w14:solidFill>
                    <w14:schemeClr w14:val="tx1"/>
                  </w14:solidFill>
                </w14:textFill>
              </w:rPr>
            </w:pPr>
            <w:r>
              <w:rPr>
                <w:rFonts w:cs="Times New Roman"/>
                <w:color w:val="000000" w:themeColor="text1"/>
                <w:sz w:val="24"/>
                <w:szCs w:val="36"/>
                <w14:textFill>
                  <w14:solidFill>
                    <w14:schemeClr w14:val="tx1"/>
                  </w14:solidFill>
                </w14:textFill>
              </w:rPr>
              <w:t>本项目位于</w:t>
            </w:r>
            <w:r>
              <w:rPr>
                <w:rFonts w:hint="eastAsia" w:cs="Times New Roman"/>
                <w:color w:val="000000" w:themeColor="text1"/>
                <w:sz w:val="24"/>
                <w:szCs w:val="36"/>
                <w14:textFill>
                  <w14:solidFill>
                    <w14:schemeClr w14:val="tx1"/>
                  </w14:solidFill>
                </w14:textFill>
              </w:rPr>
              <w:t>内蒙古锡林郭勒盟苏尼特右旗朱日和镇，内蒙古新蒙新科技有限公司厂区内。变电站占地面积4200m</w:t>
            </w:r>
            <w:r>
              <w:rPr>
                <w:rFonts w:hint="eastAsia" w:cs="Times New Roman"/>
                <w:color w:val="000000" w:themeColor="text1"/>
                <w:sz w:val="24"/>
                <w:szCs w:val="36"/>
                <w:vertAlign w:val="superscript"/>
                <w14:textFill>
                  <w14:solidFill>
                    <w14:schemeClr w14:val="tx1"/>
                  </w14:solidFill>
                </w14:textFill>
              </w:rPr>
              <w:t>2</w:t>
            </w:r>
            <w:r>
              <w:rPr>
                <w:rFonts w:cs="Times New Roman"/>
                <w:color w:val="auto"/>
                <w:sz w:val="24"/>
                <w:szCs w:val="24"/>
              </w:rPr>
              <w:t>。</w:t>
            </w:r>
          </w:p>
          <w:p w14:paraId="33798F11">
            <w:pPr>
              <w:pStyle w:val="40"/>
              <w:spacing w:line="360" w:lineRule="auto"/>
              <w:ind w:firstLine="480" w:firstLineChars="200"/>
              <w:jc w:val="left"/>
              <w:rPr>
                <w:rFonts w:cs="Times New Roman"/>
                <w:color w:val="000000" w:themeColor="text1"/>
                <w:sz w:val="24"/>
                <w:szCs w:val="36"/>
                <w14:textFill>
                  <w14:solidFill>
                    <w14:schemeClr w14:val="tx1"/>
                  </w14:solidFill>
                </w14:textFill>
              </w:rPr>
            </w:pPr>
            <w:r>
              <w:rPr>
                <w:rFonts w:cs="Times New Roman"/>
                <w:color w:val="000000" w:themeColor="text1"/>
                <w:sz w:val="24"/>
                <w:szCs w:val="36"/>
                <w14:textFill>
                  <w14:solidFill>
                    <w14:schemeClr w14:val="tx1"/>
                  </w14:solidFill>
                </w14:textFill>
              </w:rPr>
              <w:t>项目所在地理位置图见附图</w:t>
            </w:r>
            <w:r>
              <w:rPr>
                <w:rFonts w:hint="eastAsia" w:cs="Times New Roman"/>
                <w:color w:val="000000" w:themeColor="text1"/>
                <w:sz w:val="24"/>
                <w:szCs w:val="36"/>
                <w14:textFill>
                  <w14:solidFill>
                    <w14:schemeClr w14:val="tx1"/>
                  </w14:solidFill>
                </w14:textFill>
              </w:rPr>
              <w:t>1。变电站和厂区位置关系图见附图3。</w:t>
            </w:r>
          </w:p>
          <w:p w14:paraId="7AA47EE2">
            <w:pPr>
              <w:pStyle w:val="40"/>
              <w:spacing w:line="360" w:lineRule="auto"/>
              <w:ind w:firstLine="480" w:firstLineChars="200"/>
              <w:jc w:val="left"/>
              <w:rPr>
                <w:rFonts w:cs="Times New Roman"/>
                <w:color w:val="000000" w:themeColor="text1"/>
                <w:sz w:val="24"/>
                <w:szCs w:val="36"/>
                <w14:textFill>
                  <w14:solidFill>
                    <w14:schemeClr w14:val="tx1"/>
                  </w14:solidFill>
                </w14:textFill>
              </w:rPr>
            </w:pPr>
            <w:r>
              <w:rPr>
                <w:rFonts w:hint="eastAsia" w:cs="Times New Roman"/>
                <w:color w:val="000000" w:themeColor="text1"/>
                <w:sz w:val="24"/>
                <w:szCs w:val="36"/>
                <w14:textFill>
                  <w14:solidFill>
                    <w14:schemeClr w14:val="tx1"/>
                  </w14:solidFill>
                </w14:textFill>
              </w:rPr>
              <w:t>变电站拐点坐标如下：</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5"/>
              <w:gridCol w:w="3369"/>
              <w:gridCol w:w="4085"/>
            </w:tblGrid>
            <w:tr w14:paraId="5F942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39" w:type="dxa"/>
                  <w:gridSpan w:val="3"/>
                  <w:vAlign w:val="center"/>
                </w:tcPr>
                <w:p w14:paraId="2E8915D7">
                  <w:pPr>
                    <w:pStyle w:val="40"/>
                    <w:spacing w:line="360" w:lineRule="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变电站拐点坐标表（2000坐标系）</w:t>
                  </w:r>
                </w:p>
              </w:tc>
            </w:tr>
            <w:tr w14:paraId="56939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5" w:type="dxa"/>
                  <w:vAlign w:val="center"/>
                </w:tcPr>
                <w:p w14:paraId="5808CF8A">
                  <w:pPr>
                    <w:pStyle w:val="40"/>
                    <w:spacing w:line="360" w:lineRule="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序号</w:t>
                  </w:r>
                </w:p>
              </w:tc>
              <w:tc>
                <w:tcPr>
                  <w:tcW w:w="3369" w:type="dxa"/>
                  <w:vAlign w:val="center"/>
                </w:tcPr>
                <w:p w14:paraId="4A2DC0D5">
                  <w:pPr>
                    <w:pStyle w:val="40"/>
                    <w:spacing w:line="360" w:lineRule="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X</w:t>
                  </w:r>
                </w:p>
              </w:tc>
              <w:tc>
                <w:tcPr>
                  <w:tcW w:w="4085" w:type="dxa"/>
                  <w:vAlign w:val="center"/>
                </w:tcPr>
                <w:p w14:paraId="17BF130B">
                  <w:pPr>
                    <w:pStyle w:val="40"/>
                    <w:spacing w:line="360" w:lineRule="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Y</w:t>
                  </w:r>
                </w:p>
              </w:tc>
            </w:tr>
            <w:tr w14:paraId="6E944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5" w:type="dxa"/>
                  <w:vAlign w:val="center"/>
                </w:tcPr>
                <w:p w14:paraId="317051B2">
                  <w:pPr>
                    <w:pStyle w:val="40"/>
                    <w:spacing w:line="360" w:lineRule="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w:t>
                  </w:r>
                </w:p>
              </w:tc>
              <w:tc>
                <w:tcPr>
                  <w:tcW w:w="3369" w:type="dxa"/>
                  <w:vAlign w:val="center"/>
                </w:tcPr>
                <w:p w14:paraId="780EE01B">
                  <w:pPr>
                    <w:pStyle w:val="40"/>
                    <w:spacing w:line="360" w:lineRule="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4696420.209</w:t>
                  </w:r>
                </w:p>
              </w:tc>
              <w:tc>
                <w:tcPr>
                  <w:tcW w:w="4085" w:type="dxa"/>
                  <w:vAlign w:val="center"/>
                </w:tcPr>
                <w:p w14:paraId="520E0DD9">
                  <w:pPr>
                    <w:pStyle w:val="40"/>
                    <w:spacing w:line="360" w:lineRule="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38409926.614</w:t>
                  </w:r>
                </w:p>
              </w:tc>
            </w:tr>
            <w:tr w14:paraId="32010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5" w:type="dxa"/>
                  <w:vAlign w:val="center"/>
                </w:tcPr>
                <w:p w14:paraId="46FF53B3">
                  <w:pPr>
                    <w:pStyle w:val="40"/>
                    <w:spacing w:line="360" w:lineRule="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w:t>
                  </w:r>
                </w:p>
              </w:tc>
              <w:tc>
                <w:tcPr>
                  <w:tcW w:w="3369" w:type="dxa"/>
                  <w:vAlign w:val="center"/>
                </w:tcPr>
                <w:p w14:paraId="32978385">
                  <w:pPr>
                    <w:pStyle w:val="40"/>
                    <w:spacing w:line="360" w:lineRule="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4696353.130</w:t>
                  </w:r>
                </w:p>
              </w:tc>
              <w:tc>
                <w:tcPr>
                  <w:tcW w:w="4085" w:type="dxa"/>
                  <w:vAlign w:val="center"/>
                </w:tcPr>
                <w:p w14:paraId="08124417">
                  <w:pPr>
                    <w:pStyle w:val="40"/>
                    <w:spacing w:line="360" w:lineRule="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38409946.630</w:t>
                  </w:r>
                </w:p>
              </w:tc>
            </w:tr>
            <w:tr w14:paraId="565F8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5" w:type="dxa"/>
                  <w:vAlign w:val="center"/>
                </w:tcPr>
                <w:p w14:paraId="2588984E">
                  <w:pPr>
                    <w:pStyle w:val="40"/>
                    <w:spacing w:line="360" w:lineRule="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w:t>
                  </w:r>
                </w:p>
              </w:tc>
              <w:tc>
                <w:tcPr>
                  <w:tcW w:w="3369" w:type="dxa"/>
                  <w:vAlign w:val="center"/>
                </w:tcPr>
                <w:p w14:paraId="18F8867D">
                  <w:pPr>
                    <w:pStyle w:val="40"/>
                    <w:spacing w:line="360" w:lineRule="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4696370.060</w:t>
                  </w:r>
                </w:p>
              </w:tc>
              <w:tc>
                <w:tcPr>
                  <w:tcW w:w="4085" w:type="dxa"/>
                  <w:vAlign w:val="center"/>
                </w:tcPr>
                <w:p w14:paraId="787E77B4">
                  <w:pPr>
                    <w:pStyle w:val="40"/>
                    <w:spacing w:line="360" w:lineRule="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38410004.190</w:t>
                  </w:r>
                </w:p>
              </w:tc>
            </w:tr>
            <w:tr w14:paraId="51434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85" w:type="dxa"/>
                  <w:vAlign w:val="center"/>
                </w:tcPr>
                <w:p w14:paraId="425CF3C0">
                  <w:pPr>
                    <w:pStyle w:val="40"/>
                    <w:spacing w:line="360" w:lineRule="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4</w:t>
                  </w:r>
                </w:p>
              </w:tc>
              <w:tc>
                <w:tcPr>
                  <w:tcW w:w="3369" w:type="dxa"/>
                  <w:vAlign w:val="center"/>
                </w:tcPr>
                <w:p w14:paraId="012BD415">
                  <w:pPr>
                    <w:pStyle w:val="40"/>
                    <w:spacing w:line="360" w:lineRule="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4696437.130</w:t>
                  </w:r>
                </w:p>
              </w:tc>
              <w:tc>
                <w:tcPr>
                  <w:tcW w:w="4085" w:type="dxa"/>
                  <w:vAlign w:val="center"/>
                </w:tcPr>
                <w:p w14:paraId="239E1601">
                  <w:pPr>
                    <w:pStyle w:val="40"/>
                    <w:spacing w:line="360" w:lineRule="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38409984.170</w:t>
                  </w:r>
                </w:p>
              </w:tc>
            </w:tr>
          </w:tbl>
          <w:p w14:paraId="38DC04B1">
            <w:pPr>
              <w:pStyle w:val="40"/>
              <w:spacing w:line="360" w:lineRule="auto"/>
              <w:ind w:firstLine="480" w:firstLineChars="200"/>
              <w:jc w:val="left"/>
              <w:rPr>
                <w:rFonts w:cs="Times New Roman"/>
                <w:color w:val="000000" w:themeColor="text1"/>
                <w:sz w:val="24"/>
                <w:szCs w:val="36"/>
                <w14:textFill>
                  <w14:solidFill>
                    <w14:schemeClr w14:val="tx1"/>
                  </w14:solidFill>
                </w14:textFill>
              </w:rPr>
            </w:pPr>
          </w:p>
        </w:tc>
      </w:tr>
      <w:tr w14:paraId="3EC39A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81" w:hRule="atLeast"/>
          <w:jc w:val="center"/>
        </w:trPr>
        <w:tc>
          <w:tcPr>
            <w:tcW w:w="609" w:type="dxa"/>
            <w:vAlign w:val="center"/>
          </w:tcPr>
          <w:p w14:paraId="599DB33E">
            <w:pPr>
              <w:pStyle w:val="40"/>
              <w:rPr>
                <w:b/>
                <w:bCs/>
                <w:color w:val="000000" w:themeColor="text1"/>
                <w14:textFill>
                  <w14:solidFill>
                    <w14:schemeClr w14:val="tx1"/>
                  </w14:solidFill>
                </w14:textFill>
              </w:rPr>
            </w:pPr>
            <w:r>
              <w:rPr>
                <w:rFonts w:hint="eastAsia"/>
                <w:b/>
                <w:bCs/>
                <w:color w:val="000000" w:themeColor="text1"/>
                <w:sz w:val="24"/>
                <w:szCs w:val="24"/>
                <w14:textFill>
                  <w14:solidFill>
                    <w14:schemeClr w14:val="tx1"/>
                  </w14:solidFill>
                </w14:textFill>
              </w:rPr>
              <w:t>项目组成及规模</w:t>
            </w:r>
          </w:p>
        </w:tc>
        <w:tc>
          <w:tcPr>
            <w:tcW w:w="8765" w:type="dxa"/>
            <w:vAlign w:val="center"/>
          </w:tcPr>
          <w:p w14:paraId="636D7598">
            <w:pPr>
              <w:pStyle w:val="38"/>
            </w:pPr>
            <w:r>
              <w:rPr>
                <w:rFonts w:hint="eastAsia"/>
              </w:rPr>
              <w:t>1、项目概况</w:t>
            </w:r>
          </w:p>
          <w:p w14:paraId="69374CDD">
            <w:pPr>
              <w:widowControl/>
              <w:ind w:firstLine="420" w:firstLineChars="0"/>
              <w:jc w:val="left"/>
              <w:rPr>
                <w:color w:val="0000FF"/>
              </w:rPr>
            </w:pPr>
            <w:r>
              <w:rPr>
                <w:rFonts w:hint="eastAsia"/>
                <w:color w:val="0000FF"/>
              </w:rPr>
              <w:t>内蒙古新蒙新科技有限公司拟租赁苏尼特右旗新蒙新材料有限公司厂区空置空地及租赁该公司部分办公生活设施建设10万吨负极材料项目，该项目已经取得苏尼特右旗发展和改革委员会项目备案告知书（项目代码：2208-152524-04-01-776548）。</w:t>
            </w:r>
          </w:p>
          <w:p w14:paraId="753CD3A4">
            <w:pPr>
              <w:widowControl/>
              <w:ind w:firstLine="420" w:firstLineChars="0"/>
              <w:jc w:val="left"/>
              <w:rPr>
                <w:rFonts w:cs="Times New Roman"/>
                <w:bCs/>
                <w:color w:val="0000FF"/>
                <w:kern w:val="0"/>
                <w:szCs w:val="24"/>
              </w:rPr>
            </w:pPr>
            <w:r>
              <w:rPr>
                <w:rFonts w:hint="eastAsia" w:cs="Times New Roman"/>
                <w:bCs/>
                <w:color w:val="0000FF"/>
                <w:kern w:val="0"/>
                <w:szCs w:val="24"/>
              </w:rPr>
              <w:t>本项目为内蒙古新蒙新科技有限公司 10 万吨负极材料项目配套供电工程，本次评价内容为</w:t>
            </w:r>
            <w:r>
              <w:rPr>
                <w:rFonts w:hint="eastAsia" w:cs="Times New Roman"/>
                <w:color w:val="0000FF"/>
                <w:szCs w:val="36"/>
              </w:rPr>
              <w:t>内蒙古新蒙新科技有限公司</w:t>
            </w:r>
            <w:r>
              <w:rPr>
                <w:rFonts w:hint="eastAsia" w:cs="Times New Roman"/>
                <w:bCs/>
                <w:color w:val="0000FF"/>
                <w:kern w:val="0"/>
                <w:szCs w:val="24"/>
              </w:rPr>
              <w:t>在厂区内建设的110kV变电站，</w:t>
            </w:r>
            <w:r>
              <w:rPr>
                <w:rFonts w:hint="eastAsia"/>
                <w:color w:val="0000FF"/>
                <w:kern w:val="0"/>
                <w:szCs w:val="24"/>
              </w:rPr>
              <w:t>不包括110kV进线线路评价</w:t>
            </w:r>
            <w:r>
              <w:rPr>
                <w:rFonts w:hint="eastAsia" w:cs="Times New Roman"/>
                <w:bCs/>
                <w:color w:val="0000FF"/>
                <w:kern w:val="0"/>
                <w:szCs w:val="24"/>
              </w:rPr>
              <w:t>。</w:t>
            </w:r>
          </w:p>
          <w:p w14:paraId="35AFA9B9">
            <w:pPr>
              <w:widowControl/>
              <w:ind w:firstLine="420" w:firstLineChars="0"/>
              <w:jc w:val="left"/>
              <w:rPr>
                <w:rFonts w:hint="default" w:cs="Times New Roman"/>
                <w:bCs/>
                <w:color w:val="000000" w:themeColor="text1"/>
                <w:kern w:val="0"/>
                <w:szCs w:val="24"/>
                <w:lang w:val="en-US"/>
                <w14:textFill>
                  <w14:solidFill>
                    <w14:schemeClr w14:val="tx1"/>
                  </w14:solidFill>
                </w14:textFill>
              </w:rPr>
            </w:pPr>
            <w:r>
              <w:rPr>
                <w:rFonts w:hint="eastAsia" w:cs="Times New Roman"/>
                <w:bCs/>
                <w:color w:val="000000" w:themeColor="text1"/>
                <w:kern w:val="0"/>
                <w:szCs w:val="24"/>
                <w14:textFill>
                  <w14:solidFill>
                    <w14:schemeClr w14:val="tx1"/>
                  </w14:solidFill>
                </w14:textFill>
              </w:rPr>
              <w:t>项目概况见表2.1，项目组成表见表2.2。</w:t>
            </w:r>
            <w:r>
              <w:rPr>
                <w:rFonts w:hint="default" w:cs="Times New Roman"/>
                <w:bCs/>
                <w:color w:val="000000" w:themeColor="text1"/>
                <w:kern w:val="0"/>
                <w:szCs w:val="24"/>
                <w:lang w:val="en-US"/>
                <w14:textFill>
                  <w14:solidFill>
                    <w14:schemeClr w14:val="tx1"/>
                  </w14:solidFill>
                </w14:textFill>
              </w:rPr>
              <w:t xml:space="preserve"> </w:t>
            </w:r>
          </w:p>
          <w:p w14:paraId="603E40F0">
            <w:pPr>
              <w:pStyle w:val="28"/>
              <w:jc w:val="center"/>
              <w:rPr>
                <w:b/>
                <w:bCs/>
              </w:rPr>
            </w:pPr>
            <w:r>
              <w:rPr>
                <w:rFonts w:hint="eastAsia"/>
                <w:b/>
                <w:bCs/>
              </w:rPr>
              <w:t>表2.1项目概况表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8"/>
              <w:gridCol w:w="7191"/>
            </w:tblGrid>
            <w:tr w14:paraId="30DB0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8" w:type="dxa"/>
                </w:tcPr>
                <w:p w14:paraId="614AD690">
                  <w:pPr>
                    <w:pStyle w:val="28"/>
                  </w:pPr>
                  <w:r>
                    <w:rPr>
                      <w:rFonts w:hint="eastAsia"/>
                    </w:rPr>
                    <w:t>工程类型</w:t>
                  </w:r>
                </w:p>
              </w:tc>
              <w:tc>
                <w:tcPr>
                  <w:tcW w:w="7191" w:type="dxa"/>
                </w:tcPr>
                <w:p w14:paraId="7409D0F3">
                  <w:pPr>
                    <w:pStyle w:val="28"/>
                  </w:pPr>
                  <w:r>
                    <w:rPr>
                      <w:rFonts w:hint="eastAsia"/>
                    </w:rPr>
                    <w:t>建设内容</w:t>
                  </w:r>
                </w:p>
              </w:tc>
            </w:tr>
            <w:tr w14:paraId="462B4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8" w:type="dxa"/>
                </w:tcPr>
                <w:p w14:paraId="560770B8">
                  <w:pPr>
                    <w:pStyle w:val="28"/>
                    <w:rPr>
                      <w:rFonts w:cs="Times New Roman"/>
                      <w:bCs/>
                    </w:rPr>
                  </w:pPr>
                  <w:r>
                    <w:rPr>
                      <w:rFonts w:hint="eastAsia" w:cs="Times New Roman"/>
                      <w:bCs/>
                    </w:rPr>
                    <w:t>新建</w:t>
                  </w:r>
                  <w:r>
                    <w:rPr>
                      <w:rFonts w:hint="eastAsia"/>
                    </w:rPr>
                    <w:t>110kV变电站</w:t>
                  </w:r>
                </w:p>
              </w:tc>
              <w:tc>
                <w:tcPr>
                  <w:tcW w:w="7191" w:type="dxa"/>
                </w:tcPr>
                <w:p w14:paraId="79455829">
                  <w:pPr>
                    <w:pStyle w:val="28"/>
                  </w:pPr>
                  <w:r>
                    <w:rPr>
                      <w:rFonts w:hint="eastAsia" w:cs="Times New Roman"/>
                      <w:bCs/>
                    </w:rPr>
                    <w:t>变电站占地面积4200m</w:t>
                  </w:r>
                  <w:r>
                    <w:rPr>
                      <w:rFonts w:hint="eastAsia" w:cs="Times New Roman"/>
                      <w:bCs/>
                      <w:vertAlign w:val="superscript"/>
                    </w:rPr>
                    <w:t>2</w:t>
                  </w:r>
                  <w:r>
                    <w:rPr>
                      <w:rFonts w:hint="eastAsia" w:cs="Times New Roman"/>
                      <w:bCs/>
                    </w:rPr>
                    <w:t>。</w:t>
                  </w:r>
                </w:p>
                <w:p w14:paraId="43266CCC">
                  <w:pPr>
                    <w:pStyle w:val="28"/>
                  </w:pPr>
                  <w:r>
                    <w:rPr>
                      <w:rFonts w:hint="eastAsia"/>
                    </w:rPr>
                    <w:t>规划主变容量为2×63MVA，本期安装1×63MVA主变，主变采用三相双绕组有载调压油浸自冷变压器，电压等级110/35kV。</w:t>
                  </w:r>
                </w:p>
                <w:p w14:paraId="1B2BE338">
                  <w:pPr>
                    <w:pStyle w:val="28"/>
                  </w:pPr>
                  <w:r>
                    <w:rPr>
                      <w:rFonts w:hint="eastAsia"/>
                    </w:rPr>
                    <w:t>110kV规划出线8回，本期3回，1 回至新材料 220kV 变电站，其余 2 回为整流变压器出线。</w:t>
                  </w:r>
                </w:p>
                <w:p w14:paraId="4DCD9290">
                  <w:pPr>
                    <w:pStyle w:val="28"/>
                  </w:pPr>
                  <w:r>
                    <w:rPr>
                      <w:rFonts w:hint="eastAsia"/>
                    </w:rPr>
                    <w:t>35kV 出线规划 20 回，本期建设 5回，配电装置经电缆沟向西、向南采用电缆出线接入生产区。</w:t>
                  </w:r>
                </w:p>
                <w:p w14:paraId="4727E207">
                  <w:pPr>
                    <w:pStyle w:val="28"/>
                    <w:rPr>
                      <w:color w:val="000000" w:themeColor="text1"/>
                      <w14:textFill>
                        <w14:solidFill>
                          <w14:schemeClr w14:val="tx1"/>
                        </w14:solidFill>
                      </w14:textFill>
                    </w:rPr>
                  </w:pPr>
                  <w:r>
                    <w:rPr>
                      <w:rFonts w:hint="eastAsia"/>
                    </w:rPr>
                    <w:t>每台主变35kV侧安装2组7.5Mvar 无功补偿电容器。</w:t>
                  </w:r>
                </w:p>
              </w:tc>
            </w:tr>
          </w:tbl>
          <w:p w14:paraId="73169D14">
            <w:pPr>
              <w:widowControl/>
              <w:ind w:firstLine="0" w:firstLineChars="0"/>
              <w:jc w:val="center"/>
              <w:rPr>
                <w:rFonts w:cs="Times New Roman"/>
                <w:b/>
                <w:bCs/>
                <w:color w:val="000000" w:themeColor="text1"/>
                <w:kern w:val="0"/>
                <w:sz w:val="21"/>
                <w:szCs w:val="21"/>
                <w14:textFill>
                  <w14:solidFill>
                    <w14:schemeClr w14:val="tx1"/>
                  </w14:solidFill>
                </w14:textFill>
              </w:rPr>
            </w:pPr>
            <w:r>
              <w:rPr>
                <w:rFonts w:cs="Times New Roman"/>
                <w:b/>
                <w:bCs/>
                <w:color w:val="000000" w:themeColor="text1"/>
                <w:kern w:val="0"/>
                <w:sz w:val="21"/>
                <w:szCs w:val="21"/>
                <w14:textFill>
                  <w14:solidFill>
                    <w14:schemeClr w14:val="tx1"/>
                  </w14:solidFill>
                </w14:textFill>
              </w:rPr>
              <w:t>表2.</w:t>
            </w:r>
            <w:r>
              <w:rPr>
                <w:rFonts w:hint="eastAsia" w:cs="Times New Roman"/>
                <w:b/>
                <w:bCs/>
                <w:color w:val="000000" w:themeColor="text1"/>
                <w:kern w:val="0"/>
                <w:sz w:val="21"/>
                <w:szCs w:val="21"/>
                <w14:textFill>
                  <w14:solidFill>
                    <w14:schemeClr w14:val="tx1"/>
                  </w14:solidFill>
                </w14:textFill>
              </w:rPr>
              <w:t>2</w:t>
            </w:r>
            <w:r>
              <w:rPr>
                <w:rFonts w:cs="Times New Roman"/>
                <w:b/>
                <w:bCs/>
                <w:color w:val="000000" w:themeColor="text1"/>
                <w:kern w:val="0"/>
                <w:sz w:val="21"/>
                <w:szCs w:val="21"/>
                <w14:textFill>
                  <w14:solidFill>
                    <w14:schemeClr w14:val="tx1"/>
                  </w14:solidFill>
                </w14:textFill>
              </w:rPr>
              <w:t xml:space="preserve"> 工程</w:t>
            </w:r>
            <w:r>
              <w:rPr>
                <w:rFonts w:hint="eastAsia" w:cs="Times New Roman"/>
                <w:b/>
                <w:bCs/>
                <w:color w:val="000000" w:themeColor="text1"/>
                <w:kern w:val="0"/>
                <w:sz w:val="21"/>
                <w:szCs w:val="21"/>
                <w14:textFill>
                  <w14:solidFill>
                    <w14:schemeClr w14:val="tx1"/>
                  </w14:solidFill>
                </w14:textFill>
              </w:rPr>
              <w:t>项目组成</w:t>
            </w:r>
            <w:r>
              <w:rPr>
                <w:rFonts w:cs="Times New Roman"/>
                <w:b/>
                <w:bCs/>
                <w:color w:val="000000" w:themeColor="text1"/>
                <w:kern w:val="0"/>
                <w:sz w:val="21"/>
                <w:szCs w:val="21"/>
                <w14:textFill>
                  <w14:solidFill>
                    <w14:schemeClr w14:val="tx1"/>
                  </w14:solidFill>
                </w14:textFill>
              </w:rPr>
              <w:t>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1"/>
              <w:gridCol w:w="1107"/>
              <w:gridCol w:w="6771"/>
            </w:tblGrid>
            <w:tr w14:paraId="5D1A3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768" w:type="dxa"/>
                  <w:gridSpan w:val="2"/>
                  <w:vAlign w:val="center"/>
                </w:tcPr>
                <w:p w14:paraId="58F4AC7B">
                  <w:pPr>
                    <w:pStyle w:val="26"/>
                    <w:widowControl w:val="0"/>
                    <w:rPr>
                      <w:b w:val="0"/>
                      <w:bCs w:val="0"/>
                      <w:lang w:val="en-US"/>
                    </w:rPr>
                  </w:pPr>
                  <w:r>
                    <w:rPr>
                      <w:rFonts w:hint="eastAsia"/>
                      <w:b w:val="0"/>
                      <w:bCs w:val="0"/>
                      <w:lang w:val="en-US"/>
                    </w:rPr>
                    <w:t>建设内容</w:t>
                  </w:r>
                </w:p>
              </w:tc>
              <w:tc>
                <w:tcPr>
                  <w:tcW w:w="6771" w:type="dxa"/>
                  <w:vAlign w:val="center"/>
                </w:tcPr>
                <w:p w14:paraId="1B03F421">
                  <w:pPr>
                    <w:pStyle w:val="26"/>
                    <w:widowControl w:val="0"/>
                    <w:rPr>
                      <w:b w:val="0"/>
                      <w:bCs w:val="0"/>
                      <w:lang w:val="en-US"/>
                    </w:rPr>
                  </w:pPr>
                  <w:r>
                    <w:rPr>
                      <w:rFonts w:hint="eastAsia"/>
                      <w:b w:val="0"/>
                      <w:bCs w:val="0"/>
                      <w:lang w:val="en-US"/>
                    </w:rPr>
                    <w:t>工程规模</w:t>
                  </w:r>
                </w:p>
              </w:tc>
            </w:tr>
            <w:tr w14:paraId="6E840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661" w:type="dxa"/>
                  <w:vMerge w:val="restart"/>
                  <w:vAlign w:val="center"/>
                </w:tcPr>
                <w:p w14:paraId="578A1B89">
                  <w:pPr>
                    <w:pStyle w:val="26"/>
                    <w:widowControl w:val="0"/>
                    <w:rPr>
                      <w:b w:val="0"/>
                      <w:bCs w:val="0"/>
                      <w:lang w:val="en-US"/>
                    </w:rPr>
                  </w:pPr>
                  <w:r>
                    <w:rPr>
                      <w:rFonts w:hint="eastAsia"/>
                      <w:b w:val="0"/>
                      <w:bCs w:val="0"/>
                      <w:lang w:val="en-US"/>
                    </w:rPr>
                    <w:t>主体工程</w:t>
                  </w:r>
                </w:p>
              </w:tc>
              <w:tc>
                <w:tcPr>
                  <w:tcW w:w="1107" w:type="dxa"/>
                  <w:vAlign w:val="center"/>
                </w:tcPr>
                <w:p w14:paraId="0922D2C1">
                  <w:pPr>
                    <w:pStyle w:val="26"/>
                    <w:widowControl w:val="0"/>
                    <w:rPr>
                      <w:b w:val="0"/>
                      <w:bCs w:val="0"/>
                      <w:lang w:val="en-US"/>
                    </w:rPr>
                  </w:pPr>
                  <w:r>
                    <w:rPr>
                      <w:rFonts w:hint="eastAsia"/>
                      <w:b w:val="0"/>
                      <w:bCs w:val="0"/>
                      <w:lang w:val="en-US"/>
                    </w:rPr>
                    <w:t>110kV户外变电站</w:t>
                  </w:r>
                </w:p>
              </w:tc>
              <w:tc>
                <w:tcPr>
                  <w:tcW w:w="6771" w:type="dxa"/>
                  <w:vAlign w:val="center"/>
                </w:tcPr>
                <w:p w14:paraId="4DE8F802">
                  <w:pPr>
                    <w:pStyle w:val="26"/>
                    <w:widowControl w:val="0"/>
                    <w:rPr>
                      <w:b w:val="0"/>
                      <w:bCs w:val="0"/>
                      <w:lang w:val="en-US"/>
                    </w:rPr>
                  </w:pPr>
                  <w:r>
                    <w:rPr>
                      <w:rFonts w:hint="eastAsia"/>
                      <w:b w:val="0"/>
                      <w:bCs w:val="0"/>
                      <w:lang w:val="en-US"/>
                    </w:rPr>
                    <w:t>主变户外布置，南北排列，变电站</w:t>
                  </w:r>
                  <w:r>
                    <w:rPr>
                      <w:rFonts w:hint="eastAsia"/>
                      <w:b w:val="0"/>
                      <w:bCs w:val="0"/>
                    </w:rPr>
                    <w:t>规划主变容量为</w:t>
                  </w:r>
                  <w:r>
                    <w:rPr>
                      <w:rFonts w:hint="eastAsia"/>
                      <w:b w:val="0"/>
                      <w:bCs w:val="0"/>
                      <w:lang w:val="en-US"/>
                    </w:rPr>
                    <w:t>2</w:t>
                  </w:r>
                  <w:r>
                    <w:rPr>
                      <w:rFonts w:hint="eastAsia"/>
                      <w:b w:val="0"/>
                      <w:bCs w:val="0"/>
                    </w:rPr>
                    <w:t>×63MVA，本期安装</w:t>
                  </w:r>
                  <w:r>
                    <w:rPr>
                      <w:rFonts w:hint="eastAsia"/>
                      <w:b w:val="0"/>
                      <w:bCs w:val="0"/>
                      <w:lang w:val="en-US"/>
                    </w:rPr>
                    <w:t>1</w:t>
                  </w:r>
                  <w:r>
                    <w:rPr>
                      <w:rFonts w:hint="eastAsia"/>
                      <w:b w:val="0"/>
                      <w:bCs w:val="0"/>
                    </w:rPr>
                    <w:t>×63MVA主变，</w:t>
                  </w:r>
                  <w:r>
                    <w:rPr>
                      <w:rFonts w:hint="eastAsia"/>
                      <w:b w:val="0"/>
                      <w:bCs w:val="0"/>
                      <w:lang w:val="en-US"/>
                    </w:rPr>
                    <w:t>预留一台主变位置，新建二次设备室一座，面积200.88m</w:t>
                  </w:r>
                  <w:r>
                    <w:rPr>
                      <w:rFonts w:hint="eastAsia"/>
                      <w:b w:val="0"/>
                      <w:bCs w:val="0"/>
                      <w:vertAlign w:val="superscript"/>
                      <w:lang w:val="en-US"/>
                    </w:rPr>
                    <w:t>2</w:t>
                  </w:r>
                  <w:r>
                    <w:rPr>
                      <w:rFonts w:hint="eastAsia"/>
                      <w:b w:val="0"/>
                      <w:bCs w:val="0"/>
                      <w:lang w:val="en-US"/>
                    </w:rPr>
                    <w:t>，新建110kVGIS室一座面积322.92m</w:t>
                  </w:r>
                  <w:r>
                    <w:rPr>
                      <w:rFonts w:hint="eastAsia"/>
                      <w:b w:val="0"/>
                      <w:bCs w:val="0"/>
                      <w:vertAlign w:val="superscript"/>
                      <w:lang w:val="en-US"/>
                    </w:rPr>
                    <w:t>2</w:t>
                  </w:r>
                  <w:r>
                    <w:rPr>
                      <w:rFonts w:hint="eastAsia"/>
                      <w:b w:val="0"/>
                      <w:bCs w:val="0"/>
                      <w:lang w:val="en-US"/>
                    </w:rPr>
                    <w:t>，新建配电装置室一座面积431.64m</w:t>
                  </w:r>
                  <w:r>
                    <w:rPr>
                      <w:rFonts w:hint="eastAsia"/>
                      <w:b w:val="0"/>
                      <w:bCs w:val="0"/>
                      <w:vertAlign w:val="superscript"/>
                      <w:lang w:val="en-US"/>
                    </w:rPr>
                    <w:t>2</w:t>
                  </w:r>
                  <w:r>
                    <w:rPr>
                      <w:rFonts w:hint="eastAsia"/>
                      <w:b w:val="0"/>
                      <w:bCs w:val="0"/>
                      <w:lang w:val="en-US"/>
                    </w:rPr>
                    <w:t>，</w:t>
                  </w:r>
                </w:p>
              </w:tc>
            </w:tr>
            <w:tr w14:paraId="5DBFD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61" w:type="dxa"/>
                  <w:vMerge w:val="restart"/>
                  <w:vAlign w:val="center"/>
                </w:tcPr>
                <w:p w14:paraId="54164BBF">
                  <w:pPr>
                    <w:pStyle w:val="26"/>
                    <w:widowControl w:val="0"/>
                    <w:rPr>
                      <w:b w:val="0"/>
                      <w:bCs w:val="0"/>
                      <w:lang w:val="en-US"/>
                    </w:rPr>
                  </w:pPr>
                  <w:r>
                    <w:rPr>
                      <w:rFonts w:hint="eastAsia"/>
                      <w:b w:val="0"/>
                      <w:bCs w:val="0"/>
                      <w:lang w:val="en-US"/>
                    </w:rPr>
                    <w:t>公辅工程</w:t>
                  </w:r>
                </w:p>
              </w:tc>
              <w:tc>
                <w:tcPr>
                  <w:tcW w:w="1107" w:type="dxa"/>
                  <w:vAlign w:val="center"/>
                </w:tcPr>
                <w:p w14:paraId="60C4E19C">
                  <w:pPr>
                    <w:pStyle w:val="26"/>
                    <w:widowControl w:val="0"/>
                    <w:rPr>
                      <w:b w:val="0"/>
                      <w:bCs w:val="0"/>
                      <w:lang w:val="en-US"/>
                    </w:rPr>
                  </w:pPr>
                  <w:r>
                    <w:rPr>
                      <w:rFonts w:hint="eastAsia"/>
                      <w:b w:val="0"/>
                      <w:bCs w:val="0"/>
                      <w:lang w:val="en-US"/>
                    </w:rPr>
                    <w:t>给水</w:t>
                  </w:r>
                </w:p>
              </w:tc>
              <w:tc>
                <w:tcPr>
                  <w:tcW w:w="6771" w:type="dxa"/>
                  <w:vAlign w:val="center"/>
                </w:tcPr>
                <w:p w14:paraId="0DC4123B">
                  <w:pPr>
                    <w:pStyle w:val="26"/>
                    <w:widowControl w:val="0"/>
                    <w:rPr>
                      <w:b w:val="0"/>
                      <w:bCs w:val="0"/>
                      <w:lang w:val="en-US"/>
                    </w:rPr>
                  </w:pPr>
                  <w:r>
                    <w:rPr>
                      <w:rFonts w:hint="eastAsia"/>
                      <w:b w:val="0"/>
                      <w:bCs w:val="0"/>
                      <w:lang w:val="en-US"/>
                    </w:rPr>
                    <w:t>站区生活用水依托</w:t>
                  </w:r>
                  <w:r>
                    <w:rPr>
                      <w:rFonts w:hint="eastAsia"/>
                      <w:b w:val="0"/>
                      <w:bCs w:val="0"/>
                      <w:color w:val="000000"/>
                      <w:szCs w:val="24"/>
                    </w:rPr>
                    <w:t>内蒙古新蒙新科技有限公司</w:t>
                  </w:r>
                  <w:r>
                    <w:rPr>
                      <w:rFonts w:hint="eastAsia"/>
                      <w:b w:val="0"/>
                      <w:bCs w:val="0"/>
                      <w:lang w:val="en-US"/>
                    </w:rPr>
                    <w:t>厂区供水管网</w:t>
                  </w:r>
                </w:p>
              </w:tc>
            </w:tr>
            <w:tr w14:paraId="59E2D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61" w:type="dxa"/>
                  <w:vMerge w:val="continue"/>
                  <w:vAlign w:val="center"/>
                </w:tcPr>
                <w:p w14:paraId="5BF122C1">
                  <w:pPr>
                    <w:pStyle w:val="26"/>
                    <w:widowControl w:val="0"/>
                    <w:rPr>
                      <w:b w:val="0"/>
                      <w:bCs w:val="0"/>
                    </w:rPr>
                  </w:pPr>
                </w:p>
              </w:tc>
              <w:tc>
                <w:tcPr>
                  <w:tcW w:w="1107" w:type="dxa"/>
                  <w:vAlign w:val="center"/>
                </w:tcPr>
                <w:p w14:paraId="3F3599CC">
                  <w:pPr>
                    <w:pStyle w:val="26"/>
                    <w:widowControl w:val="0"/>
                    <w:rPr>
                      <w:b w:val="0"/>
                      <w:bCs w:val="0"/>
                      <w:lang w:val="en-US"/>
                    </w:rPr>
                  </w:pPr>
                  <w:r>
                    <w:rPr>
                      <w:rFonts w:hint="eastAsia"/>
                      <w:b w:val="0"/>
                      <w:bCs w:val="0"/>
                      <w:lang w:val="en-US"/>
                    </w:rPr>
                    <w:t>排水</w:t>
                  </w:r>
                </w:p>
              </w:tc>
              <w:tc>
                <w:tcPr>
                  <w:tcW w:w="6771" w:type="dxa"/>
                  <w:vAlign w:val="center"/>
                </w:tcPr>
                <w:p w14:paraId="70CE4954">
                  <w:pPr>
                    <w:pStyle w:val="26"/>
                    <w:widowControl w:val="0"/>
                    <w:rPr>
                      <w:b w:val="0"/>
                      <w:bCs w:val="0"/>
                      <w:lang w:val="en-US"/>
                    </w:rPr>
                  </w:pPr>
                  <w:r>
                    <w:rPr>
                      <w:rFonts w:hint="eastAsia"/>
                      <w:b w:val="0"/>
                      <w:bCs w:val="0"/>
                      <w:lang w:val="en-US"/>
                    </w:rPr>
                    <w:t>生</w:t>
                  </w:r>
                  <w:r>
                    <w:rPr>
                      <w:rFonts w:hint="eastAsia"/>
                      <w:b w:val="0"/>
                      <w:bCs w:val="0"/>
                    </w:rPr>
                    <w:t>活污水</w:t>
                  </w:r>
                  <w:r>
                    <w:rPr>
                      <w:rFonts w:hint="eastAsia"/>
                      <w:b w:val="0"/>
                      <w:bCs w:val="0"/>
                      <w:lang w:val="en-US"/>
                    </w:rPr>
                    <w:t>依托厂区卫生间收集，排入现有化粪池处理后，拉运至苏尼特右旗新蒙新材料有限公司生活污水处理站（规模200m</w:t>
                  </w:r>
                  <w:r>
                    <w:rPr>
                      <w:rFonts w:hint="eastAsia"/>
                      <w:b w:val="0"/>
                      <w:bCs w:val="0"/>
                      <w:vertAlign w:val="superscript"/>
                      <w:lang w:val="en-US"/>
                    </w:rPr>
                    <w:t>3</w:t>
                  </w:r>
                  <w:r>
                    <w:rPr>
                      <w:rFonts w:hint="eastAsia"/>
                      <w:b w:val="0"/>
                      <w:bCs w:val="0"/>
                      <w:lang w:val="en-US"/>
                    </w:rPr>
                    <w:t>/d地埋式生活污水处理站）处理。</w:t>
                  </w:r>
                </w:p>
              </w:tc>
            </w:tr>
            <w:tr w14:paraId="3D117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61" w:type="dxa"/>
                  <w:vMerge w:val="continue"/>
                  <w:vAlign w:val="center"/>
                </w:tcPr>
                <w:p w14:paraId="2D0B5C20">
                  <w:pPr>
                    <w:pStyle w:val="26"/>
                    <w:widowControl w:val="0"/>
                    <w:rPr>
                      <w:b w:val="0"/>
                      <w:bCs w:val="0"/>
                    </w:rPr>
                  </w:pPr>
                </w:p>
              </w:tc>
              <w:tc>
                <w:tcPr>
                  <w:tcW w:w="1107" w:type="dxa"/>
                  <w:vAlign w:val="center"/>
                </w:tcPr>
                <w:p w14:paraId="10BB47B4">
                  <w:pPr>
                    <w:pStyle w:val="26"/>
                    <w:widowControl w:val="0"/>
                    <w:rPr>
                      <w:b w:val="0"/>
                      <w:bCs w:val="0"/>
                      <w:lang w:val="en-US"/>
                    </w:rPr>
                  </w:pPr>
                  <w:r>
                    <w:rPr>
                      <w:rFonts w:hint="eastAsia"/>
                      <w:b w:val="0"/>
                      <w:bCs w:val="0"/>
                      <w:lang w:val="en-US"/>
                    </w:rPr>
                    <w:t>供暖</w:t>
                  </w:r>
                </w:p>
              </w:tc>
              <w:tc>
                <w:tcPr>
                  <w:tcW w:w="6771" w:type="dxa"/>
                  <w:vAlign w:val="center"/>
                </w:tcPr>
                <w:p w14:paraId="287A3F0C">
                  <w:pPr>
                    <w:pStyle w:val="26"/>
                    <w:widowControl w:val="0"/>
                    <w:rPr>
                      <w:b w:val="0"/>
                      <w:bCs w:val="0"/>
                    </w:rPr>
                  </w:pPr>
                  <w:r>
                    <w:rPr>
                      <w:rFonts w:hint="eastAsia"/>
                      <w:b w:val="0"/>
                      <w:bCs w:val="0"/>
                    </w:rPr>
                    <w:t>采用壁挂式电暖气</w:t>
                  </w:r>
                </w:p>
              </w:tc>
            </w:tr>
            <w:tr w14:paraId="7FD82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768" w:type="dxa"/>
                  <w:gridSpan w:val="2"/>
                  <w:vAlign w:val="center"/>
                </w:tcPr>
                <w:p w14:paraId="11A28DA2">
                  <w:pPr>
                    <w:pStyle w:val="26"/>
                    <w:widowControl w:val="0"/>
                    <w:rPr>
                      <w:b w:val="0"/>
                      <w:bCs w:val="0"/>
                      <w:lang w:val="en-US"/>
                    </w:rPr>
                  </w:pPr>
                  <w:r>
                    <w:rPr>
                      <w:rFonts w:hint="eastAsia"/>
                      <w:b w:val="0"/>
                      <w:bCs w:val="0"/>
                      <w:lang w:val="en-US"/>
                    </w:rPr>
                    <w:t>环保工程</w:t>
                  </w:r>
                </w:p>
              </w:tc>
              <w:tc>
                <w:tcPr>
                  <w:tcW w:w="6771" w:type="dxa"/>
                  <w:vAlign w:val="center"/>
                </w:tcPr>
                <w:p w14:paraId="4108529F">
                  <w:pPr>
                    <w:pStyle w:val="26"/>
                    <w:widowControl w:val="0"/>
                    <w:rPr>
                      <w:b w:val="0"/>
                      <w:bCs w:val="0"/>
                      <w:color w:val="000000"/>
                      <w:highlight w:val="red"/>
                      <w:lang w:val="en-US"/>
                    </w:rPr>
                  </w:pPr>
                  <w:r>
                    <w:rPr>
                      <w:rFonts w:hint="eastAsia"/>
                      <w:b w:val="0"/>
                      <w:bCs w:val="0"/>
                      <w:lang w:val="en-US"/>
                    </w:rPr>
                    <w:t>主变下设置事故油坑，厂区南侧有1座30m</w:t>
                  </w:r>
                  <w:r>
                    <w:rPr>
                      <w:rFonts w:hint="eastAsia"/>
                      <w:b w:val="0"/>
                      <w:bCs w:val="0"/>
                      <w:vertAlign w:val="superscript"/>
                      <w:lang w:val="en-US"/>
                    </w:rPr>
                    <w:t>3</w:t>
                  </w:r>
                  <w:r>
                    <w:rPr>
                      <w:rFonts w:hint="eastAsia"/>
                      <w:b w:val="0"/>
                      <w:bCs w:val="0"/>
                      <w:lang w:val="en-US"/>
                    </w:rPr>
                    <w:t>事故油池，事故油经油坑底部有排油管排入事故油池（</w:t>
                  </w:r>
                  <w:r>
                    <w:rPr>
                      <w:rFonts w:hint="eastAsia"/>
                      <w:b w:val="0"/>
                      <w:bCs w:val="0"/>
                      <w:color w:val="0000FF"/>
                      <w:szCs w:val="28"/>
                    </w:rPr>
                    <w:t>单台主变最大油量为</w:t>
                  </w:r>
                  <w:r>
                    <w:rPr>
                      <w:rFonts w:hint="eastAsia"/>
                      <w:b w:val="0"/>
                      <w:bCs w:val="0"/>
                      <w:color w:val="0000FF"/>
                      <w:szCs w:val="24"/>
                      <w:lang w:val="en-US"/>
                    </w:rPr>
                    <w:t>20</w:t>
                  </w:r>
                  <w:r>
                    <w:rPr>
                      <w:rFonts w:hint="eastAsia"/>
                      <w:b w:val="0"/>
                      <w:bCs w:val="0"/>
                      <w:color w:val="0000FF"/>
                      <w:szCs w:val="24"/>
                    </w:rPr>
                    <w:t xml:space="preserve"> </w:t>
                  </w:r>
                  <w:r>
                    <w:rPr>
                      <w:rFonts w:hint="eastAsia"/>
                      <w:b w:val="0"/>
                      <w:bCs w:val="0"/>
                      <w:color w:val="0000FF"/>
                      <w:szCs w:val="24"/>
                      <w:lang w:val="en-US"/>
                    </w:rPr>
                    <w:t>t</w:t>
                  </w:r>
                  <w:r>
                    <w:rPr>
                      <w:rFonts w:hint="eastAsia"/>
                      <w:b w:val="0"/>
                      <w:bCs w:val="0"/>
                      <w:color w:val="0000FF"/>
                      <w:szCs w:val="24"/>
                    </w:rPr>
                    <w:t>，</w:t>
                  </w:r>
                  <w:r>
                    <w:rPr>
                      <w:rFonts w:hint="eastAsia"/>
                      <w:b w:val="0"/>
                      <w:bCs w:val="0"/>
                      <w:color w:val="0000FF"/>
                      <w:szCs w:val="24"/>
                      <w:lang w:val="en-US"/>
                    </w:rPr>
                    <w:t>密度约0.9g/cm³，约22m</w:t>
                  </w:r>
                  <w:r>
                    <w:rPr>
                      <w:rFonts w:hint="eastAsia"/>
                      <w:b w:val="0"/>
                      <w:bCs w:val="0"/>
                      <w:color w:val="0000FF"/>
                      <w:szCs w:val="24"/>
                      <w:vertAlign w:val="superscript"/>
                      <w:lang w:val="en-US"/>
                    </w:rPr>
                    <w:t>3</w:t>
                  </w:r>
                  <w:r>
                    <w:rPr>
                      <w:rFonts w:hint="eastAsia"/>
                      <w:b w:val="0"/>
                      <w:bCs w:val="0"/>
                      <w:color w:val="0000FF"/>
                      <w:szCs w:val="24"/>
                      <w:lang w:val="en-US"/>
                    </w:rPr>
                    <w:t>，30m</w:t>
                  </w:r>
                  <w:r>
                    <w:rPr>
                      <w:rFonts w:hint="eastAsia"/>
                      <w:b w:val="0"/>
                      <w:bCs w:val="0"/>
                      <w:color w:val="0000FF"/>
                      <w:szCs w:val="24"/>
                      <w:vertAlign w:val="superscript"/>
                      <w:lang w:val="en-US"/>
                    </w:rPr>
                    <w:t>3</w:t>
                  </w:r>
                  <w:r>
                    <w:rPr>
                      <w:rFonts w:hint="eastAsia"/>
                      <w:b w:val="0"/>
                      <w:bCs w:val="0"/>
                      <w:color w:val="0000FF"/>
                      <w:szCs w:val="24"/>
                      <w:lang w:val="en-US"/>
                    </w:rPr>
                    <w:t>事故油池满足单台主变全部泄露容积要求</w:t>
                  </w:r>
                  <w:r>
                    <w:rPr>
                      <w:rFonts w:hint="eastAsia"/>
                      <w:b w:val="0"/>
                      <w:bCs w:val="0"/>
                      <w:color w:val="000000"/>
                      <w:lang w:val="en-US"/>
                    </w:rPr>
                    <w:t>）</w:t>
                  </w:r>
                </w:p>
                <w:p w14:paraId="429D0EAB">
                  <w:pPr>
                    <w:pStyle w:val="26"/>
                    <w:widowControl w:val="0"/>
                    <w:rPr>
                      <w:b w:val="0"/>
                      <w:bCs w:val="0"/>
                      <w:lang w:val="en-US"/>
                    </w:rPr>
                  </w:pPr>
                  <w:r>
                    <w:rPr>
                      <w:rFonts w:hint="eastAsia"/>
                      <w:b w:val="0"/>
                      <w:bCs w:val="0"/>
                      <w:color w:val="000000"/>
                      <w:lang w:val="en-US"/>
                    </w:rPr>
                    <w:t>油坑及油池进行基础防渗（防渗层为至少 1m 厚黏土层(渗透系数不大于10</w:t>
                  </w:r>
                  <w:r>
                    <w:rPr>
                      <w:rFonts w:hint="eastAsia"/>
                      <w:b w:val="0"/>
                      <w:bCs w:val="0"/>
                      <w:color w:val="000000"/>
                      <w:vertAlign w:val="superscript"/>
                      <w:lang w:val="en-US"/>
                    </w:rPr>
                    <w:t>-7</w:t>
                  </w:r>
                  <w:r>
                    <w:rPr>
                      <w:rFonts w:hint="eastAsia"/>
                      <w:b w:val="0"/>
                      <w:bCs w:val="0"/>
                      <w:color w:val="000000"/>
                      <w:lang w:val="en-US"/>
                    </w:rPr>
                    <w:t>cm/s)，或至少2mm厚高密度聚乙烯膜等人工防渗材料(渗透系数不大于10</w:t>
                  </w:r>
                  <w:r>
                    <w:rPr>
                      <w:rFonts w:hint="eastAsia"/>
                      <w:b w:val="0"/>
                      <w:bCs w:val="0"/>
                      <w:color w:val="000000"/>
                      <w:vertAlign w:val="superscript"/>
                      <w:lang w:val="en-US"/>
                    </w:rPr>
                    <w:t>-10</w:t>
                  </w:r>
                  <w:r>
                    <w:rPr>
                      <w:rFonts w:hint="eastAsia"/>
                      <w:b w:val="0"/>
                      <w:bCs w:val="0"/>
                      <w:color w:val="000000"/>
                      <w:lang w:val="en-US"/>
                    </w:rPr>
                    <w:t>cm/s)，或其他防渗性能等效的材料。）</w:t>
                  </w:r>
                </w:p>
              </w:tc>
            </w:tr>
          </w:tbl>
          <w:p w14:paraId="2133016F">
            <w:pPr>
              <w:ind w:firstLine="0" w:firstLineChars="0"/>
              <w:rPr>
                <w:szCs w:val="28"/>
              </w:rPr>
            </w:pPr>
            <w:r>
              <w:rPr>
                <w:rFonts w:hint="eastAsia"/>
                <w:b/>
                <w:bCs/>
                <w:szCs w:val="28"/>
              </w:rPr>
              <w:t>3、</w:t>
            </w:r>
            <w:r>
              <w:rPr>
                <w:b/>
                <w:bCs/>
                <w:szCs w:val="28"/>
              </w:rPr>
              <w:t>主要电气设备选择</w:t>
            </w:r>
          </w:p>
          <w:p w14:paraId="1FBCE26B">
            <w:pPr>
              <w:ind w:firstLine="480"/>
              <w:rPr>
                <w:szCs w:val="28"/>
              </w:rPr>
            </w:pPr>
            <w:r>
              <w:rPr>
                <w:rFonts w:hint="eastAsia"/>
                <w:szCs w:val="28"/>
              </w:rPr>
              <w:t>3</w:t>
            </w:r>
            <w:r>
              <w:rPr>
                <w:szCs w:val="28"/>
              </w:rPr>
              <w:t>.1</w:t>
            </w:r>
            <w:r>
              <w:rPr>
                <w:rFonts w:hint="eastAsia"/>
                <w:szCs w:val="28"/>
              </w:rPr>
              <w:t>短路电流</w:t>
            </w:r>
          </w:p>
          <w:p w14:paraId="2016B458">
            <w:pPr>
              <w:ind w:firstLine="480"/>
              <w:rPr>
                <w:szCs w:val="28"/>
              </w:rPr>
            </w:pPr>
            <w:r>
              <w:rPr>
                <w:rFonts w:hint="eastAsia"/>
                <w:szCs w:val="28"/>
              </w:rPr>
              <w:t>主变高压侧采用双母线接线 ，主变低压侧采用单母线分段接线。主变压器 110kV 侧母线短路电流有效值 14.38 kA，35kV 侧母线短路电流有效值 13.19 kA。</w:t>
            </w:r>
          </w:p>
          <w:p w14:paraId="33477DB9">
            <w:pPr>
              <w:ind w:firstLine="480"/>
              <w:rPr>
                <w:szCs w:val="28"/>
              </w:rPr>
            </w:pPr>
            <w:r>
              <w:rPr>
                <w:rFonts w:hint="eastAsia"/>
                <w:szCs w:val="28"/>
              </w:rPr>
              <w:t>3.2主要电气设备选型</w:t>
            </w:r>
          </w:p>
          <w:p w14:paraId="10500EC2">
            <w:pPr>
              <w:ind w:firstLine="480"/>
              <w:rPr>
                <w:szCs w:val="28"/>
              </w:rPr>
            </w:pPr>
            <w:r>
              <w:rPr>
                <w:rFonts w:hint="eastAsia"/>
                <w:szCs w:val="28"/>
              </w:rPr>
              <w:t xml:space="preserve"> (1) 主变压器</w:t>
            </w:r>
          </w:p>
          <w:p w14:paraId="1BC830FA">
            <w:pPr>
              <w:ind w:firstLine="480"/>
              <w:rPr>
                <w:szCs w:val="28"/>
              </w:rPr>
            </w:pPr>
            <w:r>
              <w:rPr>
                <w:rFonts w:hint="eastAsia"/>
                <w:szCs w:val="28"/>
              </w:rPr>
              <w:t>主变压器选择结果表如下</w:t>
            </w:r>
          </w:p>
          <w:p w14:paraId="4ABFBE63">
            <w:pPr>
              <w:ind w:firstLine="422"/>
              <w:jc w:val="center"/>
              <w:rPr>
                <w:b/>
                <w:bCs/>
                <w:sz w:val="21"/>
              </w:rPr>
            </w:pPr>
            <w:r>
              <w:rPr>
                <w:rFonts w:hint="eastAsia"/>
                <w:b/>
                <w:bCs/>
                <w:sz w:val="21"/>
              </w:rPr>
              <w:t>表2.3主变参数表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4"/>
              <w:gridCol w:w="6925"/>
            </w:tblGrid>
            <w:tr w14:paraId="551A3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4" w:type="dxa"/>
                </w:tcPr>
                <w:p w14:paraId="2E9D30B5">
                  <w:pPr>
                    <w:spacing w:line="240" w:lineRule="auto"/>
                    <w:ind w:firstLine="0" w:firstLineChars="0"/>
                    <w:rPr>
                      <w:sz w:val="21"/>
                      <w:szCs w:val="21"/>
                    </w:rPr>
                  </w:pPr>
                  <w:r>
                    <w:rPr>
                      <w:rFonts w:hint="eastAsia"/>
                      <w:sz w:val="21"/>
                      <w:szCs w:val="21"/>
                    </w:rPr>
                    <w:t>项目</w:t>
                  </w:r>
                </w:p>
              </w:tc>
              <w:tc>
                <w:tcPr>
                  <w:tcW w:w="6925" w:type="dxa"/>
                </w:tcPr>
                <w:p w14:paraId="673BE47B">
                  <w:pPr>
                    <w:spacing w:line="240" w:lineRule="auto"/>
                    <w:ind w:firstLine="0" w:firstLineChars="0"/>
                    <w:rPr>
                      <w:sz w:val="21"/>
                      <w:szCs w:val="21"/>
                    </w:rPr>
                  </w:pPr>
                  <w:r>
                    <w:rPr>
                      <w:rFonts w:hint="eastAsia"/>
                      <w:sz w:val="21"/>
                      <w:szCs w:val="21"/>
                    </w:rPr>
                    <w:t>参数</w:t>
                  </w:r>
                </w:p>
              </w:tc>
            </w:tr>
            <w:tr w14:paraId="2ECD0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4" w:type="dxa"/>
                </w:tcPr>
                <w:p w14:paraId="4E5C2602">
                  <w:pPr>
                    <w:spacing w:line="240" w:lineRule="auto"/>
                    <w:ind w:firstLine="0" w:firstLineChars="0"/>
                    <w:rPr>
                      <w:sz w:val="21"/>
                      <w:szCs w:val="21"/>
                    </w:rPr>
                  </w:pPr>
                  <w:r>
                    <w:rPr>
                      <w:rFonts w:hint="eastAsia"/>
                      <w:sz w:val="21"/>
                      <w:szCs w:val="21"/>
                    </w:rPr>
                    <w:t>型式</w:t>
                  </w:r>
                </w:p>
              </w:tc>
              <w:tc>
                <w:tcPr>
                  <w:tcW w:w="6925" w:type="dxa"/>
                </w:tcPr>
                <w:p w14:paraId="0413E0FB">
                  <w:pPr>
                    <w:spacing w:line="240" w:lineRule="auto"/>
                    <w:ind w:firstLine="0" w:firstLineChars="0"/>
                    <w:rPr>
                      <w:sz w:val="21"/>
                      <w:szCs w:val="21"/>
                    </w:rPr>
                  </w:pPr>
                  <w:r>
                    <w:rPr>
                      <w:rFonts w:hint="eastAsia"/>
                      <w:sz w:val="21"/>
                      <w:szCs w:val="21"/>
                    </w:rPr>
                    <w:t>三相双绕组油浸式有载调压自冷</w:t>
                  </w:r>
                </w:p>
              </w:tc>
            </w:tr>
            <w:tr w14:paraId="0D2C6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4" w:type="dxa"/>
                </w:tcPr>
                <w:p w14:paraId="07497C1B">
                  <w:pPr>
                    <w:spacing w:line="240" w:lineRule="auto"/>
                    <w:ind w:firstLine="0" w:firstLineChars="0"/>
                    <w:rPr>
                      <w:sz w:val="21"/>
                      <w:szCs w:val="21"/>
                    </w:rPr>
                  </w:pPr>
                  <w:r>
                    <w:rPr>
                      <w:rFonts w:hint="eastAsia"/>
                      <w:sz w:val="21"/>
                      <w:szCs w:val="21"/>
                    </w:rPr>
                    <w:t>容量</w:t>
                  </w:r>
                </w:p>
              </w:tc>
              <w:tc>
                <w:tcPr>
                  <w:tcW w:w="6925" w:type="dxa"/>
                </w:tcPr>
                <w:p w14:paraId="0EA057C1">
                  <w:pPr>
                    <w:spacing w:line="240" w:lineRule="auto"/>
                    <w:ind w:firstLine="0" w:firstLineChars="0"/>
                    <w:rPr>
                      <w:sz w:val="21"/>
                      <w:szCs w:val="21"/>
                    </w:rPr>
                  </w:pPr>
                  <w:r>
                    <w:rPr>
                      <w:rFonts w:hint="eastAsia"/>
                      <w:sz w:val="21"/>
                      <w:szCs w:val="21"/>
                    </w:rPr>
                    <w:t>63/63MVA</w:t>
                  </w:r>
                </w:p>
              </w:tc>
            </w:tr>
            <w:tr w14:paraId="15249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4" w:type="dxa"/>
                </w:tcPr>
                <w:p w14:paraId="0309DA3B">
                  <w:pPr>
                    <w:spacing w:line="240" w:lineRule="auto"/>
                    <w:ind w:firstLine="0" w:firstLineChars="0"/>
                    <w:rPr>
                      <w:sz w:val="21"/>
                      <w:szCs w:val="21"/>
                    </w:rPr>
                  </w:pPr>
                  <w:r>
                    <w:rPr>
                      <w:rFonts w:hint="eastAsia"/>
                      <w:sz w:val="21"/>
                      <w:szCs w:val="21"/>
                    </w:rPr>
                    <w:t>额定电压</w:t>
                  </w:r>
                </w:p>
              </w:tc>
              <w:tc>
                <w:tcPr>
                  <w:tcW w:w="6925" w:type="dxa"/>
                </w:tcPr>
                <w:p w14:paraId="7AAE4ABE">
                  <w:pPr>
                    <w:spacing w:line="240" w:lineRule="auto"/>
                    <w:ind w:firstLine="0" w:firstLineChars="0"/>
                    <w:rPr>
                      <w:sz w:val="21"/>
                      <w:szCs w:val="21"/>
                    </w:rPr>
                  </w:pPr>
                  <w:r>
                    <w:rPr>
                      <w:rFonts w:hint="eastAsia"/>
                      <w:sz w:val="21"/>
                      <w:szCs w:val="21"/>
                    </w:rPr>
                    <w:t>110±8×1.25%/38.5kV</w:t>
                  </w:r>
                </w:p>
              </w:tc>
            </w:tr>
            <w:tr w14:paraId="44D7D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4" w:type="dxa"/>
                </w:tcPr>
                <w:p w14:paraId="66FB7157">
                  <w:pPr>
                    <w:spacing w:line="240" w:lineRule="auto"/>
                    <w:ind w:firstLine="0" w:firstLineChars="0"/>
                    <w:rPr>
                      <w:sz w:val="21"/>
                      <w:szCs w:val="21"/>
                    </w:rPr>
                  </w:pPr>
                  <w:r>
                    <w:rPr>
                      <w:rFonts w:hint="eastAsia"/>
                      <w:sz w:val="21"/>
                      <w:szCs w:val="21"/>
                    </w:rPr>
                    <w:t>接线组别</w:t>
                  </w:r>
                </w:p>
              </w:tc>
              <w:tc>
                <w:tcPr>
                  <w:tcW w:w="6925" w:type="dxa"/>
                </w:tcPr>
                <w:p w14:paraId="2E40ECB4">
                  <w:pPr>
                    <w:spacing w:line="240" w:lineRule="auto"/>
                    <w:ind w:firstLine="0" w:firstLineChars="0"/>
                    <w:rPr>
                      <w:sz w:val="21"/>
                      <w:szCs w:val="21"/>
                    </w:rPr>
                  </w:pPr>
                  <w:r>
                    <w:rPr>
                      <w:rFonts w:hint="eastAsia"/>
                      <w:sz w:val="21"/>
                      <w:szCs w:val="21"/>
                    </w:rPr>
                    <w:t>YN，d11</w:t>
                  </w:r>
                </w:p>
              </w:tc>
            </w:tr>
            <w:tr w14:paraId="2E432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4" w:type="dxa"/>
                </w:tcPr>
                <w:p w14:paraId="1833B874">
                  <w:pPr>
                    <w:spacing w:line="240" w:lineRule="auto"/>
                    <w:ind w:firstLine="0" w:firstLineChars="0"/>
                    <w:rPr>
                      <w:sz w:val="21"/>
                      <w:szCs w:val="21"/>
                    </w:rPr>
                  </w:pPr>
                  <w:r>
                    <w:rPr>
                      <w:rFonts w:hint="eastAsia"/>
                      <w:sz w:val="21"/>
                      <w:szCs w:val="21"/>
                    </w:rPr>
                    <w:t>短路阻抗</w:t>
                  </w:r>
                </w:p>
              </w:tc>
              <w:tc>
                <w:tcPr>
                  <w:tcW w:w="6925" w:type="dxa"/>
                </w:tcPr>
                <w:p w14:paraId="458321F6">
                  <w:pPr>
                    <w:spacing w:line="240" w:lineRule="auto"/>
                    <w:ind w:firstLine="0" w:firstLineChars="0"/>
                    <w:rPr>
                      <w:sz w:val="21"/>
                      <w:szCs w:val="21"/>
                    </w:rPr>
                  </w:pPr>
                  <w:r>
                    <w:rPr>
                      <w:rFonts w:hint="eastAsia"/>
                      <w:sz w:val="21"/>
                      <w:szCs w:val="21"/>
                    </w:rPr>
                    <w:t>U</w:t>
                  </w:r>
                  <w:r>
                    <w:rPr>
                      <w:rFonts w:hint="eastAsia"/>
                      <w:sz w:val="21"/>
                      <w:szCs w:val="21"/>
                      <w:vertAlign w:val="subscript"/>
                    </w:rPr>
                    <w:t>k</w:t>
                  </w:r>
                  <w:r>
                    <w:rPr>
                      <w:rFonts w:hint="eastAsia"/>
                      <w:sz w:val="21"/>
                      <w:szCs w:val="21"/>
                    </w:rPr>
                    <w:t>%=10.5</w:t>
                  </w:r>
                </w:p>
              </w:tc>
            </w:tr>
            <w:tr w14:paraId="6E055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4" w:type="dxa"/>
                </w:tcPr>
                <w:p w14:paraId="17EAF39C">
                  <w:pPr>
                    <w:spacing w:line="240" w:lineRule="auto"/>
                    <w:ind w:firstLine="0" w:firstLineChars="0"/>
                    <w:rPr>
                      <w:sz w:val="21"/>
                      <w:szCs w:val="21"/>
                    </w:rPr>
                  </w:pPr>
                  <w:r>
                    <w:rPr>
                      <w:rFonts w:hint="eastAsia"/>
                      <w:sz w:val="21"/>
                      <w:szCs w:val="21"/>
                    </w:rPr>
                    <w:t>冷却方式</w:t>
                  </w:r>
                </w:p>
              </w:tc>
              <w:tc>
                <w:tcPr>
                  <w:tcW w:w="6925" w:type="dxa"/>
                </w:tcPr>
                <w:p w14:paraId="5B95606C">
                  <w:pPr>
                    <w:spacing w:line="240" w:lineRule="auto"/>
                    <w:ind w:firstLine="0" w:firstLineChars="0"/>
                    <w:rPr>
                      <w:sz w:val="21"/>
                      <w:szCs w:val="21"/>
                    </w:rPr>
                  </w:pPr>
                  <w:r>
                    <w:rPr>
                      <w:rFonts w:hint="eastAsia"/>
                      <w:sz w:val="21"/>
                      <w:szCs w:val="21"/>
                    </w:rPr>
                    <w:t>自冷（ONAN）</w:t>
                  </w:r>
                </w:p>
              </w:tc>
            </w:tr>
            <w:tr w14:paraId="3D9A5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4" w:type="dxa"/>
                </w:tcPr>
                <w:p w14:paraId="4973773A">
                  <w:pPr>
                    <w:spacing w:line="240" w:lineRule="auto"/>
                    <w:ind w:firstLine="0" w:firstLineChars="0"/>
                    <w:rPr>
                      <w:sz w:val="21"/>
                      <w:szCs w:val="21"/>
                    </w:rPr>
                  </w:pPr>
                  <w:r>
                    <w:rPr>
                      <w:rFonts w:hint="eastAsia"/>
                      <w:sz w:val="21"/>
                      <w:szCs w:val="21"/>
                    </w:rPr>
                    <w:t>套管TA</w:t>
                  </w:r>
                </w:p>
              </w:tc>
              <w:tc>
                <w:tcPr>
                  <w:tcW w:w="6925" w:type="dxa"/>
                </w:tcPr>
                <w:p w14:paraId="1E47CAE2">
                  <w:pPr>
                    <w:spacing w:line="240" w:lineRule="auto"/>
                    <w:ind w:firstLine="0" w:firstLineChars="0"/>
                    <w:rPr>
                      <w:sz w:val="21"/>
                      <w:szCs w:val="21"/>
                    </w:rPr>
                  </w:pPr>
                  <w:r>
                    <w:rPr>
                      <w:rFonts w:hint="eastAsia"/>
                      <w:sz w:val="21"/>
                      <w:szCs w:val="21"/>
                    </w:rPr>
                    <w:t xml:space="preserve">中性点套管  100-200/5A    5P20/5P20  </w:t>
                  </w:r>
                </w:p>
              </w:tc>
            </w:tr>
          </w:tbl>
          <w:p w14:paraId="72DC54C3">
            <w:pPr>
              <w:ind w:firstLine="480"/>
              <w:rPr>
                <w:szCs w:val="28"/>
              </w:rPr>
            </w:pPr>
            <w:r>
              <w:rPr>
                <w:rFonts w:hint="eastAsia"/>
                <w:szCs w:val="28"/>
              </w:rPr>
              <w:t>(2) 110kV设备选择</w:t>
            </w:r>
          </w:p>
          <w:p w14:paraId="6820292C">
            <w:pPr>
              <w:ind w:firstLine="480"/>
              <w:rPr>
                <w:szCs w:val="28"/>
              </w:rPr>
            </w:pPr>
            <w:r>
              <w:rPr>
                <w:rFonts w:hint="eastAsia"/>
                <w:szCs w:val="28"/>
              </w:rPr>
              <w:t>110kV 配电装置采用 GIS 设备，户内布置，断路器操动机构为弹簧机构。</w:t>
            </w:r>
          </w:p>
          <w:p w14:paraId="75F891FB">
            <w:pPr>
              <w:ind w:firstLine="0" w:firstLineChars="0"/>
              <w:rPr>
                <w:szCs w:val="28"/>
              </w:rPr>
            </w:pPr>
            <w:r>
              <w:rPr>
                <w:rFonts w:hint="eastAsia"/>
                <w:szCs w:val="28"/>
              </w:rPr>
              <w:t>4、站用电</w:t>
            </w:r>
          </w:p>
          <w:p w14:paraId="7C6BB289">
            <w:pPr>
              <w:ind w:firstLine="480"/>
              <w:rPr>
                <w:szCs w:val="28"/>
              </w:rPr>
            </w:pPr>
            <w:r>
              <w:rPr>
                <w:rFonts w:hint="eastAsia"/>
                <w:szCs w:val="28"/>
              </w:rPr>
              <w:t>本站装设 2 台站用变，按全站站用电计算负荷的容量选择，容量为200kVA，一台接入 35kV I 母，另一台由站外 10kV 引接。两台站用变均可承担全站负荷，正常情况下，两者互为备用。</w:t>
            </w:r>
          </w:p>
          <w:p w14:paraId="1249B8EC">
            <w:pPr>
              <w:ind w:firstLine="0" w:firstLineChars="0"/>
              <w:rPr>
                <w:szCs w:val="28"/>
              </w:rPr>
            </w:pPr>
            <w:r>
              <w:rPr>
                <w:rFonts w:hint="eastAsia"/>
                <w:szCs w:val="28"/>
              </w:rPr>
              <w:t>5、采暖、通风</w:t>
            </w:r>
          </w:p>
          <w:p w14:paraId="016A476D">
            <w:pPr>
              <w:ind w:firstLine="480"/>
              <w:rPr>
                <w:szCs w:val="28"/>
              </w:rPr>
            </w:pPr>
            <w:r>
              <w:rPr>
                <w:rFonts w:hint="eastAsia"/>
                <w:szCs w:val="28"/>
              </w:rPr>
              <w:t>根据工艺要求，为创造良好的运行环境，保证房间内电气设备的正常运行，</w:t>
            </w:r>
          </w:p>
          <w:p w14:paraId="61E25C1D">
            <w:pPr>
              <w:ind w:firstLine="0" w:firstLineChars="0"/>
              <w:rPr>
                <w:szCs w:val="28"/>
              </w:rPr>
            </w:pPr>
            <w:r>
              <w:rPr>
                <w:rFonts w:hint="eastAsia"/>
                <w:szCs w:val="28"/>
              </w:rPr>
              <w:t>二次设备室、110kV GIS 室、配电装置室设置空调，空调设备选用分体柜式空调</w:t>
            </w:r>
          </w:p>
          <w:p w14:paraId="4E9692C5">
            <w:pPr>
              <w:ind w:firstLine="0" w:firstLineChars="0"/>
              <w:rPr>
                <w:szCs w:val="28"/>
              </w:rPr>
            </w:pPr>
            <w:r>
              <w:rPr>
                <w:rFonts w:hint="eastAsia"/>
                <w:szCs w:val="28"/>
              </w:rPr>
              <w:t>器。采用房间空调器时，在名义制冷工况和规定条件下，空调器的能效等级不低</w:t>
            </w:r>
          </w:p>
          <w:p w14:paraId="78DCC95E">
            <w:pPr>
              <w:ind w:firstLine="0" w:firstLineChars="0"/>
              <w:rPr>
                <w:szCs w:val="28"/>
              </w:rPr>
            </w:pPr>
            <w:r>
              <w:rPr>
                <w:rFonts w:hint="eastAsia"/>
                <w:szCs w:val="28"/>
              </w:rPr>
              <w:t>于 2 级。</w:t>
            </w:r>
          </w:p>
          <w:p w14:paraId="44EABB7D">
            <w:pPr>
              <w:ind w:firstLine="480"/>
              <w:rPr>
                <w:szCs w:val="28"/>
              </w:rPr>
            </w:pPr>
            <w:r>
              <w:rPr>
                <w:rFonts w:hint="eastAsia"/>
                <w:szCs w:val="28"/>
              </w:rPr>
              <w:t>110kV GIS 室采用百叶送风口自然进风，机械排风的通风方式。平时通风应连续运行设计，通风量按换气次数不小于 4 次/时计算，事故排风量按换气次数不小于 6 次/时计算，事故排风由平时通风使用的下部排风系统和上部排风系统共同保证。设置防爆轴流风机 10 台，单台风机风量：4368m³/h。</w:t>
            </w:r>
          </w:p>
          <w:p w14:paraId="32025AE2">
            <w:pPr>
              <w:ind w:firstLine="480"/>
              <w:rPr>
                <w:szCs w:val="28"/>
              </w:rPr>
            </w:pPr>
            <w:r>
              <w:rPr>
                <w:rFonts w:hint="eastAsia"/>
                <w:szCs w:val="28"/>
              </w:rPr>
              <w:t>配电室采用自然进风，机械排风的通风方式。通风量按排除室内余热，排风温度不大于 40℃计算，且换气次数不小于 6 次/时。设置轴流风机 6 台，单台风机风量：4368m³/h。</w:t>
            </w:r>
          </w:p>
          <w:p w14:paraId="0B0148B5">
            <w:pPr>
              <w:ind w:firstLine="0" w:firstLineChars="0"/>
              <w:rPr>
                <w:szCs w:val="28"/>
              </w:rPr>
            </w:pPr>
            <w:r>
              <w:rPr>
                <w:rFonts w:hint="eastAsia"/>
                <w:szCs w:val="28"/>
              </w:rPr>
              <w:t>6、站区给排水</w:t>
            </w:r>
          </w:p>
          <w:p w14:paraId="44FF0D90">
            <w:pPr>
              <w:ind w:firstLine="480"/>
              <w:rPr>
                <w:szCs w:val="28"/>
              </w:rPr>
            </w:pPr>
            <w:r>
              <w:rPr>
                <w:rFonts w:hint="eastAsia"/>
                <w:szCs w:val="28"/>
              </w:rPr>
              <w:t>变电站维护检修工作人员约3人，办公生活依托内蒙古新蒙新科技有限公司办公生活区，按人均日用水量60L，用水量为0.18t/d，65.7t/a</w:t>
            </w:r>
            <w:r>
              <w:rPr>
                <w:szCs w:val="28"/>
              </w:rPr>
              <w:t>。</w:t>
            </w:r>
          </w:p>
          <w:p w14:paraId="63FF5CAD">
            <w:pPr>
              <w:ind w:firstLine="480"/>
              <w:rPr>
                <w:color w:val="0000FF"/>
              </w:rPr>
            </w:pPr>
            <w:r>
              <w:rPr>
                <w:rFonts w:hint="eastAsia"/>
                <w:color w:val="0000FF"/>
                <w:szCs w:val="28"/>
              </w:rPr>
              <w:t>生活污水卫生间收集后，排入厂区现有化粪池处理</w:t>
            </w:r>
            <w:r>
              <w:rPr>
                <w:rFonts w:hint="eastAsia"/>
                <w:color w:val="0000FF"/>
              </w:rPr>
              <w:t>。化粪池共有两个容积分别为70m</w:t>
            </w:r>
            <w:r>
              <w:rPr>
                <w:rFonts w:hint="eastAsia"/>
                <w:color w:val="0000FF"/>
                <w:vertAlign w:val="superscript"/>
              </w:rPr>
              <w:t>3</w:t>
            </w:r>
            <w:r>
              <w:rPr>
                <w:rFonts w:hint="eastAsia"/>
                <w:color w:val="0000FF"/>
              </w:rPr>
              <w:t>和80m</w:t>
            </w:r>
            <w:r>
              <w:rPr>
                <w:rFonts w:hint="eastAsia"/>
                <w:color w:val="0000FF"/>
                <w:vertAlign w:val="superscript"/>
              </w:rPr>
              <w:t>3</w:t>
            </w:r>
            <w:r>
              <w:rPr>
                <w:rFonts w:hint="eastAsia"/>
                <w:color w:val="0000FF"/>
              </w:rPr>
              <w:t>，目前厂区污水量约为15m</w:t>
            </w:r>
            <w:r>
              <w:rPr>
                <w:rFonts w:hint="eastAsia"/>
                <w:color w:val="0000FF"/>
                <w:vertAlign w:val="superscript"/>
              </w:rPr>
              <w:t>3</w:t>
            </w:r>
            <w:r>
              <w:rPr>
                <w:rFonts w:hint="eastAsia"/>
                <w:color w:val="0000FF"/>
              </w:rPr>
              <w:t>/d，化粪池容积可以满足本项目依托要求。</w:t>
            </w:r>
          </w:p>
          <w:p w14:paraId="6D9B3148">
            <w:pPr>
              <w:ind w:firstLine="480"/>
              <w:rPr>
                <w:color w:val="0000FF"/>
              </w:rPr>
            </w:pPr>
            <w:r>
              <w:rPr>
                <w:rFonts w:hint="eastAsia"/>
                <w:color w:val="0000FF"/>
              </w:rPr>
              <w:t>生活污水化粪池处理后，采用吸粪车拉运至苏尼特右旗新蒙新材料有限公司生活污水处理站处理，生活污水处理站为一座地埋式生活污水处理站，处理规模为200m</w:t>
            </w:r>
            <w:r>
              <w:rPr>
                <w:rFonts w:hint="eastAsia"/>
                <w:color w:val="0000FF"/>
                <w:vertAlign w:val="superscript"/>
              </w:rPr>
              <w:t>3</w:t>
            </w:r>
            <w:r>
              <w:rPr>
                <w:rFonts w:hint="eastAsia"/>
                <w:color w:val="0000FF"/>
              </w:rPr>
              <w:t>/d，目前苏尼特右旗新蒙新材料有限公司污水量约65m</w:t>
            </w:r>
            <w:r>
              <w:rPr>
                <w:rFonts w:hint="eastAsia"/>
                <w:color w:val="0000FF"/>
                <w:vertAlign w:val="superscript"/>
              </w:rPr>
              <w:t>3</w:t>
            </w:r>
            <w:r>
              <w:rPr>
                <w:rFonts w:hint="eastAsia"/>
                <w:color w:val="0000FF"/>
              </w:rPr>
              <w:t>/d，有余量处理本项目生活污水。生活污水经该处理站处理后排入苏尼特右旗新蒙新材料有限公司水淬渣池，作为水淬渣补水。</w:t>
            </w:r>
          </w:p>
          <w:p w14:paraId="48E65BFD">
            <w:pPr>
              <w:ind w:firstLine="480"/>
              <w:rPr>
                <w:color w:val="0000FF"/>
              </w:rPr>
            </w:pPr>
            <w:r>
              <w:rPr>
                <w:rFonts w:hint="eastAsia"/>
                <w:color w:val="0000FF"/>
              </w:rPr>
              <w:t>该生活污水处理站作为“苏尼特右旗新蒙新材料有限公司48万吨锰系合金建设工程”配套污水处理工程，已经通过自主验收，并于2021年3月16日在锡林郭勒盟生态环境局苏尼特右旗分局备案，“自验备</w:t>
            </w:r>
            <w:r>
              <w:rPr>
                <w:rFonts w:hint="eastAsia" w:ascii="宋体" w:hAnsi="宋体" w:cs="宋体"/>
                <w:color w:val="0000FF"/>
              </w:rPr>
              <w:t>〔</w:t>
            </w:r>
            <w:r>
              <w:rPr>
                <w:rFonts w:hint="eastAsia"/>
                <w:color w:val="0000FF"/>
              </w:rPr>
              <w:t>2021</w:t>
            </w:r>
            <w:r>
              <w:rPr>
                <w:rFonts w:hint="eastAsia" w:ascii="宋体" w:hAnsi="宋体" w:cs="宋体"/>
                <w:color w:val="0000FF"/>
              </w:rPr>
              <w:t>〕</w:t>
            </w:r>
            <w:r>
              <w:rPr>
                <w:rFonts w:hint="eastAsia"/>
                <w:color w:val="0000FF"/>
              </w:rPr>
              <w:t>2号”。</w:t>
            </w:r>
          </w:p>
          <w:p w14:paraId="076BBDE8">
            <w:pPr>
              <w:ind w:firstLine="0" w:firstLineChars="0"/>
              <w:rPr>
                <w:szCs w:val="28"/>
              </w:rPr>
            </w:pPr>
            <w:r>
              <w:rPr>
                <w:rFonts w:hint="eastAsia"/>
                <w:szCs w:val="28"/>
              </w:rPr>
              <w:t>7、事故油池</w:t>
            </w:r>
          </w:p>
          <w:p w14:paraId="22F3F89C">
            <w:pPr>
              <w:ind w:firstLine="480"/>
              <w:rPr>
                <w:szCs w:val="28"/>
              </w:rPr>
            </w:pPr>
            <w:r>
              <w:rPr>
                <w:rFonts w:hint="eastAsia"/>
                <w:szCs w:val="28"/>
              </w:rPr>
              <w:t>变电站设置1个30m</w:t>
            </w:r>
            <w:r>
              <w:rPr>
                <w:rFonts w:hint="eastAsia"/>
                <w:szCs w:val="28"/>
                <w:vertAlign w:val="superscript"/>
              </w:rPr>
              <w:t>3</w:t>
            </w:r>
            <w:r>
              <w:rPr>
                <w:rFonts w:hint="eastAsia"/>
                <w:szCs w:val="28"/>
              </w:rPr>
              <w:t>的事故油池，单台主变最大油量为</w:t>
            </w:r>
            <w:r>
              <w:rPr>
                <w:rFonts w:hint="eastAsia"/>
                <w:szCs w:val="24"/>
              </w:rPr>
              <w:t>20t</w:t>
            </w:r>
            <w:r>
              <w:rPr>
                <w:rFonts w:hint="eastAsia"/>
                <w:szCs w:val="24"/>
                <w:lang w:val="zh-CN"/>
              </w:rPr>
              <w:t>，</w:t>
            </w:r>
            <w:r>
              <w:rPr>
                <w:rFonts w:hint="eastAsia"/>
                <w:szCs w:val="24"/>
              </w:rPr>
              <w:t>约22m</w:t>
            </w:r>
            <w:r>
              <w:rPr>
                <w:rFonts w:hint="eastAsia"/>
                <w:szCs w:val="24"/>
                <w:vertAlign w:val="superscript"/>
              </w:rPr>
              <w:t>3</w:t>
            </w:r>
            <w:r>
              <w:rPr>
                <w:rFonts w:hint="eastAsia"/>
                <w:color w:val="000000"/>
                <w:szCs w:val="24"/>
              </w:rPr>
              <w:t>，事故油坑满足单台主变100%泄露容纳要求</w:t>
            </w:r>
            <w:r>
              <w:rPr>
                <w:rFonts w:hint="eastAsia"/>
                <w:szCs w:val="28"/>
              </w:rPr>
              <w:t>，主变下有油坑，底部设有排油管，事故时能够迅速地将油排出至事故油池。事故后贮油池中的油委托有资质的单位转运处置。</w:t>
            </w:r>
          </w:p>
          <w:p w14:paraId="537C38E2">
            <w:pPr>
              <w:ind w:firstLine="480"/>
            </w:pPr>
            <w:r>
              <w:rPr>
                <w:rFonts w:hint="eastAsia"/>
                <w:szCs w:val="28"/>
              </w:rPr>
              <w:t>事故油池及油坑</w:t>
            </w:r>
            <w:r>
              <w:rPr>
                <w:rFonts w:hint="eastAsia"/>
                <w:color w:val="000000"/>
              </w:rPr>
              <w:t>进行基础防渗（防渗层为至少 1m 厚黏土层(渗透系数不大于10</w:t>
            </w:r>
            <w:r>
              <w:rPr>
                <w:rFonts w:hint="eastAsia"/>
                <w:color w:val="000000"/>
                <w:vertAlign w:val="superscript"/>
              </w:rPr>
              <w:t>-7</w:t>
            </w:r>
            <w:r>
              <w:rPr>
                <w:rFonts w:hint="eastAsia"/>
                <w:color w:val="000000"/>
              </w:rPr>
              <w:t>cm/s)，或至少2mm厚高密度聚乙烯膜等人工防渗材料(渗透系数不大于10</w:t>
            </w:r>
            <w:r>
              <w:rPr>
                <w:rFonts w:hint="eastAsia"/>
                <w:color w:val="000000"/>
                <w:vertAlign w:val="superscript"/>
              </w:rPr>
              <w:t>-10</w:t>
            </w:r>
            <w:r>
              <w:rPr>
                <w:rFonts w:hint="eastAsia"/>
                <w:color w:val="000000"/>
              </w:rPr>
              <w:t>cm/s)，或其他防渗性能等效的材料。）</w:t>
            </w:r>
          </w:p>
          <w:p w14:paraId="54A09A47">
            <w:pPr>
              <w:pStyle w:val="28"/>
              <w:spacing w:line="360" w:lineRule="auto"/>
              <w:rPr>
                <w:sz w:val="24"/>
                <w:szCs w:val="24"/>
              </w:rPr>
            </w:pPr>
            <w:r>
              <w:rPr>
                <w:rFonts w:hint="eastAsia"/>
                <w:sz w:val="24"/>
                <w:szCs w:val="24"/>
              </w:rPr>
              <w:t>8、工程占地及土石方</w:t>
            </w:r>
          </w:p>
          <w:p w14:paraId="121ACA93">
            <w:pPr>
              <w:pStyle w:val="28"/>
              <w:spacing w:line="360" w:lineRule="auto"/>
              <w:ind w:firstLine="480" w:firstLineChars="200"/>
              <w:rPr>
                <w:sz w:val="24"/>
                <w:szCs w:val="24"/>
              </w:rPr>
            </w:pPr>
            <w:r>
              <w:rPr>
                <w:rFonts w:hint="eastAsia"/>
                <w:sz w:val="24"/>
                <w:szCs w:val="24"/>
              </w:rPr>
              <w:t xml:space="preserve">（1）永久占地    </w:t>
            </w:r>
          </w:p>
          <w:p w14:paraId="7859B4B6">
            <w:pPr>
              <w:pStyle w:val="28"/>
              <w:spacing w:line="360" w:lineRule="auto"/>
              <w:ind w:firstLine="480" w:firstLineChars="200"/>
              <w:rPr>
                <w:sz w:val="24"/>
                <w:szCs w:val="24"/>
              </w:rPr>
            </w:pPr>
            <w:r>
              <w:rPr>
                <w:rFonts w:hint="eastAsia"/>
                <w:sz w:val="24"/>
                <w:szCs w:val="24"/>
              </w:rPr>
              <w:t>本项目变电站占地面积为4200m</w:t>
            </w:r>
            <w:r>
              <w:rPr>
                <w:rFonts w:hint="eastAsia"/>
                <w:sz w:val="24"/>
                <w:szCs w:val="24"/>
                <w:vertAlign w:val="superscript"/>
              </w:rPr>
              <w:t>2</w:t>
            </w:r>
            <w:r>
              <w:rPr>
                <w:rFonts w:hint="eastAsia"/>
                <w:sz w:val="24"/>
                <w:szCs w:val="24"/>
              </w:rPr>
              <w:t>，位于厂区内东侧偏北处，为工业用地。</w:t>
            </w:r>
          </w:p>
          <w:p w14:paraId="030F4D5F">
            <w:pPr>
              <w:pStyle w:val="28"/>
              <w:spacing w:line="360" w:lineRule="auto"/>
              <w:ind w:firstLine="480" w:firstLineChars="200"/>
              <w:rPr>
                <w:sz w:val="24"/>
                <w:szCs w:val="24"/>
              </w:rPr>
            </w:pPr>
            <w:r>
              <w:rPr>
                <w:rFonts w:hint="eastAsia"/>
                <w:sz w:val="24"/>
                <w:szCs w:val="24"/>
              </w:rPr>
              <w:t>（2）临时占地</w:t>
            </w:r>
          </w:p>
          <w:p w14:paraId="5CDC1D3E">
            <w:pPr>
              <w:pStyle w:val="28"/>
              <w:spacing w:line="360" w:lineRule="auto"/>
              <w:ind w:firstLine="480" w:firstLineChars="200"/>
              <w:rPr>
                <w:sz w:val="24"/>
                <w:szCs w:val="24"/>
              </w:rPr>
            </w:pPr>
            <w:r>
              <w:rPr>
                <w:rFonts w:hint="eastAsia"/>
                <w:sz w:val="24"/>
                <w:szCs w:val="24"/>
              </w:rPr>
              <w:t>变电站施工利用相邻区域作为施工临时用地。包括施工生产区、堆料场、土方周转区等。无需额外临时用地，临时占地面积约为900m</w:t>
            </w:r>
            <w:r>
              <w:rPr>
                <w:rFonts w:hint="eastAsia"/>
                <w:sz w:val="24"/>
                <w:szCs w:val="24"/>
                <w:vertAlign w:val="superscript"/>
              </w:rPr>
              <w:t>2</w:t>
            </w:r>
            <w:r>
              <w:rPr>
                <w:rFonts w:hint="eastAsia"/>
                <w:sz w:val="24"/>
                <w:szCs w:val="24"/>
              </w:rPr>
              <w:t>，均为工业用地，本次施工临时占地后期建设过程中全部硬化，作为变电站进出场道路。</w:t>
            </w:r>
          </w:p>
          <w:p w14:paraId="5701EAEB">
            <w:pPr>
              <w:pStyle w:val="28"/>
              <w:spacing w:line="360" w:lineRule="auto"/>
              <w:ind w:firstLine="480" w:firstLineChars="200"/>
              <w:rPr>
                <w:sz w:val="24"/>
                <w:szCs w:val="24"/>
              </w:rPr>
            </w:pPr>
            <w:r>
              <w:rPr>
                <w:rFonts w:hint="eastAsia"/>
                <w:sz w:val="24"/>
                <w:szCs w:val="24"/>
              </w:rPr>
              <w:t>（3）土石方</w:t>
            </w:r>
          </w:p>
          <w:p w14:paraId="1C4D3AF3">
            <w:pPr>
              <w:pStyle w:val="28"/>
              <w:spacing w:line="360" w:lineRule="auto"/>
              <w:ind w:firstLine="480" w:firstLineChars="200"/>
            </w:pPr>
            <w:r>
              <w:rPr>
                <w:rFonts w:hint="eastAsia"/>
                <w:sz w:val="24"/>
                <w:szCs w:val="24"/>
              </w:rPr>
              <w:t>厂区总图设计已考虑场地平衡，变电站土方只考虑基槽余土方量。变电站施工基槽余土量约为1800m</w:t>
            </w:r>
            <w:r>
              <w:rPr>
                <w:rFonts w:hint="eastAsia"/>
                <w:sz w:val="24"/>
                <w:szCs w:val="24"/>
                <w:vertAlign w:val="superscript"/>
              </w:rPr>
              <w:t>3</w:t>
            </w:r>
            <w:r>
              <w:rPr>
                <w:rFonts w:hint="eastAsia"/>
                <w:sz w:val="24"/>
                <w:szCs w:val="24"/>
              </w:rPr>
              <w:t>。在厂区内平衡，用于厂区内其他在建项目，无弃方产生。</w:t>
            </w:r>
          </w:p>
        </w:tc>
      </w:tr>
      <w:tr w14:paraId="60225E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609" w:type="dxa"/>
            <w:vAlign w:val="center"/>
          </w:tcPr>
          <w:p w14:paraId="2D94C7CC">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总平面及现场布置</w:t>
            </w:r>
          </w:p>
        </w:tc>
        <w:tc>
          <w:tcPr>
            <w:tcW w:w="8765" w:type="dxa"/>
            <w:vAlign w:val="center"/>
          </w:tcPr>
          <w:p w14:paraId="62470B55">
            <w:pPr>
              <w:pStyle w:val="38"/>
            </w:pPr>
            <w:r>
              <w:rPr>
                <w:rFonts w:hint="eastAsia"/>
              </w:rPr>
              <w:t>变电站站区呈矩形布置，围墙内占地面积为 4200m</w:t>
            </w:r>
            <w:r>
              <w:rPr>
                <w:rFonts w:hint="eastAsia"/>
                <w:vertAlign w:val="superscript"/>
              </w:rPr>
              <w:t>2</w:t>
            </w:r>
            <w:r>
              <w:rPr>
                <w:rFonts w:hint="eastAsia"/>
              </w:rPr>
              <w:t>，站区南部由西向东依次布置110kVGIS 室、主变压器、35kV 配电室，北侧布置二次设备室及 35kV SVG，站区主入口位于站区东侧，站区大门向东。110kV 配电装置向东出线，采用电缆出线；35kV 配电室布置向南出线，采用电缆出线。</w:t>
            </w:r>
            <w:r>
              <w:rPr>
                <w:rFonts w:hint="eastAsia"/>
                <w:color w:val="0000FF"/>
              </w:rPr>
              <w:t>事故油池布置于站内南侧</w:t>
            </w:r>
            <w:r>
              <w:rPr>
                <w:rFonts w:hint="eastAsia"/>
              </w:rPr>
              <w:t>。详见平面布置图。</w:t>
            </w:r>
          </w:p>
          <w:p w14:paraId="05771324">
            <w:pPr>
              <w:pStyle w:val="38"/>
            </w:pPr>
            <w:r>
              <w:rPr>
                <w:rFonts w:hint="eastAsia"/>
              </w:rPr>
              <w:t>站区防洪有厂区整体考虑，站区竖向采用平坡式布置，西高东低，设计坡度 1%。变电站场地控制高度为 1150.00m。排水方式采用场地自然排水，排至站外厂区道路。</w:t>
            </w:r>
          </w:p>
          <w:p w14:paraId="57683F73">
            <w:pPr>
              <w:pStyle w:val="38"/>
            </w:pPr>
            <w:r>
              <w:rPr>
                <w:rFonts w:hint="eastAsia"/>
              </w:rPr>
              <w:t>站内规划道路采用城市型道路，考虑到主变压器运输与站内消防，故采用路宽为 4m，转弯半径为 9m 的道路形式。站内道路全长 124m，面积 496m</w:t>
            </w:r>
            <w:r>
              <w:rPr>
                <w:rFonts w:hint="eastAsia"/>
                <w:vertAlign w:val="superscript"/>
              </w:rPr>
              <w:t>2</w:t>
            </w:r>
            <w:r>
              <w:rPr>
                <w:rFonts w:hint="eastAsia"/>
              </w:rPr>
              <w:t>。</w:t>
            </w:r>
          </w:p>
        </w:tc>
      </w:tr>
      <w:tr w14:paraId="4BB554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609" w:type="dxa"/>
            <w:vAlign w:val="center"/>
          </w:tcPr>
          <w:p w14:paraId="11CFB150">
            <w:pPr>
              <w:pStyle w:val="40"/>
              <w:rPr>
                <w:b/>
                <w:bCs/>
                <w:color w:val="000000" w:themeColor="text1"/>
                <w14:textFill>
                  <w14:solidFill>
                    <w14:schemeClr w14:val="tx1"/>
                  </w14:solidFill>
                </w14:textFill>
              </w:rPr>
            </w:pPr>
            <w:r>
              <w:rPr>
                <w:rFonts w:hint="eastAsia"/>
                <w:b/>
                <w:bCs/>
                <w:color w:val="000000" w:themeColor="text1"/>
                <w:sz w:val="24"/>
                <w:szCs w:val="24"/>
                <w14:textFill>
                  <w14:solidFill>
                    <w14:schemeClr w14:val="tx1"/>
                  </w14:solidFill>
                </w14:textFill>
              </w:rPr>
              <w:t>施工方案</w:t>
            </w:r>
          </w:p>
        </w:tc>
        <w:tc>
          <w:tcPr>
            <w:tcW w:w="8765" w:type="dxa"/>
            <w:vAlign w:val="center"/>
          </w:tcPr>
          <w:p w14:paraId="48BC503D">
            <w:pPr>
              <w:pStyle w:val="38"/>
            </w:pPr>
            <w:r>
              <w:rPr>
                <w:rFonts w:hint="eastAsia"/>
              </w:rPr>
              <w:t>1、变电站工艺流程</w:t>
            </w:r>
          </w:p>
          <w:p w14:paraId="0B982783">
            <w:pPr>
              <w:pStyle w:val="38"/>
              <w:ind w:firstLine="0"/>
              <w:jc w:val="center"/>
              <w:rPr>
                <w:rFonts w:cs="Times New Roman"/>
              </w:rPr>
            </w:pPr>
            <w:r>
              <w:drawing>
                <wp:inline distT="0" distB="0" distL="114300" distR="114300">
                  <wp:extent cx="5181600" cy="3819525"/>
                  <wp:effectExtent l="0" t="0" r="0" b="952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14"/>
                          <a:stretch>
                            <a:fillRect/>
                          </a:stretch>
                        </pic:blipFill>
                        <pic:spPr>
                          <a:xfrm>
                            <a:off x="0" y="0"/>
                            <a:ext cx="5181600" cy="3819525"/>
                          </a:xfrm>
                          <a:prstGeom prst="rect">
                            <a:avLst/>
                          </a:prstGeom>
                          <a:noFill/>
                          <a:ln>
                            <a:noFill/>
                          </a:ln>
                        </pic:spPr>
                      </pic:pic>
                    </a:graphicData>
                  </a:graphic>
                </wp:inline>
              </w:drawing>
            </w:r>
          </w:p>
          <w:p w14:paraId="4B1F3136">
            <w:pPr>
              <w:pStyle w:val="38"/>
            </w:pPr>
            <w:r>
              <w:rPr>
                <w:rFonts w:hint="eastAsia"/>
              </w:rPr>
              <w:t>2、变电站建设施工方案及周期</w:t>
            </w:r>
          </w:p>
          <w:p w14:paraId="321B9890">
            <w:pPr>
              <w:pStyle w:val="38"/>
            </w:pPr>
            <w:r>
              <w:rPr>
                <w:rFonts w:hint="eastAsia"/>
              </w:rPr>
              <w:t>变电站施工主要包括土建施工、设备安装等工序。</w:t>
            </w:r>
          </w:p>
          <w:p w14:paraId="5F225F21">
            <w:pPr>
              <w:pStyle w:val="38"/>
            </w:pPr>
            <w:r>
              <w:rPr>
                <w:rFonts w:hint="eastAsia"/>
              </w:rPr>
              <w:t xml:space="preserve">（1）土建施工 </w:t>
            </w:r>
          </w:p>
          <w:p w14:paraId="6B79C864">
            <w:pPr>
              <w:pStyle w:val="38"/>
            </w:pPr>
            <w:r>
              <w:rPr>
                <w:rFonts w:hint="eastAsia"/>
              </w:rPr>
              <w:t>土建施工主要包括：场地平整——建（构）筑物基础开挖——建（构）筑物上部结构、建筑装修——道路面层及站区零星土建收尾。站区土石方工程主要包括电气设备基槽、出线构筑物基础、电缆沟等开挖，考虑采用机械开挖和人工挖土修边相结合方式。基础土方回填按设计要求，采取分层碾压或强夯，按照设计和施工规范的要求，严格检查和验收，务必做到回填土密实均匀，达到设计要求，以保证建（构）筑物的安全。主要建（构）筑物基础混凝土由固定的混凝土搅拌站供应，通过混凝土运输车运输和泵车输送至工作面。</w:t>
            </w:r>
          </w:p>
          <w:p w14:paraId="08A629F9">
            <w:pPr>
              <w:pStyle w:val="38"/>
            </w:pPr>
            <w:r>
              <w:rPr>
                <w:rFonts w:hint="eastAsia"/>
              </w:rPr>
              <w:t>开挖时必须服从基坑支护要求，在确保基坑稳定安全的前提下，先用机械开挖到基础底标 30cm 左右，余土人工清挖，防止出现超挖现象。基坑回填须待各构筑物结构施工完且验收合格后方可进行，避免重复开挖。土方回填时事先抽掉积水，清除淤泥杂物，回填土利用开挖的原土，并清除掺入的有机质和过大的石粒，回填土的含水率控制在 15%～25%之间。回填应逐层水平填筑，逐层碾压。宜避开雨天施工，严禁大雨期间进行回填施工，并应做好防雨及排水措施。</w:t>
            </w:r>
          </w:p>
          <w:p w14:paraId="04205E53">
            <w:pPr>
              <w:pStyle w:val="38"/>
            </w:pPr>
            <w:r>
              <w:rPr>
                <w:rFonts w:hint="eastAsia"/>
              </w:rPr>
              <w:t>（2）设备安装施工</w:t>
            </w:r>
          </w:p>
          <w:p w14:paraId="5393DEC3">
            <w:pPr>
              <w:pStyle w:val="38"/>
            </w:pPr>
            <w:r>
              <w:rPr>
                <w:rFonts w:hint="eastAsia"/>
              </w:rPr>
              <w:t>设备安装工作在建（构）筑物施工完成后进行，主要设备安装包括主变压器、电容器、断路器、开关柜安装和电气设备构架安装等。站区内的安装工作视土建施工部分进展情况机动进入，大件设备一般采用吊车施工安装，在用吊车吊运装卸时，除一般平稳轻起轻落外，还需严格按厂家设备安装及施工技术要求进行安装。</w:t>
            </w:r>
          </w:p>
          <w:p w14:paraId="7BF42AFD">
            <w:pPr>
              <w:pStyle w:val="38"/>
              <w:rPr>
                <w:color w:val="0000FF"/>
              </w:rPr>
            </w:pPr>
            <w:r>
              <w:rPr>
                <w:rFonts w:hint="eastAsia"/>
                <w:color w:val="0000FF"/>
              </w:rPr>
              <w:t>施工人员来源于朱日和镇，本项目所在厂区距离朱日和镇约500m，现场无需设置施工营地，不负责施工期间施工人员食宿。</w:t>
            </w:r>
          </w:p>
          <w:p w14:paraId="3A39D50C">
            <w:pPr>
              <w:pStyle w:val="38"/>
            </w:pPr>
            <w:r>
              <w:rPr>
                <w:rFonts w:hint="eastAsia"/>
              </w:rPr>
              <w:t>项目建设周期预计约为 6个月，其中土建施工2个月，机电设备安装2个月，设备联调1个月，竣工验收1个月，预计2025年1</w:t>
            </w:r>
            <w:r>
              <w:rPr>
                <w:rFonts w:hint="eastAsia"/>
                <w:lang w:val="en-US" w:eastAsia="zh-CN"/>
              </w:rPr>
              <w:t>1</w:t>
            </w:r>
            <w:r>
              <w:rPr>
                <w:rFonts w:hint="eastAsia"/>
              </w:rPr>
              <w:t>月开工，2026年</w:t>
            </w:r>
            <w:r>
              <w:rPr>
                <w:rFonts w:hint="eastAsia"/>
                <w:lang w:val="en-US" w:eastAsia="zh-CN"/>
              </w:rPr>
              <w:t>5</w:t>
            </w:r>
            <w:r>
              <w:rPr>
                <w:rFonts w:hint="eastAsia"/>
              </w:rPr>
              <w:t>月竣工。</w:t>
            </w:r>
          </w:p>
          <w:p w14:paraId="57BB855A">
            <w:pPr>
              <w:pStyle w:val="38"/>
              <w:rPr>
                <w:color w:val="000000" w:themeColor="text1"/>
                <w14:textFill>
                  <w14:solidFill>
                    <w14:schemeClr w14:val="tx1"/>
                  </w14:solidFill>
                </w14:textFill>
              </w:rPr>
            </w:pPr>
          </w:p>
        </w:tc>
      </w:tr>
      <w:tr w14:paraId="4DD468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83" w:hRule="atLeast"/>
          <w:jc w:val="center"/>
        </w:trPr>
        <w:tc>
          <w:tcPr>
            <w:tcW w:w="609" w:type="dxa"/>
            <w:vAlign w:val="center"/>
          </w:tcPr>
          <w:p w14:paraId="0FB7C017">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其他</w:t>
            </w:r>
          </w:p>
        </w:tc>
        <w:tc>
          <w:tcPr>
            <w:tcW w:w="8765" w:type="dxa"/>
            <w:vAlign w:val="center"/>
          </w:tcPr>
          <w:p w14:paraId="6CE7E54D">
            <w:pPr>
              <w:pStyle w:val="38"/>
            </w:pPr>
            <w:r>
              <w:rPr>
                <w:rFonts w:hint="eastAsia"/>
              </w:rPr>
              <w:t>无</w:t>
            </w:r>
          </w:p>
        </w:tc>
      </w:tr>
    </w:tbl>
    <w:p w14:paraId="0316F7A5">
      <w:pPr>
        <w:widowControl/>
        <w:spacing w:line="240" w:lineRule="auto"/>
        <w:ind w:firstLine="0" w:firstLineChars="0"/>
        <w:jc w:val="center"/>
        <w:outlineLvl w:val="0"/>
        <w:rPr>
          <w:rFonts w:hint="eastAsia" w:ascii="宋体" w:hAnsi="宋体" w:cs="Times New Roman"/>
          <w:b/>
          <w:bCs/>
          <w:snapToGrid w:val="0"/>
          <w:color w:val="000000" w:themeColor="text1"/>
          <w:kern w:val="0"/>
          <w:sz w:val="32"/>
          <w:szCs w:val="32"/>
          <w14:textFill>
            <w14:solidFill>
              <w14:schemeClr w14:val="tx1"/>
            </w14:solidFill>
          </w14:textFill>
        </w:rPr>
      </w:pPr>
      <w:r>
        <w:rPr>
          <w:rFonts w:ascii="宋体" w:hAnsi="宋体" w:eastAsia="仿宋_GB2312" w:cs="Times New Roman"/>
          <w:b/>
          <w:bCs/>
          <w:color w:val="000000" w:themeColor="text1"/>
          <w:kern w:val="0"/>
          <w:szCs w:val="24"/>
          <w14:textFill>
            <w14:solidFill>
              <w14:schemeClr w14:val="tx1"/>
            </w14:solidFill>
          </w14:textFill>
        </w:rPr>
        <w:br w:type="page"/>
      </w:r>
      <w:bookmarkStart w:id="5" w:name="_Toc19925"/>
      <w:r>
        <w:rPr>
          <w:rFonts w:hint="eastAsia" w:ascii="宋体" w:hAnsi="宋体" w:cs="Times New Roman"/>
          <w:b/>
          <w:bCs/>
          <w:snapToGrid w:val="0"/>
          <w:color w:val="000000" w:themeColor="text1"/>
          <w:kern w:val="0"/>
          <w:sz w:val="32"/>
          <w:szCs w:val="32"/>
          <w14:textFill>
            <w14:solidFill>
              <w14:schemeClr w14:val="tx1"/>
            </w14:solidFill>
          </w14:textFill>
        </w:rPr>
        <w:t>三、生态环境现状、保护目标及评价标准</w:t>
      </w:r>
      <w:bookmarkEnd w:id="5"/>
    </w:p>
    <w:tbl>
      <w:tblPr>
        <w:tblStyle w:val="21"/>
        <w:tblW w:w="93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8"/>
        <w:gridCol w:w="8913"/>
      </w:tblGrid>
      <w:tr w14:paraId="5875EC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458" w:type="dxa"/>
            <w:vAlign w:val="center"/>
          </w:tcPr>
          <w:p w14:paraId="6BB0D722">
            <w:pPr>
              <w:pStyle w:val="40"/>
              <w:rPr>
                <w:b/>
                <w:bCs/>
                <w:color w:val="000000" w:themeColor="text1"/>
                <w14:textFill>
                  <w14:solidFill>
                    <w14:schemeClr w14:val="tx1"/>
                  </w14:solidFill>
                </w14:textFill>
              </w:rPr>
            </w:pPr>
            <w:r>
              <w:rPr>
                <w:rFonts w:hint="eastAsia"/>
                <w:b/>
                <w:bCs/>
                <w:color w:val="000000" w:themeColor="text1"/>
                <w:sz w:val="24"/>
                <w:szCs w:val="24"/>
                <w14:textFill>
                  <w14:solidFill>
                    <w14:schemeClr w14:val="tx1"/>
                  </w14:solidFill>
                </w14:textFill>
              </w:rPr>
              <w:t>生态环境现状</w:t>
            </w:r>
          </w:p>
        </w:tc>
        <w:tc>
          <w:tcPr>
            <w:tcW w:w="8913" w:type="dxa"/>
            <w:vAlign w:val="center"/>
          </w:tcPr>
          <w:p w14:paraId="039E6381">
            <w:pPr>
              <w:pStyle w:val="38"/>
            </w:pPr>
            <w:r>
              <w:rPr>
                <w:rFonts w:hint="eastAsia"/>
              </w:rPr>
              <w:t>3.1环境功能区划</w:t>
            </w:r>
          </w:p>
          <w:p w14:paraId="658DA37D">
            <w:pPr>
              <w:pStyle w:val="38"/>
            </w:pPr>
            <w:r>
              <w:rPr>
                <w:rFonts w:hint="eastAsia"/>
              </w:rPr>
              <w:t>3.1.1生态环境</w:t>
            </w:r>
          </w:p>
          <w:p w14:paraId="016932FA">
            <w:pPr>
              <w:snapToGrid w:val="0"/>
              <w:ind w:firstLine="480"/>
              <w:rPr>
                <w:rFonts w:cs="Times New Roman"/>
                <w:color w:val="0000FF"/>
                <w:szCs w:val="24"/>
              </w:rPr>
            </w:pPr>
            <w:r>
              <w:rPr>
                <w:rFonts w:hint="eastAsia" w:cs="Times New Roman"/>
                <w:color w:val="0000FF"/>
                <w:szCs w:val="24"/>
              </w:rPr>
              <w:t>（1）主体功能区划</w:t>
            </w:r>
          </w:p>
          <w:p w14:paraId="3BE0B92E">
            <w:pPr>
              <w:snapToGrid w:val="0"/>
              <w:ind w:firstLine="480"/>
              <w:rPr>
                <w:rFonts w:cs="Times New Roman"/>
                <w:color w:val="0000FF"/>
                <w:szCs w:val="24"/>
              </w:rPr>
            </w:pPr>
            <w:r>
              <w:rPr>
                <w:rFonts w:hint="eastAsia" w:cs="Times New Roman"/>
                <w:color w:val="0000FF"/>
                <w:szCs w:val="24"/>
              </w:rPr>
              <w:t>本项目选址位于</w:t>
            </w:r>
            <w:r>
              <w:rPr>
                <w:rFonts w:cs="Times New Roman"/>
                <w:color w:val="0000FF"/>
                <w:szCs w:val="24"/>
              </w:rPr>
              <w:t>内蒙古自治区锡林郭勒盟苏尼特右旗境内</w:t>
            </w:r>
            <w:r>
              <w:rPr>
                <w:rFonts w:hint="eastAsia" w:cs="Times New Roman"/>
                <w:color w:val="0000FF"/>
                <w:szCs w:val="24"/>
              </w:rPr>
              <w:t>，</w:t>
            </w:r>
            <w:r>
              <w:rPr>
                <w:rFonts w:cs="Times New Roman"/>
                <w:color w:val="0000FF"/>
                <w:szCs w:val="24"/>
              </w:rPr>
              <w:t>根据《内蒙古自治区人民政府关于自治区主体功能区规划的实施意见》（内政发</w:t>
            </w:r>
            <w:r>
              <w:rPr>
                <w:rFonts w:hint="eastAsia" w:cs="Times New Roman"/>
                <w:color w:val="0000FF"/>
                <w:szCs w:val="24"/>
              </w:rPr>
              <w:t>【</w:t>
            </w:r>
            <w:r>
              <w:rPr>
                <w:rFonts w:cs="Times New Roman"/>
                <w:color w:val="0000FF"/>
                <w:szCs w:val="24"/>
              </w:rPr>
              <w:t>2015</w:t>
            </w:r>
            <w:r>
              <w:rPr>
                <w:rFonts w:hint="eastAsia" w:cs="Times New Roman"/>
                <w:color w:val="0000FF"/>
                <w:szCs w:val="24"/>
              </w:rPr>
              <w:t>】</w:t>
            </w:r>
            <w:r>
              <w:rPr>
                <w:rFonts w:cs="Times New Roman"/>
                <w:color w:val="0000FF"/>
                <w:szCs w:val="24"/>
              </w:rPr>
              <w:t>18号）</w:t>
            </w:r>
            <w:r>
              <w:rPr>
                <w:rFonts w:hint="eastAsia" w:cs="Times New Roman"/>
                <w:color w:val="0000FF"/>
                <w:szCs w:val="24"/>
              </w:rPr>
              <w:t>，本项目不在点状开发的城镇名录内，不在《内蒙古自治区主体功能区规划》规定的禁止开发区域内，位于国家级重点生态功能区内。</w:t>
            </w:r>
          </w:p>
          <w:p w14:paraId="7A2AF1DF">
            <w:pPr>
              <w:snapToGrid w:val="0"/>
              <w:spacing w:line="490" w:lineRule="exact"/>
              <w:ind w:firstLine="480"/>
              <w:rPr>
                <w:rFonts w:cs="Times New Roman"/>
                <w:color w:val="0000FF"/>
                <w:szCs w:val="24"/>
              </w:rPr>
            </w:pPr>
            <w:r>
              <w:rPr>
                <w:rFonts w:hint="eastAsia" w:cs="Times New Roman"/>
                <w:color w:val="0000FF"/>
                <w:szCs w:val="24"/>
              </w:rPr>
              <w:t>对重点生态功能区，要限制大规模高强度的工业化城镇化开发，但仍允许一定程度的能源和矿产资源开发。本项目输变电基础设施建设项目属于内蒙古新蒙新科技有限公司 10 万吨负极材料项目的附属项目，对环境产生的污染较少，不属于大规模、高强度的工业开发和城镇建设项目，同时符合国家</w:t>
            </w:r>
            <w:r>
              <w:rPr>
                <w:rFonts w:cs="Times New Roman"/>
                <w:color w:val="0000FF"/>
                <w:szCs w:val="24"/>
              </w:rPr>
              <w:t>现行产业政策</w:t>
            </w:r>
            <w:r>
              <w:rPr>
                <w:rFonts w:hint="eastAsia" w:cs="Times New Roman"/>
                <w:color w:val="0000FF"/>
                <w:szCs w:val="24"/>
              </w:rPr>
              <w:t>。因此，本项目符合内蒙古自治区主体功能区规划要求。本项目与内蒙古自治区主体功能区规划位置关系见附图5。</w:t>
            </w:r>
          </w:p>
          <w:p w14:paraId="3B3C9813">
            <w:pPr>
              <w:ind w:firstLine="480"/>
              <w:rPr>
                <w:rFonts w:cs="Times New Roman"/>
                <w:color w:val="0000FF"/>
                <w:kern w:val="0"/>
                <w:szCs w:val="20"/>
              </w:rPr>
            </w:pPr>
            <w:r>
              <w:rPr>
                <w:rFonts w:hint="eastAsia" w:cs="Times New Roman"/>
                <w:color w:val="0000FF"/>
                <w:kern w:val="0"/>
                <w:szCs w:val="20"/>
              </w:rPr>
              <w:t>（2）生态功能区划</w:t>
            </w:r>
          </w:p>
          <w:p w14:paraId="46370338">
            <w:pPr>
              <w:ind w:firstLine="480"/>
              <w:rPr>
                <w:rFonts w:cs="Times New Roman"/>
                <w:color w:val="0000FF"/>
                <w:kern w:val="0"/>
                <w:szCs w:val="20"/>
              </w:rPr>
            </w:pPr>
            <w:r>
              <w:rPr>
                <w:rFonts w:cs="Times New Roman"/>
                <w:color w:val="0000FF"/>
                <w:kern w:val="0"/>
                <w:szCs w:val="20"/>
              </w:rPr>
              <w:t>按照环境保护部及中国科学院2015年发布的《全国生态功能区划》，项目所在区域属于生态功能一级区生态调节功能区，生态功能二级区属防风固沙功能区，生态功能三级区属于I-04-</w:t>
            </w:r>
            <w:r>
              <w:rPr>
                <w:rFonts w:hint="eastAsia" w:cs="Times New Roman"/>
                <w:color w:val="0000FF"/>
                <w:kern w:val="0"/>
                <w:szCs w:val="20"/>
              </w:rPr>
              <w:t>03</w:t>
            </w:r>
            <w:r>
              <w:rPr>
                <w:rFonts w:cs="Times New Roman"/>
                <w:color w:val="0000FF"/>
                <w:kern w:val="0"/>
                <w:szCs w:val="20"/>
              </w:rPr>
              <w:t xml:space="preserve"> </w:t>
            </w:r>
            <w:r>
              <w:rPr>
                <w:rFonts w:ascii="宋体" w:hAnsi="宋体" w:cs="宋体"/>
                <w:color w:val="0000FF"/>
                <w:szCs w:val="24"/>
              </w:rPr>
              <w:t>浑善达克沙地防风固沙功能区</w:t>
            </w:r>
            <w:r>
              <w:rPr>
                <w:rFonts w:cs="Times New Roman"/>
                <w:color w:val="0000FF"/>
                <w:kern w:val="0"/>
                <w:szCs w:val="20"/>
              </w:rPr>
              <w:t>。</w:t>
            </w:r>
            <w:r>
              <w:rPr>
                <w:rFonts w:ascii="宋体" w:hAnsi="宋体" w:cs="宋体"/>
                <w:color w:val="0000FF"/>
                <w:szCs w:val="24"/>
              </w:rPr>
              <w:t>该区的主要生态问题是长期以来的草地资源不合理开发利用带来的草原生态系统严重退化，表现为退化草地面积大、土地沙化严重、耕地土壤贫瘠化、干旱缺水，对华北地区生态安全构成威胁。本项目与全国生态功能区划位置关系见</w:t>
            </w:r>
            <w:r>
              <w:rPr>
                <w:rFonts w:hint="eastAsia"/>
                <w:color w:val="0000FF"/>
                <w:szCs w:val="20"/>
              </w:rPr>
              <w:t>附图6。</w:t>
            </w:r>
          </w:p>
          <w:p w14:paraId="7655DAFA">
            <w:pPr>
              <w:ind w:firstLine="480"/>
              <w:rPr>
                <w:color w:val="0000FF"/>
                <w:szCs w:val="20"/>
              </w:rPr>
            </w:pPr>
            <w:r>
              <w:rPr>
                <w:rFonts w:cs="Times New Roman"/>
                <w:color w:val="0000FF"/>
                <w:kern w:val="0"/>
                <w:szCs w:val="20"/>
              </w:rPr>
              <w:t>根据《内蒙古自治区生态功能区划》，项目所在区域属于“IV 内蒙古</w:t>
            </w:r>
            <w:r>
              <w:rPr>
                <w:rFonts w:hint="eastAsia" w:cs="Times New Roman"/>
                <w:color w:val="0000FF"/>
                <w:kern w:val="0"/>
                <w:szCs w:val="20"/>
              </w:rPr>
              <w:t>高原荒漠草原生态区</w:t>
            </w:r>
            <w:r>
              <w:rPr>
                <w:rFonts w:cs="Times New Roman"/>
                <w:color w:val="0000FF"/>
                <w:kern w:val="0"/>
                <w:szCs w:val="20"/>
              </w:rPr>
              <w:t>-IV-</w:t>
            </w:r>
            <w:r>
              <w:rPr>
                <w:rFonts w:hint="eastAsia" w:cs="Times New Roman"/>
                <w:color w:val="0000FF"/>
                <w:kern w:val="0"/>
                <w:szCs w:val="20"/>
              </w:rPr>
              <w:t>1</w:t>
            </w:r>
            <w:r>
              <w:rPr>
                <w:rFonts w:cs="Times New Roman"/>
                <w:color w:val="0000FF"/>
                <w:kern w:val="0"/>
                <w:szCs w:val="20"/>
              </w:rPr>
              <w:t>内蒙古</w:t>
            </w:r>
            <w:r>
              <w:rPr>
                <w:rFonts w:hint="eastAsia" w:cs="Times New Roman"/>
                <w:color w:val="0000FF"/>
                <w:kern w:val="0"/>
                <w:szCs w:val="20"/>
              </w:rPr>
              <w:t>高原荒漠草原生态</w:t>
            </w:r>
            <w:r>
              <w:rPr>
                <w:rFonts w:cs="Times New Roman"/>
                <w:color w:val="0000FF"/>
                <w:kern w:val="0"/>
                <w:szCs w:val="20"/>
              </w:rPr>
              <w:t>亚区-IV-</w:t>
            </w:r>
            <w:r>
              <w:rPr>
                <w:rFonts w:hint="eastAsia" w:cs="Times New Roman"/>
                <w:color w:val="0000FF"/>
                <w:kern w:val="0"/>
                <w:szCs w:val="20"/>
              </w:rPr>
              <w:t>1</w:t>
            </w:r>
            <w:r>
              <w:rPr>
                <w:rFonts w:cs="Times New Roman"/>
                <w:color w:val="0000FF"/>
                <w:kern w:val="0"/>
                <w:szCs w:val="20"/>
              </w:rPr>
              <w:t>-</w:t>
            </w:r>
            <w:r>
              <w:rPr>
                <w:rFonts w:hint="eastAsia" w:cs="Times New Roman"/>
                <w:color w:val="0000FF"/>
                <w:kern w:val="0"/>
                <w:szCs w:val="20"/>
              </w:rPr>
              <w:t>1阴山北麓农牧交错带防风固沙生态功能区</w:t>
            </w:r>
            <w:r>
              <w:rPr>
                <w:rFonts w:cs="Times New Roman"/>
                <w:color w:val="0000FF"/>
                <w:kern w:val="0"/>
                <w:szCs w:val="20"/>
              </w:rPr>
              <w:t>”。</w:t>
            </w:r>
            <w:r>
              <w:rPr>
                <w:rFonts w:ascii="宋体" w:hAnsi="宋体" w:cs="宋体"/>
                <w:color w:val="0000FF"/>
                <w:szCs w:val="24"/>
              </w:rPr>
              <w:t>该区存在主要生态环境问题是由于处于生态环境脆弱带上，其稳定性较差，生态系统更容易受到损害，土地沙化，生物多样性减少，沙尘暴频繁发生，目前该区已成为我国北方重要的沙尘暴源头区。本地区生态环境敏感性表现在土壤风蚀沙化、生物多样性为极敏感</w:t>
            </w:r>
            <w:r>
              <w:rPr>
                <w:rFonts w:hint="eastAsia" w:ascii="宋体" w:hAnsi="宋体" w:cs="宋体"/>
                <w:color w:val="0000FF"/>
                <w:szCs w:val="24"/>
              </w:rPr>
              <w:t>。</w:t>
            </w:r>
            <w:r>
              <w:rPr>
                <w:color w:val="0000FF"/>
                <w:szCs w:val="20"/>
              </w:rPr>
              <w:t>内蒙古生态区划与项目位置关系</w:t>
            </w:r>
            <w:r>
              <w:rPr>
                <w:rFonts w:hint="eastAsia"/>
                <w:color w:val="0000FF"/>
                <w:szCs w:val="20"/>
              </w:rPr>
              <w:t>见附图7。</w:t>
            </w:r>
          </w:p>
          <w:p w14:paraId="0ED87008">
            <w:pPr>
              <w:pStyle w:val="38"/>
            </w:pPr>
            <w:r>
              <w:rPr>
                <w:rFonts w:hint="eastAsia"/>
              </w:rPr>
              <w:t>3.1.2声环境功能区划</w:t>
            </w:r>
          </w:p>
          <w:p w14:paraId="12D7BE10">
            <w:pPr>
              <w:pStyle w:val="38"/>
            </w:pPr>
            <w:r>
              <w:rPr>
                <w:rFonts w:hint="eastAsia"/>
              </w:rPr>
              <w:t>项目所在地属于声环境 2 类区。</w:t>
            </w:r>
          </w:p>
          <w:p w14:paraId="50418E7B">
            <w:pPr>
              <w:pStyle w:val="38"/>
            </w:pPr>
            <w:r>
              <w:rPr>
                <w:rFonts w:hint="eastAsia"/>
              </w:rPr>
              <w:t>3.2项目所在区域的环境质量现状</w:t>
            </w:r>
          </w:p>
          <w:p w14:paraId="34939D6D">
            <w:pPr>
              <w:pStyle w:val="38"/>
            </w:pPr>
            <w:r>
              <w:rPr>
                <w:rFonts w:hint="eastAsia"/>
              </w:rPr>
              <w:t>3</w:t>
            </w:r>
            <w:r>
              <w:t>.</w:t>
            </w:r>
            <w:r>
              <w:rPr>
                <w:rFonts w:hint="eastAsia"/>
              </w:rPr>
              <w:t>2.1声环境现状</w:t>
            </w:r>
          </w:p>
          <w:p w14:paraId="2A74BD89">
            <w:pPr>
              <w:pStyle w:val="38"/>
            </w:pPr>
            <w:r>
              <w:rPr>
                <w:rFonts w:hint="eastAsia"/>
              </w:rPr>
              <w:t>为了解本工程周围的声环境质量现状，本次委托内蒙古航峰检测技术有限公司于2</w:t>
            </w:r>
            <w:r>
              <w:t>02</w:t>
            </w:r>
            <w:r>
              <w:rPr>
                <w:rFonts w:hint="eastAsia"/>
              </w:rPr>
              <w:t>5年5月28日，对本工程周围的声环境现状进行了检测。</w:t>
            </w:r>
          </w:p>
          <w:p w14:paraId="72F8CC2D">
            <w:pPr>
              <w:pStyle w:val="38"/>
            </w:pPr>
            <w:r>
              <w:rPr>
                <w:rFonts w:hint="eastAsia"/>
              </w:rPr>
              <w:t>（1）监测布点</w:t>
            </w:r>
          </w:p>
          <w:p w14:paraId="4D731CF3">
            <w:pPr>
              <w:pStyle w:val="38"/>
            </w:pPr>
            <w:r>
              <w:rPr>
                <w:rFonts w:hint="eastAsia"/>
              </w:rPr>
              <w:t>本次声环境现状监测在变电站站址四周进行布点监测，共设置4个声环境质量现状监测点。</w:t>
            </w:r>
          </w:p>
          <w:p w14:paraId="2D067C4F">
            <w:pPr>
              <w:pStyle w:val="38"/>
            </w:pPr>
            <w:r>
              <w:rPr>
                <w:rFonts w:hint="eastAsia"/>
              </w:rPr>
              <w:t>（2）本工程环境质量现状监测方法和使用仪器一览表见表</w:t>
            </w:r>
            <w:r>
              <w:t>3.1</w:t>
            </w:r>
            <w:r>
              <w:rPr>
                <w:rFonts w:hint="eastAsia"/>
              </w:rPr>
              <w:t>。</w:t>
            </w:r>
          </w:p>
          <w:p w14:paraId="48871804">
            <w:pPr>
              <w:pStyle w:val="4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3.1</w:t>
            </w:r>
            <w:r>
              <w:rPr>
                <w:rFonts w:hint="eastAsia"/>
                <w:color w:val="000000" w:themeColor="text1"/>
                <w14:textFill>
                  <w14:solidFill>
                    <w14:schemeClr w14:val="tx1"/>
                  </w14:solidFill>
                </w14:textFill>
              </w:rPr>
              <w:t xml:space="preserve">   本工程现状监测方法及仪器一览表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2951"/>
              <w:gridCol w:w="872"/>
              <w:gridCol w:w="2305"/>
              <w:gridCol w:w="1461"/>
            </w:tblGrid>
            <w:tr w14:paraId="39799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101" w:type="dxa"/>
                  <w:vAlign w:val="center"/>
                </w:tcPr>
                <w:p w14:paraId="4580DDF3">
                  <w:pPr>
                    <w:spacing w:line="240" w:lineRule="auto"/>
                    <w:ind w:firstLine="0" w:firstLineChars="0"/>
                    <w:jc w:val="center"/>
                    <w:rPr>
                      <w:b/>
                      <w:sz w:val="21"/>
                      <w:szCs w:val="21"/>
                    </w:rPr>
                  </w:pPr>
                  <w:r>
                    <w:rPr>
                      <w:b/>
                      <w:sz w:val="21"/>
                      <w:szCs w:val="21"/>
                    </w:rPr>
                    <w:t>检测项目</w:t>
                  </w:r>
                </w:p>
              </w:tc>
              <w:tc>
                <w:tcPr>
                  <w:tcW w:w="2951" w:type="dxa"/>
                  <w:vAlign w:val="center"/>
                </w:tcPr>
                <w:p w14:paraId="731195E0">
                  <w:pPr>
                    <w:spacing w:line="240" w:lineRule="auto"/>
                    <w:ind w:firstLine="0" w:firstLineChars="0"/>
                    <w:jc w:val="center"/>
                    <w:rPr>
                      <w:b/>
                      <w:sz w:val="21"/>
                      <w:szCs w:val="21"/>
                    </w:rPr>
                  </w:pPr>
                  <w:r>
                    <w:rPr>
                      <w:b/>
                      <w:sz w:val="21"/>
                      <w:szCs w:val="21"/>
                    </w:rPr>
                    <w:t>分析方法及来源</w:t>
                  </w:r>
                </w:p>
              </w:tc>
              <w:tc>
                <w:tcPr>
                  <w:tcW w:w="872" w:type="dxa"/>
                  <w:vAlign w:val="center"/>
                </w:tcPr>
                <w:p w14:paraId="43A7C5BC">
                  <w:pPr>
                    <w:spacing w:line="240" w:lineRule="auto"/>
                    <w:ind w:firstLine="0" w:firstLineChars="0"/>
                    <w:jc w:val="center"/>
                    <w:rPr>
                      <w:sz w:val="21"/>
                      <w:szCs w:val="21"/>
                    </w:rPr>
                  </w:pPr>
                  <w:r>
                    <w:rPr>
                      <w:b/>
                      <w:sz w:val="21"/>
                      <w:szCs w:val="21"/>
                    </w:rPr>
                    <w:t>检出限</w:t>
                  </w:r>
                </w:p>
              </w:tc>
              <w:tc>
                <w:tcPr>
                  <w:tcW w:w="2305" w:type="dxa"/>
                  <w:vAlign w:val="center"/>
                </w:tcPr>
                <w:p w14:paraId="497A0EED">
                  <w:pPr>
                    <w:spacing w:line="240" w:lineRule="auto"/>
                    <w:ind w:firstLine="0" w:firstLineChars="0"/>
                    <w:jc w:val="center"/>
                    <w:rPr>
                      <w:b/>
                      <w:sz w:val="21"/>
                      <w:szCs w:val="21"/>
                    </w:rPr>
                  </w:pPr>
                  <w:r>
                    <w:rPr>
                      <w:b/>
                      <w:sz w:val="21"/>
                      <w:szCs w:val="21"/>
                    </w:rPr>
                    <w:t>仪器设备名称</w:t>
                  </w:r>
                </w:p>
                <w:p w14:paraId="544FF7D6">
                  <w:pPr>
                    <w:spacing w:line="240" w:lineRule="auto"/>
                    <w:ind w:firstLine="0" w:firstLineChars="0"/>
                    <w:jc w:val="center"/>
                    <w:rPr>
                      <w:b/>
                      <w:sz w:val="21"/>
                      <w:szCs w:val="21"/>
                    </w:rPr>
                  </w:pPr>
                  <w:r>
                    <w:rPr>
                      <w:b/>
                      <w:sz w:val="21"/>
                      <w:szCs w:val="21"/>
                    </w:rPr>
                    <w:t>/型号/管理编号</w:t>
                  </w:r>
                </w:p>
              </w:tc>
              <w:tc>
                <w:tcPr>
                  <w:tcW w:w="1461" w:type="dxa"/>
                  <w:vAlign w:val="center"/>
                </w:tcPr>
                <w:p w14:paraId="1F32C1A8">
                  <w:pPr>
                    <w:spacing w:line="240" w:lineRule="auto"/>
                    <w:ind w:firstLine="0" w:firstLineChars="0"/>
                    <w:jc w:val="center"/>
                    <w:rPr>
                      <w:b/>
                      <w:sz w:val="21"/>
                      <w:szCs w:val="21"/>
                    </w:rPr>
                  </w:pPr>
                  <w:r>
                    <w:rPr>
                      <w:rFonts w:hint="eastAsia"/>
                      <w:b/>
                      <w:sz w:val="21"/>
                      <w:szCs w:val="21"/>
                    </w:rPr>
                    <w:t>仪器检定（校准）/有效期</w:t>
                  </w:r>
                </w:p>
              </w:tc>
            </w:tr>
            <w:tr w14:paraId="175CD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101" w:type="dxa"/>
                  <w:vAlign w:val="center"/>
                </w:tcPr>
                <w:p w14:paraId="5E717FE2">
                  <w:pPr>
                    <w:spacing w:line="240" w:lineRule="auto"/>
                    <w:ind w:firstLine="0" w:firstLineChars="0"/>
                    <w:jc w:val="center"/>
                    <w:rPr>
                      <w:sz w:val="21"/>
                      <w:szCs w:val="21"/>
                    </w:rPr>
                  </w:pPr>
                  <w:r>
                    <w:rPr>
                      <w:color w:val="000000"/>
                      <w:sz w:val="21"/>
                      <w:szCs w:val="21"/>
                    </w:rPr>
                    <w:t>环境噪声</w:t>
                  </w:r>
                </w:p>
              </w:tc>
              <w:tc>
                <w:tcPr>
                  <w:tcW w:w="2951" w:type="dxa"/>
                  <w:vAlign w:val="center"/>
                </w:tcPr>
                <w:p w14:paraId="355E16E9">
                  <w:pPr>
                    <w:spacing w:line="240" w:lineRule="auto"/>
                    <w:ind w:firstLine="0" w:firstLineChars="0"/>
                    <w:rPr>
                      <w:sz w:val="21"/>
                      <w:szCs w:val="21"/>
                    </w:rPr>
                  </w:pPr>
                  <w:r>
                    <w:rPr>
                      <w:kern w:val="0"/>
                      <w:sz w:val="21"/>
                      <w:szCs w:val="21"/>
                    </w:rPr>
                    <w:t>《声环境质量标准》GB3096-2008</w:t>
                  </w:r>
                </w:p>
              </w:tc>
              <w:tc>
                <w:tcPr>
                  <w:tcW w:w="872" w:type="dxa"/>
                  <w:vAlign w:val="center"/>
                </w:tcPr>
                <w:p w14:paraId="2FEE9FB9">
                  <w:pPr>
                    <w:spacing w:line="240" w:lineRule="auto"/>
                    <w:ind w:firstLine="0" w:firstLineChars="0"/>
                    <w:jc w:val="center"/>
                    <w:rPr>
                      <w:sz w:val="21"/>
                      <w:szCs w:val="21"/>
                    </w:rPr>
                  </w:pPr>
                  <w:r>
                    <w:rPr>
                      <w:color w:val="000000"/>
                      <w:sz w:val="21"/>
                      <w:szCs w:val="21"/>
                    </w:rPr>
                    <w:t>--</w:t>
                  </w:r>
                </w:p>
              </w:tc>
              <w:tc>
                <w:tcPr>
                  <w:tcW w:w="2305" w:type="dxa"/>
                  <w:vAlign w:val="center"/>
                </w:tcPr>
                <w:p w14:paraId="2170EBEE">
                  <w:pPr>
                    <w:spacing w:line="240" w:lineRule="auto"/>
                    <w:ind w:firstLine="0" w:firstLineChars="0"/>
                    <w:jc w:val="center"/>
                    <w:rPr>
                      <w:rFonts w:hint="eastAsia"/>
                      <w:color w:val="000000"/>
                      <w:sz w:val="21"/>
                      <w:szCs w:val="21"/>
                      <w:lang w:val="en-US" w:eastAsia="zh-CN"/>
                    </w:rPr>
                  </w:pPr>
                  <w:r>
                    <w:rPr>
                      <w:bCs/>
                      <w:kern w:val="0"/>
                      <w:sz w:val="21"/>
                      <w:szCs w:val="21"/>
                      <w:lang w:bidi="mn-Mong-CN"/>
                    </w:rPr>
                    <w:t>多功能声级</w:t>
                  </w:r>
                  <w:r>
                    <w:rPr>
                      <w:color w:val="000000"/>
                      <w:sz w:val="21"/>
                      <w:szCs w:val="21"/>
                    </w:rPr>
                    <w:t>/</w:t>
                  </w:r>
                  <w:r>
                    <w:rPr>
                      <w:rFonts w:hint="eastAsia"/>
                      <w:color w:val="000000"/>
                      <w:sz w:val="21"/>
                      <w:szCs w:val="21"/>
                    </w:rPr>
                    <w:t>AWA</w:t>
                  </w:r>
                  <w:r>
                    <w:rPr>
                      <w:rFonts w:hint="eastAsia"/>
                      <w:color w:val="000000"/>
                      <w:sz w:val="21"/>
                      <w:szCs w:val="21"/>
                      <w:lang w:val="en-US" w:eastAsia="zh-CN"/>
                    </w:rPr>
                    <w:t>5688</w:t>
                  </w:r>
                </w:p>
                <w:p w14:paraId="04FF82E8">
                  <w:pPr>
                    <w:spacing w:line="240" w:lineRule="auto"/>
                    <w:ind w:firstLine="0" w:firstLineChars="0"/>
                    <w:jc w:val="center"/>
                    <w:rPr>
                      <w:rFonts w:hint="default"/>
                      <w:sz w:val="21"/>
                      <w:szCs w:val="21"/>
                      <w:lang w:val="en-US"/>
                    </w:rPr>
                  </w:pPr>
                  <w:r>
                    <w:rPr>
                      <w:rFonts w:hint="eastAsia"/>
                      <w:color w:val="000000"/>
                      <w:sz w:val="21"/>
                      <w:szCs w:val="21"/>
                      <w:lang w:val="en-US" w:eastAsia="zh-CN"/>
                    </w:rPr>
                    <w:t>声校准器</w:t>
                  </w:r>
                  <w:r>
                    <w:rPr>
                      <w:color w:val="000000"/>
                      <w:sz w:val="21"/>
                      <w:szCs w:val="21"/>
                    </w:rPr>
                    <w:t>/</w:t>
                  </w:r>
                  <w:r>
                    <w:rPr>
                      <w:rFonts w:hint="eastAsia"/>
                      <w:color w:val="000000"/>
                      <w:sz w:val="21"/>
                      <w:szCs w:val="21"/>
                      <w:lang w:val="en-US" w:eastAsia="zh-CN"/>
                    </w:rPr>
                    <w:t>AWA6022A</w:t>
                  </w:r>
                </w:p>
              </w:tc>
              <w:tc>
                <w:tcPr>
                  <w:tcW w:w="1461" w:type="dxa"/>
                  <w:vAlign w:val="center"/>
                </w:tcPr>
                <w:p w14:paraId="7079692A">
                  <w:pPr>
                    <w:spacing w:line="240" w:lineRule="auto"/>
                    <w:ind w:firstLine="0" w:firstLineChars="0"/>
                    <w:jc w:val="center"/>
                    <w:rPr>
                      <w:sz w:val="21"/>
                      <w:szCs w:val="21"/>
                    </w:rPr>
                  </w:pPr>
                  <w:r>
                    <w:rPr>
                      <w:rFonts w:hint="eastAsia"/>
                      <w:sz w:val="21"/>
                      <w:szCs w:val="21"/>
                    </w:rPr>
                    <w:t>检定有效期至</w:t>
                  </w:r>
                </w:p>
                <w:p w14:paraId="27E6B0E4">
                  <w:pPr>
                    <w:spacing w:line="240" w:lineRule="auto"/>
                    <w:ind w:firstLine="0" w:firstLineChars="0"/>
                    <w:jc w:val="center"/>
                    <w:rPr>
                      <w:rFonts w:hint="eastAsia" w:eastAsia="宋体"/>
                      <w:sz w:val="21"/>
                      <w:szCs w:val="21"/>
                      <w:lang w:eastAsia="zh-CN"/>
                    </w:rPr>
                  </w:pPr>
                  <w:r>
                    <w:rPr>
                      <w:rFonts w:hint="eastAsia"/>
                      <w:sz w:val="21"/>
                      <w:szCs w:val="21"/>
                    </w:rPr>
                    <w:t>202</w:t>
                  </w:r>
                  <w:r>
                    <w:rPr>
                      <w:rFonts w:hint="eastAsia"/>
                      <w:sz w:val="21"/>
                      <w:szCs w:val="21"/>
                      <w:lang w:val="en-US" w:eastAsia="zh-CN"/>
                    </w:rPr>
                    <w:t>6</w:t>
                  </w:r>
                  <w:r>
                    <w:rPr>
                      <w:rFonts w:hint="eastAsia"/>
                      <w:sz w:val="21"/>
                      <w:szCs w:val="21"/>
                    </w:rPr>
                    <w:t>.0</w:t>
                  </w:r>
                  <w:r>
                    <w:rPr>
                      <w:rFonts w:hint="eastAsia"/>
                      <w:sz w:val="21"/>
                      <w:szCs w:val="21"/>
                      <w:lang w:val="en-US" w:eastAsia="zh-CN"/>
                    </w:rPr>
                    <w:t>2</w:t>
                  </w:r>
                  <w:r>
                    <w:rPr>
                      <w:rFonts w:hint="eastAsia"/>
                      <w:sz w:val="21"/>
                      <w:szCs w:val="21"/>
                    </w:rPr>
                    <w:t>.1</w:t>
                  </w:r>
                  <w:r>
                    <w:rPr>
                      <w:rFonts w:hint="eastAsia"/>
                      <w:sz w:val="21"/>
                      <w:szCs w:val="21"/>
                      <w:lang w:val="en-US" w:eastAsia="zh-CN"/>
                    </w:rPr>
                    <w:t>6</w:t>
                  </w:r>
                </w:p>
              </w:tc>
            </w:tr>
          </w:tbl>
          <w:p w14:paraId="6F49BAA5">
            <w:pPr>
              <w:pStyle w:val="38"/>
            </w:pPr>
            <w:r>
              <w:rPr>
                <w:rFonts w:hint="eastAsia"/>
              </w:rPr>
              <w:t>（3）监测时间及气象条件</w:t>
            </w:r>
          </w:p>
          <w:p w14:paraId="4D1476A6">
            <w:pPr>
              <w:pStyle w:val="38"/>
            </w:pPr>
            <w:r>
              <w:rPr>
                <w:rFonts w:hint="eastAsia"/>
              </w:rPr>
              <w:t>监测时间：2025年5月28日。</w:t>
            </w:r>
          </w:p>
          <w:p w14:paraId="71C48A07">
            <w:pPr>
              <w:pStyle w:val="38"/>
            </w:pPr>
            <w:r>
              <w:rPr>
                <w:rFonts w:hint="eastAsia"/>
              </w:rPr>
              <w:t>天气状况：晴；昼间风向：西北风；夜间风向：西北风；最大风速：昼间2.6m/s，夜间2.9m/s；环境温度：30.6℃ ；相对湿度：20.4%；</w:t>
            </w:r>
          </w:p>
          <w:p w14:paraId="4C458184">
            <w:pPr>
              <w:pStyle w:val="38"/>
            </w:pPr>
            <w:r>
              <w:rPr>
                <w:rFonts w:hint="eastAsia"/>
              </w:rPr>
              <w:t>（4）监测结果及分析</w:t>
            </w:r>
          </w:p>
          <w:p w14:paraId="4D26F525">
            <w:pPr>
              <w:pStyle w:val="4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2声环境质量检测结果一览表</w:t>
            </w:r>
          </w:p>
          <w:tbl>
            <w:tblPr>
              <w:tblStyle w:val="21"/>
              <w:tblW w:w="4998" w:type="pct"/>
              <w:tblInd w:w="0" w:type="dxa"/>
              <w:tblLayout w:type="fixed"/>
              <w:tblCellMar>
                <w:top w:w="0" w:type="dxa"/>
                <w:left w:w="108" w:type="dxa"/>
                <w:bottom w:w="0" w:type="dxa"/>
                <w:right w:w="108" w:type="dxa"/>
              </w:tblCellMar>
            </w:tblPr>
            <w:tblGrid>
              <w:gridCol w:w="2213"/>
              <w:gridCol w:w="2171"/>
              <w:gridCol w:w="1001"/>
              <w:gridCol w:w="1553"/>
              <w:gridCol w:w="1756"/>
            </w:tblGrid>
            <w:tr w14:paraId="16DFA62F">
              <w:tblPrEx>
                <w:tblCellMar>
                  <w:top w:w="0" w:type="dxa"/>
                  <w:left w:w="108" w:type="dxa"/>
                  <w:bottom w:w="0" w:type="dxa"/>
                  <w:right w:w="108" w:type="dxa"/>
                </w:tblCellMar>
              </w:tblPrEx>
              <w:trPr>
                <w:trHeight w:val="23" w:hRule="atLeast"/>
              </w:trPr>
              <w:tc>
                <w:tcPr>
                  <w:tcW w:w="1271" w:type="pct"/>
                  <w:vMerge w:val="restart"/>
                  <w:tcBorders>
                    <w:top w:val="single" w:color="474747" w:sz="8" w:space="0"/>
                    <w:left w:val="single" w:color="888E93" w:sz="8" w:space="0"/>
                    <w:bottom w:val="single" w:color="888E93" w:sz="8" w:space="0"/>
                    <w:right w:val="single" w:color="888E93" w:sz="8" w:space="0"/>
                  </w:tcBorders>
                  <w:shd w:val="clear" w:color="auto" w:fill="FFFFFF"/>
                  <w:vAlign w:val="center"/>
                </w:tcPr>
                <w:p w14:paraId="5F6EFDAB">
                  <w:pPr>
                    <w:widowControl/>
                    <w:spacing w:line="240" w:lineRule="auto"/>
                    <w:ind w:firstLine="0" w:firstLineChars="0"/>
                    <w:jc w:val="left"/>
                    <w:textAlignment w:val="center"/>
                    <w:rPr>
                      <w:rFonts w:hint="eastAsia" w:ascii="宋体" w:hAnsi="宋体" w:cs="宋体"/>
                      <w:color w:val="000000"/>
                      <w:sz w:val="19"/>
                      <w:szCs w:val="19"/>
                    </w:rPr>
                  </w:pPr>
                  <w:r>
                    <w:rPr>
                      <w:rFonts w:hint="eastAsia" w:ascii="宋体" w:hAnsi="宋体" w:cs="宋体"/>
                      <w:color w:val="000000"/>
                      <w:kern w:val="0"/>
                      <w:sz w:val="19"/>
                      <w:szCs w:val="19"/>
                      <w:lang w:bidi="ar"/>
                    </w:rPr>
                    <w:t>监测点名称</w:t>
                  </w:r>
                </w:p>
              </w:tc>
              <w:tc>
                <w:tcPr>
                  <w:tcW w:w="1824" w:type="pct"/>
                  <w:gridSpan w:val="2"/>
                  <w:tcBorders>
                    <w:top w:val="single" w:color="474747" w:sz="8" w:space="0"/>
                    <w:left w:val="single" w:color="888E93" w:sz="8" w:space="0"/>
                    <w:bottom w:val="single" w:color="888E93" w:sz="8" w:space="0"/>
                    <w:right w:val="single" w:color="888E93" w:sz="8" w:space="0"/>
                  </w:tcBorders>
                  <w:shd w:val="clear" w:color="auto" w:fill="FFFFFF"/>
                  <w:vAlign w:val="center"/>
                </w:tcPr>
                <w:p w14:paraId="3BE4458A">
                  <w:pPr>
                    <w:widowControl/>
                    <w:spacing w:line="240" w:lineRule="auto"/>
                    <w:ind w:firstLine="0" w:firstLineChars="0"/>
                    <w:jc w:val="left"/>
                    <w:textAlignment w:val="center"/>
                    <w:rPr>
                      <w:rFonts w:hint="eastAsia" w:ascii="宋体" w:hAnsi="宋体" w:cs="宋体"/>
                      <w:color w:val="000000"/>
                      <w:sz w:val="19"/>
                      <w:szCs w:val="19"/>
                    </w:rPr>
                  </w:pPr>
                  <w:r>
                    <w:rPr>
                      <w:rFonts w:hint="eastAsia" w:ascii="宋体" w:hAnsi="宋体" w:cs="宋体"/>
                      <w:color w:val="000000"/>
                      <w:kern w:val="0"/>
                      <w:sz w:val="19"/>
                      <w:szCs w:val="19"/>
                      <w:lang w:bidi="ar"/>
                    </w:rPr>
                    <w:t>监测点与拟建变电站的方位及水平距离</w:t>
                  </w:r>
                </w:p>
              </w:tc>
              <w:tc>
                <w:tcPr>
                  <w:tcW w:w="893" w:type="pct"/>
                  <w:tcBorders>
                    <w:top w:val="single" w:color="474747" w:sz="8" w:space="0"/>
                    <w:left w:val="single" w:color="888E93" w:sz="8" w:space="0"/>
                    <w:right w:val="single" w:color="888E93" w:sz="8" w:space="0"/>
                  </w:tcBorders>
                  <w:shd w:val="clear" w:color="auto" w:fill="FFFFFF"/>
                  <w:vAlign w:val="center"/>
                </w:tcPr>
                <w:p w14:paraId="2459D224">
                  <w:pPr>
                    <w:widowControl/>
                    <w:spacing w:line="240" w:lineRule="auto"/>
                    <w:ind w:firstLine="0" w:firstLineChars="0"/>
                    <w:jc w:val="left"/>
                    <w:textAlignment w:val="center"/>
                    <w:rPr>
                      <w:rFonts w:cs="Times New Roman"/>
                      <w:color w:val="000000"/>
                      <w:sz w:val="20"/>
                      <w:szCs w:val="20"/>
                    </w:rPr>
                  </w:pPr>
                  <w:r>
                    <w:rPr>
                      <w:rFonts w:cs="Times New Roman"/>
                      <w:color w:val="000000"/>
                      <w:kern w:val="0"/>
                      <w:sz w:val="20"/>
                      <w:szCs w:val="20"/>
                      <w:lang w:bidi="ar"/>
                    </w:rPr>
                    <w:t>昼间噪声等效A声级dB(A)</w:t>
                  </w:r>
                </w:p>
              </w:tc>
              <w:tc>
                <w:tcPr>
                  <w:tcW w:w="1010" w:type="pct"/>
                  <w:tcBorders>
                    <w:top w:val="single" w:color="474747" w:sz="8" w:space="0"/>
                    <w:left w:val="single" w:color="888E93" w:sz="8" w:space="0"/>
                    <w:right w:val="single" w:color="474747" w:sz="8" w:space="0"/>
                  </w:tcBorders>
                  <w:shd w:val="clear" w:color="auto" w:fill="FFFFFF"/>
                  <w:vAlign w:val="center"/>
                </w:tcPr>
                <w:p w14:paraId="299F5A46">
                  <w:pPr>
                    <w:widowControl/>
                    <w:spacing w:line="240" w:lineRule="auto"/>
                    <w:ind w:firstLine="0" w:firstLineChars="0"/>
                    <w:jc w:val="left"/>
                    <w:textAlignment w:val="center"/>
                    <w:rPr>
                      <w:rFonts w:cs="Times New Roman"/>
                      <w:color w:val="000000"/>
                      <w:sz w:val="20"/>
                      <w:szCs w:val="20"/>
                    </w:rPr>
                  </w:pPr>
                  <w:r>
                    <w:rPr>
                      <w:rFonts w:cs="Times New Roman"/>
                      <w:color w:val="000000"/>
                      <w:kern w:val="0"/>
                      <w:sz w:val="20"/>
                      <w:szCs w:val="20"/>
                      <w:lang w:bidi="ar"/>
                    </w:rPr>
                    <w:t>夜间噪声等效A声级dB(A)</w:t>
                  </w:r>
                </w:p>
              </w:tc>
            </w:tr>
            <w:tr w14:paraId="59ECE159">
              <w:tblPrEx>
                <w:tblCellMar>
                  <w:top w:w="0" w:type="dxa"/>
                  <w:left w:w="108" w:type="dxa"/>
                  <w:bottom w:w="0" w:type="dxa"/>
                  <w:right w:w="108" w:type="dxa"/>
                </w:tblCellMar>
              </w:tblPrEx>
              <w:trPr>
                <w:trHeight w:val="23" w:hRule="atLeast"/>
              </w:trPr>
              <w:tc>
                <w:tcPr>
                  <w:tcW w:w="1271" w:type="pct"/>
                  <w:vMerge w:val="restart"/>
                  <w:tcBorders>
                    <w:top w:val="single" w:color="888E93" w:sz="8" w:space="0"/>
                    <w:left w:val="single" w:color="888E93" w:sz="8" w:space="0"/>
                    <w:bottom w:val="single" w:color="888E93" w:sz="8" w:space="0"/>
                    <w:right w:val="single" w:color="888E93" w:sz="8" w:space="0"/>
                  </w:tcBorders>
                  <w:shd w:val="clear" w:color="auto" w:fill="FFFFFF"/>
                  <w:vAlign w:val="center"/>
                </w:tcPr>
                <w:p w14:paraId="08D2039B">
                  <w:pPr>
                    <w:widowControl/>
                    <w:spacing w:line="240" w:lineRule="auto"/>
                    <w:ind w:firstLine="0" w:firstLineChars="0"/>
                    <w:jc w:val="left"/>
                    <w:textAlignment w:val="center"/>
                    <w:rPr>
                      <w:rFonts w:hint="eastAsia" w:ascii="宋体" w:hAnsi="宋体" w:cs="宋体"/>
                      <w:color w:val="000000"/>
                      <w:sz w:val="19"/>
                      <w:szCs w:val="19"/>
                    </w:rPr>
                  </w:pPr>
                  <w:r>
                    <w:rPr>
                      <w:rFonts w:hint="eastAsia" w:ascii="宋体" w:hAnsi="宋体" w:cs="宋体"/>
                      <w:color w:val="000000"/>
                      <w:kern w:val="0"/>
                      <w:sz w:val="19"/>
                      <w:szCs w:val="19"/>
                      <w:lang w:bidi="ar"/>
                    </w:rPr>
                    <w:t>拟建110kV变电站</w:t>
                  </w:r>
                </w:p>
              </w:tc>
              <w:tc>
                <w:tcPr>
                  <w:tcW w:w="1248"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7D69F3A2">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东侧</w:t>
                  </w:r>
                </w:p>
              </w:tc>
              <w:tc>
                <w:tcPr>
                  <w:tcW w:w="576"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79B0CA4C">
                  <w:pPr>
                    <w:widowControl/>
                    <w:spacing w:line="240" w:lineRule="auto"/>
                    <w:ind w:firstLine="0" w:firstLineChars="0"/>
                    <w:jc w:val="left"/>
                    <w:textAlignment w:val="center"/>
                    <w:rPr>
                      <w:rFonts w:cs="Times New Roman"/>
                      <w:color w:val="000000"/>
                      <w:sz w:val="20"/>
                      <w:szCs w:val="20"/>
                    </w:rPr>
                  </w:pPr>
                  <w:r>
                    <w:rPr>
                      <w:rFonts w:cs="Times New Roman"/>
                      <w:color w:val="000000"/>
                      <w:kern w:val="0"/>
                      <w:sz w:val="20"/>
                      <w:szCs w:val="20"/>
                      <w:lang w:bidi="ar"/>
                    </w:rPr>
                    <w:t>1m</w:t>
                  </w:r>
                </w:p>
              </w:tc>
              <w:tc>
                <w:tcPr>
                  <w:tcW w:w="893"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0CC0BA63">
                  <w:pPr>
                    <w:widowControl/>
                    <w:spacing w:line="240" w:lineRule="auto"/>
                    <w:ind w:firstLine="0" w:firstLineChars="0"/>
                    <w:jc w:val="left"/>
                    <w:textAlignment w:val="center"/>
                    <w:rPr>
                      <w:rFonts w:cs="Times New Roman"/>
                      <w:color w:val="000000"/>
                      <w:sz w:val="20"/>
                      <w:szCs w:val="20"/>
                    </w:rPr>
                  </w:pPr>
                  <w:r>
                    <w:rPr>
                      <w:rFonts w:hint="eastAsia" w:cs="Times New Roman"/>
                      <w:color w:val="000000"/>
                      <w:sz w:val="20"/>
                      <w:szCs w:val="20"/>
                    </w:rPr>
                    <w:t>46</w:t>
                  </w:r>
                </w:p>
              </w:tc>
              <w:tc>
                <w:tcPr>
                  <w:tcW w:w="1010" w:type="pct"/>
                  <w:tcBorders>
                    <w:top w:val="single" w:color="888E93" w:sz="8" w:space="0"/>
                    <w:left w:val="single" w:color="888E93" w:sz="8" w:space="0"/>
                    <w:bottom w:val="single" w:color="888E93" w:sz="8" w:space="0"/>
                    <w:right w:val="single" w:color="474747" w:sz="8" w:space="0"/>
                  </w:tcBorders>
                  <w:shd w:val="clear" w:color="auto" w:fill="FFFFFF"/>
                  <w:vAlign w:val="center"/>
                </w:tcPr>
                <w:p w14:paraId="70B2E226">
                  <w:pPr>
                    <w:widowControl/>
                    <w:spacing w:line="240" w:lineRule="auto"/>
                    <w:ind w:firstLine="0" w:firstLineChars="0"/>
                    <w:jc w:val="left"/>
                    <w:textAlignment w:val="center"/>
                    <w:rPr>
                      <w:rFonts w:cs="Times New Roman"/>
                      <w:color w:val="000000"/>
                      <w:sz w:val="20"/>
                      <w:szCs w:val="20"/>
                    </w:rPr>
                  </w:pPr>
                  <w:r>
                    <w:rPr>
                      <w:rFonts w:hint="eastAsia" w:cs="Times New Roman"/>
                      <w:color w:val="000000"/>
                      <w:sz w:val="20"/>
                      <w:szCs w:val="20"/>
                    </w:rPr>
                    <w:t>43</w:t>
                  </w:r>
                </w:p>
              </w:tc>
            </w:tr>
            <w:tr w14:paraId="70AFBCDA">
              <w:tblPrEx>
                <w:tblCellMar>
                  <w:top w:w="0" w:type="dxa"/>
                  <w:left w:w="108" w:type="dxa"/>
                  <w:bottom w:w="0" w:type="dxa"/>
                  <w:right w:w="108" w:type="dxa"/>
                </w:tblCellMar>
              </w:tblPrEx>
              <w:trPr>
                <w:trHeight w:val="23" w:hRule="atLeast"/>
              </w:trPr>
              <w:tc>
                <w:tcPr>
                  <w:tcW w:w="1271" w:type="pct"/>
                  <w:vMerge w:val="continue"/>
                  <w:tcBorders>
                    <w:top w:val="single" w:color="888E93" w:sz="8" w:space="0"/>
                    <w:left w:val="single" w:color="888E93" w:sz="8" w:space="0"/>
                    <w:bottom w:val="single" w:color="888E93" w:sz="8" w:space="0"/>
                    <w:right w:val="single" w:color="888E93" w:sz="8" w:space="0"/>
                  </w:tcBorders>
                  <w:shd w:val="clear" w:color="auto" w:fill="FFFFFF"/>
                  <w:vAlign w:val="center"/>
                </w:tcPr>
                <w:p w14:paraId="06E0D50E">
                  <w:pPr>
                    <w:widowControl/>
                    <w:spacing w:line="240" w:lineRule="auto"/>
                    <w:ind w:firstLine="0" w:firstLineChars="0"/>
                    <w:jc w:val="left"/>
                    <w:rPr>
                      <w:rFonts w:hint="eastAsia" w:ascii="宋体" w:hAnsi="宋体" w:cs="宋体"/>
                      <w:color w:val="000000"/>
                      <w:sz w:val="19"/>
                      <w:szCs w:val="19"/>
                    </w:rPr>
                  </w:pPr>
                </w:p>
              </w:tc>
              <w:tc>
                <w:tcPr>
                  <w:tcW w:w="1248"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165BA456">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南侧</w:t>
                  </w:r>
                </w:p>
              </w:tc>
              <w:tc>
                <w:tcPr>
                  <w:tcW w:w="576"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5E93BC05">
                  <w:pPr>
                    <w:widowControl/>
                    <w:spacing w:line="240" w:lineRule="auto"/>
                    <w:ind w:firstLine="0" w:firstLineChars="0"/>
                    <w:jc w:val="left"/>
                    <w:textAlignment w:val="center"/>
                    <w:rPr>
                      <w:rFonts w:cs="Times New Roman"/>
                      <w:color w:val="000000"/>
                      <w:sz w:val="20"/>
                      <w:szCs w:val="20"/>
                    </w:rPr>
                  </w:pPr>
                  <w:r>
                    <w:rPr>
                      <w:rFonts w:cs="Times New Roman"/>
                      <w:color w:val="000000"/>
                      <w:kern w:val="0"/>
                      <w:sz w:val="20"/>
                      <w:szCs w:val="20"/>
                      <w:lang w:bidi="ar"/>
                    </w:rPr>
                    <w:t>1m</w:t>
                  </w:r>
                </w:p>
              </w:tc>
              <w:tc>
                <w:tcPr>
                  <w:tcW w:w="893"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5C4ABF29">
                  <w:pPr>
                    <w:widowControl/>
                    <w:spacing w:line="240" w:lineRule="auto"/>
                    <w:ind w:firstLine="0" w:firstLineChars="0"/>
                    <w:jc w:val="left"/>
                    <w:textAlignment w:val="center"/>
                    <w:rPr>
                      <w:rFonts w:cs="Times New Roman"/>
                      <w:color w:val="000000"/>
                      <w:sz w:val="20"/>
                      <w:szCs w:val="20"/>
                    </w:rPr>
                  </w:pPr>
                  <w:r>
                    <w:rPr>
                      <w:rFonts w:hint="eastAsia" w:cs="Times New Roman"/>
                      <w:color w:val="000000"/>
                      <w:sz w:val="20"/>
                      <w:szCs w:val="20"/>
                    </w:rPr>
                    <w:t>46</w:t>
                  </w:r>
                </w:p>
              </w:tc>
              <w:tc>
                <w:tcPr>
                  <w:tcW w:w="1010" w:type="pct"/>
                  <w:tcBorders>
                    <w:top w:val="single" w:color="888E93" w:sz="8" w:space="0"/>
                    <w:left w:val="single" w:color="888E93" w:sz="8" w:space="0"/>
                    <w:bottom w:val="single" w:color="888E93" w:sz="8" w:space="0"/>
                    <w:right w:val="single" w:color="474747" w:sz="8" w:space="0"/>
                  </w:tcBorders>
                  <w:shd w:val="clear" w:color="auto" w:fill="FFFFFF"/>
                  <w:vAlign w:val="center"/>
                </w:tcPr>
                <w:p w14:paraId="01CB2A76">
                  <w:pPr>
                    <w:widowControl/>
                    <w:spacing w:line="240" w:lineRule="auto"/>
                    <w:ind w:firstLine="0" w:firstLineChars="0"/>
                    <w:jc w:val="left"/>
                    <w:textAlignment w:val="center"/>
                    <w:rPr>
                      <w:rFonts w:cs="Times New Roman"/>
                      <w:color w:val="000000"/>
                      <w:sz w:val="20"/>
                      <w:szCs w:val="20"/>
                    </w:rPr>
                  </w:pPr>
                  <w:r>
                    <w:rPr>
                      <w:rFonts w:hint="eastAsia" w:cs="Times New Roman"/>
                      <w:color w:val="000000"/>
                      <w:sz w:val="20"/>
                      <w:szCs w:val="20"/>
                    </w:rPr>
                    <w:t>42</w:t>
                  </w:r>
                </w:p>
              </w:tc>
            </w:tr>
            <w:tr w14:paraId="6A6828B8">
              <w:tblPrEx>
                <w:tblCellMar>
                  <w:top w:w="0" w:type="dxa"/>
                  <w:left w:w="108" w:type="dxa"/>
                  <w:bottom w:w="0" w:type="dxa"/>
                  <w:right w:w="108" w:type="dxa"/>
                </w:tblCellMar>
              </w:tblPrEx>
              <w:trPr>
                <w:trHeight w:val="23" w:hRule="atLeast"/>
              </w:trPr>
              <w:tc>
                <w:tcPr>
                  <w:tcW w:w="1271" w:type="pct"/>
                  <w:vMerge w:val="continue"/>
                  <w:tcBorders>
                    <w:top w:val="single" w:color="888E93" w:sz="8" w:space="0"/>
                    <w:left w:val="single" w:color="888E93" w:sz="8" w:space="0"/>
                    <w:bottom w:val="single" w:color="888E93" w:sz="8" w:space="0"/>
                    <w:right w:val="single" w:color="888E93" w:sz="8" w:space="0"/>
                  </w:tcBorders>
                  <w:shd w:val="clear" w:color="auto" w:fill="FFFFFF"/>
                  <w:vAlign w:val="center"/>
                </w:tcPr>
                <w:p w14:paraId="5EBFB3DD">
                  <w:pPr>
                    <w:widowControl/>
                    <w:spacing w:line="240" w:lineRule="auto"/>
                    <w:ind w:firstLine="0" w:firstLineChars="0"/>
                    <w:jc w:val="left"/>
                    <w:rPr>
                      <w:rFonts w:hint="eastAsia" w:ascii="宋体" w:hAnsi="宋体" w:cs="宋体"/>
                      <w:color w:val="000000"/>
                      <w:sz w:val="19"/>
                      <w:szCs w:val="19"/>
                    </w:rPr>
                  </w:pPr>
                </w:p>
              </w:tc>
              <w:tc>
                <w:tcPr>
                  <w:tcW w:w="1248"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2BC2E57B">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西侧</w:t>
                  </w:r>
                </w:p>
              </w:tc>
              <w:tc>
                <w:tcPr>
                  <w:tcW w:w="576"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730A4789">
                  <w:pPr>
                    <w:widowControl/>
                    <w:spacing w:line="240" w:lineRule="auto"/>
                    <w:ind w:firstLine="0" w:firstLineChars="0"/>
                    <w:jc w:val="left"/>
                    <w:textAlignment w:val="center"/>
                    <w:rPr>
                      <w:rFonts w:cs="Times New Roman"/>
                      <w:color w:val="000000"/>
                      <w:sz w:val="20"/>
                      <w:szCs w:val="20"/>
                    </w:rPr>
                  </w:pPr>
                  <w:r>
                    <w:rPr>
                      <w:rFonts w:cs="Times New Roman"/>
                      <w:color w:val="000000"/>
                      <w:kern w:val="0"/>
                      <w:sz w:val="20"/>
                      <w:szCs w:val="20"/>
                      <w:lang w:bidi="ar"/>
                    </w:rPr>
                    <w:t>1m</w:t>
                  </w:r>
                </w:p>
              </w:tc>
              <w:tc>
                <w:tcPr>
                  <w:tcW w:w="893"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22D24371">
                  <w:pPr>
                    <w:widowControl/>
                    <w:spacing w:line="240" w:lineRule="auto"/>
                    <w:ind w:firstLine="0" w:firstLineChars="0"/>
                    <w:jc w:val="left"/>
                    <w:textAlignment w:val="center"/>
                    <w:rPr>
                      <w:rFonts w:cs="Times New Roman"/>
                      <w:color w:val="000000"/>
                      <w:sz w:val="20"/>
                      <w:szCs w:val="20"/>
                    </w:rPr>
                  </w:pPr>
                  <w:r>
                    <w:rPr>
                      <w:rFonts w:hint="eastAsia" w:cs="Times New Roman"/>
                      <w:color w:val="000000"/>
                      <w:sz w:val="20"/>
                      <w:szCs w:val="20"/>
                    </w:rPr>
                    <w:t>45</w:t>
                  </w:r>
                </w:p>
              </w:tc>
              <w:tc>
                <w:tcPr>
                  <w:tcW w:w="1010" w:type="pct"/>
                  <w:tcBorders>
                    <w:top w:val="single" w:color="888E93" w:sz="8" w:space="0"/>
                    <w:left w:val="single" w:color="888E93" w:sz="8" w:space="0"/>
                    <w:bottom w:val="single" w:color="888E93" w:sz="8" w:space="0"/>
                    <w:right w:val="single" w:color="474747" w:sz="8" w:space="0"/>
                  </w:tcBorders>
                  <w:shd w:val="clear" w:color="auto" w:fill="FFFFFF"/>
                  <w:vAlign w:val="center"/>
                </w:tcPr>
                <w:p w14:paraId="1A895B44">
                  <w:pPr>
                    <w:widowControl/>
                    <w:spacing w:line="240" w:lineRule="auto"/>
                    <w:ind w:firstLine="0" w:firstLineChars="0"/>
                    <w:jc w:val="left"/>
                    <w:textAlignment w:val="center"/>
                    <w:rPr>
                      <w:rFonts w:cs="Times New Roman"/>
                      <w:color w:val="000000"/>
                      <w:sz w:val="20"/>
                      <w:szCs w:val="20"/>
                    </w:rPr>
                  </w:pPr>
                  <w:r>
                    <w:rPr>
                      <w:rFonts w:hint="eastAsia" w:cs="Times New Roman"/>
                      <w:color w:val="000000"/>
                      <w:sz w:val="20"/>
                      <w:szCs w:val="20"/>
                    </w:rPr>
                    <w:t>42</w:t>
                  </w:r>
                </w:p>
              </w:tc>
            </w:tr>
            <w:tr w14:paraId="06035C3C">
              <w:tblPrEx>
                <w:tblCellMar>
                  <w:top w:w="0" w:type="dxa"/>
                  <w:left w:w="108" w:type="dxa"/>
                  <w:bottom w:w="0" w:type="dxa"/>
                  <w:right w:w="108" w:type="dxa"/>
                </w:tblCellMar>
              </w:tblPrEx>
              <w:trPr>
                <w:trHeight w:val="23" w:hRule="atLeast"/>
              </w:trPr>
              <w:tc>
                <w:tcPr>
                  <w:tcW w:w="1271" w:type="pct"/>
                  <w:vMerge w:val="continue"/>
                  <w:tcBorders>
                    <w:top w:val="single" w:color="888E93" w:sz="8" w:space="0"/>
                    <w:left w:val="single" w:color="888E93" w:sz="8" w:space="0"/>
                    <w:bottom w:val="single" w:color="888E93" w:sz="8" w:space="0"/>
                    <w:right w:val="single" w:color="888E93" w:sz="8" w:space="0"/>
                  </w:tcBorders>
                  <w:shd w:val="clear" w:color="auto" w:fill="FFFFFF"/>
                  <w:vAlign w:val="center"/>
                </w:tcPr>
                <w:p w14:paraId="7B0D0217">
                  <w:pPr>
                    <w:widowControl/>
                    <w:spacing w:line="240" w:lineRule="auto"/>
                    <w:ind w:firstLine="0" w:firstLineChars="0"/>
                    <w:jc w:val="left"/>
                    <w:rPr>
                      <w:rFonts w:hint="eastAsia" w:ascii="宋体" w:hAnsi="宋体" w:cs="宋体"/>
                      <w:color w:val="000000"/>
                      <w:sz w:val="19"/>
                      <w:szCs w:val="19"/>
                    </w:rPr>
                  </w:pPr>
                </w:p>
              </w:tc>
              <w:tc>
                <w:tcPr>
                  <w:tcW w:w="1248"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3F2689C2">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北侧</w:t>
                  </w:r>
                </w:p>
              </w:tc>
              <w:tc>
                <w:tcPr>
                  <w:tcW w:w="576"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07373065">
                  <w:pPr>
                    <w:widowControl/>
                    <w:spacing w:line="240" w:lineRule="auto"/>
                    <w:ind w:firstLine="0" w:firstLineChars="0"/>
                    <w:jc w:val="left"/>
                    <w:textAlignment w:val="center"/>
                    <w:rPr>
                      <w:rFonts w:cs="Times New Roman"/>
                      <w:color w:val="000000"/>
                      <w:sz w:val="20"/>
                      <w:szCs w:val="20"/>
                    </w:rPr>
                  </w:pPr>
                  <w:r>
                    <w:rPr>
                      <w:rFonts w:cs="Times New Roman"/>
                      <w:color w:val="000000"/>
                      <w:kern w:val="0"/>
                      <w:sz w:val="20"/>
                      <w:szCs w:val="20"/>
                      <w:lang w:bidi="ar"/>
                    </w:rPr>
                    <w:t>1m</w:t>
                  </w:r>
                </w:p>
              </w:tc>
              <w:tc>
                <w:tcPr>
                  <w:tcW w:w="893"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1A2B665C">
                  <w:pPr>
                    <w:widowControl/>
                    <w:spacing w:line="240" w:lineRule="auto"/>
                    <w:ind w:firstLine="0" w:firstLineChars="0"/>
                    <w:jc w:val="left"/>
                    <w:textAlignment w:val="center"/>
                    <w:rPr>
                      <w:rFonts w:cs="Times New Roman"/>
                      <w:color w:val="000000"/>
                      <w:sz w:val="20"/>
                      <w:szCs w:val="20"/>
                    </w:rPr>
                  </w:pPr>
                  <w:r>
                    <w:rPr>
                      <w:rFonts w:hint="eastAsia" w:cs="Times New Roman"/>
                      <w:color w:val="000000"/>
                      <w:sz w:val="20"/>
                      <w:szCs w:val="20"/>
                    </w:rPr>
                    <w:t>45</w:t>
                  </w:r>
                </w:p>
              </w:tc>
              <w:tc>
                <w:tcPr>
                  <w:tcW w:w="1010" w:type="pct"/>
                  <w:tcBorders>
                    <w:top w:val="single" w:color="888E93" w:sz="8" w:space="0"/>
                    <w:left w:val="single" w:color="888E93" w:sz="8" w:space="0"/>
                    <w:bottom w:val="single" w:color="888E93" w:sz="8" w:space="0"/>
                    <w:right w:val="single" w:color="474747" w:sz="8" w:space="0"/>
                  </w:tcBorders>
                  <w:shd w:val="clear" w:color="auto" w:fill="FFFFFF"/>
                  <w:vAlign w:val="center"/>
                </w:tcPr>
                <w:p w14:paraId="07C18834">
                  <w:pPr>
                    <w:widowControl/>
                    <w:spacing w:line="240" w:lineRule="auto"/>
                    <w:ind w:firstLine="0" w:firstLineChars="0"/>
                    <w:jc w:val="left"/>
                    <w:textAlignment w:val="center"/>
                    <w:rPr>
                      <w:rFonts w:cs="Times New Roman"/>
                      <w:color w:val="000000"/>
                      <w:sz w:val="20"/>
                      <w:szCs w:val="20"/>
                    </w:rPr>
                  </w:pPr>
                  <w:r>
                    <w:rPr>
                      <w:rFonts w:hint="eastAsia" w:cs="Times New Roman"/>
                      <w:color w:val="000000"/>
                      <w:sz w:val="20"/>
                      <w:szCs w:val="20"/>
                    </w:rPr>
                    <w:t>41</w:t>
                  </w:r>
                </w:p>
              </w:tc>
            </w:tr>
          </w:tbl>
          <w:p w14:paraId="4AFB6E04">
            <w:pPr>
              <w:ind w:firstLine="480"/>
              <w:rPr>
                <w:rStyle w:val="39"/>
                <w:szCs w:val="36"/>
              </w:rPr>
            </w:pPr>
            <w:r>
              <w:rPr>
                <w:rStyle w:val="39"/>
                <w:rFonts w:hint="eastAsia"/>
                <w:szCs w:val="36"/>
              </w:rPr>
              <w:t>由监测结果可知，本项目变电站站址的声环境现状监测值昼间45-46dB(A)，夜间41-43dB(A)均满足《声环境质量标准》(GB3096-2008)中 2 类标准限值要求，即昼间 60dB(A)、夜间 50dB(A)。</w:t>
            </w:r>
          </w:p>
          <w:p w14:paraId="2376C382">
            <w:pPr>
              <w:ind w:firstLine="480"/>
              <w:rPr>
                <w:rStyle w:val="39"/>
                <w:szCs w:val="36"/>
              </w:rPr>
            </w:pPr>
            <w:r>
              <w:rPr>
                <w:rStyle w:val="39"/>
                <w:rFonts w:hint="eastAsia"/>
                <w:szCs w:val="36"/>
              </w:rPr>
              <w:t>3.2.2电磁环境质量现状</w:t>
            </w:r>
          </w:p>
          <w:p w14:paraId="6812A131">
            <w:pPr>
              <w:ind w:firstLine="480"/>
              <w:rPr>
                <w:rStyle w:val="39"/>
                <w:szCs w:val="36"/>
              </w:rPr>
            </w:pPr>
            <w:r>
              <w:rPr>
                <w:rStyle w:val="39"/>
                <w:szCs w:val="36"/>
              </w:rPr>
              <w:t>本项目电磁环境现状监测点位及布点方法、监测频次、监测方法及仪器、监测结果等详见电磁环境影响专题评价。</w:t>
            </w:r>
          </w:p>
          <w:p w14:paraId="53BA0EFA">
            <w:pPr>
              <w:pStyle w:val="38"/>
            </w:pPr>
            <w:r>
              <w:rPr>
                <w:rStyle w:val="39"/>
                <w:szCs w:val="36"/>
              </w:rPr>
              <w:t>根据电磁环境现状监测结果，</w:t>
            </w:r>
            <w:r>
              <w:rPr>
                <w:rStyle w:val="39"/>
                <w:rFonts w:hint="eastAsia"/>
                <w:szCs w:val="36"/>
              </w:rPr>
              <w:t>工频电场检测值为5.007-5.25V/m，磁感应强度检测值为0.6797-0.6906μT</w:t>
            </w:r>
            <w:r>
              <w:rPr>
                <w:rStyle w:val="39"/>
                <w:szCs w:val="36"/>
              </w:rPr>
              <w:t xml:space="preserve"> </w:t>
            </w:r>
            <w:r>
              <w:rPr>
                <w:rStyle w:val="39"/>
                <w:rFonts w:hint="eastAsia"/>
                <w:szCs w:val="36"/>
              </w:rPr>
              <w:t>，</w:t>
            </w:r>
            <w:r>
              <w:t>《电磁环境控制限值》（GB 8702-2014）表1电场强度公众曝露控制限值4kV/m，磁感应强度控制限值为100μT</w:t>
            </w:r>
            <w:r>
              <w:rPr>
                <w:rFonts w:hint="eastAsia"/>
              </w:rPr>
              <w:t>要求</w:t>
            </w:r>
            <w:r>
              <w:t>。</w:t>
            </w:r>
          </w:p>
          <w:p w14:paraId="33738174">
            <w:pPr>
              <w:pStyle w:val="38"/>
            </w:pPr>
            <w:r>
              <w:rPr>
                <w:rFonts w:hint="eastAsia"/>
              </w:rPr>
              <w:t>3.3生态环境现状</w:t>
            </w:r>
          </w:p>
          <w:p w14:paraId="2FBBC691">
            <w:pPr>
              <w:pStyle w:val="38"/>
            </w:pPr>
            <w:r>
              <w:rPr>
                <w:rFonts w:hint="eastAsia"/>
              </w:rPr>
              <w:t>遥感影像来源为：哨兵2号，空间分辨率：10m，拍摄日期2025年5月</w:t>
            </w:r>
          </w:p>
          <w:p w14:paraId="3B381A1B">
            <w:pPr>
              <w:pStyle w:val="38"/>
            </w:pPr>
            <w:r>
              <w:rPr>
                <w:rFonts w:hint="eastAsia"/>
              </w:rPr>
              <w:t>①土地利用现状</w:t>
            </w:r>
          </w:p>
          <w:p w14:paraId="5CCAE2EC">
            <w:pPr>
              <w:pStyle w:val="38"/>
            </w:pPr>
            <w:r>
              <w:rPr>
                <w:rFonts w:hint="eastAsia"/>
              </w:rPr>
              <w:t>本工程占地范围全部为工业用地，评价范围内主要土地利用类型为天然牧草地、工业用地等，以天然牧草地为主，具体如下表。</w:t>
            </w:r>
          </w:p>
          <w:p w14:paraId="755A0E28">
            <w:pPr>
              <w:pStyle w:val="38"/>
              <w:jc w:val="center"/>
              <w:rPr>
                <w:b/>
                <w:bCs/>
                <w:sz w:val="21"/>
                <w:szCs w:val="21"/>
              </w:rPr>
            </w:pPr>
            <w:r>
              <w:rPr>
                <w:rFonts w:hint="eastAsia"/>
                <w:b/>
                <w:bCs/>
                <w:sz w:val="21"/>
                <w:szCs w:val="21"/>
              </w:rPr>
              <w:t>表3.5土地利用类型表</w:t>
            </w:r>
          </w:p>
          <w:tbl>
            <w:tblPr>
              <w:tblStyle w:val="21"/>
              <w:tblW w:w="5000" w:type="pct"/>
              <w:tblInd w:w="0" w:type="dxa"/>
              <w:tblLayout w:type="fixed"/>
              <w:tblCellMar>
                <w:top w:w="0" w:type="dxa"/>
                <w:left w:w="108" w:type="dxa"/>
                <w:bottom w:w="0" w:type="dxa"/>
                <w:right w:w="108" w:type="dxa"/>
              </w:tblCellMar>
            </w:tblPr>
            <w:tblGrid>
              <w:gridCol w:w="1702"/>
              <w:gridCol w:w="1395"/>
              <w:gridCol w:w="904"/>
              <w:gridCol w:w="1072"/>
              <w:gridCol w:w="904"/>
              <w:gridCol w:w="880"/>
              <w:gridCol w:w="955"/>
              <w:gridCol w:w="885"/>
            </w:tblGrid>
            <w:tr w14:paraId="1161965D">
              <w:tblPrEx>
                <w:tblCellMar>
                  <w:top w:w="0" w:type="dxa"/>
                  <w:left w:w="108" w:type="dxa"/>
                  <w:bottom w:w="0" w:type="dxa"/>
                  <w:right w:w="108" w:type="dxa"/>
                </w:tblCellMar>
              </w:tblPrEx>
              <w:trPr>
                <w:trHeight w:val="318" w:hRule="atLeast"/>
              </w:trPr>
              <w:tc>
                <w:tcPr>
                  <w:tcW w:w="978" w:type="pct"/>
                  <w:vMerge w:val="restart"/>
                  <w:tcBorders>
                    <w:top w:val="single" w:color="000000" w:sz="4" w:space="0"/>
                    <w:left w:val="single" w:color="000000" w:sz="4" w:space="0"/>
                    <w:right w:val="single" w:color="000000" w:sz="4" w:space="0"/>
                  </w:tcBorders>
                  <w:noWrap/>
                  <w:vAlign w:val="center"/>
                </w:tcPr>
                <w:p w14:paraId="5952B6B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一级分类</w:t>
                  </w:r>
                </w:p>
              </w:tc>
              <w:tc>
                <w:tcPr>
                  <w:tcW w:w="800" w:type="pct"/>
                  <w:vMerge w:val="restart"/>
                  <w:tcBorders>
                    <w:top w:val="single" w:color="000000" w:sz="4" w:space="0"/>
                    <w:left w:val="single" w:color="000000" w:sz="4" w:space="0"/>
                    <w:right w:val="single" w:color="000000" w:sz="4" w:space="0"/>
                  </w:tcBorders>
                  <w:noWrap/>
                  <w:vAlign w:val="center"/>
                </w:tcPr>
                <w:p w14:paraId="0F096AE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二级分类</w:t>
                  </w:r>
                </w:p>
              </w:tc>
              <w:tc>
                <w:tcPr>
                  <w:tcW w:w="1655" w:type="pct"/>
                  <w:gridSpan w:val="3"/>
                  <w:tcBorders>
                    <w:top w:val="single" w:color="000000" w:sz="4" w:space="0"/>
                    <w:left w:val="single" w:color="000000" w:sz="4" w:space="0"/>
                    <w:bottom w:val="single" w:color="000000" w:sz="4" w:space="0"/>
                    <w:right w:val="single" w:color="000000" w:sz="4" w:space="0"/>
                  </w:tcBorders>
                  <w:noWrap/>
                  <w:vAlign w:val="center"/>
                </w:tcPr>
                <w:p w14:paraId="7A8F667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项目范围</w:t>
                  </w:r>
                </w:p>
              </w:tc>
              <w:tc>
                <w:tcPr>
                  <w:tcW w:w="1564" w:type="pct"/>
                  <w:gridSpan w:val="3"/>
                  <w:tcBorders>
                    <w:top w:val="single" w:color="000000" w:sz="4" w:space="0"/>
                    <w:left w:val="single" w:color="000000" w:sz="4" w:space="0"/>
                    <w:bottom w:val="single" w:color="000000" w:sz="4" w:space="0"/>
                    <w:right w:val="single" w:color="000000" w:sz="4" w:space="0"/>
                  </w:tcBorders>
                  <w:noWrap/>
                  <w:vAlign w:val="center"/>
                </w:tcPr>
                <w:p w14:paraId="04CEB3C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评价范围</w:t>
                  </w:r>
                </w:p>
              </w:tc>
            </w:tr>
            <w:tr w14:paraId="3E2E57EE">
              <w:tblPrEx>
                <w:tblCellMar>
                  <w:top w:w="0" w:type="dxa"/>
                  <w:left w:w="108" w:type="dxa"/>
                  <w:bottom w:w="0" w:type="dxa"/>
                  <w:right w:w="108" w:type="dxa"/>
                </w:tblCellMar>
              </w:tblPrEx>
              <w:trPr>
                <w:trHeight w:val="757" w:hRule="atLeast"/>
              </w:trPr>
              <w:tc>
                <w:tcPr>
                  <w:tcW w:w="978" w:type="pct"/>
                  <w:vMerge w:val="continue"/>
                  <w:tcBorders>
                    <w:left w:val="single" w:color="000000" w:sz="4" w:space="0"/>
                    <w:bottom w:val="single" w:color="000000" w:sz="4" w:space="0"/>
                    <w:right w:val="single" w:color="000000" w:sz="4" w:space="0"/>
                  </w:tcBorders>
                  <w:noWrap/>
                  <w:vAlign w:val="center"/>
                </w:tcPr>
                <w:p w14:paraId="09FDFB13">
                  <w:pPr>
                    <w:widowControl/>
                    <w:spacing w:line="240" w:lineRule="auto"/>
                    <w:ind w:firstLine="0" w:firstLineChars="0"/>
                    <w:jc w:val="center"/>
                    <w:textAlignment w:val="center"/>
                    <w:rPr>
                      <w:rFonts w:cs="Times New Roman"/>
                      <w:color w:val="000000"/>
                      <w:sz w:val="21"/>
                      <w:szCs w:val="21"/>
                    </w:rPr>
                  </w:pPr>
                </w:p>
              </w:tc>
              <w:tc>
                <w:tcPr>
                  <w:tcW w:w="800" w:type="pct"/>
                  <w:vMerge w:val="continue"/>
                  <w:tcBorders>
                    <w:left w:val="single" w:color="000000" w:sz="4" w:space="0"/>
                    <w:bottom w:val="single" w:color="000000" w:sz="4" w:space="0"/>
                    <w:right w:val="single" w:color="000000" w:sz="4" w:space="0"/>
                  </w:tcBorders>
                  <w:noWrap/>
                  <w:vAlign w:val="center"/>
                </w:tcPr>
                <w:p w14:paraId="35FEC7FA">
                  <w:pPr>
                    <w:widowControl/>
                    <w:spacing w:line="240" w:lineRule="auto"/>
                    <w:ind w:firstLine="0" w:firstLineChars="0"/>
                    <w:jc w:val="center"/>
                    <w:textAlignment w:val="center"/>
                    <w:rPr>
                      <w:rFonts w:cs="Times New Roman"/>
                      <w:color w:val="000000"/>
                      <w:sz w:val="21"/>
                      <w:szCs w:val="21"/>
                    </w:rPr>
                  </w:pPr>
                </w:p>
              </w:tc>
              <w:tc>
                <w:tcPr>
                  <w:tcW w:w="519" w:type="pct"/>
                  <w:tcBorders>
                    <w:top w:val="single" w:color="000000" w:sz="4" w:space="0"/>
                    <w:left w:val="single" w:color="000000" w:sz="4" w:space="0"/>
                    <w:bottom w:val="single" w:color="000000" w:sz="4" w:space="0"/>
                    <w:right w:val="single" w:color="000000" w:sz="4" w:space="0"/>
                  </w:tcBorders>
                  <w:noWrap/>
                  <w:vAlign w:val="center"/>
                </w:tcPr>
                <w:p w14:paraId="19F38AC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斑块数</w:t>
                  </w:r>
                </w:p>
              </w:tc>
              <w:tc>
                <w:tcPr>
                  <w:tcW w:w="616" w:type="pct"/>
                  <w:tcBorders>
                    <w:top w:val="single" w:color="000000" w:sz="4" w:space="0"/>
                    <w:left w:val="single" w:color="000000" w:sz="4" w:space="0"/>
                    <w:bottom w:val="single" w:color="000000" w:sz="4" w:space="0"/>
                    <w:right w:val="single" w:color="000000" w:sz="4" w:space="0"/>
                  </w:tcBorders>
                  <w:noWrap/>
                  <w:vAlign w:val="center"/>
                </w:tcPr>
                <w:p w14:paraId="037CC5A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面积（</w:t>
                  </w:r>
                  <w:r>
                    <w:rPr>
                      <w:rStyle w:val="93"/>
                      <w:lang w:bidi="ar"/>
                    </w:rPr>
                    <w:t>hm2</w:t>
                  </w:r>
                  <w:r>
                    <w:rPr>
                      <w:rFonts w:cs="Times New Roman"/>
                      <w:color w:val="000000"/>
                      <w:kern w:val="0"/>
                      <w:sz w:val="21"/>
                      <w:szCs w:val="21"/>
                      <w:lang w:bidi="ar"/>
                    </w:rPr>
                    <w:t>）</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0BF1FDC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占评价区比例（</w:t>
                  </w:r>
                  <w:r>
                    <w:rPr>
                      <w:rStyle w:val="93"/>
                      <w:lang w:bidi="ar"/>
                    </w:rPr>
                    <w:t>%</w:t>
                  </w:r>
                  <w:r>
                    <w:rPr>
                      <w:rFonts w:cs="Times New Roman"/>
                      <w:color w:val="000000"/>
                      <w:kern w:val="0"/>
                      <w:sz w:val="21"/>
                      <w:szCs w:val="21"/>
                      <w:lang w:bidi="ar"/>
                    </w:rPr>
                    <w:t>）</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1BEBA6C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斑块数</w:t>
                  </w:r>
                </w:p>
              </w:tc>
              <w:tc>
                <w:tcPr>
                  <w:tcW w:w="549" w:type="pct"/>
                  <w:tcBorders>
                    <w:top w:val="single" w:color="000000" w:sz="4" w:space="0"/>
                    <w:left w:val="single" w:color="000000" w:sz="4" w:space="0"/>
                    <w:bottom w:val="single" w:color="000000" w:sz="4" w:space="0"/>
                    <w:right w:val="single" w:color="000000" w:sz="4" w:space="0"/>
                  </w:tcBorders>
                  <w:vAlign w:val="center"/>
                </w:tcPr>
                <w:p w14:paraId="06C07AA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面积（</w:t>
                  </w:r>
                  <w:r>
                    <w:rPr>
                      <w:rStyle w:val="93"/>
                      <w:lang w:bidi="ar"/>
                    </w:rPr>
                    <w:t>hm2</w:t>
                  </w:r>
                  <w:r>
                    <w:rPr>
                      <w:rFonts w:cs="Times New Roman"/>
                      <w:color w:val="000000"/>
                      <w:kern w:val="0"/>
                      <w:sz w:val="21"/>
                      <w:szCs w:val="21"/>
                      <w:lang w:bidi="ar"/>
                    </w:rPr>
                    <w:t>）</w:t>
                  </w:r>
                </w:p>
              </w:tc>
              <w:tc>
                <w:tcPr>
                  <w:tcW w:w="508" w:type="pct"/>
                  <w:tcBorders>
                    <w:top w:val="single" w:color="000000" w:sz="4" w:space="0"/>
                    <w:left w:val="single" w:color="000000" w:sz="4" w:space="0"/>
                    <w:bottom w:val="single" w:color="000000" w:sz="4" w:space="0"/>
                    <w:right w:val="single" w:color="000000" w:sz="4" w:space="0"/>
                  </w:tcBorders>
                  <w:vAlign w:val="center"/>
                </w:tcPr>
                <w:p w14:paraId="1CD14EC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占评价区比例（</w:t>
                  </w:r>
                  <w:r>
                    <w:rPr>
                      <w:rStyle w:val="93"/>
                      <w:lang w:bidi="ar"/>
                    </w:rPr>
                    <w:t>%</w:t>
                  </w:r>
                  <w:r>
                    <w:rPr>
                      <w:rFonts w:cs="Times New Roman"/>
                      <w:color w:val="000000"/>
                      <w:kern w:val="0"/>
                      <w:sz w:val="21"/>
                      <w:szCs w:val="21"/>
                      <w:lang w:bidi="ar"/>
                    </w:rPr>
                    <w:t>）</w:t>
                  </w:r>
                </w:p>
              </w:tc>
            </w:tr>
            <w:tr w14:paraId="0248DF0F">
              <w:tblPrEx>
                <w:tblCellMar>
                  <w:top w:w="0" w:type="dxa"/>
                  <w:left w:w="108" w:type="dxa"/>
                  <w:bottom w:w="0" w:type="dxa"/>
                  <w:right w:w="108" w:type="dxa"/>
                </w:tblCellMar>
              </w:tblPrEx>
              <w:trPr>
                <w:trHeight w:val="266" w:hRule="atLeast"/>
              </w:trPr>
              <w:tc>
                <w:tcPr>
                  <w:tcW w:w="978" w:type="pct"/>
                  <w:vMerge w:val="restart"/>
                  <w:tcBorders>
                    <w:top w:val="single" w:color="000000" w:sz="4" w:space="0"/>
                    <w:left w:val="single" w:color="000000" w:sz="4" w:space="0"/>
                    <w:bottom w:val="single" w:color="000000" w:sz="4" w:space="0"/>
                    <w:right w:val="single" w:color="000000" w:sz="4" w:space="0"/>
                  </w:tcBorders>
                  <w:noWrap/>
                  <w:vAlign w:val="center"/>
                </w:tcPr>
                <w:p w14:paraId="17263E6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草地</w:t>
                  </w:r>
                </w:p>
              </w:tc>
              <w:tc>
                <w:tcPr>
                  <w:tcW w:w="800" w:type="pct"/>
                  <w:tcBorders>
                    <w:top w:val="single" w:color="000000" w:sz="4" w:space="0"/>
                    <w:left w:val="single" w:color="000000" w:sz="4" w:space="0"/>
                    <w:bottom w:val="single" w:color="000000" w:sz="4" w:space="0"/>
                    <w:right w:val="single" w:color="000000" w:sz="4" w:space="0"/>
                  </w:tcBorders>
                  <w:noWrap/>
                  <w:vAlign w:val="center"/>
                </w:tcPr>
                <w:p w14:paraId="18C1B50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天然牧草地</w:t>
                  </w:r>
                </w:p>
              </w:tc>
              <w:tc>
                <w:tcPr>
                  <w:tcW w:w="519" w:type="pct"/>
                  <w:tcBorders>
                    <w:top w:val="single" w:color="000000" w:sz="4" w:space="0"/>
                    <w:left w:val="single" w:color="000000" w:sz="4" w:space="0"/>
                    <w:bottom w:val="single" w:color="000000" w:sz="4" w:space="0"/>
                    <w:right w:val="single" w:color="000000" w:sz="4" w:space="0"/>
                  </w:tcBorders>
                  <w:noWrap/>
                  <w:vAlign w:val="center"/>
                </w:tcPr>
                <w:p w14:paraId="3D3DA0DE">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616" w:type="pct"/>
                  <w:tcBorders>
                    <w:top w:val="single" w:color="000000" w:sz="4" w:space="0"/>
                    <w:left w:val="single" w:color="000000" w:sz="4" w:space="0"/>
                    <w:bottom w:val="single" w:color="000000" w:sz="4" w:space="0"/>
                    <w:right w:val="single" w:color="000000" w:sz="4" w:space="0"/>
                  </w:tcBorders>
                  <w:noWrap/>
                  <w:vAlign w:val="center"/>
                </w:tcPr>
                <w:p w14:paraId="769C7DF7">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5BC2B545">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28B14C2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14</w:t>
                  </w:r>
                </w:p>
              </w:tc>
              <w:tc>
                <w:tcPr>
                  <w:tcW w:w="549" w:type="pct"/>
                  <w:tcBorders>
                    <w:top w:val="single" w:color="000000" w:sz="4" w:space="0"/>
                    <w:left w:val="single" w:color="000000" w:sz="4" w:space="0"/>
                    <w:bottom w:val="single" w:color="000000" w:sz="4" w:space="0"/>
                    <w:right w:val="single" w:color="000000" w:sz="4" w:space="0"/>
                  </w:tcBorders>
                  <w:noWrap/>
                  <w:vAlign w:val="center"/>
                </w:tcPr>
                <w:p w14:paraId="129DB9F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48.12 </w:t>
                  </w:r>
                </w:p>
              </w:tc>
              <w:tc>
                <w:tcPr>
                  <w:tcW w:w="508" w:type="pct"/>
                  <w:tcBorders>
                    <w:top w:val="single" w:color="000000" w:sz="4" w:space="0"/>
                    <w:left w:val="single" w:color="000000" w:sz="4" w:space="0"/>
                    <w:bottom w:val="single" w:color="000000" w:sz="4" w:space="0"/>
                    <w:right w:val="single" w:color="000000" w:sz="4" w:space="0"/>
                  </w:tcBorders>
                  <w:noWrap/>
                  <w:vAlign w:val="center"/>
                </w:tcPr>
                <w:p w14:paraId="7C17E01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52.35</w:t>
                  </w:r>
                </w:p>
              </w:tc>
            </w:tr>
            <w:tr w14:paraId="17A82F98">
              <w:tblPrEx>
                <w:tblCellMar>
                  <w:top w:w="0" w:type="dxa"/>
                  <w:left w:w="108" w:type="dxa"/>
                  <w:bottom w:w="0" w:type="dxa"/>
                  <w:right w:w="108" w:type="dxa"/>
                </w:tblCellMar>
              </w:tblPrEx>
              <w:trPr>
                <w:trHeight w:val="266" w:hRule="atLeast"/>
              </w:trPr>
              <w:tc>
                <w:tcPr>
                  <w:tcW w:w="978" w:type="pct"/>
                  <w:vMerge w:val="continue"/>
                  <w:tcBorders>
                    <w:top w:val="single" w:color="000000" w:sz="4" w:space="0"/>
                    <w:left w:val="single" w:color="000000" w:sz="4" w:space="0"/>
                    <w:bottom w:val="single" w:color="000000" w:sz="4" w:space="0"/>
                    <w:right w:val="single" w:color="000000" w:sz="4" w:space="0"/>
                  </w:tcBorders>
                  <w:noWrap/>
                  <w:vAlign w:val="center"/>
                </w:tcPr>
                <w:p w14:paraId="312C61C7">
                  <w:pPr>
                    <w:widowControl/>
                    <w:spacing w:line="240" w:lineRule="auto"/>
                    <w:ind w:firstLine="0" w:firstLineChars="0"/>
                    <w:jc w:val="center"/>
                    <w:rPr>
                      <w:rFonts w:cs="Times New Roman"/>
                      <w:color w:val="000000"/>
                      <w:sz w:val="21"/>
                      <w:szCs w:val="21"/>
                    </w:rPr>
                  </w:pPr>
                </w:p>
              </w:tc>
              <w:tc>
                <w:tcPr>
                  <w:tcW w:w="800" w:type="pct"/>
                  <w:tcBorders>
                    <w:top w:val="single" w:color="000000" w:sz="4" w:space="0"/>
                    <w:left w:val="single" w:color="000000" w:sz="4" w:space="0"/>
                    <w:bottom w:val="single" w:color="000000" w:sz="4" w:space="0"/>
                    <w:right w:val="single" w:color="000000" w:sz="4" w:space="0"/>
                  </w:tcBorders>
                  <w:noWrap/>
                  <w:vAlign w:val="center"/>
                </w:tcPr>
                <w:p w14:paraId="1136DA6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其他草地</w:t>
                  </w:r>
                </w:p>
              </w:tc>
              <w:tc>
                <w:tcPr>
                  <w:tcW w:w="519" w:type="pct"/>
                  <w:tcBorders>
                    <w:top w:val="single" w:color="000000" w:sz="4" w:space="0"/>
                    <w:left w:val="single" w:color="000000" w:sz="4" w:space="0"/>
                    <w:bottom w:val="single" w:color="000000" w:sz="4" w:space="0"/>
                    <w:right w:val="single" w:color="000000" w:sz="4" w:space="0"/>
                  </w:tcBorders>
                  <w:noWrap/>
                  <w:vAlign w:val="center"/>
                </w:tcPr>
                <w:p w14:paraId="0FCDA3AD">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616" w:type="pct"/>
                  <w:tcBorders>
                    <w:top w:val="single" w:color="000000" w:sz="4" w:space="0"/>
                    <w:left w:val="single" w:color="000000" w:sz="4" w:space="0"/>
                    <w:bottom w:val="single" w:color="000000" w:sz="4" w:space="0"/>
                    <w:right w:val="single" w:color="000000" w:sz="4" w:space="0"/>
                  </w:tcBorders>
                  <w:noWrap/>
                  <w:vAlign w:val="center"/>
                </w:tcPr>
                <w:p w14:paraId="3998D089">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02D60421">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4D5729E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w:t>
                  </w:r>
                </w:p>
              </w:tc>
              <w:tc>
                <w:tcPr>
                  <w:tcW w:w="549" w:type="pct"/>
                  <w:tcBorders>
                    <w:top w:val="single" w:color="000000" w:sz="4" w:space="0"/>
                    <w:left w:val="single" w:color="000000" w:sz="4" w:space="0"/>
                    <w:bottom w:val="single" w:color="000000" w:sz="4" w:space="0"/>
                    <w:right w:val="single" w:color="000000" w:sz="4" w:space="0"/>
                  </w:tcBorders>
                  <w:noWrap/>
                  <w:vAlign w:val="center"/>
                </w:tcPr>
                <w:p w14:paraId="493235E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7.77 </w:t>
                  </w:r>
                </w:p>
              </w:tc>
              <w:tc>
                <w:tcPr>
                  <w:tcW w:w="508" w:type="pct"/>
                  <w:tcBorders>
                    <w:top w:val="single" w:color="000000" w:sz="4" w:space="0"/>
                    <w:left w:val="single" w:color="000000" w:sz="4" w:space="0"/>
                    <w:bottom w:val="single" w:color="000000" w:sz="4" w:space="0"/>
                    <w:right w:val="single" w:color="000000" w:sz="4" w:space="0"/>
                  </w:tcBorders>
                  <w:noWrap/>
                  <w:vAlign w:val="center"/>
                </w:tcPr>
                <w:p w14:paraId="1A6E683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8.45</w:t>
                  </w:r>
                </w:p>
              </w:tc>
            </w:tr>
            <w:tr w14:paraId="032D163D">
              <w:tblPrEx>
                <w:tblCellMar>
                  <w:top w:w="0" w:type="dxa"/>
                  <w:left w:w="108" w:type="dxa"/>
                  <w:bottom w:w="0" w:type="dxa"/>
                  <w:right w:w="108" w:type="dxa"/>
                </w:tblCellMar>
              </w:tblPrEx>
              <w:trPr>
                <w:trHeight w:val="266" w:hRule="atLeast"/>
              </w:trPr>
              <w:tc>
                <w:tcPr>
                  <w:tcW w:w="978" w:type="pct"/>
                  <w:tcBorders>
                    <w:top w:val="single" w:color="000000" w:sz="4" w:space="0"/>
                    <w:left w:val="single" w:color="000000" w:sz="4" w:space="0"/>
                    <w:bottom w:val="single" w:color="000000" w:sz="4" w:space="0"/>
                    <w:right w:val="single" w:color="000000" w:sz="4" w:space="0"/>
                  </w:tcBorders>
                  <w:noWrap/>
                  <w:vAlign w:val="center"/>
                </w:tcPr>
                <w:p w14:paraId="11FF8ED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住宅用地</w:t>
                  </w:r>
                </w:p>
              </w:tc>
              <w:tc>
                <w:tcPr>
                  <w:tcW w:w="800" w:type="pct"/>
                  <w:tcBorders>
                    <w:top w:val="single" w:color="000000" w:sz="4" w:space="0"/>
                    <w:left w:val="single" w:color="000000" w:sz="4" w:space="0"/>
                    <w:bottom w:val="single" w:color="000000" w:sz="4" w:space="0"/>
                    <w:right w:val="single" w:color="000000" w:sz="4" w:space="0"/>
                  </w:tcBorders>
                  <w:noWrap/>
                  <w:vAlign w:val="center"/>
                </w:tcPr>
                <w:p w14:paraId="484501D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农村宅基地</w:t>
                  </w:r>
                </w:p>
              </w:tc>
              <w:tc>
                <w:tcPr>
                  <w:tcW w:w="519" w:type="pct"/>
                  <w:tcBorders>
                    <w:top w:val="single" w:color="000000" w:sz="4" w:space="0"/>
                    <w:left w:val="single" w:color="000000" w:sz="4" w:space="0"/>
                    <w:bottom w:val="single" w:color="000000" w:sz="4" w:space="0"/>
                    <w:right w:val="single" w:color="000000" w:sz="4" w:space="0"/>
                  </w:tcBorders>
                  <w:noWrap/>
                  <w:vAlign w:val="center"/>
                </w:tcPr>
                <w:p w14:paraId="129EE96E">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616" w:type="pct"/>
                  <w:tcBorders>
                    <w:top w:val="single" w:color="000000" w:sz="4" w:space="0"/>
                    <w:left w:val="single" w:color="000000" w:sz="4" w:space="0"/>
                    <w:bottom w:val="single" w:color="000000" w:sz="4" w:space="0"/>
                    <w:right w:val="single" w:color="000000" w:sz="4" w:space="0"/>
                  </w:tcBorders>
                  <w:noWrap/>
                  <w:vAlign w:val="center"/>
                </w:tcPr>
                <w:p w14:paraId="451B9C3F">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60C1DBD6">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7B9A683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w:t>
                  </w:r>
                </w:p>
              </w:tc>
              <w:tc>
                <w:tcPr>
                  <w:tcW w:w="549" w:type="pct"/>
                  <w:tcBorders>
                    <w:top w:val="single" w:color="000000" w:sz="4" w:space="0"/>
                    <w:left w:val="single" w:color="000000" w:sz="4" w:space="0"/>
                    <w:bottom w:val="single" w:color="000000" w:sz="4" w:space="0"/>
                    <w:right w:val="single" w:color="000000" w:sz="4" w:space="0"/>
                  </w:tcBorders>
                  <w:noWrap/>
                  <w:vAlign w:val="center"/>
                </w:tcPr>
                <w:p w14:paraId="717E339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1.20 </w:t>
                  </w:r>
                </w:p>
              </w:tc>
              <w:tc>
                <w:tcPr>
                  <w:tcW w:w="508" w:type="pct"/>
                  <w:tcBorders>
                    <w:top w:val="single" w:color="000000" w:sz="4" w:space="0"/>
                    <w:left w:val="single" w:color="000000" w:sz="4" w:space="0"/>
                    <w:bottom w:val="single" w:color="000000" w:sz="4" w:space="0"/>
                    <w:right w:val="single" w:color="000000" w:sz="4" w:space="0"/>
                  </w:tcBorders>
                  <w:noWrap/>
                  <w:vAlign w:val="center"/>
                </w:tcPr>
                <w:p w14:paraId="1C91F0E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1.30</w:t>
                  </w:r>
                </w:p>
              </w:tc>
            </w:tr>
            <w:tr w14:paraId="55417FEF">
              <w:tblPrEx>
                <w:tblCellMar>
                  <w:top w:w="0" w:type="dxa"/>
                  <w:left w:w="108" w:type="dxa"/>
                  <w:bottom w:w="0" w:type="dxa"/>
                  <w:right w:w="108" w:type="dxa"/>
                </w:tblCellMar>
              </w:tblPrEx>
              <w:trPr>
                <w:trHeight w:val="735" w:hRule="atLeast"/>
              </w:trPr>
              <w:tc>
                <w:tcPr>
                  <w:tcW w:w="978" w:type="pct"/>
                  <w:tcBorders>
                    <w:top w:val="single" w:color="000000" w:sz="4" w:space="0"/>
                    <w:left w:val="single" w:color="000000" w:sz="4" w:space="0"/>
                    <w:bottom w:val="single" w:color="000000" w:sz="4" w:space="0"/>
                    <w:right w:val="single" w:color="000000" w:sz="4" w:space="0"/>
                  </w:tcBorders>
                  <w:noWrap/>
                  <w:vAlign w:val="center"/>
                </w:tcPr>
                <w:p w14:paraId="7FF19D4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公共管理与公共服务用地</w:t>
                  </w:r>
                </w:p>
              </w:tc>
              <w:tc>
                <w:tcPr>
                  <w:tcW w:w="800" w:type="pct"/>
                  <w:tcBorders>
                    <w:top w:val="single" w:color="000000" w:sz="4" w:space="0"/>
                    <w:left w:val="single" w:color="000000" w:sz="4" w:space="0"/>
                    <w:bottom w:val="single" w:color="000000" w:sz="4" w:space="0"/>
                    <w:right w:val="single" w:color="000000" w:sz="4" w:space="0"/>
                  </w:tcBorders>
                  <w:noWrap/>
                  <w:vAlign w:val="center"/>
                </w:tcPr>
                <w:p w14:paraId="6D69AF2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科教文卫用地</w:t>
                  </w:r>
                </w:p>
              </w:tc>
              <w:tc>
                <w:tcPr>
                  <w:tcW w:w="519" w:type="pct"/>
                  <w:tcBorders>
                    <w:top w:val="single" w:color="000000" w:sz="4" w:space="0"/>
                    <w:left w:val="single" w:color="000000" w:sz="4" w:space="0"/>
                    <w:bottom w:val="single" w:color="000000" w:sz="4" w:space="0"/>
                    <w:right w:val="single" w:color="000000" w:sz="4" w:space="0"/>
                  </w:tcBorders>
                  <w:noWrap/>
                  <w:vAlign w:val="center"/>
                </w:tcPr>
                <w:p w14:paraId="6565BBAC">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616" w:type="pct"/>
                  <w:tcBorders>
                    <w:top w:val="single" w:color="000000" w:sz="4" w:space="0"/>
                    <w:left w:val="single" w:color="000000" w:sz="4" w:space="0"/>
                    <w:bottom w:val="single" w:color="000000" w:sz="4" w:space="0"/>
                    <w:right w:val="single" w:color="000000" w:sz="4" w:space="0"/>
                  </w:tcBorders>
                  <w:noWrap/>
                  <w:vAlign w:val="center"/>
                </w:tcPr>
                <w:p w14:paraId="538665D4">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19B576D9">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6AF6AB2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w:t>
                  </w:r>
                </w:p>
              </w:tc>
              <w:tc>
                <w:tcPr>
                  <w:tcW w:w="549" w:type="pct"/>
                  <w:tcBorders>
                    <w:top w:val="single" w:color="000000" w:sz="4" w:space="0"/>
                    <w:left w:val="single" w:color="000000" w:sz="4" w:space="0"/>
                    <w:bottom w:val="single" w:color="000000" w:sz="4" w:space="0"/>
                    <w:right w:val="single" w:color="000000" w:sz="4" w:space="0"/>
                  </w:tcBorders>
                  <w:noWrap/>
                  <w:vAlign w:val="center"/>
                </w:tcPr>
                <w:p w14:paraId="2E39747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4.39 </w:t>
                  </w:r>
                </w:p>
              </w:tc>
              <w:tc>
                <w:tcPr>
                  <w:tcW w:w="508" w:type="pct"/>
                  <w:tcBorders>
                    <w:top w:val="single" w:color="000000" w:sz="4" w:space="0"/>
                    <w:left w:val="single" w:color="000000" w:sz="4" w:space="0"/>
                    <w:bottom w:val="single" w:color="000000" w:sz="4" w:space="0"/>
                    <w:right w:val="single" w:color="000000" w:sz="4" w:space="0"/>
                  </w:tcBorders>
                  <w:noWrap/>
                  <w:vAlign w:val="center"/>
                </w:tcPr>
                <w:p w14:paraId="62C0459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4.77</w:t>
                  </w:r>
                </w:p>
              </w:tc>
            </w:tr>
            <w:tr w14:paraId="329804C3">
              <w:tblPrEx>
                <w:tblCellMar>
                  <w:top w:w="0" w:type="dxa"/>
                  <w:left w:w="108" w:type="dxa"/>
                  <w:bottom w:w="0" w:type="dxa"/>
                  <w:right w:w="108" w:type="dxa"/>
                </w:tblCellMar>
              </w:tblPrEx>
              <w:trPr>
                <w:trHeight w:val="266" w:hRule="atLeast"/>
              </w:trPr>
              <w:tc>
                <w:tcPr>
                  <w:tcW w:w="978" w:type="pct"/>
                  <w:vMerge w:val="restart"/>
                  <w:tcBorders>
                    <w:top w:val="single" w:color="000000" w:sz="4" w:space="0"/>
                    <w:left w:val="single" w:color="000000" w:sz="4" w:space="0"/>
                    <w:bottom w:val="single" w:color="000000" w:sz="4" w:space="0"/>
                    <w:right w:val="single" w:color="000000" w:sz="4" w:space="0"/>
                  </w:tcBorders>
                  <w:noWrap/>
                  <w:vAlign w:val="center"/>
                </w:tcPr>
                <w:p w14:paraId="08674A3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工矿仓储用地</w:t>
                  </w:r>
                </w:p>
              </w:tc>
              <w:tc>
                <w:tcPr>
                  <w:tcW w:w="800" w:type="pct"/>
                  <w:tcBorders>
                    <w:top w:val="single" w:color="000000" w:sz="4" w:space="0"/>
                    <w:left w:val="single" w:color="000000" w:sz="4" w:space="0"/>
                    <w:bottom w:val="single" w:color="000000" w:sz="4" w:space="0"/>
                    <w:right w:val="single" w:color="000000" w:sz="4" w:space="0"/>
                  </w:tcBorders>
                  <w:noWrap/>
                  <w:vAlign w:val="center"/>
                </w:tcPr>
                <w:p w14:paraId="63286FA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工业用地</w:t>
                  </w:r>
                </w:p>
              </w:tc>
              <w:tc>
                <w:tcPr>
                  <w:tcW w:w="519" w:type="pct"/>
                  <w:tcBorders>
                    <w:top w:val="single" w:color="000000" w:sz="4" w:space="0"/>
                    <w:left w:val="single" w:color="000000" w:sz="4" w:space="0"/>
                    <w:bottom w:val="single" w:color="000000" w:sz="4" w:space="0"/>
                    <w:right w:val="single" w:color="000000" w:sz="4" w:space="0"/>
                  </w:tcBorders>
                  <w:noWrap/>
                  <w:vAlign w:val="center"/>
                </w:tcPr>
                <w:p w14:paraId="7F16080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w:t>
                  </w:r>
                </w:p>
              </w:tc>
              <w:tc>
                <w:tcPr>
                  <w:tcW w:w="616" w:type="pct"/>
                  <w:tcBorders>
                    <w:top w:val="single" w:color="000000" w:sz="4" w:space="0"/>
                    <w:left w:val="single" w:color="000000" w:sz="4" w:space="0"/>
                    <w:bottom w:val="single" w:color="000000" w:sz="4" w:space="0"/>
                    <w:right w:val="single" w:color="000000" w:sz="4" w:space="0"/>
                  </w:tcBorders>
                  <w:noWrap/>
                  <w:vAlign w:val="center"/>
                </w:tcPr>
                <w:p w14:paraId="7D5B69A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0.42</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3039E67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100</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63A860C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4</w:t>
                  </w:r>
                </w:p>
              </w:tc>
              <w:tc>
                <w:tcPr>
                  <w:tcW w:w="549" w:type="pct"/>
                  <w:tcBorders>
                    <w:top w:val="single" w:color="000000" w:sz="4" w:space="0"/>
                    <w:left w:val="single" w:color="000000" w:sz="4" w:space="0"/>
                    <w:bottom w:val="single" w:color="000000" w:sz="4" w:space="0"/>
                    <w:right w:val="single" w:color="000000" w:sz="4" w:space="0"/>
                  </w:tcBorders>
                  <w:noWrap/>
                  <w:vAlign w:val="center"/>
                </w:tcPr>
                <w:p w14:paraId="2DDA19D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21.65 </w:t>
                  </w:r>
                </w:p>
              </w:tc>
              <w:tc>
                <w:tcPr>
                  <w:tcW w:w="508" w:type="pct"/>
                  <w:tcBorders>
                    <w:top w:val="single" w:color="000000" w:sz="4" w:space="0"/>
                    <w:left w:val="single" w:color="000000" w:sz="4" w:space="0"/>
                    <w:bottom w:val="single" w:color="000000" w:sz="4" w:space="0"/>
                    <w:right w:val="single" w:color="000000" w:sz="4" w:space="0"/>
                  </w:tcBorders>
                  <w:noWrap/>
                  <w:vAlign w:val="center"/>
                </w:tcPr>
                <w:p w14:paraId="565DA6C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23.56</w:t>
                  </w:r>
                </w:p>
              </w:tc>
            </w:tr>
            <w:tr w14:paraId="3295D4AA">
              <w:tblPrEx>
                <w:tblCellMar>
                  <w:top w:w="0" w:type="dxa"/>
                  <w:left w:w="108" w:type="dxa"/>
                  <w:bottom w:w="0" w:type="dxa"/>
                  <w:right w:w="108" w:type="dxa"/>
                </w:tblCellMar>
              </w:tblPrEx>
              <w:trPr>
                <w:trHeight w:val="266" w:hRule="atLeast"/>
              </w:trPr>
              <w:tc>
                <w:tcPr>
                  <w:tcW w:w="978" w:type="pct"/>
                  <w:vMerge w:val="continue"/>
                  <w:tcBorders>
                    <w:top w:val="single" w:color="000000" w:sz="4" w:space="0"/>
                    <w:left w:val="single" w:color="000000" w:sz="4" w:space="0"/>
                    <w:bottom w:val="single" w:color="000000" w:sz="4" w:space="0"/>
                    <w:right w:val="single" w:color="000000" w:sz="4" w:space="0"/>
                  </w:tcBorders>
                  <w:noWrap/>
                  <w:vAlign w:val="center"/>
                </w:tcPr>
                <w:p w14:paraId="11C5C615">
                  <w:pPr>
                    <w:widowControl/>
                    <w:spacing w:line="240" w:lineRule="auto"/>
                    <w:ind w:firstLine="0" w:firstLineChars="0"/>
                    <w:jc w:val="center"/>
                    <w:rPr>
                      <w:rFonts w:cs="Times New Roman"/>
                      <w:color w:val="000000"/>
                      <w:sz w:val="21"/>
                      <w:szCs w:val="21"/>
                    </w:rPr>
                  </w:pPr>
                </w:p>
              </w:tc>
              <w:tc>
                <w:tcPr>
                  <w:tcW w:w="800" w:type="pct"/>
                  <w:tcBorders>
                    <w:top w:val="single" w:color="000000" w:sz="4" w:space="0"/>
                    <w:left w:val="single" w:color="000000" w:sz="4" w:space="0"/>
                    <w:bottom w:val="single" w:color="000000" w:sz="4" w:space="0"/>
                    <w:right w:val="single" w:color="000000" w:sz="4" w:space="0"/>
                  </w:tcBorders>
                  <w:noWrap/>
                  <w:vAlign w:val="center"/>
                </w:tcPr>
                <w:p w14:paraId="556D84C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采矿用地</w:t>
                  </w:r>
                </w:p>
              </w:tc>
              <w:tc>
                <w:tcPr>
                  <w:tcW w:w="519" w:type="pct"/>
                  <w:tcBorders>
                    <w:top w:val="single" w:color="000000" w:sz="4" w:space="0"/>
                    <w:left w:val="single" w:color="000000" w:sz="4" w:space="0"/>
                    <w:bottom w:val="single" w:color="000000" w:sz="4" w:space="0"/>
                    <w:right w:val="single" w:color="000000" w:sz="4" w:space="0"/>
                  </w:tcBorders>
                  <w:noWrap/>
                  <w:vAlign w:val="center"/>
                </w:tcPr>
                <w:p w14:paraId="5E41D28A">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616" w:type="pct"/>
                  <w:tcBorders>
                    <w:top w:val="single" w:color="000000" w:sz="4" w:space="0"/>
                    <w:left w:val="single" w:color="000000" w:sz="4" w:space="0"/>
                    <w:bottom w:val="single" w:color="000000" w:sz="4" w:space="0"/>
                    <w:right w:val="single" w:color="000000" w:sz="4" w:space="0"/>
                  </w:tcBorders>
                  <w:noWrap/>
                  <w:vAlign w:val="center"/>
                </w:tcPr>
                <w:p w14:paraId="44755F60">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58FD460D">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706805D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w:t>
                  </w:r>
                </w:p>
              </w:tc>
              <w:tc>
                <w:tcPr>
                  <w:tcW w:w="549" w:type="pct"/>
                  <w:tcBorders>
                    <w:top w:val="single" w:color="000000" w:sz="4" w:space="0"/>
                    <w:left w:val="single" w:color="000000" w:sz="4" w:space="0"/>
                    <w:bottom w:val="single" w:color="000000" w:sz="4" w:space="0"/>
                    <w:right w:val="single" w:color="000000" w:sz="4" w:space="0"/>
                  </w:tcBorders>
                  <w:noWrap/>
                  <w:vAlign w:val="center"/>
                </w:tcPr>
                <w:p w14:paraId="1D3B988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6.05 </w:t>
                  </w:r>
                </w:p>
              </w:tc>
              <w:tc>
                <w:tcPr>
                  <w:tcW w:w="508" w:type="pct"/>
                  <w:tcBorders>
                    <w:top w:val="single" w:color="000000" w:sz="4" w:space="0"/>
                    <w:left w:val="single" w:color="000000" w:sz="4" w:space="0"/>
                    <w:bottom w:val="single" w:color="000000" w:sz="4" w:space="0"/>
                    <w:right w:val="single" w:color="000000" w:sz="4" w:space="0"/>
                  </w:tcBorders>
                  <w:noWrap/>
                  <w:vAlign w:val="center"/>
                </w:tcPr>
                <w:p w14:paraId="1A840CE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6.58</w:t>
                  </w:r>
                </w:p>
              </w:tc>
            </w:tr>
            <w:tr w14:paraId="611508EE">
              <w:tblPrEx>
                <w:tblCellMar>
                  <w:top w:w="0" w:type="dxa"/>
                  <w:left w:w="108" w:type="dxa"/>
                  <w:bottom w:w="0" w:type="dxa"/>
                  <w:right w:w="108" w:type="dxa"/>
                </w:tblCellMar>
              </w:tblPrEx>
              <w:trPr>
                <w:trHeight w:val="266" w:hRule="atLeast"/>
              </w:trPr>
              <w:tc>
                <w:tcPr>
                  <w:tcW w:w="978" w:type="pct"/>
                  <w:vMerge w:val="restart"/>
                  <w:tcBorders>
                    <w:top w:val="single" w:color="000000" w:sz="4" w:space="0"/>
                    <w:left w:val="single" w:color="000000" w:sz="4" w:space="0"/>
                    <w:bottom w:val="single" w:color="000000" w:sz="4" w:space="0"/>
                    <w:right w:val="single" w:color="000000" w:sz="4" w:space="0"/>
                  </w:tcBorders>
                  <w:noWrap/>
                  <w:vAlign w:val="center"/>
                </w:tcPr>
                <w:p w14:paraId="2E63A49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交通运输用地</w:t>
                  </w:r>
                </w:p>
              </w:tc>
              <w:tc>
                <w:tcPr>
                  <w:tcW w:w="800" w:type="pct"/>
                  <w:tcBorders>
                    <w:top w:val="single" w:color="000000" w:sz="4" w:space="0"/>
                    <w:left w:val="single" w:color="000000" w:sz="4" w:space="0"/>
                    <w:bottom w:val="single" w:color="000000" w:sz="4" w:space="0"/>
                    <w:right w:val="single" w:color="000000" w:sz="4" w:space="0"/>
                  </w:tcBorders>
                  <w:noWrap/>
                  <w:vAlign w:val="center"/>
                </w:tcPr>
                <w:p w14:paraId="021320A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公路用地</w:t>
                  </w:r>
                </w:p>
              </w:tc>
              <w:tc>
                <w:tcPr>
                  <w:tcW w:w="519" w:type="pct"/>
                  <w:tcBorders>
                    <w:top w:val="single" w:color="000000" w:sz="4" w:space="0"/>
                    <w:left w:val="single" w:color="000000" w:sz="4" w:space="0"/>
                    <w:bottom w:val="single" w:color="000000" w:sz="4" w:space="0"/>
                    <w:right w:val="single" w:color="000000" w:sz="4" w:space="0"/>
                  </w:tcBorders>
                  <w:noWrap/>
                  <w:vAlign w:val="center"/>
                </w:tcPr>
                <w:p w14:paraId="34F8F0D1">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616" w:type="pct"/>
                  <w:tcBorders>
                    <w:top w:val="single" w:color="000000" w:sz="4" w:space="0"/>
                    <w:left w:val="single" w:color="000000" w:sz="4" w:space="0"/>
                    <w:bottom w:val="single" w:color="000000" w:sz="4" w:space="0"/>
                    <w:right w:val="single" w:color="000000" w:sz="4" w:space="0"/>
                  </w:tcBorders>
                  <w:noWrap/>
                  <w:vAlign w:val="center"/>
                </w:tcPr>
                <w:p w14:paraId="1A501876">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629BAC2A">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288E81A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w:t>
                  </w:r>
                </w:p>
              </w:tc>
              <w:tc>
                <w:tcPr>
                  <w:tcW w:w="549" w:type="pct"/>
                  <w:tcBorders>
                    <w:top w:val="single" w:color="000000" w:sz="4" w:space="0"/>
                    <w:left w:val="single" w:color="000000" w:sz="4" w:space="0"/>
                    <w:bottom w:val="single" w:color="000000" w:sz="4" w:space="0"/>
                    <w:right w:val="single" w:color="000000" w:sz="4" w:space="0"/>
                  </w:tcBorders>
                  <w:noWrap/>
                  <w:vAlign w:val="center"/>
                </w:tcPr>
                <w:p w14:paraId="2B3E317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0.59 </w:t>
                  </w:r>
                </w:p>
              </w:tc>
              <w:tc>
                <w:tcPr>
                  <w:tcW w:w="508" w:type="pct"/>
                  <w:tcBorders>
                    <w:top w:val="single" w:color="000000" w:sz="4" w:space="0"/>
                    <w:left w:val="single" w:color="000000" w:sz="4" w:space="0"/>
                    <w:bottom w:val="single" w:color="000000" w:sz="4" w:space="0"/>
                    <w:right w:val="single" w:color="000000" w:sz="4" w:space="0"/>
                  </w:tcBorders>
                  <w:noWrap/>
                  <w:vAlign w:val="center"/>
                </w:tcPr>
                <w:p w14:paraId="0FE054F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0.64</w:t>
                  </w:r>
                </w:p>
              </w:tc>
            </w:tr>
            <w:tr w14:paraId="42027259">
              <w:tblPrEx>
                <w:tblCellMar>
                  <w:top w:w="0" w:type="dxa"/>
                  <w:left w:w="108" w:type="dxa"/>
                  <w:bottom w:w="0" w:type="dxa"/>
                  <w:right w:w="108" w:type="dxa"/>
                </w:tblCellMar>
              </w:tblPrEx>
              <w:trPr>
                <w:trHeight w:val="266" w:hRule="atLeast"/>
              </w:trPr>
              <w:tc>
                <w:tcPr>
                  <w:tcW w:w="978" w:type="pct"/>
                  <w:vMerge w:val="continue"/>
                  <w:tcBorders>
                    <w:top w:val="single" w:color="000000" w:sz="4" w:space="0"/>
                    <w:left w:val="single" w:color="000000" w:sz="4" w:space="0"/>
                    <w:bottom w:val="single" w:color="000000" w:sz="4" w:space="0"/>
                    <w:right w:val="single" w:color="000000" w:sz="4" w:space="0"/>
                  </w:tcBorders>
                  <w:noWrap/>
                  <w:vAlign w:val="center"/>
                </w:tcPr>
                <w:p w14:paraId="4079A5AA">
                  <w:pPr>
                    <w:widowControl/>
                    <w:spacing w:line="240" w:lineRule="auto"/>
                    <w:ind w:firstLine="0" w:firstLineChars="0"/>
                    <w:jc w:val="center"/>
                    <w:rPr>
                      <w:rFonts w:cs="Times New Roman"/>
                      <w:color w:val="000000"/>
                      <w:sz w:val="21"/>
                      <w:szCs w:val="21"/>
                    </w:rPr>
                  </w:pPr>
                </w:p>
              </w:tc>
              <w:tc>
                <w:tcPr>
                  <w:tcW w:w="800" w:type="pct"/>
                  <w:tcBorders>
                    <w:top w:val="single" w:color="000000" w:sz="4" w:space="0"/>
                    <w:left w:val="single" w:color="000000" w:sz="4" w:space="0"/>
                    <w:bottom w:val="single" w:color="000000" w:sz="4" w:space="0"/>
                    <w:right w:val="single" w:color="000000" w:sz="4" w:space="0"/>
                  </w:tcBorders>
                  <w:noWrap/>
                  <w:vAlign w:val="center"/>
                </w:tcPr>
                <w:p w14:paraId="6A8964C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农村道路</w:t>
                  </w:r>
                </w:p>
              </w:tc>
              <w:tc>
                <w:tcPr>
                  <w:tcW w:w="519" w:type="pct"/>
                  <w:tcBorders>
                    <w:top w:val="single" w:color="000000" w:sz="4" w:space="0"/>
                    <w:left w:val="single" w:color="000000" w:sz="4" w:space="0"/>
                    <w:bottom w:val="single" w:color="000000" w:sz="4" w:space="0"/>
                    <w:right w:val="single" w:color="000000" w:sz="4" w:space="0"/>
                  </w:tcBorders>
                  <w:noWrap/>
                  <w:vAlign w:val="center"/>
                </w:tcPr>
                <w:p w14:paraId="01730A90">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616" w:type="pct"/>
                  <w:tcBorders>
                    <w:top w:val="single" w:color="000000" w:sz="4" w:space="0"/>
                    <w:left w:val="single" w:color="000000" w:sz="4" w:space="0"/>
                    <w:bottom w:val="single" w:color="000000" w:sz="4" w:space="0"/>
                    <w:right w:val="single" w:color="000000" w:sz="4" w:space="0"/>
                  </w:tcBorders>
                  <w:noWrap/>
                  <w:vAlign w:val="center"/>
                </w:tcPr>
                <w:p w14:paraId="25581630">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1A2E6188">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5CB602C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w:t>
                  </w:r>
                </w:p>
              </w:tc>
              <w:tc>
                <w:tcPr>
                  <w:tcW w:w="549" w:type="pct"/>
                  <w:tcBorders>
                    <w:top w:val="single" w:color="000000" w:sz="4" w:space="0"/>
                    <w:left w:val="single" w:color="000000" w:sz="4" w:space="0"/>
                    <w:bottom w:val="single" w:color="000000" w:sz="4" w:space="0"/>
                    <w:right w:val="single" w:color="000000" w:sz="4" w:space="0"/>
                  </w:tcBorders>
                  <w:noWrap/>
                  <w:vAlign w:val="center"/>
                </w:tcPr>
                <w:p w14:paraId="4ABCDA6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1.71 </w:t>
                  </w:r>
                </w:p>
              </w:tc>
              <w:tc>
                <w:tcPr>
                  <w:tcW w:w="508" w:type="pct"/>
                  <w:tcBorders>
                    <w:top w:val="single" w:color="000000" w:sz="4" w:space="0"/>
                    <w:left w:val="single" w:color="000000" w:sz="4" w:space="0"/>
                    <w:bottom w:val="single" w:color="000000" w:sz="4" w:space="0"/>
                    <w:right w:val="single" w:color="000000" w:sz="4" w:space="0"/>
                  </w:tcBorders>
                  <w:noWrap/>
                  <w:vAlign w:val="center"/>
                </w:tcPr>
                <w:p w14:paraId="34B32BF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1.86</w:t>
                  </w:r>
                </w:p>
              </w:tc>
            </w:tr>
            <w:tr w14:paraId="5BFCEE9A">
              <w:tblPrEx>
                <w:tblCellMar>
                  <w:top w:w="0" w:type="dxa"/>
                  <w:left w:w="108" w:type="dxa"/>
                  <w:bottom w:w="0" w:type="dxa"/>
                  <w:right w:w="108" w:type="dxa"/>
                </w:tblCellMar>
              </w:tblPrEx>
              <w:trPr>
                <w:trHeight w:val="499" w:hRule="atLeast"/>
              </w:trPr>
              <w:tc>
                <w:tcPr>
                  <w:tcW w:w="978" w:type="pct"/>
                  <w:tcBorders>
                    <w:top w:val="single" w:color="000000" w:sz="4" w:space="0"/>
                    <w:left w:val="single" w:color="000000" w:sz="4" w:space="0"/>
                    <w:bottom w:val="single" w:color="000000" w:sz="4" w:space="0"/>
                    <w:right w:val="single" w:color="000000" w:sz="4" w:space="0"/>
                  </w:tcBorders>
                  <w:noWrap/>
                  <w:vAlign w:val="center"/>
                </w:tcPr>
                <w:p w14:paraId="093DC5A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水域及水利设施用地</w:t>
                  </w:r>
                </w:p>
              </w:tc>
              <w:tc>
                <w:tcPr>
                  <w:tcW w:w="800" w:type="pct"/>
                  <w:tcBorders>
                    <w:top w:val="single" w:color="000000" w:sz="4" w:space="0"/>
                    <w:left w:val="single" w:color="000000" w:sz="4" w:space="0"/>
                    <w:bottom w:val="single" w:color="000000" w:sz="4" w:space="0"/>
                    <w:right w:val="single" w:color="000000" w:sz="4" w:space="0"/>
                  </w:tcBorders>
                  <w:noWrap/>
                  <w:vAlign w:val="center"/>
                </w:tcPr>
                <w:p w14:paraId="6690682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坑塘水面</w:t>
                  </w:r>
                </w:p>
              </w:tc>
              <w:tc>
                <w:tcPr>
                  <w:tcW w:w="519" w:type="pct"/>
                  <w:tcBorders>
                    <w:top w:val="single" w:color="000000" w:sz="4" w:space="0"/>
                    <w:left w:val="single" w:color="000000" w:sz="4" w:space="0"/>
                    <w:bottom w:val="single" w:color="000000" w:sz="4" w:space="0"/>
                    <w:right w:val="single" w:color="000000" w:sz="4" w:space="0"/>
                  </w:tcBorders>
                  <w:noWrap/>
                  <w:vAlign w:val="center"/>
                </w:tcPr>
                <w:p w14:paraId="79A6D11A">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616" w:type="pct"/>
                  <w:tcBorders>
                    <w:top w:val="single" w:color="000000" w:sz="4" w:space="0"/>
                    <w:left w:val="single" w:color="000000" w:sz="4" w:space="0"/>
                    <w:bottom w:val="single" w:color="000000" w:sz="4" w:space="0"/>
                    <w:right w:val="single" w:color="000000" w:sz="4" w:space="0"/>
                  </w:tcBorders>
                  <w:noWrap/>
                  <w:vAlign w:val="center"/>
                </w:tcPr>
                <w:p w14:paraId="06510825">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6FADBE10">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753E6C9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w:t>
                  </w:r>
                </w:p>
              </w:tc>
              <w:tc>
                <w:tcPr>
                  <w:tcW w:w="549" w:type="pct"/>
                  <w:tcBorders>
                    <w:top w:val="single" w:color="000000" w:sz="4" w:space="0"/>
                    <w:left w:val="single" w:color="000000" w:sz="4" w:space="0"/>
                    <w:bottom w:val="single" w:color="000000" w:sz="4" w:space="0"/>
                    <w:right w:val="single" w:color="000000" w:sz="4" w:space="0"/>
                  </w:tcBorders>
                  <w:noWrap/>
                  <w:vAlign w:val="center"/>
                </w:tcPr>
                <w:p w14:paraId="1690CB6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0.43 </w:t>
                  </w:r>
                </w:p>
              </w:tc>
              <w:tc>
                <w:tcPr>
                  <w:tcW w:w="508" w:type="pct"/>
                  <w:tcBorders>
                    <w:top w:val="single" w:color="000000" w:sz="4" w:space="0"/>
                    <w:left w:val="single" w:color="000000" w:sz="4" w:space="0"/>
                    <w:bottom w:val="single" w:color="000000" w:sz="4" w:space="0"/>
                    <w:right w:val="single" w:color="000000" w:sz="4" w:space="0"/>
                  </w:tcBorders>
                  <w:noWrap/>
                  <w:vAlign w:val="center"/>
                </w:tcPr>
                <w:p w14:paraId="4CC8985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0.47</w:t>
                  </w:r>
                </w:p>
              </w:tc>
            </w:tr>
            <w:tr w14:paraId="11DE29EE">
              <w:tblPrEx>
                <w:tblCellMar>
                  <w:top w:w="0" w:type="dxa"/>
                  <w:left w:w="108" w:type="dxa"/>
                  <w:bottom w:w="0" w:type="dxa"/>
                  <w:right w:w="108" w:type="dxa"/>
                </w:tblCellMar>
              </w:tblPrEx>
              <w:trPr>
                <w:trHeight w:val="301" w:hRule="atLeast"/>
              </w:trPr>
              <w:tc>
                <w:tcPr>
                  <w:tcW w:w="1779" w:type="pct"/>
                  <w:gridSpan w:val="2"/>
                  <w:tcBorders>
                    <w:top w:val="single" w:color="000000" w:sz="4" w:space="0"/>
                    <w:left w:val="single" w:color="000000" w:sz="4" w:space="0"/>
                    <w:bottom w:val="single" w:color="000000" w:sz="4" w:space="0"/>
                    <w:right w:val="single" w:color="000000" w:sz="4" w:space="0"/>
                  </w:tcBorders>
                  <w:noWrap/>
                  <w:vAlign w:val="center"/>
                </w:tcPr>
                <w:p w14:paraId="58BD078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总计</w:t>
                  </w:r>
                </w:p>
              </w:tc>
              <w:tc>
                <w:tcPr>
                  <w:tcW w:w="519" w:type="pct"/>
                  <w:tcBorders>
                    <w:top w:val="single" w:color="000000" w:sz="4" w:space="0"/>
                    <w:left w:val="single" w:color="000000" w:sz="4" w:space="0"/>
                    <w:bottom w:val="single" w:color="000000" w:sz="4" w:space="0"/>
                    <w:right w:val="single" w:color="000000" w:sz="4" w:space="0"/>
                  </w:tcBorders>
                  <w:noWrap/>
                  <w:vAlign w:val="center"/>
                </w:tcPr>
                <w:p w14:paraId="222803B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w:t>
                  </w:r>
                </w:p>
              </w:tc>
              <w:tc>
                <w:tcPr>
                  <w:tcW w:w="616" w:type="pct"/>
                  <w:tcBorders>
                    <w:top w:val="single" w:color="000000" w:sz="4" w:space="0"/>
                    <w:left w:val="single" w:color="000000" w:sz="4" w:space="0"/>
                    <w:bottom w:val="single" w:color="000000" w:sz="4" w:space="0"/>
                    <w:right w:val="single" w:color="000000" w:sz="4" w:space="0"/>
                  </w:tcBorders>
                  <w:noWrap/>
                  <w:vAlign w:val="center"/>
                </w:tcPr>
                <w:p w14:paraId="708CA5D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0.42</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64EF9D2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100</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782965E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31</w:t>
                  </w:r>
                </w:p>
              </w:tc>
              <w:tc>
                <w:tcPr>
                  <w:tcW w:w="549" w:type="pct"/>
                  <w:tcBorders>
                    <w:top w:val="single" w:color="000000" w:sz="4" w:space="0"/>
                    <w:left w:val="single" w:color="000000" w:sz="4" w:space="0"/>
                    <w:bottom w:val="single" w:color="000000" w:sz="4" w:space="0"/>
                    <w:right w:val="single" w:color="000000" w:sz="4" w:space="0"/>
                  </w:tcBorders>
                  <w:noWrap/>
                  <w:vAlign w:val="center"/>
                </w:tcPr>
                <w:p w14:paraId="2570E55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91.90 </w:t>
                  </w:r>
                </w:p>
              </w:tc>
              <w:tc>
                <w:tcPr>
                  <w:tcW w:w="508" w:type="pct"/>
                  <w:tcBorders>
                    <w:top w:val="single" w:color="000000" w:sz="4" w:space="0"/>
                    <w:left w:val="single" w:color="000000" w:sz="4" w:space="0"/>
                    <w:bottom w:val="single" w:color="000000" w:sz="4" w:space="0"/>
                    <w:right w:val="single" w:color="000000" w:sz="4" w:space="0"/>
                  </w:tcBorders>
                  <w:noWrap/>
                  <w:vAlign w:val="center"/>
                </w:tcPr>
                <w:p w14:paraId="6F8761F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100.00</w:t>
                  </w:r>
                </w:p>
              </w:tc>
            </w:tr>
          </w:tbl>
          <w:p w14:paraId="118B227D">
            <w:pPr>
              <w:pStyle w:val="38"/>
            </w:pPr>
            <w:r>
              <w:rPr>
                <w:rFonts w:hint="eastAsia"/>
              </w:rPr>
              <w:t>②植被类型现状</w:t>
            </w:r>
          </w:p>
          <w:p w14:paraId="4B5814F3">
            <w:pPr>
              <w:pStyle w:val="38"/>
            </w:pPr>
            <w:r>
              <w:rPr>
                <w:rFonts w:hint="eastAsia"/>
              </w:rPr>
              <w:t>根据解译结果可知，项目占地全部为工业用地，无植被存在，评价范围内植被类型有：克氏针茅群落、芨芨草群落等，以克氏针茅群落为主。</w:t>
            </w:r>
          </w:p>
          <w:p w14:paraId="7321FCBF">
            <w:pPr>
              <w:pStyle w:val="38"/>
              <w:jc w:val="center"/>
              <w:rPr>
                <w:b/>
                <w:bCs/>
                <w:sz w:val="21"/>
                <w:szCs w:val="21"/>
              </w:rPr>
            </w:pPr>
            <w:r>
              <w:rPr>
                <w:rFonts w:hint="eastAsia"/>
                <w:b/>
                <w:bCs/>
                <w:sz w:val="21"/>
                <w:szCs w:val="21"/>
              </w:rPr>
              <w:t>表3.6植被类型表</w:t>
            </w:r>
          </w:p>
          <w:tbl>
            <w:tblPr>
              <w:tblStyle w:val="21"/>
              <w:tblW w:w="4997" w:type="pct"/>
              <w:tblInd w:w="0" w:type="dxa"/>
              <w:tblLayout w:type="fixed"/>
              <w:tblCellMar>
                <w:top w:w="0" w:type="dxa"/>
                <w:left w:w="108" w:type="dxa"/>
                <w:bottom w:w="0" w:type="dxa"/>
                <w:right w:w="108" w:type="dxa"/>
              </w:tblCellMar>
            </w:tblPr>
            <w:tblGrid>
              <w:gridCol w:w="662"/>
              <w:gridCol w:w="1559"/>
              <w:gridCol w:w="868"/>
              <w:gridCol w:w="995"/>
              <w:gridCol w:w="1135"/>
              <w:gridCol w:w="900"/>
              <w:gridCol w:w="1429"/>
              <w:gridCol w:w="1144"/>
            </w:tblGrid>
            <w:tr w14:paraId="48861F6A">
              <w:tblPrEx>
                <w:tblCellMar>
                  <w:top w:w="0" w:type="dxa"/>
                  <w:left w:w="108" w:type="dxa"/>
                  <w:bottom w:w="0" w:type="dxa"/>
                  <w:right w:w="108" w:type="dxa"/>
                </w:tblCellMar>
              </w:tblPrEx>
              <w:trPr>
                <w:trHeight w:val="525" w:hRule="atLeast"/>
              </w:trPr>
              <w:tc>
                <w:tcPr>
                  <w:tcW w:w="380" w:type="pct"/>
                  <w:vMerge w:val="restart"/>
                  <w:tcBorders>
                    <w:top w:val="single" w:color="000000" w:sz="4" w:space="0"/>
                    <w:left w:val="single" w:color="000000" w:sz="4" w:space="0"/>
                    <w:right w:val="single" w:color="000000" w:sz="4" w:space="0"/>
                  </w:tcBorders>
                  <w:noWrap/>
                  <w:vAlign w:val="center"/>
                </w:tcPr>
                <w:p w14:paraId="0F95D55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植被类型</w:t>
                  </w:r>
                </w:p>
              </w:tc>
              <w:tc>
                <w:tcPr>
                  <w:tcW w:w="896" w:type="pct"/>
                  <w:vMerge w:val="restart"/>
                  <w:tcBorders>
                    <w:top w:val="single" w:color="000000" w:sz="4" w:space="0"/>
                    <w:left w:val="single" w:color="000000" w:sz="4" w:space="0"/>
                    <w:right w:val="single" w:color="000000" w:sz="4" w:space="0"/>
                  </w:tcBorders>
                  <w:noWrap/>
                  <w:vAlign w:val="center"/>
                </w:tcPr>
                <w:p w14:paraId="2FA69F9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群落类型</w:t>
                  </w:r>
                </w:p>
              </w:tc>
              <w:tc>
                <w:tcPr>
                  <w:tcW w:w="1724" w:type="pct"/>
                  <w:gridSpan w:val="3"/>
                  <w:tcBorders>
                    <w:top w:val="single" w:color="000000" w:sz="4" w:space="0"/>
                    <w:left w:val="single" w:color="000000" w:sz="4" w:space="0"/>
                    <w:bottom w:val="single" w:color="000000" w:sz="4" w:space="0"/>
                    <w:right w:val="single" w:color="000000" w:sz="4" w:space="0"/>
                  </w:tcBorders>
                  <w:noWrap/>
                  <w:vAlign w:val="center"/>
                </w:tcPr>
                <w:p w14:paraId="15E3D9F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项目范围</w:t>
                  </w:r>
                </w:p>
              </w:tc>
              <w:tc>
                <w:tcPr>
                  <w:tcW w:w="1998" w:type="pct"/>
                  <w:gridSpan w:val="3"/>
                  <w:tcBorders>
                    <w:top w:val="single" w:color="000000" w:sz="4" w:space="0"/>
                    <w:left w:val="single" w:color="000000" w:sz="4" w:space="0"/>
                    <w:bottom w:val="single" w:color="000000" w:sz="4" w:space="0"/>
                    <w:right w:val="single" w:color="000000" w:sz="4" w:space="0"/>
                  </w:tcBorders>
                  <w:noWrap/>
                  <w:vAlign w:val="center"/>
                </w:tcPr>
                <w:p w14:paraId="396C009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评价范围</w:t>
                  </w:r>
                </w:p>
              </w:tc>
            </w:tr>
            <w:tr w14:paraId="535ECEA5">
              <w:tblPrEx>
                <w:tblCellMar>
                  <w:top w:w="0" w:type="dxa"/>
                  <w:left w:w="108" w:type="dxa"/>
                  <w:bottom w:w="0" w:type="dxa"/>
                  <w:right w:w="108" w:type="dxa"/>
                </w:tblCellMar>
              </w:tblPrEx>
              <w:trPr>
                <w:trHeight w:val="525" w:hRule="atLeast"/>
              </w:trPr>
              <w:tc>
                <w:tcPr>
                  <w:tcW w:w="380" w:type="pct"/>
                  <w:vMerge w:val="continue"/>
                  <w:tcBorders>
                    <w:left w:val="single" w:color="000000" w:sz="4" w:space="0"/>
                    <w:bottom w:val="single" w:color="000000" w:sz="4" w:space="0"/>
                    <w:right w:val="single" w:color="000000" w:sz="4" w:space="0"/>
                  </w:tcBorders>
                  <w:noWrap/>
                  <w:vAlign w:val="center"/>
                </w:tcPr>
                <w:p w14:paraId="4B6894FA">
                  <w:pPr>
                    <w:widowControl/>
                    <w:spacing w:line="240" w:lineRule="auto"/>
                    <w:ind w:firstLine="0" w:firstLineChars="0"/>
                    <w:jc w:val="center"/>
                    <w:textAlignment w:val="center"/>
                    <w:rPr>
                      <w:rFonts w:cs="Times New Roman"/>
                      <w:color w:val="000000"/>
                      <w:sz w:val="21"/>
                      <w:szCs w:val="21"/>
                    </w:rPr>
                  </w:pPr>
                </w:p>
              </w:tc>
              <w:tc>
                <w:tcPr>
                  <w:tcW w:w="896" w:type="pct"/>
                  <w:vMerge w:val="continue"/>
                  <w:tcBorders>
                    <w:left w:val="single" w:color="000000" w:sz="4" w:space="0"/>
                    <w:bottom w:val="single" w:color="000000" w:sz="4" w:space="0"/>
                    <w:right w:val="single" w:color="000000" w:sz="4" w:space="0"/>
                  </w:tcBorders>
                  <w:noWrap/>
                  <w:vAlign w:val="center"/>
                </w:tcPr>
                <w:p w14:paraId="12D51834">
                  <w:pPr>
                    <w:widowControl/>
                    <w:spacing w:line="240" w:lineRule="auto"/>
                    <w:ind w:firstLine="0" w:firstLineChars="0"/>
                    <w:jc w:val="center"/>
                    <w:textAlignment w:val="center"/>
                    <w:rPr>
                      <w:rFonts w:cs="Times New Roman"/>
                      <w:color w:val="000000"/>
                      <w:sz w:val="21"/>
                      <w:szCs w:val="21"/>
                    </w:rPr>
                  </w:pPr>
                </w:p>
              </w:tc>
              <w:tc>
                <w:tcPr>
                  <w:tcW w:w="499" w:type="pct"/>
                  <w:tcBorders>
                    <w:top w:val="single" w:color="000000" w:sz="4" w:space="0"/>
                    <w:left w:val="single" w:color="000000" w:sz="4" w:space="0"/>
                    <w:bottom w:val="single" w:color="000000" w:sz="4" w:space="0"/>
                    <w:right w:val="single" w:color="000000" w:sz="4" w:space="0"/>
                  </w:tcBorders>
                  <w:noWrap/>
                  <w:vAlign w:val="center"/>
                </w:tcPr>
                <w:p w14:paraId="58470FC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斑块数</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3AB4D07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面积（hm2）</w:t>
                  </w:r>
                </w:p>
              </w:tc>
              <w:tc>
                <w:tcPr>
                  <w:tcW w:w="652" w:type="pct"/>
                  <w:tcBorders>
                    <w:top w:val="single" w:color="000000" w:sz="4" w:space="0"/>
                    <w:left w:val="single" w:color="000000" w:sz="4" w:space="0"/>
                    <w:bottom w:val="single" w:color="000000" w:sz="4" w:space="0"/>
                    <w:right w:val="single" w:color="000000" w:sz="4" w:space="0"/>
                  </w:tcBorders>
                  <w:noWrap/>
                  <w:vAlign w:val="center"/>
                </w:tcPr>
                <w:p w14:paraId="0C95898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占评价区比例（%）</w:t>
                  </w:r>
                </w:p>
              </w:tc>
              <w:tc>
                <w:tcPr>
                  <w:tcW w:w="518" w:type="pct"/>
                  <w:tcBorders>
                    <w:top w:val="single" w:color="000000" w:sz="4" w:space="0"/>
                    <w:left w:val="single" w:color="000000" w:sz="4" w:space="0"/>
                    <w:bottom w:val="single" w:color="000000" w:sz="4" w:space="0"/>
                    <w:right w:val="single" w:color="000000" w:sz="4" w:space="0"/>
                  </w:tcBorders>
                  <w:noWrap/>
                  <w:vAlign w:val="center"/>
                </w:tcPr>
                <w:p w14:paraId="49504C4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斑块数</w:t>
                  </w:r>
                </w:p>
              </w:tc>
              <w:tc>
                <w:tcPr>
                  <w:tcW w:w="822" w:type="pct"/>
                  <w:tcBorders>
                    <w:top w:val="single" w:color="000000" w:sz="4" w:space="0"/>
                    <w:left w:val="single" w:color="000000" w:sz="4" w:space="0"/>
                    <w:bottom w:val="single" w:color="000000" w:sz="4" w:space="0"/>
                    <w:right w:val="single" w:color="000000" w:sz="4" w:space="0"/>
                  </w:tcBorders>
                  <w:vAlign w:val="center"/>
                </w:tcPr>
                <w:p w14:paraId="030535A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面积（hm2）</w:t>
                  </w:r>
                </w:p>
              </w:tc>
              <w:tc>
                <w:tcPr>
                  <w:tcW w:w="657" w:type="pct"/>
                  <w:tcBorders>
                    <w:top w:val="single" w:color="000000" w:sz="4" w:space="0"/>
                    <w:left w:val="single" w:color="000000" w:sz="4" w:space="0"/>
                    <w:bottom w:val="single" w:color="000000" w:sz="4" w:space="0"/>
                    <w:right w:val="single" w:color="000000" w:sz="4" w:space="0"/>
                  </w:tcBorders>
                  <w:vAlign w:val="center"/>
                </w:tcPr>
                <w:p w14:paraId="1835A4E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占评价区比例（%）</w:t>
                  </w:r>
                </w:p>
              </w:tc>
            </w:tr>
            <w:tr w14:paraId="15B7EC9C">
              <w:tblPrEx>
                <w:tblCellMar>
                  <w:top w:w="0" w:type="dxa"/>
                  <w:left w:w="108" w:type="dxa"/>
                  <w:bottom w:w="0" w:type="dxa"/>
                  <w:right w:w="108" w:type="dxa"/>
                </w:tblCellMar>
              </w:tblPrEx>
              <w:trPr>
                <w:trHeight w:val="270" w:hRule="atLeast"/>
              </w:trPr>
              <w:tc>
                <w:tcPr>
                  <w:tcW w:w="380" w:type="pct"/>
                  <w:vMerge w:val="restart"/>
                  <w:tcBorders>
                    <w:top w:val="single" w:color="000000" w:sz="4" w:space="0"/>
                    <w:left w:val="single" w:color="000000" w:sz="4" w:space="0"/>
                    <w:bottom w:val="single" w:color="000000" w:sz="4" w:space="0"/>
                    <w:right w:val="single" w:color="000000" w:sz="4" w:space="0"/>
                  </w:tcBorders>
                  <w:noWrap/>
                  <w:vAlign w:val="center"/>
                </w:tcPr>
                <w:p w14:paraId="35C93C9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草地植被</w:t>
                  </w:r>
                </w:p>
              </w:tc>
              <w:tc>
                <w:tcPr>
                  <w:tcW w:w="896" w:type="pct"/>
                  <w:tcBorders>
                    <w:top w:val="single" w:color="000000" w:sz="4" w:space="0"/>
                    <w:left w:val="single" w:color="000000" w:sz="4" w:space="0"/>
                    <w:bottom w:val="single" w:color="000000" w:sz="4" w:space="0"/>
                    <w:right w:val="single" w:color="000000" w:sz="4" w:space="0"/>
                  </w:tcBorders>
                  <w:noWrap/>
                  <w:vAlign w:val="center"/>
                </w:tcPr>
                <w:p w14:paraId="4A77367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克氏针茅群落</w:t>
                  </w:r>
                </w:p>
              </w:tc>
              <w:tc>
                <w:tcPr>
                  <w:tcW w:w="499" w:type="pct"/>
                  <w:tcBorders>
                    <w:top w:val="single" w:color="000000" w:sz="4" w:space="0"/>
                    <w:left w:val="single" w:color="000000" w:sz="4" w:space="0"/>
                    <w:bottom w:val="single" w:color="000000" w:sz="4" w:space="0"/>
                    <w:right w:val="single" w:color="000000" w:sz="4" w:space="0"/>
                  </w:tcBorders>
                  <w:noWrap/>
                  <w:vAlign w:val="center"/>
                </w:tcPr>
                <w:p w14:paraId="6D14B652">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6A1BF921">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652" w:type="pct"/>
                  <w:tcBorders>
                    <w:top w:val="single" w:color="000000" w:sz="4" w:space="0"/>
                    <w:left w:val="single" w:color="000000" w:sz="4" w:space="0"/>
                    <w:bottom w:val="single" w:color="000000" w:sz="4" w:space="0"/>
                    <w:right w:val="single" w:color="000000" w:sz="4" w:space="0"/>
                  </w:tcBorders>
                  <w:noWrap/>
                  <w:vAlign w:val="center"/>
                </w:tcPr>
                <w:p w14:paraId="352A212D">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18" w:type="pct"/>
                  <w:tcBorders>
                    <w:top w:val="single" w:color="000000" w:sz="4" w:space="0"/>
                    <w:left w:val="single" w:color="000000" w:sz="4" w:space="0"/>
                    <w:bottom w:val="single" w:color="000000" w:sz="4" w:space="0"/>
                    <w:right w:val="single" w:color="000000" w:sz="4" w:space="0"/>
                  </w:tcBorders>
                  <w:noWrap/>
                  <w:vAlign w:val="center"/>
                </w:tcPr>
                <w:p w14:paraId="0B503D2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14</w:t>
                  </w:r>
                </w:p>
              </w:tc>
              <w:tc>
                <w:tcPr>
                  <w:tcW w:w="822" w:type="pct"/>
                  <w:tcBorders>
                    <w:top w:val="single" w:color="000000" w:sz="4" w:space="0"/>
                    <w:left w:val="single" w:color="000000" w:sz="4" w:space="0"/>
                    <w:bottom w:val="single" w:color="000000" w:sz="4" w:space="0"/>
                    <w:right w:val="single" w:color="000000" w:sz="4" w:space="0"/>
                  </w:tcBorders>
                  <w:noWrap/>
                  <w:vAlign w:val="center"/>
                </w:tcPr>
                <w:p w14:paraId="2F75B8E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48.12 </w:t>
                  </w:r>
                </w:p>
              </w:tc>
              <w:tc>
                <w:tcPr>
                  <w:tcW w:w="657" w:type="pct"/>
                  <w:tcBorders>
                    <w:top w:val="single" w:color="000000" w:sz="4" w:space="0"/>
                    <w:left w:val="single" w:color="000000" w:sz="4" w:space="0"/>
                    <w:bottom w:val="single" w:color="000000" w:sz="4" w:space="0"/>
                    <w:right w:val="single" w:color="000000" w:sz="4" w:space="0"/>
                  </w:tcBorders>
                  <w:noWrap/>
                  <w:vAlign w:val="center"/>
                </w:tcPr>
                <w:p w14:paraId="2DD7FE0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52.35</w:t>
                  </w:r>
                </w:p>
              </w:tc>
            </w:tr>
            <w:tr w14:paraId="3E0A28C7">
              <w:tblPrEx>
                <w:tblCellMar>
                  <w:top w:w="0" w:type="dxa"/>
                  <w:left w:w="108" w:type="dxa"/>
                  <w:bottom w:w="0" w:type="dxa"/>
                  <w:right w:w="108" w:type="dxa"/>
                </w:tblCellMar>
              </w:tblPrEx>
              <w:trPr>
                <w:trHeight w:val="270" w:hRule="atLeast"/>
              </w:trPr>
              <w:tc>
                <w:tcPr>
                  <w:tcW w:w="380" w:type="pct"/>
                  <w:vMerge w:val="continue"/>
                  <w:tcBorders>
                    <w:top w:val="single" w:color="000000" w:sz="4" w:space="0"/>
                    <w:left w:val="single" w:color="000000" w:sz="4" w:space="0"/>
                    <w:bottom w:val="single" w:color="000000" w:sz="4" w:space="0"/>
                    <w:right w:val="single" w:color="000000" w:sz="4" w:space="0"/>
                  </w:tcBorders>
                  <w:noWrap/>
                  <w:vAlign w:val="center"/>
                </w:tcPr>
                <w:p w14:paraId="07527764">
                  <w:pPr>
                    <w:widowControl/>
                    <w:spacing w:line="240" w:lineRule="auto"/>
                    <w:ind w:firstLine="0" w:firstLineChars="0"/>
                    <w:jc w:val="center"/>
                    <w:rPr>
                      <w:rFonts w:cs="Times New Roman"/>
                      <w:color w:val="000000"/>
                      <w:sz w:val="21"/>
                      <w:szCs w:val="21"/>
                    </w:rPr>
                  </w:pPr>
                </w:p>
              </w:tc>
              <w:tc>
                <w:tcPr>
                  <w:tcW w:w="896" w:type="pct"/>
                  <w:tcBorders>
                    <w:top w:val="single" w:color="000000" w:sz="4" w:space="0"/>
                    <w:left w:val="single" w:color="000000" w:sz="4" w:space="0"/>
                    <w:bottom w:val="single" w:color="000000" w:sz="4" w:space="0"/>
                    <w:right w:val="single" w:color="000000" w:sz="4" w:space="0"/>
                  </w:tcBorders>
                  <w:noWrap/>
                  <w:vAlign w:val="center"/>
                </w:tcPr>
                <w:p w14:paraId="6BEFB2B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芨芨草群落</w:t>
                  </w:r>
                </w:p>
              </w:tc>
              <w:tc>
                <w:tcPr>
                  <w:tcW w:w="499" w:type="pct"/>
                  <w:tcBorders>
                    <w:top w:val="single" w:color="000000" w:sz="4" w:space="0"/>
                    <w:left w:val="single" w:color="000000" w:sz="4" w:space="0"/>
                    <w:bottom w:val="single" w:color="000000" w:sz="4" w:space="0"/>
                    <w:right w:val="single" w:color="000000" w:sz="4" w:space="0"/>
                  </w:tcBorders>
                  <w:noWrap/>
                  <w:vAlign w:val="center"/>
                </w:tcPr>
                <w:p w14:paraId="576AE884">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5DA39283">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652" w:type="pct"/>
                  <w:tcBorders>
                    <w:top w:val="single" w:color="000000" w:sz="4" w:space="0"/>
                    <w:left w:val="single" w:color="000000" w:sz="4" w:space="0"/>
                    <w:bottom w:val="single" w:color="000000" w:sz="4" w:space="0"/>
                    <w:right w:val="single" w:color="000000" w:sz="4" w:space="0"/>
                  </w:tcBorders>
                  <w:noWrap/>
                  <w:vAlign w:val="center"/>
                </w:tcPr>
                <w:p w14:paraId="48E6D5B9">
                  <w:pPr>
                    <w:widowControl/>
                    <w:spacing w:line="240" w:lineRule="auto"/>
                    <w:ind w:firstLine="420"/>
                    <w:jc w:val="center"/>
                    <w:textAlignment w:val="center"/>
                    <w:rPr>
                      <w:rFonts w:cs="Times New Roman"/>
                      <w:color w:val="000000"/>
                      <w:kern w:val="0"/>
                      <w:sz w:val="21"/>
                      <w:szCs w:val="21"/>
                      <w:lang w:bidi="ar"/>
                    </w:rPr>
                  </w:pPr>
                  <w:r>
                    <w:rPr>
                      <w:rFonts w:hint="eastAsia" w:cs="Times New Roman"/>
                      <w:color w:val="000000"/>
                      <w:kern w:val="0"/>
                      <w:sz w:val="21"/>
                      <w:szCs w:val="21"/>
                      <w:lang w:bidi="ar"/>
                    </w:rPr>
                    <w:t>/</w:t>
                  </w:r>
                </w:p>
              </w:tc>
              <w:tc>
                <w:tcPr>
                  <w:tcW w:w="518" w:type="pct"/>
                  <w:tcBorders>
                    <w:top w:val="single" w:color="000000" w:sz="4" w:space="0"/>
                    <w:left w:val="single" w:color="000000" w:sz="4" w:space="0"/>
                    <w:bottom w:val="single" w:color="000000" w:sz="4" w:space="0"/>
                    <w:right w:val="single" w:color="000000" w:sz="4" w:space="0"/>
                  </w:tcBorders>
                  <w:noWrap/>
                  <w:vAlign w:val="center"/>
                </w:tcPr>
                <w:p w14:paraId="5A753AD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w:t>
                  </w:r>
                </w:p>
              </w:tc>
              <w:tc>
                <w:tcPr>
                  <w:tcW w:w="822" w:type="pct"/>
                  <w:tcBorders>
                    <w:top w:val="single" w:color="000000" w:sz="4" w:space="0"/>
                    <w:left w:val="single" w:color="000000" w:sz="4" w:space="0"/>
                    <w:bottom w:val="single" w:color="000000" w:sz="4" w:space="0"/>
                    <w:right w:val="single" w:color="000000" w:sz="4" w:space="0"/>
                  </w:tcBorders>
                  <w:noWrap/>
                  <w:vAlign w:val="center"/>
                </w:tcPr>
                <w:p w14:paraId="515908E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7.77 </w:t>
                  </w:r>
                </w:p>
              </w:tc>
              <w:tc>
                <w:tcPr>
                  <w:tcW w:w="657" w:type="pct"/>
                  <w:tcBorders>
                    <w:top w:val="single" w:color="000000" w:sz="4" w:space="0"/>
                    <w:left w:val="single" w:color="000000" w:sz="4" w:space="0"/>
                    <w:bottom w:val="single" w:color="000000" w:sz="4" w:space="0"/>
                    <w:right w:val="single" w:color="000000" w:sz="4" w:space="0"/>
                  </w:tcBorders>
                  <w:noWrap/>
                  <w:vAlign w:val="center"/>
                </w:tcPr>
                <w:p w14:paraId="4976C6D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8.45</w:t>
                  </w:r>
                </w:p>
              </w:tc>
            </w:tr>
            <w:tr w14:paraId="5A5FA4BB">
              <w:tblPrEx>
                <w:tblCellMar>
                  <w:top w:w="0" w:type="dxa"/>
                  <w:left w:w="108" w:type="dxa"/>
                  <w:bottom w:w="0" w:type="dxa"/>
                  <w:right w:w="108" w:type="dxa"/>
                </w:tblCellMar>
              </w:tblPrEx>
              <w:trPr>
                <w:trHeight w:val="270" w:hRule="atLeast"/>
              </w:trPr>
              <w:tc>
                <w:tcPr>
                  <w:tcW w:w="1276" w:type="pct"/>
                  <w:gridSpan w:val="2"/>
                  <w:tcBorders>
                    <w:top w:val="single" w:color="000000" w:sz="4" w:space="0"/>
                    <w:left w:val="single" w:color="000000" w:sz="4" w:space="0"/>
                    <w:bottom w:val="single" w:color="000000" w:sz="4" w:space="0"/>
                    <w:right w:val="single" w:color="000000" w:sz="4" w:space="0"/>
                  </w:tcBorders>
                  <w:noWrap/>
                  <w:vAlign w:val="center"/>
                </w:tcPr>
                <w:p w14:paraId="6DC5B03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无植被</w:t>
                  </w:r>
                </w:p>
              </w:tc>
              <w:tc>
                <w:tcPr>
                  <w:tcW w:w="499" w:type="pct"/>
                  <w:tcBorders>
                    <w:top w:val="single" w:color="000000" w:sz="4" w:space="0"/>
                    <w:left w:val="single" w:color="000000" w:sz="4" w:space="0"/>
                    <w:bottom w:val="single" w:color="000000" w:sz="4" w:space="0"/>
                    <w:right w:val="single" w:color="000000" w:sz="4" w:space="0"/>
                  </w:tcBorders>
                  <w:noWrap/>
                  <w:vAlign w:val="center"/>
                </w:tcPr>
                <w:p w14:paraId="70FC1A8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35B3237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0.42</w:t>
                  </w:r>
                </w:p>
              </w:tc>
              <w:tc>
                <w:tcPr>
                  <w:tcW w:w="652" w:type="pct"/>
                  <w:tcBorders>
                    <w:top w:val="single" w:color="000000" w:sz="4" w:space="0"/>
                    <w:left w:val="single" w:color="000000" w:sz="4" w:space="0"/>
                    <w:bottom w:val="single" w:color="000000" w:sz="4" w:space="0"/>
                    <w:right w:val="single" w:color="000000" w:sz="4" w:space="0"/>
                  </w:tcBorders>
                  <w:noWrap/>
                  <w:vAlign w:val="center"/>
                </w:tcPr>
                <w:p w14:paraId="2C75C3E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100</w:t>
                  </w:r>
                </w:p>
              </w:tc>
              <w:tc>
                <w:tcPr>
                  <w:tcW w:w="518" w:type="pct"/>
                  <w:tcBorders>
                    <w:top w:val="single" w:color="000000" w:sz="4" w:space="0"/>
                    <w:left w:val="single" w:color="000000" w:sz="4" w:space="0"/>
                    <w:bottom w:val="single" w:color="000000" w:sz="4" w:space="0"/>
                    <w:right w:val="single" w:color="000000" w:sz="4" w:space="0"/>
                  </w:tcBorders>
                  <w:noWrap/>
                  <w:vAlign w:val="center"/>
                </w:tcPr>
                <w:p w14:paraId="09B120F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15</w:t>
                  </w:r>
                </w:p>
              </w:tc>
              <w:tc>
                <w:tcPr>
                  <w:tcW w:w="822" w:type="pct"/>
                  <w:tcBorders>
                    <w:top w:val="single" w:color="000000" w:sz="4" w:space="0"/>
                    <w:left w:val="single" w:color="000000" w:sz="4" w:space="0"/>
                    <w:bottom w:val="single" w:color="000000" w:sz="4" w:space="0"/>
                    <w:right w:val="single" w:color="000000" w:sz="4" w:space="0"/>
                  </w:tcBorders>
                  <w:noWrap/>
                  <w:vAlign w:val="center"/>
                </w:tcPr>
                <w:p w14:paraId="5B56A2D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36.02 </w:t>
                  </w:r>
                </w:p>
              </w:tc>
              <w:tc>
                <w:tcPr>
                  <w:tcW w:w="657" w:type="pct"/>
                  <w:tcBorders>
                    <w:top w:val="single" w:color="000000" w:sz="4" w:space="0"/>
                    <w:left w:val="single" w:color="000000" w:sz="4" w:space="0"/>
                    <w:bottom w:val="single" w:color="000000" w:sz="4" w:space="0"/>
                    <w:right w:val="single" w:color="000000" w:sz="4" w:space="0"/>
                  </w:tcBorders>
                  <w:noWrap/>
                  <w:vAlign w:val="center"/>
                </w:tcPr>
                <w:p w14:paraId="5653DCE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39.20</w:t>
                  </w:r>
                </w:p>
              </w:tc>
            </w:tr>
            <w:tr w14:paraId="5DBC2000">
              <w:tblPrEx>
                <w:tblCellMar>
                  <w:top w:w="0" w:type="dxa"/>
                  <w:left w:w="108" w:type="dxa"/>
                  <w:bottom w:w="0" w:type="dxa"/>
                  <w:right w:w="108" w:type="dxa"/>
                </w:tblCellMar>
              </w:tblPrEx>
              <w:trPr>
                <w:trHeight w:val="270" w:hRule="atLeast"/>
              </w:trPr>
              <w:tc>
                <w:tcPr>
                  <w:tcW w:w="1276" w:type="pct"/>
                  <w:gridSpan w:val="2"/>
                  <w:tcBorders>
                    <w:top w:val="single" w:color="000000" w:sz="4" w:space="0"/>
                    <w:left w:val="single" w:color="000000" w:sz="4" w:space="0"/>
                    <w:bottom w:val="single" w:color="000000" w:sz="4" w:space="0"/>
                    <w:right w:val="single" w:color="000000" w:sz="4" w:space="0"/>
                  </w:tcBorders>
                  <w:noWrap/>
                  <w:vAlign w:val="center"/>
                </w:tcPr>
                <w:p w14:paraId="3754FEE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总计</w:t>
                  </w:r>
                </w:p>
              </w:tc>
              <w:tc>
                <w:tcPr>
                  <w:tcW w:w="499" w:type="pct"/>
                  <w:tcBorders>
                    <w:top w:val="single" w:color="000000" w:sz="4" w:space="0"/>
                    <w:left w:val="single" w:color="000000" w:sz="4" w:space="0"/>
                    <w:bottom w:val="single" w:color="000000" w:sz="4" w:space="0"/>
                    <w:right w:val="single" w:color="000000" w:sz="4" w:space="0"/>
                  </w:tcBorders>
                  <w:noWrap/>
                  <w:vAlign w:val="center"/>
                </w:tcPr>
                <w:p w14:paraId="1D2F135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648F671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0.42</w:t>
                  </w:r>
                </w:p>
              </w:tc>
              <w:tc>
                <w:tcPr>
                  <w:tcW w:w="652" w:type="pct"/>
                  <w:tcBorders>
                    <w:top w:val="single" w:color="000000" w:sz="4" w:space="0"/>
                    <w:left w:val="single" w:color="000000" w:sz="4" w:space="0"/>
                    <w:bottom w:val="single" w:color="000000" w:sz="4" w:space="0"/>
                    <w:right w:val="single" w:color="000000" w:sz="4" w:space="0"/>
                  </w:tcBorders>
                  <w:noWrap/>
                  <w:vAlign w:val="center"/>
                </w:tcPr>
                <w:p w14:paraId="19FECA9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100</w:t>
                  </w:r>
                </w:p>
              </w:tc>
              <w:tc>
                <w:tcPr>
                  <w:tcW w:w="518" w:type="pct"/>
                  <w:tcBorders>
                    <w:top w:val="single" w:color="000000" w:sz="4" w:space="0"/>
                    <w:left w:val="single" w:color="000000" w:sz="4" w:space="0"/>
                    <w:bottom w:val="single" w:color="000000" w:sz="4" w:space="0"/>
                    <w:right w:val="single" w:color="000000" w:sz="4" w:space="0"/>
                  </w:tcBorders>
                  <w:noWrap/>
                  <w:vAlign w:val="center"/>
                </w:tcPr>
                <w:p w14:paraId="2452185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31</w:t>
                  </w:r>
                </w:p>
              </w:tc>
              <w:tc>
                <w:tcPr>
                  <w:tcW w:w="822" w:type="pct"/>
                  <w:tcBorders>
                    <w:top w:val="single" w:color="000000" w:sz="4" w:space="0"/>
                    <w:left w:val="single" w:color="000000" w:sz="4" w:space="0"/>
                    <w:bottom w:val="single" w:color="000000" w:sz="4" w:space="0"/>
                    <w:right w:val="single" w:color="000000" w:sz="4" w:space="0"/>
                  </w:tcBorders>
                  <w:noWrap/>
                  <w:vAlign w:val="center"/>
                </w:tcPr>
                <w:p w14:paraId="3C51E5F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91.90 </w:t>
                  </w:r>
                </w:p>
              </w:tc>
              <w:tc>
                <w:tcPr>
                  <w:tcW w:w="657" w:type="pct"/>
                  <w:tcBorders>
                    <w:top w:val="single" w:color="000000" w:sz="4" w:space="0"/>
                    <w:left w:val="single" w:color="000000" w:sz="4" w:space="0"/>
                    <w:bottom w:val="single" w:color="000000" w:sz="4" w:space="0"/>
                    <w:right w:val="single" w:color="000000" w:sz="4" w:space="0"/>
                  </w:tcBorders>
                  <w:noWrap/>
                  <w:vAlign w:val="center"/>
                </w:tcPr>
                <w:p w14:paraId="6C55CB5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100.00</w:t>
                  </w:r>
                </w:p>
              </w:tc>
            </w:tr>
          </w:tbl>
          <w:p w14:paraId="649BA219">
            <w:pPr>
              <w:pStyle w:val="38"/>
            </w:pPr>
            <w:r>
              <w:rPr>
                <w:rFonts w:hint="eastAsia"/>
              </w:rPr>
              <w:t>③动物类型现状</w:t>
            </w:r>
          </w:p>
          <w:p w14:paraId="5214F53E">
            <w:pPr>
              <w:pStyle w:val="38"/>
            </w:pPr>
            <w:r>
              <w:rPr>
                <w:rFonts w:hint="eastAsia"/>
              </w:rPr>
              <w:t>项目所在地为已建成厂区，不存在野生动物，评价区域内主要动物为小型野生动物有田鼠等，鸟类主要有家燕等，未发现珍稀物种。</w:t>
            </w:r>
          </w:p>
          <w:p w14:paraId="22E1B779">
            <w:pPr>
              <w:pStyle w:val="78"/>
              <w:spacing w:before="0" w:beforeLines="0"/>
              <w:ind w:firstLine="480"/>
              <w:jc w:val="both"/>
              <w:rPr>
                <w:rFonts w:ascii="Times New Roman" w:hAnsi="Times New Roman"/>
                <w:color w:val="000000"/>
                <w:kern w:val="28"/>
              </w:rPr>
            </w:pPr>
            <w:r>
              <w:rPr>
                <w:rFonts w:ascii="Times New Roman" w:hAnsi="Times New Roman"/>
                <w:b w:val="0"/>
                <w:bCs/>
                <w:color w:val="000000"/>
              </w:rPr>
              <w:t>通过资料收集、分析结合现场观察和访问，项目影响区域内野生动物组成比较简单，种类较少，整个评价区内没有珍稀、濒危动物物种的栖息地和繁殖地。</w:t>
            </w:r>
          </w:p>
          <w:p w14:paraId="59136DA5">
            <w:pPr>
              <w:pStyle w:val="38"/>
            </w:pPr>
            <w:r>
              <w:rPr>
                <w:rFonts w:hint="eastAsia"/>
              </w:rPr>
              <w:t xml:space="preserve">综上，从评价区植被与土地利用现状来看，土地利用类型主要为工业用地。区域内未发现有珍稀濒危野生动物栖息与繁殖地分布。 </w:t>
            </w:r>
          </w:p>
          <w:p w14:paraId="716D3825">
            <w:pPr>
              <w:pStyle w:val="38"/>
              <w:ind w:firstLine="0"/>
            </w:pPr>
            <w:r>
              <w:rPr>
                <w:rFonts w:hint="eastAsia"/>
              </w:rPr>
              <w:drawing>
                <wp:inline distT="0" distB="0" distL="114300" distR="114300">
                  <wp:extent cx="5520690" cy="7807325"/>
                  <wp:effectExtent l="0" t="0" r="3810" b="3175"/>
                  <wp:docPr id="15" name="图片 15" descr="遥感影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遥感影像图"/>
                          <pic:cNvPicPr>
                            <a:picLocks noChangeAspect="1"/>
                          </pic:cNvPicPr>
                        </pic:nvPicPr>
                        <pic:blipFill>
                          <a:blip r:embed="rId15"/>
                          <a:stretch>
                            <a:fillRect/>
                          </a:stretch>
                        </pic:blipFill>
                        <pic:spPr>
                          <a:xfrm>
                            <a:off x="0" y="0"/>
                            <a:ext cx="5520690" cy="7807325"/>
                          </a:xfrm>
                          <a:prstGeom prst="rect">
                            <a:avLst/>
                          </a:prstGeom>
                        </pic:spPr>
                      </pic:pic>
                    </a:graphicData>
                  </a:graphic>
                </wp:inline>
              </w:drawing>
            </w:r>
          </w:p>
          <w:p w14:paraId="4C64FFD7">
            <w:pPr>
              <w:pStyle w:val="38"/>
              <w:ind w:firstLine="0"/>
            </w:pPr>
            <w:r>
              <w:rPr>
                <w:rFonts w:hint="eastAsia"/>
              </w:rPr>
              <w:drawing>
                <wp:inline distT="0" distB="0" distL="114300" distR="114300">
                  <wp:extent cx="5520690" cy="7807325"/>
                  <wp:effectExtent l="0" t="0" r="3810" b="3175"/>
                  <wp:docPr id="16" name="图片 16" descr="土地利用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土地利用类型图"/>
                          <pic:cNvPicPr>
                            <a:picLocks noChangeAspect="1"/>
                          </pic:cNvPicPr>
                        </pic:nvPicPr>
                        <pic:blipFill>
                          <a:blip r:embed="rId16"/>
                          <a:stretch>
                            <a:fillRect/>
                          </a:stretch>
                        </pic:blipFill>
                        <pic:spPr>
                          <a:xfrm>
                            <a:off x="0" y="0"/>
                            <a:ext cx="5520690" cy="7807325"/>
                          </a:xfrm>
                          <a:prstGeom prst="rect">
                            <a:avLst/>
                          </a:prstGeom>
                        </pic:spPr>
                      </pic:pic>
                    </a:graphicData>
                  </a:graphic>
                </wp:inline>
              </w:drawing>
            </w:r>
            <w:r>
              <w:rPr>
                <w:rFonts w:hint="eastAsia"/>
              </w:rPr>
              <w:drawing>
                <wp:inline distT="0" distB="0" distL="114300" distR="114300">
                  <wp:extent cx="5520690" cy="7807325"/>
                  <wp:effectExtent l="0" t="0" r="3810" b="3175"/>
                  <wp:docPr id="17" name="图片 17" descr="植被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植被类型图"/>
                          <pic:cNvPicPr>
                            <a:picLocks noChangeAspect="1"/>
                          </pic:cNvPicPr>
                        </pic:nvPicPr>
                        <pic:blipFill>
                          <a:blip r:embed="rId17"/>
                          <a:stretch>
                            <a:fillRect/>
                          </a:stretch>
                        </pic:blipFill>
                        <pic:spPr>
                          <a:xfrm>
                            <a:off x="0" y="0"/>
                            <a:ext cx="5520690" cy="7807325"/>
                          </a:xfrm>
                          <a:prstGeom prst="rect">
                            <a:avLst/>
                          </a:prstGeom>
                        </pic:spPr>
                      </pic:pic>
                    </a:graphicData>
                  </a:graphic>
                </wp:inline>
              </w:drawing>
            </w:r>
            <w:r>
              <w:rPr>
                <w:rFonts w:hint="eastAsia"/>
              </w:rPr>
              <w:t>。</w:t>
            </w:r>
          </w:p>
        </w:tc>
      </w:tr>
      <w:tr w14:paraId="0526AD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3" w:hRule="atLeast"/>
          <w:jc w:val="center"/>
        </w:trPr>
        <w:tc>
          <w:tcPr>
            <w:tcW w:w="458" w:type="dxa"/>
            <w:vAlign w:val="center"/>
          </w:tcPr>
          <w:p w14:paraId="44A2AF5F">
            <w:pPr>
              <w:pStyle w:val="40"/>
              <w:rPr>
                <w:rFonts w:cs="Times New Roman"/>
                <w:b/>
                <w:bCs/>
                <w:color w:val="000000" w:themeColor="text1"/>
                <w14:textFill>
                  <w14:solidFill>
                    <w14:schemeClr w14:val="tx1"/>
                  </w14:solidFill>
                </w14:textFill>
              </w:rPr>
            </w:pPr>
            <w:r>
              <w:rPr>
                <w:rFonts w:cs="Times New Roman"/>
                <w:b/>
                <w:bCs/>
                <w:color w:val="000000" w:themeColor="text1"/>
                <w:sz w:val="24"/>
                <w:szCs w:val="24"/>
                <w14:textFill>
                  <w14:solidFill>
                    <w14:schemeClr w14:val="tx1"/>
                  </w14:solidFill>
                </w14:textFill>
              </w:rPr>
              <w:t>与项目有关的原有环境污染和生态破坏问题</w:t>
            </w:r>
          </w:p>
        </w:tc>
        <w:tc>
          <w:tcPr>
            <w:tcW w:w="8913" w:type="dxa"/>
            <w:vAlign w:val="center"/>
          </w:tcPr>
          <w:p w14:paraId="34C790D0">
            <w:pPr>
              <w:ind w:firstLine="480"/>
              <w:rPr>
                <w:rFonts w:cs="Times New Roman"/>
              </w:rPr>
            </w:pPr>
            <w:r>
              <w:rPr>
                <w:rFonts w:cs="Times New Roman"/>
              </w:rPr>
              <w:t>苏尼特右旗新蒙新材料有限公司成立于2013年8月，2013年8月收购原白彦湖化工有限责任公司，并对其进行生产工艺及环保设施改造建设年产硅锰合金12万t项目，该项目环评由锡林郭勒盟环境保护局于2015年1月21日以锡署环审书[2015]3号文件批复，于2016年11月24日由苏尼特右旗环境保护局出具验收意见同意通过竣工环保验收（苏右环验[2016]12号）。根据该验收文件，苏尼特右旗新蒙新材料有限公司老厂设有两个化粪池容积分别为70m</w:t>
            </w:r>
            <w:r>
              <w:rPr>
                <w:rFonts w:cs="Times New Roman"/>
                <w:vertAlign w:val="superscript"/>
              </w:rPr>
              <w:t>3</w:t>
            </w:r>
            <w:r>
              <w:rPr>
                <w:rFonts w:cs="Times New Roman"/>
              </w:rPr>
              <w:t>、80m</w:t>
            </w:r>
            <w:r>
              <w:rPr>
                <w:rFonts w:cs="Times New Roman"/>
                <w:vertAlign w:val="superscript"/>
              </w:rPr>
              <w:t>3</w:t>
            </w:r>
            <w:r>
              <w:rPr>
                <w:rFonts w:cs="Times New Roman"/>
              </w:rPr>
              <w:t>。</w:t>
            </w:r>
          </w:p>
          <w:p w14:paraId="155090A2">
            <w:pPr>
              <w:pStyle w:val="38"/>
              <w:rPr>
                <w:rFonts w:cs="Times New Roman"/>
              </w:rPr>
            </w:pPr>
            <w:r>
              <w:rPr>
                <w:rFonts w:cs="Times New Roman"/>
              </w:rPr>
              <w:t>内蒙古新蒙新科技有限公司租赁苏尼特右旗新蒙新材料有限公司白彦湖厂区用于建设10万吨负极材料项目中石墨化以及成品加工工段。</w:t>
            </w:r>
          </w:p>
          <w:p w14:paraId="68A17704">
            <w:pPr>
              <w:pStyle w:val="38"/>
              <w:rPr>
                <w:rStyle w:val="46"/>
                <w:rFonts w:ascii="Times New Roman" w:hAnsi="Times New Roman" w:cs="Times New Roman"/>
                <w:color w:val="000000" w:themeColor="text1"/>
                <w:sz w:val="24"/>
                <w:szCs w:val="36"/>
                <w14:textFill>
                  <w14:solidFill>
                    <w14:schemeClr w14:val="tx1"/>
                  </w14:solidFill>
                </w14:textFill>
              </w:rPr>
            </w:pPr>
            <w:r>
              <w:rPr>
                <w:rStyle w:val="46"/>
                <w:rFonts w:ascii="Times New Roman" w:hAnsi="Times New Roman" w:cs="Times New Roman"/>
                <w:color w:val="000000" w:themeColor="text1"/>
                <w:sz w:val="24"/>
                <w:szCs w:val="36"/>
                <w14:textFill>
                  <w14:solidFill>
                    <w14:schemeClr w14:val="tx1"/>
                  </w14:solidFill>
                </w14:textFill>
              </w:rPr>
              <w:t>“内蒙古新蒙新科技有限公司10万吨负极材料项目”，于2023年1月11日取得锡林郭勒盟生态环境局批复，文号“锡署环审书〔2023〕4号”。</w:t>
            </w:r>
          </w:p>
          <w:p w14:paraId="3C17E6DD">
            <w:pPr>
              <w:ind w:firstLine="480"/>
              <w:rPr>
                <w:rStyle w:val="46"/>
                <w:rFonts w:ascii="Times New Roman" w:hAnsi="Times New Roman" w:cs="Times New Roman"/>
                <w:color w:val="000000" w:themeColor="text1"/>
                <w:sz w:val="24"/>
                <w:szCs w:val="36"/>
                <w14:textFill>
                  <w14:solidFill>
                    <w14:schemeClr w14:val="tx1"/>
                  </w14:solidFill>
                </w14:textFill>
              </w:rPr>
            </w:pPr>
            <w:r>
              <w:rPr>
                <w:rStyle w:val="46"/>
                <w:rFonts w:hint="eastAsia" w:cs="Times New Roman"/>
                <w:color w:val="000000" w:themeColor="text1"/>
                <w:sz w:val="24"/>
                <w:szCs w:val="36"/>
                <w14:textFill>
                  <w14:solidFill>
                    <w14:schemeClr w14:val="tx1"/>
                  </w14:solidFill>
                </w14:textFill>
              </w:rPr>
              <w:t>根据该环评报告要求：“</w:t>
            </w:r>
            <w:r>
              <w:rPr>
                <w:rFonts w:hint="eastAsia"/>
              </w:rPr>
              <w:t>苏尼特右旗新蒙新材料有限公司以净地交付内蒙古新蒙新科技有限公司。对现场内所有区域进行检查、清理，确保所有拆除产物、遗留物料、残留污染物等得到合理处置，不遗留土壤污染隐患。</w:t>
            </w:r>
            <w:r>
              <w:rPr>
                <w:rStyle w:val="46"/>
                <w:rFonts w:hint="eastAsia" w:cs="Times New Roman"/>
                <w:color w:val="000000" w:themeColor="text1"/>
                <w:sz w:val="24"/>
                <w:szCs w:val="36"/>
                <w14:textFill>
                  <w14:solidFill>
                    <w14:schemeClr w14:val="tx1"/>
                  </w14:solidFill>
                </w14:textFill>
              </w:rPr>
              <w:t>”</w:t>
            </w:r>
          </w:p>
          <w:p w14:paraId="27025D89">
            <w:pPr>
              <w:pStyle w:val="38"/>
              <w:rPr>
                <w:rStyle w:val="46"/>
                <w:rFonts w:ascii="Times New Roman" w:hAnsi="Times New Roman" w:cs="Times New Roman"/>
                <w:color w:val="000000" w:themeColor="text1"/>
                <w:sz w:val="24"/>
                <w:szCs w:val="36"/>
                <w14:textFill>
                  <w14:solidFill>
                    <w14:schemeClr w14:val="tx1"/>
                  </w14:solidFill>
                </w14:textFill>
              </w:rPr>
            </w:pPr>
            <w:r>
              <w:rPr>
                <w:rFonts w:cs="Times New Roman"/>
              </w:rPr>
              <w:t>本项目属于内蒙古新蒙新科技有限公司10万吨负极材料项目配套变电站工程，选址位于租赁苏尼特右旗新蒙新材料有限公司白彦湖厂区未利用的空地上。</w:t>
            </w:r>
            <w:r>
              <w:rPr>
                <w:rFonts w:hint="eastAsia" w:cs="Times New Roman"/>
              </w:rPr>
              <w:t>不考虑</w:t>
            </w:r>
            <w:r>
              <w:rPr>
                <w:rStyle w:val="46"/>
                <w:rFonts w:ascii="Times New Roman" w:hAnsi="Times New Roman" w:cs="Times New Roman"/>
                <w:color w:val="000000" w:themeColor="text1"/>
                <w:sz w:val="24"/>
                <w:szCs w:val="36"/>
                <w14:textFill>
                  <w14:solidFill>
                    <w14:schemeClr w14:val="tx1"/>
                  </w14:solidFill>
                </w14:textFill>
              </w:rPr>
              <w:t>原有污染情况及环境问题</w:t>
            </w:r>
            <w:r>
              <w:rPr>
                <w:rStyle w:val="46"/>
                <w:rFonts w:hint="eastAsia" w:ascii="Times New Roman" w:hAnsi="Times New Roman" w:cs="Times New Roman"/>
                <w:color w:val="000000" w:themeColor="text1"/>
                <w:sz w:val="24"/>
                <w:szCs w:val="36"/>
                <w14:textFill>
                  <w14:solidFill>
                    <w14:schemeClr w14:val="tx1"/>
                  </w14:solidFill>
                </w14:textFill>
              </w:rPr>
              <w:t>。</w:t>
            </w:r>
          </w:p>
          <w:p w14:paraId="6C402902">
            <w:pPr>
              <w:pStyle w:val="38"/>
              <w:rPr>
                <w:rStyle w:val="46"/>
                <w:rFonts w:ascii="Times New Roman" w:hAnsi="Times New Roman" w:cs="Times New Roman"/>
                <w:color w:val="000000" w:themeColor="text1"/>
                <w:sz w:val="24"/>
                <w:szCs w:val="36"/>
                <w:highlight w:val="yellow"/>
                <w14:textFill>
                  <w14:solidFill>
                    <w14:schemeClr w14:val="tx1"/>
                  </w14:solidFill>
                </w14:textFill>
              </w:rPr>
            </w:pPr>
            <w:r>
              <w:rPr>
                <w:rStyle w:val="46"/>
                <w:rFonts w:ascii="Times New Roman" w:hAnsi="Times New Roman" w:cs="Times New Roman"/>
                <w:color w:val="000000" w:themeColor="text1"/>
                <w:sz w:val="24"/>
                <w:szCs w:val="36"/>
                <w14:textFill>
                  <w14:solidFill>
                    <w14:schemeClr w14:val="tx1"/>
                  </w14:solidFill>
                </w14:textFill>
              </w:rPr>
              <w:t>目前该项目正在建设，本项目依托的危废库（10m</w:t>
            </w:r>
            <w:r>
              <w:rPr>
                <w:rStyle w:val="46"/>
                <w:rFonts w:ascii="Times New Roman" w:hAnsi="Times New Roman" w:cs="Times New Roman"/>
                <w:color w:val="000000" w:themeColor="text1"/>
                <w:sz w:val="24"/>
                <w:szCs w:val="36"/>
                <w:vertAlign w:val="superscript"/>
                <w14:textFill>
                  <w14:solidFill>
                    <w14:schemeClr w14:val="tx1"/>
                  </w14:solidFill>
                </w14:textFill>
              </w:rPr>
              <w:t>2</w:t>
            </w:r>
            <w:r>
              <w:rPr>
                <w:rStyle w:val="46"/>
                <w:rFonts w:ascii="Times New Roman" w:hAnsi="Times New Roman" w:cs="Times New Roman"/>
                <w:color w:val="000000" w:themeColor="text1"/>
                <w:sz w:val="24"/>
                <w:szCs w:val="36"/>
                <w14:textFill>
                  <w14:solidFill>
                    <w14:schemeClr w14:val="tx1"/>
                  </w14:solidFill>
                </w14:textFill>
              </w:rPr>
              <w:t>）正在建设中。</w:t>
            </w:r>
          </w:p>
          <w:p w14:paraId="03A2F353">
            <w:pPr>
              <w:pStyle w:val="38"/>
              <w:rPr>
                <w:rFonts w:cs="Times New Roman"/>
              </w:rPr>
            </w:pPr>
          </w:p>
        </w:tc>
      </w:tr>
    </w:tbl>
    <w:p w14:paraId="436C588C">
      <w:pPr>
        <w:pStyle w:val="40"/>
        <w:rPr>
          <w:b/>
          <w:bCs/>
          <w:color w:val="000000" w:themeColor="text1"/>
          <w14:textFill>
            <w14:solidFill>
              <w14:schemeClr w14:val="tx1"/>
            </w14:solidFill>
          </w14:textFill>
        </w:rPr>
        <w:sectPr>
          <w:pgSz w:w="11906" w:h="16838"/>
          <w:pgMar w:top="1440" w:right="1800" w:bottom="1440" w:left="1800" w:header="851" w:footer="1077" w:gutter="0"/>
          <w:pgNumType w:fmt="numberInDash"/>
          <w:cols w:space="425" w:num="1"/>
          <w:docGrid w:linePitch="312" w:charSpace="0"/>
        </w:sectPr>
      </w:pPr>
    </w:p>
    <w:tbl>
      <w:tblPr>
        <w:tblStyle w:val="21"/>
        <w:tblW w:w="993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9476"/>
      </w:tblGrid>
      <w:tr w14:paraId="6E4C89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457" w:type="dxa"/>
            <w:vAlign w:val="center"/>
          </w:tcPr>
          <w:p w14:paraId="21CDCF72">
            <w:pPr>
              <w:pStyle w:val="4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生态环境保护目标</w:t>
            </w:r>
          </w:p>
        </w:tc>
        <w:tc>
          <w:tcPr>
            <w:tcW w:w="9476" w:type="dxa"/>
            <w:vAlign w:val="center"/>
          </w:tcPr>
          <w:p w14:paraId="1A893D8D">
            <w:pPr>
              <w:pStyle w:val="38"/>
            </w:pPr>
            <w:r>
              <w:rPr>
                <w:rFonts w:hint="eastAsia"/>
              </w:rPr>
              <w:t>1</w:t>
            </w:r>
            <w:r>
              <w:t>.</w:t>
            </w:r>
            <w:r>
              <w:rPr>
                <w:rFonts w:hint="eastAsia"/>
              </w:rPr>
              <w:t>评价范围</w:t>
            </w:r>
          </w:p>
          <w:p w14:paraId="5212BDC0">
            <w:pPr>
              <w:snapToGrid w:val="0"/>
              <w:ind w:firstLine="480"/>
              <w:rPr>
                <w:rFonts w:cs="Times New Roman"/>
                <w:szCs w:val="24"/>
              </w:rPr>
            </w:pPr>
            <w:r>
              <w:rPr>
                <w:rFonts w:hint="eastAsia" w:cs="Times New Roman"/>
                <w:szCs w:val="24"/>
              </w:rPr>
              <w:t>（1）电磁环境评价范围</w:t>
            </w:r>
          </w:p>
          <w:p w14:paraId="6503955B">
            <w:pPr>
              <w:snapToGrid w:val="0"/>
              <w:ind w:firstLine="480"/>
              <w:rPr>
                <w:rFonts w:cs="Times New Roman"/>
                <w:szCs w:val="24"/>
              </w:rPr>
            </w:pPr>
            <w:r>
              <w:rPr>
                <w:rFonts w:hint="eastAsia" w:cs="Times New Roman"/>
                <w:szCs w:val="24"/>
              </w:rPr>
              <w:t>根据《环境影响评价技术导则 输变电》(HJ 24-2020)，项目为110kV 户外变电站</w:t>
            </w:r>
            <w:r>
              <w:rPr>
                <w:rFonts w:hint="eastAsia" w:cs="Times New Roman"/>
                <w:color w:val="000000" w:themeColor="text1"/>
                <w:szCs w:val="24"/>
                <w14:textFill>
                  <w14:solidFill>
                    <w14:schemeClr w14:val="tx1"/>
                  </w14:solidFill>
                </w14:textFill>
              </w:rPr>
              <w:t>，因此电磁环境评价工作等级为二级，</w:t>
            </w:r>
            <w:r>
              <w:rPr>
                <w:rFonts w:hint="eastAsia" w:cs="Times New Roman"/>
                <w:szCs w:val="24"/>
              </w:rPr>
              <w:t>电磁环境影响评价范围为站界外30m 范围内的区域。</w:t>
            </w:r>
          </w:p>
          <w:p w14:paraId="29AA993A">
            <w:pPr>
              <w:snapToGrid w:val="0"/>
              <w:ind w:firstLine="480"/>
              <w:rPr>
                <w:rFonts w:cs="Times New Roman"/>
                <w:szCs w:val="24"/>
              </w:rPr>
            </w:pPr>
            <w:r>
              <w:rPr>
                <w:rFonts w:hint="eastAsia" w:cs="Times New Roman"/>
                <w:szCs w:val="24"/>
              </w:rPr>
              <w:t>（2）声环境评价范围</w:t>
            </w:r>
          </w:p>
          <w:p w14:paraId="50250A77">
            <w:pPr>
              <w:snapToGrid w:val="0"/>
              <w:ind w:firstLine="480"/>
              <w:rPr>
                <w:rFonts w:cs="Times New Roman"/>
                <w:szCs w:val="24"/>
              </w:rPr>
            </w:pPr>
            <w:r>
              <w:rPr>
                <w:rFonts w:hint="eastAsia" w:cs="Times New Roman"/>
                <w:szCs w:val="24"/>
              </w:rPr>
              <w:t>根据《环境影响评价技术导则 输变电》(HJ 24-2020)和《环境影响评价技术导则 声环境》(HJ 2.4-2021)，项目位于</w:t>
            </w:r>
            <w:r>
              <w:rPr>
                <w:rFonts w:hint="eastAsia"/>
              </w:rPr>
              <w:t>2 类声环境功能区，因此声评价等级为二级，</w:t>
            </w:r>
            <w:r>
              <w:rPr>
                <w:rFonts w:hint="eastAsia" w:cs="Times New Roman"/>
                <w:szCs w:val="24"/>
              </w:rPr>
              <w:t>变电站声环境评价范围为站界外 200m 范围内的区域。</w:t>
            </w:r>
          </w:p>
          <w:p w14:paraId="438A8279">
            <w:pPr>
              <w:snapToGrid w:val="0"/>
              <w:ind w:firstLine="480"/>
              <w:rPr>
                <w:rFonts w:cs="Times New Roman"/>
                <w:szCs w:val="24"/>
              </w:rPr>
            </w:pPr>
            <w:r>
              <w:rPr>
                <w:rFonts w:hint="eastAsia" w:cs="Times New Roman"/>
                <w:szCs w:val="24"/>
              </w:rPr>
              <w:t>（3）生态环境评价范围</w:t>
            </w:r>
          </w:p>
          <w:p w14:paraId="3F0C06E8">
            <w:pPr>
              <w:snapToGrid w:val="0"/>
              <w:ind w:firstLine="480"/>
              <w:rPr>
                <w:rFonts w:cs="Times New Roman"/>
                <w:szCs w:val="24"/>
              </w:rPr>
            </w:pPr>
            <w:r>
              <w:rPr>
                <w:rFonts w:hint="eastAsia" w:cs="Times New Roman"/>
                <w:szCs w:val="24"/>
              </w:rPr>
              <w:t>根据《环境影响评价技术导则 输变电》（HJ24-2020），项目位于现有厂区内不涉及生态敏感区、无生态保护目标，占地规模小，生态影响评价等级为三级，变电站生态环境评价范围为站界外500m</w:t>
            </w:r>
            <w:r>
              <w:rPr>
                <w:rFonts w:cs="Times New Roman"/>
                <w:szCs w:val="24"/>
              </w:rPr>
              <w:t>。</w:t>
            </w:r>
          </w:p>
          <w:p w14:paraId="71ABCCB7">
            <w:pPr>
              <w:ind w:firstLine="482"/>
              <w:rPr>
                <w:rFonts w:cs="Times New Roman"/>
                <w:b/>
                <w:color w:val="000000" w:themeColor="text1"/>
                <w:szCs w:val="24"/>
                <w14:textFill>
                  <w14:solidFill>
                    <w14:schemeClr w14:val="tx1"/>
                  </w14:solidFill>
                </w14:textFill>
              </w:rPr>
            </w:pPr>
            <w:r>
              <w:rPr>
                <w:rFonts w:cs="Times New Roman"/>
                <w:b/>
                <w:color w:val="000000" w:themeColor="text1"/>
                <w:szCs w:val="24"/>
                <w14:textFill>
                  <w14:solidFill>
                    <w14:schemeClr w14:val="tx1"/>
                  </w14:solidFill>
                </w14:textFill>
              </w:rPr>
              <w:t>2.主要环境保护目标和环境敏感区域（列出名单和保护级别）</w:t>
            </w:r>
          </w:p>
          <w:p w14:paraId="34DCB3ED">
            <w:pPr>
              <w:pStyle w:val="38"/>
            </w:pPr>
            <w:r>
              <w:rPr>
                <w:rFonts w:hint="eastAsia"/>
              </w:rPr>
              <w:t>根据《建设项目环境影响评价分类管理名录（2021 年版）》 “输变电工程”环境敏感区〔（一）和（三）〕及《环境影响评价技术导则 输变电》（HJ24-2020）的规定，经现场勘查，本项目电磁和声环境评价范围内主要为空地、道路，西侧和南侧评价范围未超出厂区，变电站评价范围内不存在电磁环境敏感目标如住宅、学校、医院、办公楼、工厂等有公众居住工作或学习的建筑，不存在声环境敏感目标。生态环境评价范围内不存在法定生态保护区域：国家公园、自然保护区、自然公园等自然保护地、世界自然遗产、生态保护红线等区域，不存在重要生境，项目位于园区内，不存在受影响的物种、种群、生物群落、生态空间等。</w:t>
            </w:r>
          </w:p>
        </w:tc>
      </w:tr>
      <w:tr w14:paraId="09A175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457" w:type="dxa"/>
            <w:vAlign w:val="center"/>
          </w:tcPr>
          <w:p w14:paraId="04B47E77">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评价</w:t>
            </w:r>
          </w:p>
          <w:p w14:paraId="5E8942AC">
            <w:pPr>
              <w:pStyle w:val="40"/>
              <w:rPr>
                <w:b/>
                <w:bCs/>
                <w:color w:val="000000" w:themeColor="text1"/>
                <w14:textFill>
                  <w14:solidFill>
                    <w14:schemeClr w14:val="tx1"/>
                  </w14:solidFill>
                </w14:textFill>
              </w:rPr>
            </w:pPr>
            <w:r>
              <w:rPr>
                <w:rFonts w:hint="eastAsia"/>
                <w:b/>
                <w:bCs/>
                <w:color w:val="000000" w:themeColor="text1"/>
                <w:sz w:val="24"/>
                <w:szCs w:val="24"/>
                <w14:textFill>
                  <w14:solidFill>
                    <w14:schemeClr w14:val="tx1"/>
                  </w14:solidFill>
                </w14:textFill>
              </w:rPr>
              <w:t>标准</w:t>
            </w:r>
          </w:p>
        </w:tc>
        <w:tc>
          <w:tcPr>
            <w:tcW w:w="9476" w:type="dxa"/>
            <w:vAlign w:val="center"/>
          </w:tcPr>
          <w:p w14:paraId="744CC39E">
            <w:pPr>
              <w:pStyle w:val="38"/>
            </w:pPr>
            <w:r>
              <w:rPr>
                <w:rFonts w:hint="eastAsia"/>
              </w:rPr>
              <w:t>1、</w:t>
            </w:r>
            <w:r>
              <w:t>声环境质量标准</w:t>
            </w:r>
          </w:p>
          <w:p w14:paraId="36D4F9D4">
            <w:pPr>
              <w:pStyle w:val="38"/>
            </w:pPr>
            <w:r>
              <w:rPr>
                <w:rFonts w:hint="eastAsia"/>
              </w:rPr>
              <w:t>本项目执行</w:t>
            </w:r>
            <w:r>
              <w:t>《声环境质量标准》（GB 3096-2008）</w:t>
            </w:r>
            <w:r>
              <w:rPr>
                <w:rFonts w:hint="eastAsia"/>
              </w:rPr>
              <w:t>2</w:t>
            </w:r>
            <w:r>
              <w:t>类标准。</w:t>
            </w:r>
          </w:p>
          <w:p w14:paraId="0A4D45AF">
            <w:pPr>
              <w:pStyle w:val="38"/>
              <w:jc w:val="center"/>
              <w:rPr>
                <w:b/>
                <w:bCs/>
                <w:sz w:val="21"/>
                <w:szCs w:val="21"/>
              </w:rPr>
            </w:pPr>
            <w:r>
              <w:rPr>
                <w:rFonts w:hint="eastAsia"/>
                <w:b/>
                <w:bCs/>
                <w:sz w:val="21"/>
                <w:szCs w:val="21"/>
              </w:rPr>
              <w:t>表3.7</w:t>
            </w:r>
            <w:r>
              <w:rPr>
                <w:b/>
                <w:bCs/>
                <w:sz w:val="21"/>
                <w:szCs w:val="21"/>
              </w:rPr>
              <w:t>声环境质量标准</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75"/>
              <w:gridCol w:w="3180"/>
              <w:gridCol w:w="3193"/>
            </w:tblGrid>
            <w:tr w14:paraId="091A6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5" w:type="dxa"/>
                  <w:vMerge w:val="restart"/>
                  <w:vAlign w:val="center"/>
                </w:tcPr>
                <w:p w14:paraId="35B67FE5">
                  <w:pPr>
                    <w:pStyle w:val="38"/>
                    <w:spacing w:line="240" w:lineRule="auto"/>
                    <w:ind w:firstLine="0"/>
                    <w:jc w:val="center"/>
                    <w:rPr>
                      <w:sz w:val="21"/>
                      <w:szCs w:val="21"/>
                    </w:rPr>
                  </w:pPr>
                  <w:r>
                    <w:rPr>
                      <w:rFonts w:hint="eastAsia"/>
                      <w:sz w:val="21"/>
                      <w:szCs w:val="21"/>
                    </w:rPr>
                    <w:t>声环境功能区类别</w:t>
                  </w:r>
                </w:p>
              </w:tc>
              <w:tc>
                <w:tcPr>
                  <w:tcW w:w="6373" w:type="dxa"/>
                  <w:gridSpan w:val="2"/>
                  <w:vAlign w:val="center"/>
                </w:tcPr>
                <w:p w14:paraId="4BC8B0EA">
                  <w:pPr>
                    <w:pStyle w:val="38"/>
                    <w:spacing w:line="240" w:lineRule="auto"/>
                    <w:ind w:firstLine="0"/>
                    <w:jc w:val="center"/>
                    <w:rPr>
                      <w:sz w:val="21"/>
                      <w:szCs w:val="21"/>
                    </w:rPr>
                  </w:pPr>
                  <w:r>
                    <w:rPr>
                      <w:rFonts w:hint="eastAsia"/>
                      <w:sz w:val="21"/>
                      <w:szCs w:val="21"/>
                    </w:rPr>
                    <w:t>时段</w:t>
                  </w:r>
                </w:p>
              </w:tc>
            </w:tr>
            <w:tr w14:paraId="1DBC4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5" w:type="dxa"/>
                  <w:vMerge w:val="continue"/>
                  <w:vAlign w:val="center"/>
                </w:tcPr>
                <w:p w14:paraId="2D1377EE">
                  <w:pPr>
                    <w:pStyle w:val="38"/>
                    <w:spacing w:line="240" w:lineRule="auto"/>
                    <w:ind w:firstLine="0"/>
                    <w:jc w:val="center"/>
                    <w:rPr>
                      <w:sz w:val="21"/>
                      <w:szCs w:val="21"/>
                    </w:rPr>
                  </w:pPr>
                </w:p>
              </w:tc>
              <w:tc>
                <w:tcPr>
                  <w:tcW w:w="3180" w:type="dxa"/>
                  <w:vAlign w:val="center"/>
                </w:tcPr>
                <w:p w14:paraId="4D0E6A6A">
                  <w:pPr>
                    <w:pStyle w:val="38"/>
                    <w:spacing w:line="240" w:lineRule="auto"/>
                    <w:ind w:firstLine="0"/>
                    <w:jc w:val="center"/>
                    <w:rPr>
                      <w:sz w:val="21"/>
                      <w:szCs w:val="21"/>
                    </w:rPr>
                  </w:pPr>
                  <w:r>
                    <w:rPr>
                      <w:rFonts w:hint="eastAsia"/>
                      <w:sz w:val="21"/>
                      <w:szCs w:val="21"/>
                    </w:rPr>
                    <w:t>昼间</w:t>
                  </w:r>
                </w:p>
              </w:tc>
              <w:tc>
                <w:tcPr>
                  <w:tcW w:w="3193" w:type="dxa"/>
                  <w:vAlign w:val="center"/>
                </w:tcPr>
                <w:p w14:paraId="0E93389E">
                  <w:pPr>
                    <w:pStyle w:val="38"/>
                    <w:spacing w:line="240" w:lineRule="auto"/>
                    <w:ind w:firstLine="0"/>
                    <w:jc w:val="center"/>
                    <w:rPr>
                      <w:sz w:val="21"/>
                      <w:szCs w:val="21"/>
                    </w:rPr>
                  </w:pPr>
                  <w:r>
                    <w:rPr>
                      <w:rFonts w:hint="eastAsia"/>
                      <w:sz w:val="21"/>
                      <w:szCs w:val="21"/>
                    </w:rPr>
                    <w:t>夜间</w:t>
                  </w:r>
                </w:p>
              </w:tc>
            </w:tr>
            <w:tr w14:paraId="331A6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875" w:type="dxa"/>
                  <w:vAlign w:val="center"/>
                </w:tcPr>
                <w:p w14:paraId="2457B8C2">
                  <w:pPr>
                    <w:pStyle w:val="38"/>
                    <w:spacing w:line="240" w:lineRule="auto"/>
                    <w:ind w:firstLine="0"/>
                    <w:jc w:val="center"/>
                    <w:rPr>
                      <w:sz w:val="21"/>
                      <w:szCs w:val="21"/>
                    </w:rPr>
                  </w:pPr>
                  <w:r>
                    <w:rPr>
                      <w:rFonts w:hint="eastAsia"/>
                      <w:sz w:val="21"/>
                      <w:szCs w:val="21"/>
                    </w:rPr>
                    <w:t>2类</w:t>
                  </w:r>
                </w:p>
              </w:tc>
              <w:tc>
                <w:tcPr>
                  <w:tcW w:w="3180" w:type="dxa"/>
                  <w:vAlign w:val="center"/>
                </w:tcPr>
                <w:p w14:paraId="4EFB56AA">
                  <w:pPr>
                    <w:pStyle w:val="38"/>
                    <w:spacing w:line="240" w:lineRule="auto"/>
                    <w:ind w:firstLine="0"/>
                    <w:jc w:val="center"/>
                    <w:rPr>
                      <w:sz w:val="21"/>
                      <w:szCs w:val="21"/>
                    </w:rPr>
                  </w:pPr>
                  <w:r>
                    <w:rPr>
                      <w:rFonts w:hint="eastAsia"/>
                      <w:sz w:val="21"/>
                      <w:szCs w:val="21"/>
                    </w:rPr>
                    <w:t>60</w:t>
                  </w:r>
                </w:p>
              </w:tc>
              <w:tc>
                <w:tcPr>
                  <w:tcW w:w="3193" w:type="dxa"/>
                  <w:vAlign w:val="center"/>
                </w:tcPr>
                <w:p w14:paraId="37647DCA">
                  <w:pPr>
                    <w:pStyle w:val="38"/>
                    <w:spacing w:line="240" w:lineRule="auto"/>
                    <w:ind w:firstLine="0"/>
                    <w:jc w:val="center"/>
                    <w:rPr>
                      <w:sz w:val="21"/>
                      <w:szCs w:val="21"/>
                    </w:rPr>
                  </w:pPr>
                  <w:r>
                    <w:rPr>
                      <w:rFonts w:hint="eastAsia"/>
                      <w:sz w:val="21"/>
                      <w:szCs w:val="21"/>
                    </w:rPr>
                    <w:t>50</w:t>
                  </w:r>
                </w:p>
              </w:tc>
            </w:tr>
          </w:tbl>
          <w:p w14:paraId="07F8C73E">
            <w:pPr>
              <w:pStyle w:val="38"/>
              <w:ind w:firstLine="482"/>
              <w:rPr>
                <w:b/>
                <w:szCs w:val="36"/>
              </w:rPr>
            </w:pPr>
            <w:r>
              <w:rPr>
                <w:rFonts w:hint="eastAsia"/>
                <w:b/>
                <w:szCs w:val="36"/>
              </w:rPr>
              <w:t>2、</w:t>
            </w:r>
            <w:r>
              <w:rPr>
                <w:b/>
                <w:szCs w:val="36"/>
              </w:rPr>
              <w:t>厂界噪声排放标准：</w:t>
            </w:r>
          </w:p>
          <w:p w14:paraId="527F0A78">
            <w:pPr>
              <w:pStyle w:val="38"/>
              <w:rPr>
                <w:szCs w:val="36"/>
              </w:rPr>
            </w:pPr>
            <w:r>
              <w:rPr>
                <w:rFonts w:hint="eastAsia"/>
                <w:szCs w:val="36"/>
              </w:rPr>
              <w:t>施工期执行《建筑施工场界环境噪声排放标准》（GB12523-2011），运营期</w:t>
            </w:r>
            <w:r>
              <w:rPr>
                <w:szCs w:val="36"/>
              </w:rPr>
              <w:t>厂界执行《工业企业厂界环境噪声排放标准》（GB12348-2008）</w:t>
            </w:r>
            <w:r>
              <w:rPr>
                <w:rFonts w:hint="eastAsia"/>
                <w:szCs w:val="36"/>
              </w:rPr>
              <w:t>2</w:t>
            </w:r>
            <w:r>
              <w:rPr>
                <w:szCs w:val="36"/>
              </w:rPr>
              <w:t>类标准。</w:t>
            </w:r>
          </w:p>
          <w:p w14:paraId="275DC963">
            <w:pPr>
              <w:tabs>
                <w:tab w:val="left" w:pos="3752"/>
              </w:tabs>
              <w:kinsoku w:val="0"/>
              <w:overflowPunct w:val="0"/>
              <w:ind w:firstLine="486"/>
              <w:jc w:val="center"/>
              <w:rPr>
                <w:b/>
                <w:bCs/>
              </w:rPr>
            </w:pPr>
            <w:r>
              <w:rPr>
                <w:rFonts w:hint="eastAsia"/>
                <w:b/>
                <w:bCs/>
                <w:spacing w:val="1"/>
              </w:rPr>
              <w:t>表3.8 建筑施工场界环境噪声排放标准（</w:t>
            </w:r>
            <w:r>
              <w:rPr>
                <w:b/>
                <w:bCs/>
                <w:spacing w:val="1"/>
              </w:rPr>
              <w:t>GB12523-2011</w:t>
            </w:r>
            <w:r>
              <w:rPr>
                <w:rFonts w:hint="eastAsia"/>
                <w:b/>
                <w:bCs/>
                <w:spacing w:val="1"/>
              </w:rPr>
              <w:t>）</w:t>
            </w:r>
          </w:p>
          <w:tbl>
            <w:tblPr>
              <w:tblStyle w:val="21"/>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461"/>
              <w:gridCol w:w="4779"/>
            </w:tblGrid>
            <w:tr w14:paraId="7DAC68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5000" w:type="pct"/>
                  <w:gridSpan w:val="2"/>
                  <w:tcBorders>
                    <w:top w:val="single" w:color="auto" w:sz="8" w:space="0"/>
                    <w:left w:val="single" w:color="auto" w:sz="8" w:space="0"/>
                    <w:bottom w:val="single" w:color="auto" w:sz="4" w:space="0"/>
                    <w:right w:val="single" w:color="auto" w:sz="8" w:space="0"/>
                  </w:tcBorders>
                  <w:vAlign w:val="center"/>
                </w:tcPr>
                <w:p w14:paraId="3CD6B8C9">
                  <w:pPr>
                    <w:pStyle w:val="92"/>
                    <w:spacing w:line="240" w:lineRule="auto"/>
                    <w:ind w:firstLine="0" w:firstLineChars="0"/>
                    <w:jc w:val="center"/>
                    <w:rPr>
                      <w:sz w:val="21"/>
                      <w:szCs w:val="21"/>
                    </w:rPr>
                  </w:pPr>
                  <w:r>
                    <w:rPr>
                      <w:rFonts w:hint="eastAsia"/>
                      <w:sz w:val="21"/>
                      <w:szCs w:val="21"/>
                    </w:rPr>
                    <w:t>噪声限值（</w:t>
                  </w:r>
                  <w:r>
                    <w:rPr>
                      <w:sz w:val="21"/>
                      <w:szCs w:val="21"/>
                    </w:rPr>
                    <w:t>dB(A)</w:t>
                  </w:r>
                  <w:r>
                    <w:rPr>
                      <w:rFonts w:hint="eastAsia"/>
                      <w:sz w:val="21"/>
                      <w:szCs w:val="21"/>
                    </w:rPr>
                    <w:t>）</w:t>
                  </w:r>
                </w:p>
              </w:tc>
            </w:tr>
            <w:tr w14:paraId="77135D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414" w:type="pct"/>
                  <w:tcBorders>
                    <w:top w:val="single" w:color="auto" w:sz="4" w:space="0"/>
                    <w:left w:val="single" w:color="auto" w:sz="8" w:space="0"/>
                    <w:bottom w:val="single" w:color="auto" w:sz="4" w:space="0"/>
                    <w:right w:val="single" w:color="auto" w:sz="4" w:space="0"/>
                  </w:tcBorders>
                  <w:vAlign w:val="center"/>
                </w:tcPr>
                <w:p w14:paraId="05DC7B1D">
                  <w:pPr>
                    <w:pStyle w:val="92"/>
                    <w:spacing w:line="240" w:lineRule="auto"/>
                    <w:ind w:firstLine="0" w:firstLineChars="0"/>
                    <w:jc w:val="center"/>
                    <w:rPr>
                      <w:sz w:val="21"/>
                      <w:szCs w:val="21"/>
                    </w:rPr>
                  </w:pPr>
                  <w:r>
                    <w:rPr>
                      <w:rFonts w:hint="eastAsia"/>
                      <w:sz w:val="21"/>
                      <w:szCs w:val="21"/>
                    </w:rPr>
                    <w:t>昼间</w:t>
                  </w:r>
                </w:p>
              </w:tc>
              <w:tc>
                <w:tcPr>
                  <w:tcW w:w="2585" w:type="pct"/>
                  <w:tcBorders>
                    <w:top w:val="single" w:color="auto" w:sz="4" w:space="0"/>
                    <w:left w:val="single" w:color="auto" w:sz="4" w:space="0"/>
                    <w:bottom w:val="single" w:color="auto" w:sz="4" w:space="0"/>
                    <w:right w:val="single" w:color="auto" w:sz="8" w:space="0"/>
                  </w:tcBorders>
                  <w:vAlign w:val="center"/>
                </w:tcPr>
                <w:p w14:paraId="2895B5B4">
                  <w:pPr>
                    <w:pStyle w:val="92"/>
                    <w:spacing w:line="240" w:lineRule="auto"/>
                    <w:ind w:firstLine="0" w:firstLineChars="0"/>
                    <w:jc w:val="center"/>
                    <w:rPr>
                      <w:sz w:val="21"/>
                      <w:szCs w:val="21"/>
                    </w:rPr>
                  </w:pPr>
                  <w:r>
                    <w:rPr>
                      <w:rFonts w:hint="eastAsia"/>
                      <w:sz w:val="21"/>
                      <w:szCs w:val="21"/>
                    </w:rPr>
                    <w:t>夜间</w:t>
                  </w:r>
                </w:p>
              </w:tc>
            </w:tr>
            <w:tr w14:paraId="7128F8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2414" w:type="pct"/>
                  <w:tcBorders>
                    <w:top w:val="single" w:color="auto" w:sz="4" w:space="0"/>
                    <w:left w:val="single" w:color="auto" w:sz="8" w:space="0"/>
                    <w:bottom w:val="single" w:color="auto" w:sz="8" w:space="0"/>
                    <w:right w:val="single" w:color="auto" w:sz="4" w:space="0"/>
                  </w:tcBorders>
                  <w:vAlign w:val="center"/>
                </w:tcPr>
                <w:p w14:paraId="14B95BB3">
                  <w:pPr>
                    <w:pStyle w:val="92"/>
                    <w:spacing w:line="240" w:lineRule="auto"/>
                    <w:ind w:firstLine="0" w:firstLineChars="0"/>
                    <w:jc w:val="center"/>
                    <w:rPr>
                      <w:sz w:val="21"/>
                      <w:szCs w:val="21"/>
                    </w:rPr>
                  </w:pPr>
                  <w:r>
                    <w:rPr>
                      <w:sz w:val="21"/>
                      <w:szCs w:val="21"/>
                    </w:rPr>
                    <w:t>70</w:t>
                  </w:r>
                </w:p>
              </w:tc>
              <w:tc>
                <w:tcPr>
                  <w:tcW w:w="2585" w:type="pct"/>
                  <w:tcBorders>
                    <w:top w:val="single" w:color="auto" w:sz="4" w:space="0"/>
                    <w:left w:val="single" w:color="auto" w:sz="4" w:space="0"/>
                    <w:bottom w:val="single" w:color="auto" w:sz="8" w:space="0"/>
                    <w:right w:val="single" w:color="auto" w:sz="8" w:space="0"/>
                  </w:tcBorders>
                  <w:vAlign w:val="center"/>
                </w:tcPr>
                <w:p w14:paraId="513F691D">
                  <w:pPr>
                    <w:pStyle w:val="92"/>
                    <w:spacing w:line="240" w:lineRule="auto"/>
                    <w:ind w:firstLine="0" w:firstLineChars="0"/>
                    <w:jc w:val="center"/>
                    <w:rPr>
                      <w:sz w:val="21"/>
                      <w:szCs w:val="21"/>
                    </w:rPr>
                  </w:pPr>
                  <w:r>
                    <w:rPr>
                      <w:sz w:val="21"/>
                      <w:szCs w:val="21"/>
                    </w:rPr>
                    <w:t>55</w:t>
                  </w:r>
                </w:p>
              </w:tc>
            </w:tr>
          </w:tbl>
          <w:p w14:paraId="04E62FCB">
            <w:pPr>
              <w:pStyle w:val="42"/>
              <w:rPr>
                <w:rFonts w:hint="eastAsia"/>
              </w:rPr>
            </w:pPr>
            <w:r>
              <w:rPr>
                <w:rFonts w:hint="eastAsia"/>
              </w:rPr>
              <w:t>表3</w:t>
            </w:r>
            <w:r>
              <w:t>.</w:t>
            </w:r>
            <w:r>
              <w:rPr>
                <w:rFonts w:hint="eastAsia"/>
              </w:rPr>
              <w:t>9</w:t>
            </w:r>
            <w:r>
              <w:t xml:space="preserve"> 《工业企业厂界环境噪声排放标准》（GB12348-2008）单位：dB（A）</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97"/>
              <w:gridCol w:w="2671"/>
              <w:gridCol w:w="3082"/>
            </w:tblGrid>
            <w:tr w14:paraId="5E01D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0" w:type="pct"/>
                  <w:vAlign w:val="center"/>
                </w:tcPr>
                <w:p w14:paraId="7E8DDA16">
                  <w:pPr>
                    <w:pStyle w:val="40"/>
                    <w:rPr>
                      <w:color w:val="auto"/>
                    </w:rPr>
                  </w:pPr>
                  <w:r>
                    <w:rPr>
                      <w:color w:val="auto"/>
                    </w:rPr>
                    <w:t>厂界外声环境功能区类别</w:t>
                  </w:r>
                </w:p>
              </w:tc>
              <w:tc>
                <w:tcPr>
                  <w:tcW w:w="1443" w:type="pct"/>
                  <w:vAlign w:val="center"/>
                </w:tcPr>
                <w:p w14:paraId="7C6F2708">
                  <w:pPr>
                    <w:pStyle w:val="40"/>
                    <w:rPr>
                      <w:color w:val="auto"/>
                    </w:rPr>
                  </w:pPr>
                  <w:r>
                    <w:rPr>
                      <w:color w:val="auto"/>
                    </w:rPr>
                    <w:t>昼间</w:t>
                  </w:r>
                </w:p>
              </w:tc>
              <w:tc>
                <w:tcPr>
                  <w:tcW w:w="1665" w:type="pct"/>
                  <w:vAlign w:val="center"/>
                </w:tcPr>
                <w:p w14:paraId="49768871">
                  <w:pPr>
                    <w:pStyle w:val="40"/>
                    <w:rPr>
                      <w:color w:val="auto"/>
                    </w:rPr>
                  </w:pPr>
                  <w:r>
                    <w:rPr>
                      <w:color w:val="auto"/>
                    </w:rPr>
                    <w:t>夜间</w:t>
                  </w:r>
                </w:p>
              </w:tc>
            </w:tr>
            <w:tr w14:paraId="71E48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0" w:type="pct"/>
                  <w:vAlign w:val="center"/>
                </w:tcPr>
                <w:p w14:paraId="6750A904">
                  <w:pPr>
                    <w:pStyle w:val="40"/>
                    <w:rPr>
                      <w:color w:val="auto"/>
                    </w:rPr>
                  </w:pPr>
                  <w:r>
                    <w:rPr>
                      <w:color w:val="auto"/>
                    </w:rPr>
                    <w:t>2</w:t>
                  </w:r>
                </w:p>
              </w:tc>
              <w:tc>
                <w:tcPr>
                  <w:tcW w:w="1443" w:type="pct"/>
                  <w:vAlign w:val="center"/>
                </w:tcPr>
                <w:p w14:paraId="3DE8541B">
                  <w:pPr>
                    <w:pStyle w:val="40"/>
                    <w:rPr>
                      <w:color w:val="auto"/>
                    </w:rPr>
                  </w:pPr>
                  <w:r>
                    <w:rPr>
                      <w:color w:val="auto"/>
                    </w:rPr>
                    <w:t>60</w:t>
                  </w:r>
                </w:p>
              </w:tc>
              <w:tc>
                <w:tcPr>
                  <w:tcW w:w="1665" w:type="pct"/>
                  <w:vAlign w:val="center"/>
                </w:tcPr>
                <w:p w14:paraId="6DBB6192">
                  <w:pPr>
                    <w:pStyle w:val="40"/>
                    <w:rPr>
                      <w:color w:val="auto"/>
                    </w:rPr>
                  </w:pPr>
                  <w:r>
                    <w:rPr>
                      <w:color w:val="auto"/>
                    </w:rPr>
                    <w:t>50</w:t>
                  </w:r>
                </w:p>
              </w:tc>
            </w:tr>
          </w:tbl>
          <w:p w14:paraId="5AB70658">
            <w:pPr>
              <w:widowControl/>
              <w:ind w:firstLine="482"/>
              <w:jc w:val="left"/>
              <w:rPr>
                <w:rFonts w:cs="Times New Roman"/>
                <w:b/>
                <w:color w:val="000000" w:themeColor="text1"/>
                <w:kern w:val="0"/>
                <w:szCs w:val="24"/>
                <w14:textFill>
                  <w14:solidFill>
                    <w14:schemeClr w14:val="tx1"/>
                  </w14:solidFill>
                </w14:textFill>
              </w:rPr>
            </w:pPr>
            <w:r>
              <w:rPr>
                <w:rFonts w:hint="eastAsia" w:cs="Times New Roman"/>
                <w:b/>
                <w:color w:val="000000" w:themeColor="text1"/>
                <w:kern w:val="0"/>
                <w:szCs w:val="24"/>
                <w14:textFill>
                  <w14:solidFill>
                    <w14:schemeClr w14:val="tx1"/>
                  </w14:solidFill>
                </w14:textFill>
              </w:rPr>
              <w:t>3、电磁环境</w:t>
            </w:r>
          </w:p>
          <w:p w14:paraId="20B6E08B">
            <w:pPr>
              <w:pStyle w:val="38"/>
            </w:pPr>
            <w:r>
              <w:t>依据《电磁环境控制限值》（GB 8702-2014）表1“公众曝露控制限值”规定，为控制本工程工频电场、磁场所致公众曝露，环境中电场强度公众曝露控制限值为4kV/m，磁感应强度控制限值为100μT。</w:t>
            </w:r>
          </w:p>
          <w:p w14:paraId="6D0B1EE8">
            <w:pPr>
              <w:pStyle w:val="4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10</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工频电场、工频磁场评价标准值</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6"/>
              <w:gridCol w:w="4140"/>
              <w:gridCol w:w="3084"/>
            </w:tblGrid>
            <w:tr w14:paraId="311BF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pct"/>
                  <w:vAlign w:val="center"/>
                </w:tcPr>
                <w:p w14:paraId="3BC997C6">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p>
              </w:tc>
              <w:tc>
                <w:tcPr>
                  <w:tcW w:w="2238" w:type="pct"/>
                  <w:vAlign w:val="center"/>
                </w:tcPr>
                <w:p w14:paraId="1A8F1259">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评价标准</w:t>
                  </w:r>
                </w:p>
              </w:tc>
              <w:tc>
                <w:tcPr>
                  <w:tcW w:w="1667" w:type="pct"/>
                  <w:vAlign w:val="center"/>
                </w:tcPr>
                <w:p w14:paraId="45F00B02">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标准来源</w:t>
                  </w:r>
                </w:p>
              </w:tc>
            </w:tr>
            <w:tr w14:paraId="4534D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pct"/>
                  <w:vAlign w:val="center"/>
                </w:tcPr>
                <w:p w14:paraId="611EEBF3">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工频电场强度</w:t>
                  </w:r>
                </w:p>
              </w:tc>
              <w:tc>
                <w:tcPr>
                  <w:tcW w:w="2238" w:type="pct"/>
                  <w:vAlign w:val="center"/>
                </w:tcPr>
                <w:p w14:paraId="141DC03B">
                  <w:pPr>
                    <w:pStyle w:val="40"/>
                    <w:rPr>
                      <w:color w:val="000000" w:themeColor="text1"/>
                      <w14:textFill>
                        <w14:solidFill>
                          <w14:schemeClr w14:val="tx1"/>
                        </w14:solidFill>
                      </w14:textFill>
                    </w:rPr>
                  </w:pPr>
                  <w:r>
                    <w:rPr>
                      <w:color w:val="000000" w:themeColor="text1"/>
                      <w14:textFill>
                        <w14:solidFill>
                          <w14:schemeClr w14:val="tx1"/>
                        </w14:solidFill>
                      </w14:textFill>
                    </w:rPr>
                    <w:t>公众曝露控制限值</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000V/m</w:t>
                  </w:r>
                  <w:r>
                    <w:rPr>
                      <w:rFonts w:hint="eastAsia"/>
                      <w:color w:val="000000" w:themeColor="text1"/>
                      <w14:textFill>
                        <w14:solidFill>
                          <w14:schemeClr w14:val="tx1"/>
                        </w14:solidFill>
                      </w14:textFill>
                    </w:rPr>
                    <w:t>；</w:t>
                  </w:r>
                </w:p>
              </w:tc>
              <w:tc>
                <w:tcPr>
                  <w:tcW w:w="1667" w:type="pct"/>
                  <w:vMerge w:val="restart"/>
                  <w:vAlign w:val="center"/>
                </w:tcPr>
                <w:p w14:paraId="637ADA9D">
                  <w:pPr>
                    <w:pStyle w:val="40"/>
                    <w:rPr>
                      <w:color w:val="000000" w:themeColor="text1"/>
                      <w14:textFill>
                        <w14:solidFill>
                          <w14:schemeClr w14:val="tx1"/>
                        </w14:solidFill>
                      </w14:textFill>
                    </w:rPr>
                  </w:pPr>
                  <w:r>
                    <w:rPr>
                      <w:color w:val="000000" w:themeColor="text1"/>
                      <w14:textFill>
                        <w14:solidFill>
                          <w14:schemeClr w14:val="tx1"/>
                        </w14:solidFill>
                      </w14:textFill>
                    </w:rPr>
                    <w:t>《电磁环境控制限值》</w:t>
                  </w:r>
                </w:p>
                <w:p w14:paraId="4A38B2AC">
                  <w:pPr>
                    <w:pStyle w:val="40"/>
                    <w:rPr>
                      <w:color w:val="000000" w:themeColor="text1"/>
                      <w14:textFill>
                        <w14:solidFill>
                          <w14:schemeClr w14:val="tx1"/>
                        </w14:solidFill>
                      </w14:textFill>
                    </w:rPr>
                  </w:pPr>
                  <w:r>
                    <w:rPr>
                      <w:color w:val="000000" w:themeColor="text1"/>
                      <w14:textFill>
                        <w14:solidFill>
                          <w14:schemeClr w14:val="tx1"/>
                        </w14:solidFill>
                      </w14:textFill>
                    </w:rPr>
                    <w:t>（GB 8702-2014）</w:t>
                  </w:r>
                </w:p>
              </w:tc>
            </w:tr>
            <w:tr w14:paraId="7F181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pct"/>
                  <w:vAlign w:val="center"/>
                </w:tcPr>
                <w:p w14:paraId="43C57AF3">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工频磁感应强度</w:t>
                  </w:r>
                </w:p>
              </w:tc>
              <w:tc>
                <w:tcPr>
                  <w:tcW w:w="2238" w:type="pct"/>
                  <w:vAlign w:val="center"/>
                </w:tcPr>
                <w:p w14:paraId="692ED369">
                  <w:pPr>
                    <w:pStyle w:val="40"/>
                    <w:rPr>
                      <w:color w:val="000000" w:themeColor="text1"/>
                      <w14:textFill>
                        <w14:solidFill>
                          <w14:schemeClr w14:val="tx1"/>
                        </w14:solidFill>
                      </w14:textFill>
                    </w:rPr>
                  </w:pPr>
                  <w:r>
                    <w:rPr>
                      <w:color w:val="000000" w:themeColor="text1"/>
                      <w14:textFill>
                        <w14:solidFill>
                          <w14:schemeClr w14:val="tx1"/>
                        </w14:solidFill>
                      </w14:textFill>
                    </w:rPr>
                    <w:t>公众曝露控制限值</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00μT</w:t>
                  </w:r>
                </w:p>
              </w:tc>
              <w:tc>
                <w:tcPr>
                  <w:tcW w:w="1667" w:type="pct"/>
                  <w:vMerge w:val="continue"/>
                  <w:vAlign w:val="center"/>
                </w:tcPr>
                <w:p w14:paraId="649D455F">
                  <w:pPr>
                    <w:pStyle w:val="40"/>
                    <w:rPr>
                      <w:color w:val="000000" w:themeColor="text1"/>
                      <w14:textFill>
                        <w14:solidFill>
                          <w14:schemeClr w14:val="tx1"/>
                        </w14:solidFill>
                      </w14:textFill>
                    </w:rPr>
                  </w:pPr>
                </w:p>
              </w:tc>
            </w:tr>
          </w:tbl>
          <w:p w14:paraId="29EBA634">
            <w:pPr>
              <w:pStyle w:val="38"/>
              <w:ind w:left="480" w:leftChars="200" w:firstLine="0"/>
              <w:rPr>
                <w:b/>
                <w:bCs/>
                <w:szCs w:val="36"/>
              </w:rPr>
            </w:pPr>
            <w:r>
              <w:rPr>
                <w:rFonts w:hint="eastAsia"/>
              </w:rPr>
              <w:t xml:space="preserve"> </w:t>
            </w:r>
            <w:r>
              <w:rPr>
                <w:rFonts w:hint="eastAsia"/>
                <w:b/>
                <w:bCs/>
                <w:szCs w:val="36"/>
              </w:rPr>
              <w:t>4、固废排放标准</w:t>
            </w:r>
          </w:p>
          <w:p w14:paraId="2F6FE8AB">
            <w:pPr>
              <w:pStyle w:val="38"/>
            </w:pPr>
            <w:r>
              <w:rPr>
                <w:rFonts w:hint="eastAsia"/>
                <w:szCs w:val="36"/>
              </w:rPr>
              <w:t>本项目危险废物为废旧蓄电池及变压器废油</w:t>
            </w:r>
            <w:r>
              <w:rPr>
                <w:szCs w:val="36"/>
              </w:rPr>
              <w:t>，</w:t>
            </w:r>
            <w:r>
              <w:rPr>
                <w:rFonts w:hint="eastAsia"/>
                <w:szCs w:val="36"/>
              </w:rPr>
              <w:t>危险废物</w:t>
            </w:r>
            <w:r>
              <w:rPr>
                <w:rFonts w:hint="eastAsia"/>
                <w:color w:val="0000FF"/>
                <w:szCs w:val="36"/>
              </w:rPr>
              <w:t>暂存</w:t>
            </w:r>
            <w:r>
              <w:rPr>
                <w:rFonts w:hint="eastAsia"/>
                <w:szCs w:val="36"/>
              </w:rPr>
              <w:t>执行</w:t>
            </w:r>
            <w:r>
              <w:rPr>
                <w:szCs w:val="36"/>
              </w:rPr>
              <w:t>《危险废物贮存污染控制标准》(GB18597-20</w:t>
            </w:r>
            <w:r>
              <w:rPr>
                <w:rFonts w:hint="eastAsia"/>
                <w:szCs w:val="36"/>
              </w:rPr>
              <w:t>23</w:t>
            </w:r>
            <w:r>
              <w:rPr>
                <w:szCs w:val="36"/>
              </w:rPr>
              <w:t>)</w:t>
            </w:r>
            <w:r>
              <w:rPr>
                <w:rFonts w:hint="eastAsia"/>
                <w:szCs w:val="36"/>
              </w:rPr>
              <w:t>。</w:t>
            </w:r>
          </w:p>
        </w:tc>
      </w:tr>
      <w:tr w14:paraId="04F45E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3" w:hRule="atLeast"/>
          <w:jc w:val="center"/>
        </w:trPr>
        <w:tc>
          <w:tcPr>
            <w:tcW w:w="457" w:type="dxa"/>
            <w:vAlign w:val="center"/>
          </w:tcPr>
          <w:p w14:paraId="55C3942C">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其他</w:t>
            </w:r>
          </w:p>
        </w:tc>
        <w:tc>
          <w:tcPr>
            <w:tcW w:w="9476" w:type="dxa"/>
            <w:vAlign w:val="center"/>
          </w:tcPr>
          <w:p w14:paraId="107F8BFD">
            <w:pPr>
              <w:pStyle w:val="38"/>
            </w:pPr>
            <w:r>
              <w:rPr>
                <w:rFonts w:hint="eastAsia"/>
              </w:rPr>
              <w:t>本项目不涉及总量控制指标。</w:t>
            </w:r>
          </w:p>
        </w:tc>
      </w:tr>
    </w:tbl>
    <w:p w14:paraId="1E50B324">
      <w:pPr>
        <w:ind w:firstLine="480" w:firstLineChars="0"/>
        <w:rPr>
          <w:rFonts w:cs="Times New Roman"/>
          <w:snapToGrid w:val="0"/>
          <w:color w:val="000000" w:themeColor="text1"/>
          <w:sz w:val="21"/>
          <w:szCs w:val="24"/>
          <w14:textFill>
            <w14:solidFill>
              <w14:schemeClr w14:val="tx1"/>
            </w14:solidFill>
          </w14:textFill>
        </w:rPr>
      </w:pPr>
    </w:p>
    <w:p w14:paraId="5EA089A6">
      <w:pPr>
        <w:widowControl/>
        <w:spacing w:line="240" w:lineRule="auto"/>
        <w:ind w:firstLine="0" w:firstLineChars="0"/>
        <w:jc w:val="center"/>
        <w:outlineLvl w:val="0"/>
        <w:rPr>
          <w:rFonts w:hint="eastAsia" w:ascii="宋体" w:hAnsi="宋体" w:cs="Times New Roman"/>
          <w:b/>
          <w:bCs/>
          <w:snapToGrid w:val="0"/>
          <w:color w:val="000000" w:themeColor="text1"/>
          <w:kern w:val="0"/>
          <w:sz w:val="32"/>
          <w:szCs w:val="32"/>
          <w14:textFill>
            <w14:solidFill>
              <w14:schemeClr w14:val="tx1"/>
            </w14:solidFill>
          </w14:textFill>
        </w:rPr>
      </w:pPr>
      <w:r>
        <w:rPr>
          <w:rFonts w:ascii="黑体" w:hAnsi="黑体" w:eastAsia="黑体" w:cs="Times New Roman"/>
          <w:snapToGrid w:val="0"/>
          <w:color w:val="000000" w:themeColor="text1"/>
          <w:sz w:val="36"/>
          <w:szCs w:val="36"/>
          <w14:textFill>
            <w14:solidFill>
              <w14:schemeClr w14:val="tx1"/>
            </w14:solidFill>
          </w14:textFill>
        </w:rPr>
        <w:br w:type="page"/>
      </w:r>
      <w:bookmarkStart w:id="6" w:name="_Toc23224"/>
      <w:r>
        <w:rPr>
          <w:rFonts w:hint="eastAsia" w:ascii="宋体" w:hAnsi="宋体" w:cs="Times New Roman"/>
          <w:b/>
          <w:bCs/>
          <w:snapToGrid w:val="0"/>
          <w:color w:val="000000" w:themeColor="text1"/>
          <w:kern w:val="0"/>
          <w:sz w:val="32"/>
          <w:szCs w:val="32"/>
          <w14:textFill>
            <w14:solidFill>
              <w14:schemeClr w14:val="tx1"/>
            </w14:solidFill>
          </w14:textFill>
        </w:rPr>
        <w:t>四、生态环境影响分析</w:t>
      </w:r>
      <w:bookmarkEnd w:id="6"/>
    </w:p>
    <w:tbl>
      <w:tblPr>
        <w:tblStyle w:val="21"/>
        <w:tblW w:w="967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8975"/>
      </w:tblGrid>
      <w:tr w14:paraId="351875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8" w:hRule="atLeast"/>
          <w:jc w:val="center"/>
        </w:trPr>
        <w:tc>
          <w:tcPr>
            <w:tcW w:w="699" w:type="dxa"/>
            <w:tcMar>
              <w:left w:w="28" w:type="dxa"/>
              <w:right w:w="28" w:type="dxa"/>
            </w:tcMar>
            <w:vAlign w:val="center"/>
          </w:tcPr>
          <w:p w14:paraId="74521440">
            <w:pPr>
              <w:pStyle w:val="40"/>
              <w:rPr>
                <w:b/>
                <w:bCs/>
                <w:color w:val="000000" w:themeColor="text1"/>
                <w14:textFill>
                  <w14:solidFill>
                    <w14:schemeClr w14:val="tx1"/>
                  </w14:solidFill>
                </w14:textFill>
              </w:rPr>
            </w:pPr>
            <w:bookmarkStart w:id="7" w:name="_Hlk49796138"/>
            <w:r>
              <w:rPr>
                <w:rFonts w:hint="eastAsia"/>
                <w:b/>
                <w:bCs/>
                <w:color w:val="000000" w:themeColor="text1"/>
                <w:sz w:val="24"/>
                <w:szCs w:val="24"/>
                <w14:textFill>
                  <w14:solidFill>
                    <w14:schemeClr w14:val="tx1"/>
                  </w14:solidFill>
                </w14:textFill>
              </w:rPr>
              <w:t>施工期生态环境影响分析</w:t>
            </w:r>
            <w:bookmarkEnd w:id="7"/>
          </w:p>
        </w:tc>
        <w:tc>
          <w:tcPr>
            <w:tcW w:w="8975" w:type="dxa"/>
            <w:vAlign w:val="center"/>
          </w:tcPr>
          <w:p w14:paraId="3029BD05">
            <w:pPr>
              <w:pStyle w:val="38"/>
            </w:pPr>
            <w:r>
              <w:rPr>
                <w:rFonts w:hint="eastAsia"/>
              </w:rPr>
              <w:t>4.1施工期环境影响分析</w:t>
            </w:r>
          </w:p>
          <w:p w14:paraId="74E9F4FA">
            <w:pPr>
              <w:pStyle w:val="38"/>
            </w:pPr>
            <w:r>
              <w:rPr>
                <w:rFonts w:hint="eastAsia"/>
              </w:rPr>
              <w:t>本项目施工期主要内容包括变电站的土建施工，以及电气设备的运输、安装与调试等。施工期间会产生一定程度的施工废气、施工废水、施工噪声、施工固体废物及生态环境影响。</w:t>
            </w:r>
          </w:p>
          <w:p w14:paraId="474E1AF7">
            <w:pPr>
              <w:pStyle w:val="38"/>
            </w:pPr>
            <w:r>
              <w:rPr>
                <w:rFonts w:hint="eastAsia"/>
              </w:rPr>
              <w:t>4.1.1</w:t>
            </w:r>
            <w:r>
              <w:t>施工噪声环境影响分析</w:t>
            </w:r>
          </w:p>
          <w:p w14:paraId="6E040BAD">
            <w:pPr>
              <w:pStyle w:val="38"/>
            </w:pPr>
            <w:r>
              <w:t>根据同类型工程调研，输变电工程施工期的噪声主要来自场地平整、挖土填方、土建、钢结构及设备安装调试等几个阶段。</w:t>
            </w:r>
          </w:p>
          <w:p w14:paraId="3CC8D262">
            <w:pPr>
              <w:pStyle w:val="38"/>
            </w:pPr>
            <w:r>
              <w:rPr>
                <w:rFonts w:hint="eastAsia"/>
              </w:rPr>
              <w:t>（1）</w:t>
            </w:r>
            <w:r>
              <w:t>施工期主要声源</w:t>
            </w:r>
          </w:p>
          <w:p w14:paraId="0A9653C7">
            <w:pPr>
              <w:pStyle w:val="38"/>
            </w:pPr>
            <w:r>
              <w:t>施工机械一般位于露天，噪声传播距离远，影响范围大，是重要的临时性噪声源。主要噪声源有打桩机、推土机、挖土机、电锯、电刨等。</w:t>
            </w:r>
          </w:p>
          <w:p w14:paraId="2DE99A46">
            <w:pPr>
              <w:tabs>
                <w:tab w:val="left" w:pos="315"/>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（2）施工噪声预测计算模式</w:t>
            </w:r>
          </w:p>
          <w:p w14:paraId="2CB7A7DA">
            <w:pPr>
              <w:tabs>
                <w:tab w:val="left" w:pos="315"/>
              </w:tabs>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根据《环境影响评价技术导则——声环境》（HJ2.4-20</w:t>
            </w:r>
            <w:r>
              <w:rPr>
                <w:rFonts w:hint="eastAsia" w:cs="Times New Roman"/>
                <w:color w:val="000000" w:themeColor="text1"/>
                <w:szCs w:val="24"/>
                <w14:textFill>
                  <w14:solidFill>
                    <w14:schemeClr w14:val="tx1"/>
                  </w14:solidFill>
                </w14:textFill>
              </w:rPr>
              <w:t>21</w:t>
            </w:r>
            <w:r>
              <w:rPr>
                <w:rFonts w:cs="Times New Roman"/>
                <w:color w:val="000000" w:themeColor="text1"/>
                <w:szCs w:val="24"/>
                <w14:textFill>
                  <w14:solidFill>
                    <w14:schemeClr w14:val="tx1"/>
                  </w14:solidFill>
                </w14:textFill>
              </w:rPr>
              <w:t>），单台施工机械噪声随距离的衰减计算公式如下：</w:t>
            </w:r>
          </w:p>
          <w:p w14:paraId="40510C7C">
            <w:pPr>
              <w:tabs>
                <w:tab w:val="left" w:pos="315"/>
              </w:tabs>
              <w:ind w:firstLine="0" w:firstLineChars="0"/>
              <w:jc w:val="center"/>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drawing>
                <wp:inline distT="0" distB="0" distL="0" distR="0">
                  <wp:extent cx="1184910" cy="397510"/>
                  <wp:effectExtent l="0" t="0" r="0"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1184910" cy="397510"/>
                          </a:xfrm>
                          <a:prstGeom prst="rect">
                            <a:avLst/>
                          </a:prstGeom>
                          <a:noFill/>
                          <a:ln>
                            <a:noFill/>
                          </a:ln>
                        </pic:spPr>
                      </pic:pic>
                    </a:graphicData>
                  </a:graphic>
                </wp:inline>
              </w:drawing>
            </w:r>
          </w:p>
          <w:p w14:paraId="0F9F5459">
            <w:pPr>
              <w:tabs>
                <w:tab w:val="left" w:pos="315"/>
              </w:tabs>
              <w:spacing w:line="480" w:lineRule="exact"/>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式中：</w:t>
            </w:r>
            <w:r>
              <w:rPr>
                <w:rFonts w:cs="Times New Roman"/>
                <w:i/>
                <w:color w:val="000000" w:themeColor="text1"/>
                <w:szCs w:val="24"/>
                <w14:textFill>
                  <w14:solidFill>
                    <w14:schemeClr w14:val="tx1"/>
                  </w14:solidFill>
                </w14:textFill>
              </w:rPr>
              <w:t>L</w:t>
            </w:r>
            <w:r>
              <w:rPr>
                <w:rFonts w:cs="Times New Roman"/>
                <w:color w:val="000000" w:themeColor="text1"/>
                <w:szCs w:val="24"/>
                <w14:textFill>
                  <w14:solidFill>
                    <w14:schemeClr w14:val="tx1"/>
                  </w14:solidFill>
                </w14:textFill>
              </w:rPr>
              <w:t>——与声源相距r（m）处的施工噪声级，dB；</w:t>
            </w:r>
          </w:p>
          <w:p w14:paraId="1D788737">
            <w:pPr>
              <w:tabs>
                <w:tab w:val="left" w:pos="315"/>
              </w:tabs>
              <w:spacing w:line="480" w:lineRule="exact"/>
              <w:ind w:firstLine="1188" w:firstLineChars="495"/>
              <w:rPr>
                <w:rFonts w:cs="Times New Roman"/>
                <w:color w:val="000000" w:themeColor="text1"/>
                <w:szCs w:val="24"/>
                <w14:textFill>
                  <w14:solidFill>
                    <w14:schemeClr w14:val="tx1"/>
                  </w14:solidFill>
                </w14:textFill>
              </w:rPr>
            </w:pPr>
            <w:r>
              <w:rPr>
                <w:rFonts w:cs="Times New Roman"/>
                <w:i/>
                <w:color w:val="000000" w:themeColor="text1"/>
                <w:szCs w:val="24"/>
                <w14:textFill>
                  <w14:solidFill>
                    <w14:schemeClr w14:val="tx1"/>
                  </w14:solidFill>
                </w14:textFill>
              </w:rPr>
              <w:t>L</w:t>
            </w:r>
            <w:r>
              <w:rPr>
                <w:rFonts w:cs="Times New Roman"/>
                <w:i/>
                <w:color w:val="000000" w:themeColor="text1"/>
                <w:szCs w:val="24"/>
                <w:vertAlign w:val="subscript"/>
                <w14:textFill>
                  <w14:solidFill>
                    <w14:schemeClr w14:val="tx1"/>
                  </w14:solidFill>
                </w14:textFill>
              </w:rPr>
              <w:t>0</w:t>
            </w:r>
            <w:r>
              <w:rPr>
                <w:rFonts w:cs="Times New Roman"/>
                <w:color w:val="000000" w:themeColor="text1"/>
                <w:szCs w:val="24"/>
                <w14:textFill>
                  <w14:solidFill>
                    <w14:schemeClr w14:val="tx1"/>
                  </w14:solidFill>
                </w14:textFill>
              </w:rPr>
              <w:t>——距施工设备r</w:t>
            </w:r>
            <w:r>
              <w:rPr>
                <w:rFonts w:cs="Times New Roman"/>
                <w:color w:val="000000" w:themeColor="text1"/>
                <w:szCs w:val="24"/>
                <w:vertAlign w:val="subscript"/>
                <w14:textFill>
                  <w14:solidFill>
                    <w14:schemeClr w14:val="tx1"/>
                  </w14:solidFill>
                </w14:textFill>
              </w:rPr>
              <w:t>0</w:t>
            </w:r>
            <w:r>
              <w:rPr>
                <w:rFonts w:cs="Times New Roman"/>
                <w:color w:val="000000" w:themeColor="text1"/>
                <w:szCs w:val="24"/>
                <w14:textFill>
                  <w14:solidFill>
                    <w14:schemeClr w14:val="tx1"/>
                  </w14:solidFill>
                </w14:textFill>
              </w:rPr>
              <w:t>（m）处的噪声级，dB。</w:t>
            </w:r>
          </w:p>
          <w:p w14:paraId="6AADB315">
            <w:pPr>
              <w:ind w:firstLine="540" w:firstLineChars="225"/>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（3）施工噪声预测结果与分析</w:t>
            </w:r>
          </w:p>
          <w:p w14:paraId="3D168717">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根据施工使用情况，利用表中主要施工机械噪声水平类比资料作为声源参数，根据（2）中的施工噪声预测模式进行预测，计算出与声源不同距离</w:t>
            </w:r>
            <w:r>
              <w:rPr>
                <w:rFonts w:hint="eastAsia" w:cs="Times New Roman"/>
                <w:color w:val="000000" w:themeColor="text1"/>
                <w:szCs w:val="24"/>
                <w14:textFill>
                  <w14:solidFill>
                    <w14:schemeClr w14:val="tx1"/>
                  </w14:solidFill>
                </w14:textFill>
              </w:rPr>
              <w:t>处</w:t>
            </w:r>
            <w:r>
              <w:rPr>
                <w:rFonts w:cs="Times New Roman"/>
                <w:color w:val="000000" w:themeColor="text1"/>
                <w:szCs w:val="24"/>
                <w14:textFill>
                  <w14:solidFill>
                    <w14:schemeClr w14:val="tx1"/>
                  </w14:solidFill>
                </w14:textFill>
              </w:rPr>
              <w:t>的施工噪声水平预测结果如表4.</w:t>
            </w:r>
            <w:r>
              <w:rPr>
                <w:rFonts w:hint="eastAsia" w:cs="Times New Roman"/>
                <w:color w:val="000000" w:themeColor="text1"/>
                <w:szCs w:val="24"/>
                <w14:textFill>
                  <w14:solidFill>
                    <w14:schemeClr w14:val="tx1"/>
                  </w14:solidFill>
                </w14:textFill>
              </w:rPr>
              <w:t>1</w:t>
            </w:r>
            <w:r>
              <w:rPr>
                <w:rFonts w:cs="Times New Roman"/>
                <w:color w:val="000000" w:themeColor="text1"/>
                <w:szCs w:val="24"/>
                <w14:textFill>
                  <w14:solidFill>
                    <w14:schemeClr w14:val="tx1"/>
                  </w14:solidFill>
                </w14:textFill>
              </w:rPr>
              <w:t>所列。</w:t>
            </w:r>
          </w:p>
          <w:p w14:paraId="248C10EE">
            <w:pPr>
              <w:ind w:firstLine="422"/>
              <w:jc w:val="center"/>
              <w:rPr>
                <w:rFonts w:cs="Times New Roman"/>
                <w:b/>
                <w:color w:val="0000FF"/>
                <w:sz w:val="21"/>
                <w:szCs w:val="21"/>
              </w:rPr>
            </w:pPr>
            <w:r>
              <w:rPr>
                <w:rFonts w:cs="Times New Roman"/>
                <w:b/>
                <w:color w:val="0000FF"/>
                <w:sz w:val="21"/>
                <w:szCs w:val="21"/>
              </w:rPr>
              <w:t>表4.</w:t>
            </w:r>
            <w:r>
              <w:rPr>
                <w:rFonts w:hint="eastAsia" w:cs="Times New Roman"/>
                <w:b/>
                <w:color w:val="0000FF"/>
                <w:sz w:val="21"/>
                <w:szCs w:val="21"/>
              </w:rPr>
              <w:t>1</w:t>
            </w:r>
            <w:r>
              <w:rPr>
                <w:rFonts w:cs="Times New Roman"/>
                <w:b/>
                <w:color w:val="0000FF"/>
                <w:sz w:val="21"/>
                <w:szCs w:val="21"/>
              </w:rPr>
              <w:t xml:space="preserve">  距声源不同距离施工噪声水平单位：dB（A）</w:t>
            </w:r>
          </w:p>
          <w:tbl>
            <w:tblPr>
              <w:tblStyle w:val="21"/>
              <w:tblW w:w="4999" w:type="pct"/>
              <w:tblInd w:w="0" w:type="dxa"/>
              <w:tblLayout w:type="autofit"/>
              <w:tblCellMar>
                <w:top w:w="0" w:type="dxa"/>
                <w:left w:w="108" w:type="dxa"/>
                <w:bottom w:w="0" w:type="dxa"/>
                <w:right w:w="108" w:type="dxa"/>
              </w:tblCellMar>
            </w:tblPr>
            <w:tblGrid>
              <w:gridCol w:w="1992"/>
              <w:gridCol w:w="1509"/>
              <w:gridCol w:w="696"/>
              <w:gridCol w:w="590"/>
              <w:gridCol w:w="619"/>
              <w:gridCol w:w="590"/>
              <w:gridCol w:w="590"/>
              <w:gridCol w:w="720"/>
              <w:gridCol w:w="720"/>
              <w:gridCol w:w="731"/>
            </w:tblGrid>
            <w:tr w14:paraId="7E866CCE">
              <w:tblPrEx>
                <w:tblCellMar>
                  <w:top w:w="0" w:type="dxa"/>
                  <w:left w:w="108" w:type="dxa"/>
                  <w:bottom w:w="0" w:type="dxa"/>
                  <w:right w:w="108" w:type="dxa"/>
                </w:tblCellMar>
              </w:tblPrEx>
              <w:trPr>
                <w:trHeight w:val="405" w:hRule="atLeast"/>
              </w:trPr>
              <w:tc>
                <w:tcPr>
                  <w:tcW w:w="1137" w:type="pct"/>
                  <w:vMerge w:val="restart"/>
                  <w:tcBorders>
                    <w:top w:val="single" w:color="000000" w:sz="4" w:space="0"/>
                    <w:left w:val="single" w:color="000000" w:sz="4" w:space="0"/>
                    <w:bottom w:val="single" w:color="000000" w:sz="4" w:space="0"/>
                    <w:right w:val="single" w:color="000000" w:sz="4" w:space="0"/>
                  </w:tcBorders>
                  <w:vAlign w:val="center"/>
                </w:tcPr>
                <w:p w14:paraId="20DA7E8D">
                  <w:pPr>
                    <w:pStyle w:val="25"/>
                    <w:rPr>
                      <w:rFonts w:hint="default"/>
                      <w:color w:val="0000FF"/>
                    </w:rPr>
                  </w:pPr>
                  <w:r>
                    <w:rPr>
                      <w:color w:val="0000FF"/>
                    </w:rPr>
                    <w:t>施工阶段</w:t>
                  </w:r>
                </w:p>
              </w:tc>
              <w:tc>
                <w:tcPr>
                  <w:tcW w:w="861" w:type="pct"/>
                  <w:vMerge w:val="restart"/>
                  <w:tcBorders>
                    <w:top w:val="single" w:color="000000" w:sz="4" w:space="0"/>
                    <w:left w:val="single" w:color="000000" w:sz="4" w:space="0"/>
                    <w:bottom w:val="single" w:color="000000" w:sz="4" w:space="0"/>
                    <w:right w:val="single" w:color="000000" w:sz="4" w:space="0"/>
                  </w:tcBorders>
                  <w:vAlign w:val="center"/>
                </w:tcPr>
                <w:p w14:paraId="5CDEDA60">
                  <w:pPr>
                    <w:pStyle w:val="25"/>
                    <w:rPr>
                      <w:rFonts w:hint="default"/>
                      <w:color w:val="0000FF"/>
                    </w:rPr>
                  </w:pPr>
                  <w:r>
                    <w:rPr>
                      <w:color w:val="0000FF"/>
                    </w:rPr>
                    <w:t>机械名称</w:t>
                  </w:r>
                </w:p>
              </w:tc>
              <w:tc>
                <w:tcPr>
                  <w:tcW w:w="3000" w:type="pct"/>
                  <w:gridSpan w:val="8"/>
                  <w:tcBorders>
                    <w:top w:val="single" w:color="000000" w:sz="4" w:space="0"/>
                    <w:left w:val="single" w:color="000000" w:sz="4" w:space="0"/>
                    <w:bottom w:val="single" w:color="000000" w:sz="4" w:space="0"/>
                    <w:right w:val="single" w:color="000000" w:sz="4" w:space="0"/>
                  </w:tcBorders>
                  <w:vAlign w:val="center"/>
                </w:tcPr>
                <w:p w14:paraId="435E9215">
                  <w:pPr>
                    <w:pStyle w:val="25"/>
                    <w:rPr>
                      <w:rFonts w:hint="default"/>
                      <w:color w:val="0000FF"/>
                    </w:rPr>
                  </w:pPr>
                  <w:r>
                    <w:rPr>
                      <w:color w:val="0000FF"/>
                    </w:rPr>
                    <w:t>距机械不同距离处的声压级(dB)</w:t>
                  </w:r>
                </w:p>
              </w:tc>
            </w:tr>
            <w:tr w14:paraId="2CA75C13">
              <w:tblPrEx>
                <w:tblCellMar>
                  <w:top w:w="0" w:type="dxa"/>
                  <w:left w:w="108" w:type="dxa"/>
                  <w:bottom w:w="0" w:type="dxa"/>
                  <w:right w:w="108" w:type="dxa"/>
                </w:tblCellMar>
              </w:tblPrEx>
              <w:trPr>
                <w:trHeight w:val="405" w:hRule="atLeast"/>
              </w:trPr>
              <w:tc>
                <w:tcPr>
                  <w:tcW w:w="1137" w:type="pct"/>
                  <w:vMerge w:val="continue"/>
                  <w:tcBorders>
                    <w:top w:val="single" w:color="000000" w:sz="4" w:space="0"/>
                    <w:left w:val="single" w:color="000000" w:sz="4" w:space="0"/>
                    <w:bottom w:val="single" w:color="000000" w:sz="4" w:space="0"/>
                    <w:right w:val="single" w:color="000000" w:sz="4" w:space="0"/>
                  </w:tcBorders>
                  <w:vAlign w:val="center"/>
                </w:tcPr>
                <w:p w14:paraId="24D987A3">
                  <w:pPr>
                    <w:pStyle w:val="25"/>
                    <w:rPr>
                      <w:rFonts w:hint="default"/>
                      <w:color w:val="0000FF"/>
                    </w:rPr>
                  </w:pPr>
                </w:p>
              </w:tc>
              <w:tc>
                <w:tcPr>
                  <w:tcW w:w="861" w:type="pct"/>
                  <w:vMerge w:val="continue"/>
                  <w:tcBorders>
                    <w:top w:val="single" w:color="000000" w:sz="4" w:space="0"/>
                    <w:left w:val="single" w:color="000000" w:sz="4" w:space="0"/>
                    <w:bottom w:val="single" w:color="000000" w:sz="4" w:space="0"/>
                    <w:right w:val="single" w:color="000000" w:sz="4" w:space="0"/>
                  </w:tcBorders>
                  <w:vAlign w:val="center"/>
                </w:tcPr>
                <w:p w14:paraId="35002B40">
                  <w:pPr>
                    <w:pStyle w:val="25"/>
                    <w:rPr>
                      <w:rFonts w:hint="default"/>
                      <w:color w:val="0000FF"/>
                    </w:rPr>
                  </w:pPr>
                </w:p>
              </w:tc>
              <w:tc>
                <w:tcPr>
                  <w:tcW w:w="397" w:type="pct"/>
                  <w:tcBorders>
                    <w:top w:val="single" w:color="000000" w:sz="4" w:space="0"/>
                    <w:left w:val="single" w:color="000000" w:sz="4" w:space="0"/>
                    <w:bottom w:val="single" w:color="000000" w:sz="4" w:space="0"/>
                    <w:right w:val="single" w:color="000000" w:sz="4" w:space="0"/>
                  </w:tcBorders>
                </w:tcPr>
                <w:p w14:paraId="76B62140">
                  <w:pPr>
                    <w:pStyle w:val="25"/>
                    <w:rPr>
                      <w:rFonts w:hint="default"/>
                      <w:color w:val="0000FF"/>
                    </w:rPr>
                  </w:pPr>
                  <w:r>
                    <w:rPr>
                      <w:color w:val="0000FF"/>
                    </w:rPr>
                    <w:t>1m</w:t>
                  </w:r>
                </w:p>
              </w:tc>
              <w:tc>
                <w:tcPr>
                  <w:tcW w:w="337" w:type="pct"/>
                  <w:tcBorders>
                    <w:top w:val="single" w:color="000000" w:sz="4" w:space="0"/>
                    <w:left w:val="single" w:color="000000" w:sz="4" w:space="0"/>
                    <w:bottom w:val="single" w:color="000000" w:sz="4" w:space="0"/>
                    <w:right w:val="single" w:color="000000" w:sz="4" w:space="0"/>
                  </w:tcBorders>
                </w:tcPr>
                <w:p w14:paraId="68FAA482">
                  <w:pPr>
                    <w:pStyle w:val="25"/>
                    <w:rPr>
                      <w:rFonts w:hint="default"/>
                      <w:color w:val="0000FF"/>
                    </w:rPr>
                  </w:pPr>
                  <w:r>
                    <w:rPr>
                      <w:color w:val="0000FF"/>
                    </w:rPr>
                    <w:t>10m</w:t>
                  </w:r>
                </w:p>
              </w:tc>
              <w:tc>
                <w:tcPr>
                  <w:tcW w:w="353" w:type="pct"/>
                  <w:tcBorders>
                    <w:top w:val="single" w:color="000000" w:sz="4" w:space="0"/>
                    <w:left w:val="single" w:color="000000" w:sz="4" w:space="0"/>
                    <w:bottom w:val="single" w:color="000000" w:sz="4" w:space="0"/>
                    <w:right w:val="single" w:color="000000" w:sz="4" w:space="0"/>
                  </w:tcBorders>
                </w:tcPr>
                <w:p w14:paraId="7B97F262">
                  <w:pPr>
                    <w:pStyle w:val="25"/>
                    <w:rPr>
                      <w:rFonts w:hint="default"/>
                      <w:color w:val="0000FF"/>
                    </w:rPr>
                  </w:pPr>
                  <w:r>
                    <w:rPr>
                      <w:color w:val="0000FF"/>
                    </w:rPr>
                    <w:t>20m</w:t>
                  </w:r>
                </w:p>
              </w:tc>
              <w:tc>
                <w:tcPr>
                  <w:tcW w:w="337" w:type="pct"/>
                  <w:tcBorders>
                    <w:top w:val="single" w:color="000000" w:sz="4" w:space="0"/>
                    <w:left w:val="single" w:color="000000" w:sz="4" w:space="0"/>
                    <w:bottom w:val="single" w:color="000000" w:sz="4" w:space="0"/>
                    <w:right w:val="single" w:color="000000" w:sz="4" w:space="0"/>
                  </w:tcBorders>
                </w:tcPr>
                <w:p w14:paraId="550922BE">
                  <w:pPr>
                    <w:pStyle w:val="25"/>
                    <w:rPr>
                      <w:rFonts w:hint="default"/>
                      <w:color w:val="0000FF"/>
                    </w:rPr>
                  </w:pPr>
                  <w:r>
                    <w:rPr>
                      <w:color w:val="0000FF"/>
                    </w:rPr>
                    <w:t>30m</w:t>
                  </w:r>
                </w:p>
              </w:tc>
              <w:tc>
                <w:tcPr>
                  <w:tcW w:w="337" w:type="pct"/>
                  <w:tcBorders>
                    <w:top w:val="single" w:color="000000" w:sz="4" w:space="0"/>
                    <w:left w:val="single" w:color="000000" w:sz="4" w:space="0"/>
                    <w:bottom w:val="single" w:color="000000" w:sz="4" w:space="0"/>
                    <w:right w:val="single" w:color="000000" w:sz="4" w:space="0"/>
                  </w:tcBorders>
                </w:tcPr>
                <w:p w14:paraId="61D8BE2A">
                  <w:pPr>
                    <w:pStyle w:val="25"/>
                    <w:rPr>
                      <w:rFonts w:hint="default"/>
                      <w:color w:val="0000FF"/>
                    </w:rPr>
                  </w:pPr>
                  <w:r>
                    <w:rPr>
                      <w:color w:val="0000FF"/>
                    </w:rPr>
                    <w:t>50m</w:t>
                  </w:r>
                </w:p>
              </w:tc>
              <w:tc>
                <w:tcPr>
                  <w:tcW w:w="411" w:type="pct"/>
                  <w:tcBorders>
                    <w:top w:val="single" w:color="000000" w:sz="4" w:space="0"/>
                    <w:left w:val="single" w:color="000000" w:sz="4" w:space="0"/>
                    <w:bottom w:val="single" w:color="000000" w:sz="4" w:space="0"/>
                    <w:right w:val="single" w:color="000000" w:sz="4" w:space="0"/>
                  </w:tcBorders>
                </w:tcPr>
                <w:p w14:paraId="23C9858E">
                  <w:pPr>
                    <w:pStyle w:val="25"/>
                    <w:rPr>
                      <w:rFonts w:hint="default"/>
                      <w:color w:val="0000FF"/>
                    </w:rPr>
                  </w:pPr>
                  <w:r>
                    <w:rPr>
                      <w:color w:val="0000FF"/>
                    </w:rPr>
                    <w:t>100m</w:t>
                  </w:r>
                </w:p>
              </w:tc>
              <w:tc>
                <w:tcPr>
                  <w:tcW w:w="411" w:type="pct"/>
                  <w:tcBorders>
                    <w:top w:val="single" w:color="000000" w:sz="4" w:space="0"/>
                    <w:left w:val="single" w:color="000000" w:sz="4" w:space="0"/>
                    <w:bottom w:val="single" w:color="000000" w:sz="4" w:space="0"/>
                    <w:right w:val="single" w:color="000000" w:sz="4" w:space="0"/>
                  </w:tcBorders>
                </w:tcPr>
                <w:p w14:paraId="6E615D3D">
                  <w:pPr>
                    <w:pStyle w:val="25"/>
                    <w:rPr>
                      <w:rFonts w:hint="default"/>
                      <w:color w:val="0000FF"/>
                    </w:rPr>
                  </w:pPr>
                  <w:r>
                    <w:rPr>
                      <w:color w:val="0000FF"/>
                    </w:rPr>
                    <w:t>150m</w:t>
                  </w:r>
                </w:p>
              </w:tc>
              <w:tc>
                <w:tcPr>
                  <w:tcW w:w="412" w:type="pct"/>
                  <w:tcBorders>
                    <w:top w:val="single" w:color="000000" w:sz="4" w:space="0"/>
                    <w:left w:val="single" w:color="000000" w:sz="4" w:space="0"/>
                    <w:bottom w:val="single" w:color="000000" w:sz="4" w:space="0"/>
                    <w:right w:val="single" w:color="000000" w:sz="4" w:space="0"/>
                  </w:tcBorders>
                </w:tcPr>
                <w:p w14:paraId="780B0EA8">
                  <w:pPr>
                    <w:pStyle w:val="25"/>
                    <w:rPr>
                      <w:rFonts w:hint="default"/>
                      <w:color w:val="0000FF"/>
                    </w:rPr>
                  </w:pPr>
                  <w:r>
                    <w:rPr>
                      <w:color w:val="0000FF"/>
                    </w:rPr>
                    <w:t xml:space="preserve">200 </w:t>
                  </w:r>
                </w:p>
              </w:tc>
            </w:tr>
            <w:tr w14:paraId="269C82E1">
              <w:tblPrEx>
                <w:tblCellMar>
                  <w:top w:w="0" w:type="dxa"/>
                  <w:left w:w="108" w:type="dxa"/>
                  <w:bottom w:w="0" w:type="dxa"/>
                  <w:right w:w="108" w:type="dxa"/>
                </w:tblCellMar>
              </w:tblPrEx>
              <w:trPr>
                <w:trHeight w:val="440" w:hRule="atLeast"/>
              </w:trPr>
              <w:tc>
                <w:tcPr>
                  <w:tcW w:w="1137" w:type="pct"/>
                  <w:tcBorders>
                    <w:top w:val="single" w:color="000000" w:sz="4" w:space="0"/>
                    <w:left w:val="single" w:color="000000" w:sz="4" w:space="0"/>
                    <w:bottom w:val="single" w:color="000000" w:sz="4" w:space="0"/>
                    <w:right w:val="single" w:color="000000" w:sz="4" w:space="0"/>
                  </w:tcBorders>
                  <w:vAlign w:val="center"/>
                </w:tcPr>
                <w:p w14:paraId="395F7CA3">
                  <w:pPr>
                    <w:pStyle w:val="25"/>
                    <w:rPr>
                      <w:rFonts w:hint="default"/>
                      <w:color w:val="0000FF"/>
                    </w:rPr>
                  </w:pPr>
                  <w:r>
                    <w:rPr>
                      <w:color w:val="0000FF"/>
                    </w:rPr>
                    <w:t>基础施工阶段</w:t>
                  </w:r>
                </w:p>
              </w:tc>
              <w:tc>
                <w:tcPr>
                  <w:tcW w:w="861" w:type="pct"/>
                  <w:tcBorders>
                    <w:top w:val="single" w:color="000000" w:sz="4" w:space="0"/>
                    <w:left w:val="single" w:color="000000" w:sz="4" w:space="0"/>
                    <w:bottom w:val="single" w:color="000000" w:sz="4" w:space="0"/>
                    <w:right w:val="single" w:color="000000" w:sz="4" w:space="0"/>
                  </w:tcBorders>
                  <w:vAlign w:val="center"/>
                </w:tcPr>
                <w:p w14:paraId="5796F5FF">
                  <w:pPr>
                    <w:pStyle w:val="25"/>
                    <w:rPr>
                      <w:rFonts w:hint="default"/>
                      <w:color w:val="0000FF"/>
                    </w:rPr>
                  </w:pPr>
                  <w:r>
                    <w:rPr>
                      <w:color w:val="0000FF"/>
                    </w:rPr>
                    <w:t>空压机</w:t>
                  </w:r>
                </w:p>
              </w:tc>
              <w:tc>
                <w:tcPr>
                  <w:tcW w:w="397" w:type="pct"/>
                  <w:tcBorders>
                    <w:top w:val="single" w:color="000000" w:sz="4" w:space="0"/>
                    <w:left w:val="single" w:color="000000" w:sz="4" w:space="0"/>
                    <w:bottom w:val="single" w:color="000000" w:sz="4" w:space="0"/>
                    <w:right w:val="single" w:color="000000" w:sz="4" w:space="0"/>
                  </w:tcBorders>
                </w:tcPr>
                <w:p w14:paraId="60771675">
                  <w:pPr>
                    <w:pStyle w:val="25"/>
                    <w:rPr>
                      <w:rFonts w:hint="default"/>
                      <w:color w:val="0000FF"/>
                    </w:rPr>
                  </w:pPr>
                  <w:r>
                    <w:rPr>
                      <w:color w:val="0000FF"/>
                    </w:rPr>
                    <w:t xml:space="preserve">90 </w:t>
                  </w:r>
                </w:p>
              </w:tc>
              <w:tc>
                <w:tcPr>
                  <w:tcW w:w="337" w:type="pct"/>
                  <w:tcBorders>
                    <w:top w:val="single" w:color="000000" w:sz="4" w:space="0"/>
                    <w:left w:val="single" w:color="000000" w:sz="4" w:space="0"/>
                    <w:bottom w:val="single" w:color="000000" w:sz="4" w:space="0"/>
                    <w:right w:val="single" w:color="000000" w:sz="4" w:space="0"/>
                  </w:tcBorders>
                </w:tcPr>
                <w:p w14:paraId="58A91F63">
                  <w:pPr>
                    <w:pStyle w:val="25"/>
                    <w:rPr>
                      <w:rFonts w:hint="default"/>
                      <w:color w:val="0000FF"/>
                    </w:rPr>
                  </w:pPr>
                  <w:r>
                    <w:rPr>
                      <w:color w:val="0000FF"/>
                    </w:rPr>
                    <w:t xml:space="preserve">70 </w:t>
                  </w:r>
                </w:p>
              </w:tc>
              <w:tc>
                <w:tcPr>
                  <w:tcW w:w="353" w:type="pct"/>
                  <w:tcBorders>
                    <w:top w:val="single" w:color="000000" w:sz="4" w:space="0"/>
                    <w:left w:val="single" w:color="000000" w:sz="4" w:space="0"/>
                    <w:bottom w:val="single" w:color="000000" w:sz="4" w:space="0"/>
                    <w:right w:val="single" w:color="000000" w:sz="4" w:space="0"/>
                  </w:tcBorders>
                </w:tcPr>
                <w:p w14:paraId="4C3C6669">
                  <w:pPr>
                    <w:pStyle w:val="25"/>
                    <w:rPr>
                      <w:rFonts w:hint="default"/>
                      <w:color w:val="0000FF"/>
                    </w:rPr>
                  </w:pPr>
                  <w:r>
                    <w:rPr>
                      <w:color w:val="0000FF"/>
                    </w:rPr>
                    <w:t xml:space="preserve">64.0 </w:t>
                  </w:r>
                </w:p>
              </w:tc>
              <w:tc>
                <w:tcPr>
                  <w:tcW w:w="337" w:type="pct"/>
                  <w:tcBorders>
                    <w:top w:val="single" w:color="000000" w:sz="4" w:space="0"/>
                    <w:left w:val="single" w:color="000000" w:sz="4" w:space="0"/>
                    <w:bottom w:val="single" w:color="000000" w:sz="4" w:space="0"/>
                    <w:right w:val="single" w:color="000000" w:sz="4" w:space="0"/>
                  </w:tcBorders>
                </w:tcPr>
                <w:p w14:paraId="0CCBCD75">
                  <w:pPr>
                    <w:pStyle w:val="25"/>
                    <w:rPr>
                      <w:rFonts w:hint="default"/>
                      <w:color w:val="0000FF"/>
                    </w:rPr>
                  </w:pPr>
                  <w:r>
                    <w:rPr>
                      <w:color w:val="0000FF"/>
                    </w:rPr>
                    <w:t xml:space="preserve">65.5 </w:t>
                  </w:r>
                </w:p>
              </w:tc>
              <w:tc>
                <w:tcPr>
                  <w:tcW w:w="337" w:type="pct"/>
                  <w:tcBorders>
                    <w:top w:val="single" w:color="000000" w:sz="4" w:space="0"/>
                    <w:left w:val="single" w:color="000000" w:sz="4" w:space="0"/>
                    <w:bottom w:val="single" w:color="000000" w:sz="4" w:space="0"/>
                    <w:right w:val="single" w:color="000000" w:sz="4" w:space="0"/>
                  </w:tcBorders>
                </w:tcPr>
                <w:p w14:paraId="684BF98F">
                  <w:pPr>
                    <w:pStyle w:val="25"/>
                    <w:rPr>
                      <w:rFonts w:hint="default"/>
                      <w:color w:val="0000FF"/>
                    </w:rPr>
                  </w:pPr>
                  <w:r>
                    <w:rPr>
                      <w:color w:val="0000FF"/>
                    </w:rPr>
                    <w:t xml:space="preserve">56 </w:t>
                  </w:r>
                </w:p>
              </w:tc>
              <w:tc>
                <w:tcPr>
                  <w:tcW w:w="411" w:type="pct"/>
                  <w:tcBorders>
                    <w:top w:val="single" w:color="000000" w:sz="4" w:space="0"/>
                    <w:left w:val="single" w:color="000000" w:sz="4" w:space="0"/>
                    <w:bottom w:val="single" w:color="000000" w:sz="4" w:space="0"/>
                    <w:right w:val="single" w:color="000000" w:sz="4" w:space="0"/>
                  </w:tcBorders>
                </w:tcPr>
                <w:p w14:paraId="76B3E950">
                  <w:pPr>
                    <w:pStyle w:val="25"/>
                    <w:rPr>
                      <w:rFonts w:hint="default"/>
                      <w:color w:val="0000FF"/>
                    </w:rPr>
                  </w:pPr>
                  <w:r>
                    <w:rPr>
                      <w:color w:val="0000FF"/>
                    </w:rPr>
                    <w:t xml:space="preserve">50 </w:t>
                  </w:r>
                </w:p>
              </w:tc>
              <w:tc>
                <w:tcPr>
                  <w:tcW w:w="411" w:type="pct"/>
                  <w:tcBorders>
                    <w:top w:val="single" w:color="000000" w:sz="4" w:space="0"/>
                    <w:left w:val="single" w:color="000000" w:sz="4" w:space="0"/>
                    <w:bottom w:val="single" w:color="000000" w:sz="4" w:space="0"/>
                    <w:right w:val="single" w:color="000000" w:sz="4" w:space="0"/>
                  </w:tcBorders>
                </w:tcPr>
                <w:p w14:paraId="270155D5">
                  <w:pPr>
                    <w:pStyle w:val="25"/>
                    <w:rPr>
                      <w:rFonts w:hint="default"/>
                      <w:color w:val="0000FF"/>
                    </w:rPr>
                  </w:pPr>
                  <w:r>
                    <w:rPr>
                      <w:color w:val="0000FF"/>
                    </w:rPr>
                    <w:t xml:space="preserve">41.5 </w:t>
                  </w:r>
                </w:p>
              </w:tc>
              <w:tc>
                <w:tcPr>
                  <w:tcW w:w="412" w:type="pct"/>
                  <w:tcBorders>
                    <w:top w:val="single" w:color="000000" w:sz="4" w:space="0"/>
                    <w:left w:val="single" w:color="000000" w:sz="4" w:space="0"/>
                    <w:bottom w:val="single" w:color="000000" w:sz="4" w:space="0"/>
                    <w:right w:val="single" w:color="000000" w:sz="4" w:space="0"/>
                  </w:tcBorders>
                </w:tcPr>
                <w:p w14:paraId="1407D5FC">
                  <w:pPr>
                    <w:pStyle w:val="25"/>
                    <w:rPr>
                      <w:rFonts w:hint="default"/>
                      <w:color w:val="0000FF"/>
                    </w:rPr>
                  </w:pPr>
                  <w:r>
                    <w:rPr>
                      <w:color w:val="0000FF"/>
                    </w:rPr>
                    <w:t xml:space="preserve">44 </w:t>
                  </w:r>
                </w:p>
              </w:tc>
            </w:tr>
            <w:tr w14:paraId="03CAE46F">
              <w:tblPrEx>
                <w:tblCellMar>
                  <w:top w:w="0" w:type="dxa"/>
                  <w:left w:w="108" w:type="dxa"/>
                  <w:bottom w:w="0" w:type="dxa"/>
                  <w:right w:w="108" w:type="dxa"/>
                </w:tblCellMar>
              </w:tblPrEx>
              <w:trPr>
                <w:trHeight w:val="440" w:hRule="atLeast"/>
              </w:trPr>
              <w:tc>
                <w:tcPr>
                  <w:tcW w:w="1137" w:type="pct"/>
                  <w:vMerge w:val="restart"/>
                  <w:tcBorders>
                    <w:top w:val="single" w:color="000000" w:sz="4" w:space="0"/>
                    <w:left w:val="single" w:color="000000" w:sz="4" w:space="0"/>
                    <w:bottom w:val="single" w:color="000000" w:sz="4" w:space="0"/>
                    <w:right w:val="single" w:color="000000" w:sz="4" w:space="0"/>
                  </w:tcBorders>
                  <w:vAlign w:val="center"/>
                </w:tcPr>
                <w:p w14:paraId="10623D23">
                  <w:pPr>
                    <w:pStyle w:val="25"/>
                    <w:rPr>
                      <w:rFonts w:hint="default"/>
                      <w:color w:val="0000FF"/>
                    </w:rPr>
                  </w:pPr>
                  <w:r>
                    <w:rPr>
                      <w:color w:val="0000FF"/>
                    </w:rPr>
                    <w:t>土建阶段</w:t>
                  </w:r>
                </w:p>
              </w:tc>
              <w:tc>
                <w:tcPr>
                  <w:tcW w:w="861" w:type="pct"/>
                  <w:tcBorders>
                    <w:top w:val="single" w:color="000000" w:sz="4" w:space="0"/>
                    <w:left w:val="single" w:color="000000" w:sz="4" w:space="0"/>
                    <w:bottom w:val="single" w:color="000000" w:sz="4" w:space="0"/>
                    <w:right w:val="single" w:color="000000" w:sz="4" w:space="0"/>
                  </w:tcBorders>
                  <w:vAlign w:val="center"/>
                </w:tcPr>
                <w:p w14:paraId="75F068C7">
                  <w:pPr>
                    <w:pStyle w:val="25"/>
                    <w:rPr>
                      <w:rFonts w:hint="default"/>
                      <w:color w:val="0000FF"/>
                    </w:rPr>
                  </w:pPr>
                  <w:r>
                    <w:rPr>
                      <w:color w:val="0000FF"/>
                    </w:rPr>
                    <w:t>推土机</w:t>
                  </w:r>
                </w:p>
              </w:tc>
              <w:tc>
                <w:tcPr>
                  <w:tcW w:w="397" w:type="pct"/>
                  <w:tcBorders>
                    <w:top w:val="single" w:color="000000" w:sz="4" w:space="0"/>
                    <w:left w:val="single" w:color="000000" w:sz="4" w:space="0"/>
                    <w:bottom w:val="single" w:color="000000" w:sz="4" w:space="0"/>
                    <w:right w:val="single" w:color="000000" w:sz="4" w:space="0"/>
                  </w:tcBorders>
                </w:tcPr>
                <w:p w14:paraId="25DEBC2F">
                  <w:pPr>
                    <w:pStyle w:val="25"/>
                    <w:rPr>
                      <w:rFonts w:hint="default"/>
                      <w:color w:val="0000FF"/>
                    </w:rPr>
                  </w:pPr>
                  <w:r>
                    <w:rPr>
                      <w:color w:val="0000FF"/>
                    </w:rPr>
                    <w:t xml:space="preserve">90 </w:t>
                  </w:r>
                </w:p>
              </w:tc>
              <w:tc>
                <w:tcPr>
                  <w:tcW w:w="337" w:type="pct"/>
                  <w:tcBorders>
                    <w:top w:val="single" w:color="000000" w:sz="4" w:space="0"/>
                    <w:left w:val="single" w:color="000000" w:sz="4" w:space="0"/>
                    <w:bottom w:val="single" w:color="000000" w:sz="4" w:space="0"/>
                    <w:right w:val="single" w:color="000000" w:sz="4" w:space="0"/>
                  </w:tcBorders>
                </w:tcPr>
                <w:p w14:paraId="798B2767">
                  <w:pPr>
                    <w:pStyle w:val="25"/>
                    <w:rPr>
                      <w:rFonts w:hint="default"/>
                      <w:color w:val="0000FF"/>
                    </w:rPr>
                  </w:pPr>
                  <w:r>
                    <w:rPr>
                      <w:color w:val="0000FF"/>
                    </w:rPr>
                    <w:t xml:space="preserve">70 </w:t>
                  </w:r>
                </w:p>
              </w:tc>
              <w:tc>
                <w:tcPr>
                  <w:tcW w:w="353" w:type="pct"/>
                  <w:tcBorders>
                    <w:top w:val="single" w:color="000000" w:sz="4" w:space="0"/>
                    <w:left w:val="single" w:color="000000" w:sz="4" w:space="0"/>
                    <w:bottom w:val="single" w:color="000000" w:sz="4" w:space="0"/>
                    <w:right w:val="single" w:color="000000" w:sz="4" w:space="0"/>
                  </w:tcBorders>
                </w:tcPr>
                <w:p w14:paraId="086587F0">
                  <w:pPr>
                    <w:pStyle w:val="25"/>
                    <w:rPr>
                      <w:rFonts w:hint="default"/>
                      <w:color w:val="0000FF"/>
                    </w:rPr>
                  </w:pPr>
                  <w:r>
                    <w:rPr>
                      <w:color w:val="0000FF"/>
                    </w:rPr>
                    <w:t xml:space="preserve">64 </w:t>
                  </w:r>
                </w:p>
              </w:tc>
              <w:tc>
                <w:tcPr>
                  <w:tcW w:w="337" w:type="pct"/>
                  <w:tcBorders>
                    <w:top w:val="single" w:color="000000" w:sz="4" w:space="0"/>
                    <w:left w:val="single" w:color="000000" w:sz="4" w:space="0"/>
                    <w:bottom w:val="single" w:color="000000" w:sz="4" w:space="0"/>
                    <w:right w:val="single" w:color="000000" w:sz="4" w:space="0"/>
                  </w:tcBorders>
                </w:tcPr>
                <w:p w14:paraId="629757CD">
                  <w:pPr>
                    <w:pStyle w:val="25"/>
                    <w:rPr>
                      <w:rFonts w:hint="default"/>
                      <w:color w:val="0000FF"/>
                    </w:rPr>
                  </w:pPr>
                  <w:r>
                    <w:rPr>
                      <w:color w:val="0000FF"/>
                    </w:rPr>
                    <w:t xml:space="preserve">60.5 </w:t>
                  </w:r>
                </w:p>
              </w:tc>
              <w:tc>
                <w:tcPr>
                  <w:tcW w:w="337" w:type="pct"/>
                  <w:tcBorders>
                    <w:top w:val="single" w:color="000000" w:sz="4" w:space="0"/>
                    <w:left w:val="single" w:color="000000" w:sz="4" w:space="0"/>
                    <w:bottom w:val="single" w:color="000000" w:sz="4" w:space="0"/>
                    <w:right w:val="single" w:color="000000" w:sz="4" w:space="0"/>
                  </w:tcBorders>
                </w:tcPr>
                <w:p w14:paraId="28AF3679">
                  <w:pPr>
                    <w:pStyle w:val="25"/>
                    <w:rPr>
                      <w:rFonts w:hint="default"/>
                      <w:color w:val="0000FF"/>
                    </w:rPr>
                  </w:pPr>
                  <w:r>
                    <w:rPr>
                      <w:color w:val="0000FF"/>
                    </w:rPr>
                    <w:t xml:space="preserve">56.0 </w:t>
                  </w:r>
                </w:p>
              </w:tc>
              <w:tc>
                <w:tcPr>
                  <w:tcW w:w="411" w:type="pct"/>
                  <w:tcBorders>
                    <w:top w:val="single" w:color="000000" w:sz="4" w:space="0"/>
                    <w:left w:val="single" w:color="000000" w:sz="4" w:space="0"/>
                    <w:bottom w:val="single" w:color="000000" w:sz="4" w:space="0"/>
                    <w:right w:val="single" w:color="000000" w:sz="4" w:space="0"/>
                  </w:tcBorders>
                </w:tcPr>
                <w:p w14:paraId="126FFDE8">
                  <w:pPr>
                    <w:pStyle w:val="25"/>
                    <w:rPr>
                      <w:rFonts w:hint="default"/>
                      <w:color w:val="0000FF"/>
                    </w:rPr>
                  </w:pPr>
                  <w:r>
                    <w:rPr>
                      <w:color w:val="0000FF"/>
                    </w:rPr>
                    <w:t xml:space="preserve">50.0 </w:t>
                  </w:r>
                </w:p>
              </w:tc>
              <w:tc>
                <w:tcPr>
                  <w:tcW w:w="411" w:type="pct"/>
                  <w:tcBorders>
                    <w:top w:val="single" w:color="000000" w:sz="4" w:space="0"/>
                    <w:left w:val="single" w:color="000000" w:sz="4" w:space="0"/>
                    <w:bottom w:val="single" w:color="000000" w:sz="4" w:space="0"/>
                    <w:right w:val="single" w:color="000000" w:sz="4" w:space="0"/>
                  </w:tcBorders>
                </w:tcPr>
                <w:p w14:paraId="5B5576AA">
                  <w:pPr>
                    <w:pStyle w:val="25"/>
                    <w:rPr>
                      <w:rFonts w:hint="default"/>
                      <w:color w:val="0000FF"/>
                    </w:rPr>
                  </w:pPr>
                  <w:r>
                    <w:rPr>
                      <w:color w:val="0000FF"/>
                    </w:rPr>
                    <w:t xml:space="preserve">44.5 </w:t>
                  </w:r>
                </w:p>
              </w:tc>
              <w:tc>
                <w:tcPr>
                  <w:tcW w:w="412" w:type="pct"/>
                  <w:tcBorders>
                    <w:top w:val="single" w:color="000000" w:sz="4" w:space="0"/>
                    <w:left w:val="single" w:color="000000" w:sz="4" w:space="0"/>
                    <w:bottom w:val="single" w:color="000000" w:sz="4" w:space="0"/>
                    <w:right w:val="single" w:color="000000" w:sz="4" w:space="0"/>
                  </w:tcBorders>
                </w:tcPr>
                <w:p w14:paraId="6BCEDBC2">
                  <w:pPr>
                    <w:pStyle w:val="25"/>
                    <w:rPr>
                      <w:rFonts w:hint="default"/>
                      <w:color w:val="0000FF"/>
                    </w:rPr>
                  </w:pPr>
                  <w:r>
                    <w:rPr>
                      <w:color w:val="0000FF"/>
                    </w:rPr>
                    <w:t xml:space="preserve">44 </w:t>
                  </w:r>
                </w:p>
              </w:tc>
            </w:tr>
            <w:tr w14:paraId="234A4C5F">
              <w:tblPrEx>
                <w:tblCellMar>
                  <w:top w:w="0" w:type="dxa"/>
                  <w:left w:w="108" w:type="dxa"/>
                  <w:bottom w:w="0" w:type="dxa"/>
                  <w:right w:w="108" w:type="dxa"/>
                </w:tblCellMar>
              </w:tblPrEx>
              <w:trPr>
                <w:trHeight w:val="410" w:hRule="atLeast"/>
              </w:trPr>
              <w:tc>
                <w:tcPr>
                  <w:tcW w:w="1137" w:type="pct"/>
                  <w:vMerge w:val="continue"/>
                  <w:tcBorders>
                    <w:top w:val="single" w:color="000000" w:sz="4" w:space="0"/>
                    <w:left w:val="single" w:color="000000" w:sz="4" w:space="0"/>
                    <w:bottom w:val="single" w:color="000000" w:sz="4" w:space="0"/>
                    <w:right w:val="single" w:color="000000" w:sz="4" w:space="0"/>
                  </w:tcBorders>
                  <w:vAlign w:val="center"/>
                </w:tcPr>
                <w:p w14:paraId="1B94E98E">
                  <w:pPr>
                    <w:pStyle w:val="25"/>
                    <w:rPr>
                      <w:rFonts w:hint="default"/>
                      <w:color w:val="0000FF"/>
                    </w:rPr>
                  </w:pPr>
                </w:p>
              </w:tc>
              <w:tc>
                <w:tcPr>
                  <w:tcW w:w="861" w:type="pct"/>
                  <w:tcBorders>
                    <w:top w:val="single" w:color="000000" w:sz="4" w:space="0"/>
                    <w:left w:val="single" w:color="000000" w:sz="4" w:space="0"/>
                    <w:bottom w:val="single" w:color="000000" w:sz="4" w:space="0"/>
                    <w:right w:val="single" w:color="000000" w:sz="4" w:space="0"/>
                  </w:tcBorders>
                  <w:vAlign w:val="center"/>
                </w:tcPr>
                <w:p w14:paraId="43CF44EA">
                  <w:pPr>
                    <w:pStyle w:val="25"/>
                    <w:rPr>
                      <w:rFonts w:hint="default"/>
                      <w:color w:val="0000FF"/>
                    </w:rPr>
                  </w:pPr>
                  <w:r>
                    <w:rPr>
                      <w:color w:val="0000FF"/>
                    </w:rPr>
                    <w:t>挖掘机</w:t>
                  </w:r>
                </w:p>
              </w:tc>
              <w:tc>
                <w:tcPr>
                  <w:tcW w:w="397" w:type="pct"/>
                  <w:tcBorders>
                    <w:top w:val="single" w:color="000000" w:sz="4" w:space="0"/>
                    <w:left w:val="single" w:color="000000" w:sz="4" w:space="0"/>
                    <w:bottom w:val="single" w:color="000000" w:sz="4" w:space="0"/>
                    <w:right w:val="single" w:color="000000" w:sz="4" w:space="0"/>
                  </w:tcBorders>
                </w:tcPr>
                <w:p w14:paraId="23CDD627">
                  <w:pPr>
                    <w:pStyle w:val="25"/>
                    <w:rPr>
                      <w:rFonts w:hint="default"/>
                      <w:color w:val="0000FF"/>
                    </w:rPr>
                  </w:pPr>
                  <w:r>
                    <w:rPr>
                      <w:color w:val="0000FF"/>
                    </w:rPr>
                    <w:t xml:space="preserve">90 </w:t>
                  </w:r>
                </w:p>
              </w:tc>
              <w:tc>
                <w:tcPr>
                  <w:tcW w:w="337" w:type="pct"/>
                  <w:tcBorders>
                    <w:top w:val="single" w:color="000000" w:sz="4" w:space="0"/>
                    <w:left w:val="single" w:color="000000" w:sz="4" w:space="0"/>
                    <w:bottom w:val="single" w:color="000000" w:sz="4" w:space="0"/>
                    <w:right w:val="single" w:color="000000" w:sz="4" w:space="0"/>
                  </w:tcBorders>
                </w:tcPr>
                <w:p w14:paraId="4EEB978C">
                  <w:pPr>
                    <w:pStyle w:val="25"/>
                    <w:rPr>
                      <w:rFonts w:hint="default"/>
                      <w:color w:val="0000FF"/>
                    </w:rPr>
                  </w:pPr>
                  <w:r>
                    <w:rPr>
                      <w:color w:val="0000FF"/>
                    </w:rPr>
                    <w:t xml:space="preserve">70 </w:t>
                  </w:r>
                </w:p>
              </w:tc>
              <w:tc>
                <w:tcPr>
                  <w:tcW w:w="353" w:type="pct"/>
                  <w:tcBorders>
                    <w:top w:val="single" w:color="000000" w:sz="4" w:space="0"/>
                    <w:left w:val="single" w:color="000000" w:sz="4" w:space="0"/>
                    <w:bottom w:val="single" w:color="000000" w:sz="4" w:space="0"/>
                    <w:right w:val="single" w:color="000000" w:sz="4" w:space="0"/>
                  </w:tcBorders>
                </w:tcPr>
                <w:p w14:paraId="56B72A76">
                  <w:pPr>
                    <w:pStyle w:val="25"/>
                    <w:rPr>
                      <w:rFonts w:hint="default"/>
                      <w:color w:val="0000FF"/>
                    </w:rPr>
                  </w:pPr>
                  <w:r>
                    <w:rPr>
                      <w:color w:val="0000FF"/>
                    </w:rPr>
                    <w:t xml:space="preserve">64 </w:t>
                  </w:r>
                </w:p>
              </w:tc>
              <w:tc>
                <w:tcPr>
                  <w:tcW w:w="337" w:type="pct"/>
                  <w:tcBorders>
                    <w:top w:val="single" w:color="000000" w:sz="4" w:space="0"/>
                    <w:left w:val="single" w:color="000000" w:sz="4" w:space="0"/>
                    <w:bottom w:val="single" w:color="000000" w:sz="4" w:space="0"/>
                    <w:right w:val="single" w:color="000000" w:sz="4" w:space="0"/>
                  </w:tcBorders>
                </w:tcPr>
                <w:p w14:paraId="565CD6D1">
                  <w:pPr>
                    <w:pStyle w:val="25"/>
                    <w:rPr>
                      <w:rFonts w:hint="default"/>
                      <w:color w:val="0000FF"/>
                    </w:rPr>
                  </w:pPr>
                  <w:r>
                    <w:rPr>
                      <w:color w:val="0000FF"/>
                    </w:rPr>
                    <w:t xml:space="preserve">60.5 </w:t>
                  </w:r>
                </w:p>
              </w:tc>
              <w:tc>
                <w:tcPr>
                  <w:tcW w:w="337" w:type="pct"/>
                  <w:tcBorders>
                    <w:top w:val="single" w:color="000000" w:sz="4" w:space="0"/>
                    <w:left w:val="single" w:color="000000" w:sz="4" w:space="0"/>
                    <w:bottom w:val="single" w:color="000000" w:sz="4" w:space="0"/>
                    <w:right w:val="single" w:color="000000" w:sz="4" w:space="0"/>
                  </w:tcBorders>
                </w:tcPr>
                <w:p w14:paraId="6B351DD3">
                  <w:pPr>
                    <w:pStyle w:val="25"/>
                    <w:rPr>
                      <w:rFonts w:hint="default"/>
                      <w:color w:val="0000FF"/>
                    </w:rPr>
                  </w:pPr>
                  <w:r>
                    <w:rPr>
                      <w:color w:val="0000FF"/>
                    </w:rPr>
                    <w:t xml:space="preserve">56.0 </w:t>
                  </w:r>
                </w:p>
              </w:tc>
              <w:tc>
                <w:tcPr>
                  <w:tcW w:w="411" w:type="pct"/>
                  <w:tcBorders>
                    <w:top w:val="single" w:color="000000" w:sz="4" w:space="0"/>
                    <w:left w:val="single" w:color="000000" w:sz="4" w:space="0"/>
                    <w:bottom w:val="single" w:color="000000" w:sz="4" w:space="0"/>
                    <w:right w:val="single" w:color="000000" w:sz="4" w:space="0"/>
                  </w:tcBorders>
                </w:tcPr>
                <w:p w14:paraId="0004101C">
                  <w:pPr>
                    <w:pStyle w:val="25"/>
                    <w:rPr>
                      <w:rFonts w:hint="default"/>
                      <w:color w:val="0000FF"/>
                    </w:rPr>
                  </w:pPr>
                  <w:r>
                    <w:rPr>
                      <w:color w:val="0000FF"/>
                    </w:rPr>
                    <w:t xml:space="preserve">50.0 </w:t>
                  </w:r>
                </w:p>
              </w:tc>
              <w:tc>
                <w:tcPr>
                  <w:tcW w:w="411" w:type="pct"/>
                  <w:tcBorders>
                    <w:top w:val="single" w:color="000000" w:sz="4" w:space="0"/>
                    <w:left w:val="single" w:color="000000" w:sz="4" w:space="0"/>
                    <w:bottom w:val="single" w:color="000000" w:sz="4" w:space="0"/>
                    <w:right w:val="single" w:color="000000" w:sz="4" w:space="0"/>
                  </w:tcBorders>
                </w:tcPr>
                <w:p w14:paraId="08ACCE2C">
                  <w:pPr>
                    <w:pStyle w:val="25"/>
                    <w:rPr>
                      <w:rFonts w:hint="default"/>
                      <w:color w:val="0000FF"/>
                    </w:rPr>
                  </w:pPr>
                  <w:r>
                    <w:rPr>
                      <w:color w:val="0000FF"/>
                    </w:rPr>
                    <w:t xml:space="preserve">44.5 </w:t>
                  </w:r>
                </w:p>
              </w:tc>
              <w:tc>
                <w:tcPr>
                  <w:tcW w:w="412" w:type="pct"/>
                  <w:tcBorders>
                    <w:top w:val="single" w:color="000000" w:sz="4" w:space="0"/>
                    <w:left w:val="single" w:color="000000" w:sz="4" w:space="0"/>
                    <w:bottom w:val="single" w:color="000000" w:sz="4" w:space="0"/>
                    <w:right w:val="single" w:color="000000" w:sz="4" w:space="0"/>
                  </w:tcBorders>
                </w:tcPr>
                <w:p w14:paraId="783CD37B">
                  <w:pPr>
                    <w:pStyle w:val="25"/>
                    <w:rPr>
                      <w:rFonts w:hint="default"/>
                      <w:color w:val="0000FF"/>
                    </w:rPr>
                  </w:pPr>
                  <w:r>
                    <w:rPr>
                      <w:color w:val="0000FF"/>
                    </w:rPr>
                    <w:t xml:space="preserve">44 </w:t>
                  </w:r>
                </w:p>
              </w:tc>
            </w:tr>
            <w:tr w14:paraId="71ED2D18">
              <w:tblPrEx>
                <w:tblCellMar>
                  <w:top w:w="0" w:type="dxa"/>
                  <w:left w:w="108" w:type="dxa"/>
                  <w:bottom w:w="0" w:type="dxa"/>
                  <w:right w:w="108" w:type="dxa"/>
                </w:tblCellMar>
              </w:tblPrEx>
              <w:trPr>
                <w:trHeight w:val="440" w:hRule="atLeast"/>
              </w:trPr>
              <w:tc>
                <w:tcPr>
                  <w:tcW w:w="1137" w:type="pct"/>
                  <w:vMerge w:val="continue"/>
                  <w:tcBorders>
                    <w:top w:val="single" w:color="000000" w:sz="4" w:space="0"/>
                    <w:left w:val="single" w:color="000000" w:sz="4" w:space="0"/>
                    <w:bottom w:val="single" w:color="000000" w:sz="4" w:space="0"/>
                    <w:right w:val="single" w:color="000000" w:sz="4" w:space="0"/>
                  </w:tcBorders>
                  <w:vAlign w:val="center"/>
                </w:tcPr>
                <w:p w14:paraId="7938B1CA">
                  <w:pPr>
                    <w:pStyle w:val="25"/>
                    <w:rPr>
                      <w:rFonts w:hint="default"/>
                      <w:color w:val="0000FF"/>
                    </w:rPr>
                  </w:pPr>
                </w:p>
              </w:tc>
              <w:tc>
                <w:tcPr>
                  <w:tcW w:w="861" w:type="pct"/>
                  <w:tcBorders>
                    <w:top w:val="single" w:color="000000" w:sz="4" w:space="0"/>
                    <w:left w:val="single" w:color="000000" w:sz="4" w:space="0"/>
                    <w:bottom w:val="single" w:color="000000" w:sz="4" w:space="0"/>
                    <w:right w:val="single" w:color="000000" w:sz="4" w:space="0"/>
                  </w:tcBorders>
                  <w:vAlign w:val="center"/>
                </w:tcPr>
                <w:p w14:paraId="19B058BA">
                  <w:pPr>
                    <w:pStyle w:val="25"/>
                    <w:rPr>
                      <w:rFonts w:hint="default"/>
                      <w:color w:val="0000FF"/>
                    </w:rPr>
                  </w:pPr>
                  <w:r>
                    <w:rPr>
                      <w:color w:val="0000FF"/>
                    </w:rPr>
                    <w:t>装载机</w:t>
                  </w:r>
                </w:p>
              </w:tc>
              <w:tc>
                <w:tcPr>
                  <w:tcW w:w="397" w:type="pct"/>
                  <w:tcBorders>
                    <w:top w:val="single" w:color="000000" w:sz="4" w:space="0"/>
                    <w:left w:val="single" w:color="000000" w:sz="4" w:space="0"/>
                    <w:bottom w:val="single" w:color="000000" w:sz="4" w:space="0"/>
                    <w:right w:val="single" w:color="000000" w:sz="4" w:space="0"/>
                  </w:tcBorders>
                </w:tcPr>
                <w:p w14:paraId="26D0A997">
                  <w:pPr>
                    <w:pStyle w:val="25"/>
                    <w:rPr>
                      <w:rFonts w:hint="default"/>
                      <w:color w:val="0000FF"/>
                    </w:rPr>
                  </w:pPr>
                  <w:r>
                    <w:rPr>
                      <w:color w:val="0000FF"/>
                    </w:rPr>
                    <w:t xml:space="preserve">90 </w:t>
                  </w:r>
                </w:p>
              </w:tc>
              <w:tc>
                <w:tcPr>
                  <w:tcW w:w="337" w:type="pct"/>
                  <w:tcBorders>
                    <w:top w:val="single" w:color="000000" w:sz="4" w:space="0"/>
                    <w:left w:val="single" w:color="000000" w:sz="4" w:space="0"/>
                    <w:bottom w:val="single" w:color="000000" w:sz="4" w:space="0"/>
                    <w:right w:val="single" w:color="000000" w:sz="4" w:space="0"/>
                  </w:tcBorders>
                </w:tcPr>
                <w:p w14:paraId="1055C88A">
                  <w:pPr>
                    <w:pStyle w:val="25"/>
                    <w:rPr>
                      <w:rFonts w:hint="default"/>
                      <w:color w:val="0000FF"/>
                    </w:rPr>
                  </w:pPr>
                  <w:r>
                    <w:rPr>
                      <w:color w:val="0000FF"/>
                    </w:rPr>
                    <w:t xml:space="preserve">70 </w:t>
                  </w:r>
                </w:p>
              </w:tc>
              <w:tc>
                <w:tcPr>
                  <w:tcW w:w="353" w:type="pct"/>
                  <w:tcBorders>
                    <w:top w:val="single" w:color="000000" w:sz="4" w:space="0"/>
                    <w:left w:val="single" w:color="000000" w:sz="4" w:space="0"/>
                    <w:bottom w:val="single" w:color="000000" w:sz="4" w:space="0"/>
                    <w:right w:val="single" w:color="000000" w:sz="4" w:space="0"/>
                  </w:tcBorders>
                </w:tcPr>
                <w:p w14:paraId="3C4941DC">
                  <w:pPr>
                    <w:pStyle w:val="25"/>
                    <w:rPr>
                      <w:rFonts w:hint="default"/>
                      <w:color w:val="0000FF"/>
                    </w:rPr>
                  </w:pPr>
                  <w:r>
                    <w:rPr>
                      <w:color w:val="0000FF"/>
                    </w:rPr>
                    <w:t xml:space="preserve">64 </w:t>
                  </w:r>
                </w:p>
              </w:tc>
              <w:tc>
                <w:tcPr>
                  <w:tcW w:w="337" w:type="pct"/>
                  <w:tcBorders>
                    <w:top w:val="single" w:color="000000" w:sz="4" w:space="0"/>
                    <w:left w:val="single" w:color="000000" w:sz="4" w:space="0"/>
                    <w:bottom w:val="single" w:color="000000" w:sz="4" w:space="0"/>
                    <w:right w:val="single" w:color="000000" w:sz="4" w:space="0"/>
                  </w:tcBorders>
                </w:tcPr>
                <w:p w14:paraId="1E6395CB">
                  <w:pPr>
                    <w:pStyle w:val="25"/>
                    <w:rPr>
                      <w:rFonts w:hint="default"/>
                      <w:color w:val="0000FF"/>
                    </w:rPr>
                  </w:pPr>
                  <w:r>
                    <w:rPr>
                      <w:color w:val="0000FF"/>
                    </w:rPr>
                    <w:t xml:space="preserve">60.5 </w:t>
                  </w:r>
                </w:p>
              </w:tc>
              <w:tc>
                <w:tcPr>
                  <w:tcW w:w="337" w:type="pct"/>
                  <w:tcBorders>
                    <w:top w:val="single" w:color="000000" w:sz="4" w:space="0"/>
                    <w:left w:val="single" w:color="000000" w:sz="4" w:space="0"/>
                    <w:bottom w:val="single" w:color="000000" w:sz="4" w:space="0"/>
                    <w:right w:val="single" w:color="000000" w:sz="4" w:space="0"/>
                  </w:tcBorders>
                </w:tcPr>
                <w:p w14:paraId="7DF7FE5F">
                  <w:pPr>
                    <w:pStyle w:val="25"/>
                    <w:rPr>
                      <w:rFonts w:hint="default"/>
                      <w:color w:val="0000FF"/>
                    </w:rPr>
                  </w:pPr>
                  <w:r>
                    <w:rPr>
                      <w:color w:val="0000FF"/>
                    </w:rPr>
                    <w:t xml:space="preserve">56.0 </w:t>
                  </w:r>
                </w:p>
              </w:tc>
              <w:tc>
                <w:tcPr>
                  <w:tcW w:w="411" w:type="pct"/>
                  <w:tcBorders>
                    <w:top w:val="single" w:color="000000" w:sz="4" w:space="0"/>
                    <w:left w:val="single" w:color="000000" w:sz="4" w:space="0"/>
                    <w:bottom w:val="single" w:color="000000" w:sz="4" w:space="0"/>
                    <w:right w:val="single" w:color="000000" w:sz="4" w:space="0"/>
                  </w:tcBorders>
                </w:tcPr>
                <w:p w14:paraId="04F32B1F">
                  <w:pPr>
                    <w:pStyle w:val="25"/>
                    <w:rPr>
                      <w:rFonts w:hint="default"/>
                      <w:color w:val="0000FF"/>
                    </w:rPr>
                  </w:pPr>
                  <w:r>
                    <w:rPr>
                      <w:color w:val="0000FF"/>
                    </w:rPr>
                    <w:t xml:space="preserve">50.0 </w:t>
                  </w:r>
                </w:p>
              </w:tc>
              <w:tc>
                <w:tcPr>
                  <w:tcW w:w="411" w:type="pct"/>
                  <w:tcBorders>
                    <w:top w:val="single" w:color="000000" w:sz="4" w:space="0"/>
                    <w:left w:val="single" w:color="000000" w:sz="4" w:space="0"/>
                    <w:bottom w:val="single" w:color="000000" w:sz="4" w:space="0"/>
                    <w:right w:val="single" w:color="000000" w:sz="4" w:space="0"/>
                  </w:tcBorders>
                </w:tcPr>
                <w:p w14:paraId="5AB51618">
                  <w:pPr>
                    <w:pStyle w:val="25"/>
                    <w:rPr>
                      <w:rFonts w:hint="default"/>
                      <w:color w:val="0000FF"/>
                    </w:rPr>
                  </w:pPr>
                  <w:r>
                    <w:rPr>
                      <w:color w:val="0000FF"/>
                    </w:rPr>
                    <w:t xml:space="preserve">44.5 </w:t>
                  </w:r>
                </w:p>
              </w:tc>
              <w:tc>
                <w:tcPr>
                  <w:tcW w:w="412" w:type="pct"/>
                  <w:tcBorders>
                    <w:top w:val="single" w:color="000000" w:sz="4" w:space="0"/>
                    <w:left w:val="single" w:color="000000" w:sz="4" w:space="0"/>
                    <w:bottom w:val="single" w:color="000000" w:sz="4" w:space="0"/>
                    <w:right w:val="single" w:color="000000" w:sz="4" w:space="0"/>
                  </w:tcBorders>
                </w:tcPr>
                <w:p w14:paraId="0DB3F0DD">
                  <w:pPr>
                    <w:pStyle w:val="25"/>
                    <w:rPr>
                      <w:rFonts w:hint="default"/>
                      <w:color w:val="0000FF"/>
                    </w:rPr>
                  </w:pPr>
                  <w:r>
                    <w:rPr>
                      <w:color w:val="0000FF"/>
                    </w:rPr>
                    <w:t xml:space="preserve">44 </w:t>
                  </w:r>
                </w:p>
              </w:tc>
            </w:tr>
            <w:tr w14:paraId="34128EAB">
              <w:tblPrEx>
                <w:tblCellMar>
                  <w:top w:w="0" w:type="dxa"/>
                  <w:left w:w="108" w:type="dxa"/>
                  <w:bottom w:w="0" w:type="dxa"/>
                  <w:right w:w="108" w:type="dxa"/>
                </w:tblCellMar>
              </w:tblPrEx>
              <w:trPr>
                <w:trHeight w:val="440" w:hRule="atLeast"/>
              </w:trPr>
              <w:tc>
                <w:tcPr>
                  <w:tcW w:w="1137" w:type="pct"/>
                  <w:vMerge w:val="continue"/>
                  <w:tcBorders>
                    <w:top w:val="single" w:color="000000" w:sz="4" w:space="0"/>
                    <w:left w:val="single" w:color="000000" w:sz="4" w:space="0"/>
                    <w:bottom w:val="single" w:color="000000" w:sz="4" w:space="0"/>
                    <w:right w:val="single" w:color="000000" w:sz="4" w:space="0"/>
                  </w:tcBorders>
                  <w:vAlign w:val="center"/>
                </w:tcPr>
                <w:p w14:paraId="12D486A9">
                  <w:pPr>
                    <w:pStyle w:val="25"/>
                    <w:rPr>
                      <w:rFonts w:hint="default"/>
                      <w:color w:val="0000FF"/>
                    </w:rPr>
                  </w:pPr>
                </w:p>
              </w:tc>
              <w:tc>
                <w:tcPr>
                  <w:tcW w:w="861" w:type="pct"/>
                  <w:tcBorders>
                    <w:top w:val="single" w:color="000000" w:sz="4" w:space="0"/>
                    <w:left w:val="single" w:color="000000" w:sz="4" w:space="0"/>
                    <w:bottom w:val="single" w:color="000000" w:sz="4" w:space="0"/>
                    <w:right w:val="single" w:color="000000" w:sz="4" w:space="0"/>
                  </w:tcBorders>
                  <w:vAlign w:val="center"/>
                </w:tcPr>
                <w:p w14:paraId="7DDCB208">
                  <w:pPr>
                    <w:pStyle w:val="25"/>
                    <w:rPr>
                      <w:rFonts w:hint="default"/>
                      <w:color w:val="0000FF"/>
                    </w:rPr>
                  </w:pPr>
                  <w:r>
                    <w:rPr>
                      <w:color w:val="0000FF"/>
                    </w:rPr>
                    <w:t>各种车辆</w:t>
                  </w:r>
                </w:p>
              </w:tc>
              <w:tc>
                <w:tcPr>
                  <w:tcW w:w="397" w:type="pct"/>
                  <w:tcBorders>
                    <w:top w:val="single" w:color="000000" w:sz="4" w:space="0"/>
                    <w:left w:val="single" w:color="000000" w:sz="4" w:space="0"/>
                    <w:bottom w:val="single" w:color="000000" w:sz="4" w:space="0"/>
                    <w:right w:val="single" w:color="000000" w:sz="4" w:space="0"/>
                  </w:tcBorders>
                </w:tcPr>
                <w:p w14:paraId="5F1F5188">
                  <w:pPr>
                    <w:pStyle w:val="25"/>
                    <w:rPr>
                      <w:rFonts w:hint="default"/>
                      <w:color w:val="0000FF"/>
                    </w:rPr>
                  </w:pPr>
                  <w:r>
                    <w:rPr>
                      <w:color w:val="0000FF"/>
                    </w:rPr>
                    <w:t xml:space="preserve">85 </w:t>
                  </w:r>
                </w:p>
              </w:tc>
              <w:tc>
                <w:tcPr>
                  <w:tcW w:w="337" w:type="pct"/>
                  <w:tcBorders>
                    <w:top w:val="single" w:color="000000" w:sz="4" w:space="0"/>
                    <w:left w:val="single" w:color="000000" w:sz="4" w:space="0"/>
                    <w:bottom w:val="single" w:color="000000" w:sz="4" w:space="0"/>
                    <w:right w:val="single" w:color="000000" w:sz="4" w:space="0"/>
                  </w:tcBorders>
                </w:tcPr>
                <w:p w14:paraId="0BBDE789">
                  <w:pPr>
                    <w:pStyle w:val="25"/>
                    <w:rPr>
                      <w:rFonts w:hint="default"/>
                      <w:color w:val="0000FF"/>
                    </w:rPr>
                  </w:pPr>
                  <w:r>
                    <w:rPr>
                      <w:color w:val="0000FF"/>
                    </w:rPr>
                    <w:t xml:space="preserve">65 </w:t>
                  </w:r>
                </w:p>
              </w:tc>
              <w:tc>
                <w:tcPr>
                  <w:tcW w:w="353" w:type="pct"/>
                  <w:tcBorders>
                    <w:top w:val="single" w:color="000000" w:sz="4" w:space="0"/>
                    <w:left w:val="single" w:color="000000" w:sz="4" w:space="0"/>
                    <w:bottom w:val="single" w:color="000000" w:sz="4" w:space="0"/>
                    <w:right w:val="single" w:color="000000" w:sz="4" w:space="0"/>
                  </w:tcBorders>
                </w:tcPr>
                <w:p w14:paraId="41FE450D">
                  <w:pPr>
                    <w:pStyle w:val="25"/>
                    <w:rPr>
                      <w:rFonts w:hint="default"/>
                      <w:color w:val="0000FF"/>
                    </w:rPr>
                  </w:pPr>
                  <w:r>
                    <w:rPr>
                      <w:color w:val="0000FF"/>
                    </w:rPr>
                    <w:t xml:space="preserve">59 </w:t>
                  </w:r>
                </w:p>
              </w:tc>
              <w:tc>
                <w:tcPr>
                  <w:tcW w:w="337" w:type="pct"/>
                  <w:tcBorders>
                    <w:top w:val="single" w:color="000000" w:sz="4" w:space="0"/>
                    <w:left w:val="single" w:color="000000" w:sz="4" w:space="0"/>
                    <w:bottom w:val="single" w:color="000000" w:sz="4" w:space="0"/>
                    <w:right w:val="single" w:color="000000" w:sz="4" w:space="0"/>
                  </w:tcBorders>
                </w:tcPr>
                <w:p w14:paraId="736607C6">
                  <w:pPr>
                    <w:pStyle w:val="25"/>
                    <w:rPr>
                      <w:rFonts w:hint="default"/>
                      <w:color w:val="0000FF"/>
                    </w:rPr>
                  </w:pPr>
                  <w:r>
                    <w:rPr>
                      <w:color w:val="0000FF"/>
                    </w:rPr>
                    <w:t xml:space="preserve">55.5 </w:t>
                  </w:r>
                </w:p>
              </w:tc>
              <w:tc>
                <w:tcPr>
                  <w:tcW w:w="337" w:type="pct"/>
                  <w:tcBorders>
                    <w:top w:val="single" w:color="000000" w:sz="4" w:space="0"/>
                    <w:left w:val="single" w:color="000000" w:sz="4" w:space="0"/>
                    <w:bottom w:val="single" w:color="000000" w:sz="4" w:space="0"/>
                    <w:right w:val="single" w:color="000000" w:sz="4" w:space="0"/>
                  </w:tcBorders>
                </w:tcPr>
                <w:p w14:paraId="0273855F">
                  <w:pPr>
                    <w:pStyle w:val="25"/>
                    <w:rPr>
                      <w:rFonts w:hint="default"/>
                      <w:color w:val="0000FF"/>
                    </w:rPr>
                  </w:pPr>
                  <w:r>
                    <w:rPr>
                      <w:color w:val="0000FF"/>
                    </w:rPr>
                    <w:t xml:space="preserve">51.0 </w:t>
                  </w:r>
                </w:p>
              </w:tc>
              <w:tc>
                <w:tcPr>
                  <w:tcW w:w="411" w:type="pct"/>
                  <w:tcBorders>
                    <w:top w:val="single" w:color="000000" w:sz="4" w:space="0"/>
                    <w:left w:val="single" w:color="000000" w:sz="4" w:space="0"/>
                    <w:bottom w:val="single" w:color="000000" w:sz="4" w:space="0"/>
                    <w:right w:val="single" w:color="000000" w:sz="4" w:space="0"/>
                  </w:tcBorders>
                </w:tcPr>
                <w:p w14:paraId="6D4F000A">
                  <w:pPr>
                    <w:pStyle w:val="25"/>
                    <w:rPr>
                      <w:rFonts w:hint="default"/>
                      <w:color w:val="0000FF"/>
                    </w:rPr>
                  </w:pPr>
                  <w:r>
                    <w:rPr>
                      <w:color w:val="0000FF"/>
                    </w:rPr>
                    <w:t xml:space="preserve">45 </w:t>
                  </w:r>
                </w:p>
              </w:tc>
              <w:tc>
                <w:tcPr>
                  <w:tcW w:w="411" w:type="pct"/>
                  <w:tcBorders>
                    <w:top w:val="single" w:color="000000" w:sz="4" w:space="0"/>
                    <w:left w:val="single" w:color="000000" w:sz="4" w:space="0"/>
                    <w:bottom w:val="single" w:color="000000" w:sz="4" w:space="0"/>
                    <w:right w:val="single" w:color="000000" w:sz="4" w:space="0"/>
                  </w:tcBorders>
                </w:tcPr>
                <w:p w14:paraId="6494C13E">
                  <w:pPr>
                    <w:pStyle w:val="25"/>
                    <w:rPr>
                      <w:rFonts w:hint="default"/>
                      <w:color w:val="0000FF"/>
                    </w:rPr>
                  </w:pPr>
                  <w:r>
                    <w:rPr>
                      <w:color w:val="0000FF"/>
                    </w:rPr>
                    <w:t xml:space="preserve">39.5 </w:t>
                  </w:r>
                </w:p>
              </w:tc>
              <w:tc>
                <w:tcPr>
                  <w:tcW w:w="412" w:type="pct"/>
                  <w:tcBorders>
                    <w:top w:val="single" w:color="000000" w:sz="4" w:space="0"/>
                    <w:left w:val="single" w:color="000000" w:sz="4" w:space="0"/>
                    <w:bottom w:val="single" w:color="000000" w:sz="4" w:space="0"/>
                    <w:right w:val="single" w:color="000000" w:sz="4" w:space="0"/>
                  </w:tcBorders>
                </w:tcPr>
                <w:p w14:paraId="03A0E282">
                  <w:pPr>
                    <w:pStyle w:val="25"/>
                    <w:rPr>
                      <w:rFonts w:hint="default"/>
                      <w:color w:val="0000FF"/>
                    </w:rPr>
                  </w:pPr>
                  <w:r>
                    <w:rPr>
                      <w:color w:val="0000FF"/>
                    </w:rPr>
                    <w:t xml:space="preserve">39 </w:t>
                  </w:r>
                </w:p>
              </w:tc>
            </w:tr>
            <w:tr w14:paraId="0C0AD778">
              <w:tblPrEx>
                <w:tblCellMar>
                  <w:top w:w="0" w:type="dxa"/>
                  <w:left w:w="108" w:type="dxa"/>
                  <w:bottom w:w="0" w:type="dxa"/>
                  <w:right w:w="108" w:type="dxa"/>
                </w:tblCellMar>
              </w:tblPrEx>
              <w:trPr>
                <w:trHeight w:val="440" w:hRule="atLeast"/>
              </w:trPr>
              <w:tc>
                <w:tcPr>
                  <w:tcW w:w="1137" w:type="pct"/>
                  <w:vMerge w:val="continue"/>
                  <w:tcBorders>
                    <w:top w:val="single" w:color="000000" w:sz="4" w:space="0"/>
                    <w:left w:val="single" w:color="000000" w:sz="4" w:space="0"/>
                    <w:bottom w:val="single" w:color="000000" w:sz="4" w:space="0"/>
                    <w:right w:val="single" w:color="000000" w:sz="4" w:space="0"/>
                  </w:tcBorders>
                  <w:vAlign w:val="center"/>
                </w:tcPr>
                <w:p w14:paraId="21BB91F6">
                  <w:pPr>
                    <w:pStyle w:val="25"/>
                    <w:rPr>
                      <w:rFonts w:hint="default"/>
                      <w:color w:val="0000FF"/>
                    </w:rPr>
                  </w:pPr>
                </w:p>
              </w:tc>
              <w:tc>
                <w:tcPr>
                  <w:tcW w:w="861" w:type="pct"/>
                  <w:tcBorders>
                    <w:top w:val="single" w:color="000000" w:sz="4" w:space="0"/>
                    <w:left w:val="single" w:color="000000" w:sz="4" w:space="0"/>
                    <w:bottom w:val="single" w:color="000000" w:sz="4" w:space="0"/>
                    <w:right w:val="single" w:color="000000" w:sz="4" w:space="0"/>
                  </w:tcBorders>
                  <w:vAlign w:val="center"/>
                </w:tcPr>
                <w:p w14:paraId="681A2996">
                  <w:pPr>
                    <w:pStyle w:val="25"/>
                    <w:rPr>
                      <w:rFonts w:hint="default"/>
                      <w:color w:val="0000FF"/>
                    </w:rPr>
                  </w:pPr>
                  <w:r>
                    <w:rPr>
                      <w:color w:val="0000FF"/>
                    </w:rPr>
                    <w:t>同时施工</w:t>
                  </w:r>
                </w:p>
              </w:tc>
              <w:tc>
                <w:tcPr>
                  <w:tcW w:w="397" w:type="pct"/>
                  <w:tcBorders>
                    <w:top w:val="single" w:color="000000" w:sz="4" w:space="0"/>
                    <w:left w:val="single" w:color="000000" w:sz="4" w:space="0"/>
                    <w:bottom w:val="single" w:color="000000" w:sz="4" w:space="0"/>
                    <w:right w:val="single" w:color="000000" w:sz="4" w:space="0"/>
                  </w:tcBorders>
                </w:tcPr>
                <w:p w14:paraId="3CDB6731">
                  <w:pPr>
                    <w:pStyle w:val="25"/>
                    <w:rPr>
                      <w:rFonts w:hint="default"/>
                      <w:color w:val="0000FF"/>
                    </w:rPr>
                  </w:pPr>
                  <w:r>
                    <w:rPr>
                      <w:color w:val="0000FF"/>
                    </w:rPr>
                    <w:t xml:space="preserve">95.2 </w:t>
                  </w:r>
                </w:p>
              </w:tc>
              <w:tc>
                <w:tcPr>
                  <w:tcW w:w="337" w:type="pct"/>
                  <w:tcBorders>
                    <w:top w:val="single" w:color="000000" w:sz="4" w:space="0"/>
                    <w:left w:val="single" w:color="000000" w:sz="4" w:space="0"/>
                    <w:bottom w:val="single" w:color="000000" w:sz="4" w:space="0"/>
                    <w:right w:val="single" w:color="000000" w:sz="4" w:space="0"/>
                  </w:tcBorders>
                </w:tcPr>
                <w:p w14:paraId="2ACE7C79">
                  <w:pPr>
                    <w:pStyle w:val="25"/>
                    <w:rPr>
                      <w:rFonts w:hint="default"/>
                      <w:color w:val="0000FF"/>
                    </w:rPr>
                  </w:pPr>
                  <w:r>
                    <w:rPr>
                      <w:color w:val="0000FF"/>
                    </w:rPr>
                    <w:t xml:space="preserve">75.2 </w:t>
                  </w:r>
                </w:p>
              </w:tc>
              <w:tc>
                <w:tcPr>
                  <w:tcW w:w="353" w:type="pct"/>
                  <w:tcBorders>
                    <w:top w:val="single" w:color="000000" w:sz="4" w:space="0"/>
                    <w:left w:val="single" w:color="000000" w:sz="4" w:space="0"/>
                    <w:bottom w:val="single" w:color="000000" w:sz="4" w:space="0"/>
                    <w:right w:val="single" w:color="000000" w:sz="4" w:space="0"/>
                  </w:tcBorders>
                </w:tcPr>
                <w:p w14:paraId="16CD85E3">
                  <w:pPr>
                    <w:pStyle w:val="25"/>
                    <w:rPr>
                      <w:rFonts w:hint="default"/>
                      <w:color w:val="0000FF"/>
                    </w:rPr>
                  </w:pPr>
                  <w:r>
                    <w:rPr>
                      <w:color w:val="0000FF"/>
                    </w:rPr>
                    <w:t xml:space="preserve">69.2 </w:t>
                  </w:r>
                </w:p>
              </w:tc>
              <w:tc>
                <w:tcPr>
                  <w:tcW w:w="337" w:type="pct"/>
                  <w:tcBorders>
                    <w:top w:val="single" w:color="000000" w:sz="4" w:space="0"/>
                    <w:left w:val="single" w:color="000000" w:sz="4" w:space="0"/>
                    <w:bottom w:val="single" w:color="000000" w:sz="4" w:space="0"/>
                    <w:right w:val="single" w:color="000000" w:sz="4" w:space="0"/>
                  </w:tcBorders>
                </w:tcPr>
                <w:p w14:paraId="1A8A79BB">
                  <w:pPr>
                    <w:pStyle w:val="25"/>
                    <w:rPr>
                      <w:rFonts w:hint="default"/>
                      <w:color w:val="0000FF"/>
                    </w:rPr>
                  </w:pPr>
                  <w:r>
                    <w:rPr>
                      <w:color w:val="0000FF"/>
                    </w:rPr>
                    <w:t xml:space="preserve">65.7 </w:t>
                  </w:r>
                </w:p>
              </w:tc>
              <w:tc>
                <w:tcPr>
                  <w:tcW w:w="337" w:type="pct"/>
                  <w:tcBorders>
                    <w:top w:val="single" w:color="000000" w:sz="4" w:space="0"/>
                    <w:left w:val="single" w:color="000000" w:sz="4" w:space="0"/>
                    <w:bottom w:val="single" w:color="000000" w:sz="4" w:space="0"/>
                    <w:right w:val="single" w:color="000000" w:sz="4" w:space="0"/>
                  </w:tcBorders>
                </w:tcPr>
                <w:p w14:paraId="3E52B61D">
                  <w:pPr>
                    <w:pStyle w:val="25"/>
                    <w:rPr>
                      <w:rFonts w:hint="default"/>
                      <w:color w:val="0000FF"/>
                    </w:rPr>
                  </w:pPr>
                  <w:r>
                    <w:rPr>
                      <w:color w:val="0000FF"/>
                    </w:rPr>
                    <w:t xml:space="preserve">61.2 </w:t>
                  </w:r>
                </w:p>
              </w:tc>
              <w:tc>
                <w:tcPr>
                  <w:tcW w:w="411" w:type="pct"/>
                  <w:tcBorders>
                    <w:top w:val="single" w:color="000000" w:sz="4" w:space="0"/>
                    <w:left w:val="single" w:color="000000" w:sz="4" w:space="0"/>
                    <w:bottom w:val="single" w:color="000000" w:sz="4" w:space="0"/>
                    <w:right w:val="single" w:color="000000" w:sz="4" w:space="0"/>
                  </w:tcBorders>
                </w:tcPr>
                <w:p w14:paraId="0D132E38">
                  <w:pPr>
                    <w:pStyle w:val="25"/>
                    <w:rPr>
                      <w:rFonts w:hint="default"/>
                      <w:color w:val="0000FF"/>
                    </w:rPr>
                  </w:pPr>
                  <w:r>
                    <w:rPr>
                      <w:color w:val="0000FF"/>
                    </w:rPr>
                    <w:t xml:space="preserve">55.2 </w:t>
                  </w:r>
                </w:p>
              </w:tc>
              <w:tc>
                <w:tcPr>
                  <w:tcW w:w="411" w:type="pct"/>
                  <w:tcBorders>
                    <w:top w:val="single" w:color="000000" w:sz="4" w:space="0"/>
                    <w:left w:val="single" w:color="000000" w:sz="4" w:space="0"/>
                    <w:bottom w:val="single" w:color="000000" w:sz="4" w:space="0"/>
                    <w:right w:val="single" w:color="000000" w:sz="4" w:space="0"/>
                  </w:tcBorders>
                </w:tcPr>
                <w:p w14:paraId="7094AEE1">
                  <w:pPr>
                    <w:pStyle w:val="25"/>
                    <w:rPr>
                      <w:rFonts w:hint="default"/>
                      <w:color w:val="0000FF"/>
                    </w:rPr>
                  </w:pPr>
                  <w:r>
                    <w:rPr>
                      <w:color w:val="0000FF"/>
                    </w:rPr>
                    <w:t xml:space="preserve">49.7 </w:t>
                  </w:r>
                </w:p>
              </w:tc>
              <w:tc>
                <w:tcPr>
                  <w:tcW w:w="412" w:type="pct"/>
                  <w:tcBorders>
                    <w:top w:val="single" w:color="000000" w:sz="4" w:space="0"/>
                    <w:left w:val="single" w:color="000000" w:sz="4" w:space="0"/>
                    <w:bottom w:val="single" w:color="000000" w:sz="4" w:space="0"/>
                    <w:right w:val="single" w:color="000000" w:sz="4" w:space="0"/>
                  </w:tcBorders>
                </w:tcPr>
                <w:p w14:paraId="77DEAC35">
                  <w:pPr>
                    <w:pStyle w:val="25"/>
                    <w:rPr>
                      <w:rFonts w:hint="default"/>
                      <w:color w:val="0000FF"/>
                    </w:rPr>
                  </w:pPr>
                  <w:r>
                    <w:rPr>
                      <w:color w:val="0000FF"/>
                    </w:rPr>
                    <w:t xml:space="preserve">19.5 </w:t>
                  </w:r>
                </w:p>
              </w:tc>
            </w:tr>
            <w:tr w14:paraId="33F15232">
              <w:tblPrEx>
                <w:tblCellMar>
                  <w:top w:w="0" w:type="dxa"/>
                  <w:left w:w="108" w:type="dxa"/>
                  <w:bottom w:w="0" w:type="dxa"/>
                  <w:right w:w="108" w:type="dxa"/>
                </w:tblCellMar>
              </w:tblPrEx>
              <w:trPr>
                <w:trHeight w:val="405" w:hRule="atLeast"/>
              </w:trPr>
              <w:tc>
                <w:tcPr>
                  <w:tcW w:w="1137" w:type="pct"/>
                  <w:vMerge w:val="restart"/>
                  <w:tcBorders>
                    <w:top w:val="single" w:color="000000" w:sz="4" w:space="0"/>
                    <w:left w:val="single" w:color="000000" w:sz="4" w:space="0"/>
                    <w:bottom w:val="single" w:color="000000" w:sz="4" w:space="0"/>
                    <w:right w:val="single" w:color="000000" w:sz="4" w:space="0"/>
                  </w:tcBorders>
                  <w:vAlign w:val="center"/>
                </w:tcPr>
                <w:p w14:paraId="3E35F4DA">
                  <w:pPr>
                    <w:pStyle w:val="25"/>
                    <w:rPr>
                      <w:rFonts w:hint="default"/>
                      <w:color w:val="0000FF"/>
                    </w:rPr>
                  </w:pPr>
                  <w:r>
                    <w:rPr>
                      <w:color w:val="0000FF"/>
                    </w:rPr>
                    <w:t>结构施工阶段</w:t>
                  </w:r>
                </w:p>
              </w:tc>
              <w:tc>
                <w:tcPr>
                  <w:tcW w:w="861" w:type="pct"/>
                  <w:tcBorders>
                    <w:top w:val="single" w:color="000000" w:sz="4" w:space="0"/>
                    <w:left w:val="single" w:color="000000" w:sz="4" w:space="0"/>
                    <w:bottom w:val="single" w:color="000000" w:sz="4" w:space="0"/>
                    <w:right w:val="single" w:color="000000" w:sz="4" w:space="0"/>
                  </w:tcBorders>
                  <w:vAlign w:val="center"/>
                </w:tcPr>
                <w:p w14:paraId="78B61A48">
                  <w:pPr>
                    <w:pStyle w:val="25"/>
                    <w:rPr>
                      <w:rFonts w:hint="default"/>
                      <w:color w:val="0000FF"/>
                    </w:rPr>
                  </w:pPr>
                  <w:r>
                    <w:rPr>
                      <w:color w:val="0000FF"/>
                    </w:rPr>
                    <w:t>振捣器</w:t>
                  </w:r>
                </w:p>
              </w:tc>
              <w:tc>
                <w:tcPr>
                  <w:tcW w:w="397" w:type="pct"/>
                  <w:tcBorders>
                    <w:top w:val="single" w:color="000000" w:sz="4" w:space="0"/>
                    <w:left w:val="single" w:color="000000" w:sz="4" w:space="0"/>
                    <w:bottom w:val="single" w:color="000000" w:sz="4" w:space="0"/>
                    <w:right w:val="single" w:color="000000" w:sz="4" w:space="0"/>
                  </w:tcBorders>
                </w:tcPr>
                <w:p w14:paraId="6BBB1995">
                  <w:pPr>
                    <w:pStyle w:val="25"/>
                    <w:rPr>
                      <w:rFonts w:hint="default"/>
                      <w:color w:val="0000FF"/>
                    </w:rPr>
                  </w:pPr>
                  <w:r>
                    <w:rPr>
                      <w:color w:val="0000FF"/>
                    </w:rPr>
                    <w:t xml:space="preserve">95.0 </w:t>
                  </w:r>
                </w:p>
              </w:tc>
              <w:tc>
                <w:tcPr>
                  <w:tcW w:w="337" w:type="pct"/>
                  <w:tcBorders>
                    <w:top w:val="single" w:color="000000" w:sz="4" w:space="0"/>
                    <w:left w:val="single" w:color="000000" w:sz="4" w:space="0"/>
                    <w:bottom w:val="single" w:color="000000" w:sz="4" w:space="0"/>
                    <w:right w:val="single" w:color="000000" w:sz="4" w:space="0"/>
                  </w:tcBorders>
                </w:tcPr>
                <w:p w14:paraId="14808ED6">
                  <w:pPr>
                    <w:pStyle w:val="25"/>
                    <w:rPr>
                      <w:rFonts w:hint="default"/>
                      <w:color w:val="0000FF"/>
                    </w:rPr>
                  </w:pPr>
                  <w:r>
                    <w:rPr>
                      <w:color w:val="0000FF"/>
                    </w:rPr>
                    <w:t xml:space="preserve">75.0 </w:t>
                  </w:r>
                </w:p>
              </w:tc>
              <w:tc>
                <w:tcPr>
                  <w:tcW w:w="353" w:type="pct"/>
                  <w:tcBorders>
                    <w:top w:val="single" w:color="000000" w:sz="4" w:space="0"/>
                    <w:left w:val="single" w:color="000000" w:sz="4" w:space="0"/>
                    <w:bottom w:val="single" w:color="000000" w:sz="4" w:space="0"/>
                    <w:right w:val="single" w:color="000000" w:sz="4" w:space="0"/>
                  </w:tcBorders>
                </w:tcPr>
                <w:p w14:paraId="7F475064">
                  <w:pPr>
                    <w:pStyle w:val="25"/>
                    <w:rPr>
                      <w:rFonts w:hint="default"/>
                      <w:color w:val="0000FF"/>
                    </w:rPr>
                  </w:pPr>
                  <w:r>
                    <w:rPr>
                      <w:color w:val="0000FF"/>
                    </w:rPr>
                    <w:t xml:space="preserve">69.0 </w:t>
                  </w:r>
                </w:p>
              </w:tc>
              <w:tc>
                <w:tcPr>
                  <w:tcW w:w="337" w:type="pct"/>
                  <w:tcBorders>
                    <w:top w:val="single" w:color="000000" w:sz="4" w:space="0"/>
                    <w:left w:val="single" w:color="000000" w:sz="4" w:space="0"/>
                    <w:bottom w:val="single" w:color="000000" w:sz="4" w:space="0"/>
                    <w:right w:val="single" w:color="000000" w:sz="4" w:space="0"/>
                  </w:tcBorders>
                </w:tcPr>
                <w:p w14:paraId="7782ADE1">
                  <w:pPr>
                    <w:pStyle w:val="25"/>
                    <w:rPr>
                      <w:rFonts w:hint="default"/>
                      <w:color w:val="0000FF"/>
                    </w:rPr>
                  </w:pPr>
                  <w:r>
                    <w:rPr>
                      <w:color w:val="0000FF"/>
                    </w:rPr>
                    <w:t xml:space="preserve">65.5 </w:t>
                  </w:r>
                </w:p>
              </w:tc>
              <w:tc>
                <w:tcPr>
                  <w:tcW w:w="337" w:type="pct"/>
                  <w:tcBorders>
                    <w:top w:val="single" w:color="000000" w:sz="4" w:space="0"/>
                    <w:left w:val="single" w:color="000000" w:sz="4" w:space="0"/>
                    <w:bottom w:val="single" w:color="000000" w:sz="4" w:space="0"/>
                    <w:right w:val="single" w:color="000000" w:sz="4" w:space="0"/>
                  </w:tcBorders>
                </w:tcPr>
                <w:p w14:paraId="7577F7A9">
                  <w:pPr>
                    <w:pStyle w:val="25"/>
                    <w:rPr>
                      <w:rFonts w:hint="default"/>
                      <w:color w:val="0000FF"/>
                    </w:rPr>
                  </w:pPr>
                  <w:r>
                    <w:rPr>
                      <w:color w:val="0000FF"/>
                    </w:rPr>
                    <w:t xml:space="preserve">61.0 </w:t>
                  </w:r>
                </w:p>
              </w:tc>
              <w:tc>
                <w:tcPr>
                  <w:tcW w:w="411" w:type="pct"/>
                  <w:tcBorders>
                    <w:top w:val="single" w:color="000000" w:sz="4" w:space="0"/>
                    <w:left w:val="single" w:color="000000" w:sz="4" w:space="0"/>
                    <w:bottom w:val="single" w:color="000000" w:sz="4" w:space="0"/>
                    <w:right w:val="single" w:color="000000" w:sz="4" w:space="0"/>
                  </w:tcBorders>
                </w:tcPr>
                <w:p w14:paraId="42E43DC2">
                  <w:pPr>
                    <w:pStyle w:val="25"/>
                    <w:rPr>
                      <w:rFonts w:hint="default"/>
                      <w:color w:val="0000FF"/>
                    </w:rPr>
                  </w:pPr>
                  <w:r>
                    <w:rPr>
                      <w:color w:val="0000FF"/>
                    </w:rPr>
                    <w:t xml:space="preserve">55.0 </w:t>
                  </w:r>
                </w:p>
              </w:tc>
              <w:tc>
                <w:tcPr>
                  <w:tcW w:w="411" w:type="pct"/>
                  <w:tcBorders>
                    <w:top w:val="single" w:color="000000" w:sz="4" w:space="0"/>
                    <w:left w:val="single" w:color="000000" w:sz="4" w:space="0"/>
                    <w:bottom w:val="single" w:color="000000" w:sz="4" w:space="0"/>
                    <w:right w:val="single" w:color="000000" w:sz="4" w:space="0"/>
                  </w:tcBorders>
                </w:tcPr>
                <w:p w14:paraId="7FD08BA2">
                  <w:pPr>
                    <w:pStyle w:val="25"/>
                    <w:rPr>
                      <w:rFonts w:hint="default"/>
                      <w:color w:val="0000FF"/>
                    </w:rPr>
                  </w:pPr>
                  <w:r>
                    <w:rPr>
                      <w:color w:val="0000FF"/>
                    </w:rPr>
                    <w:t xml:space="preserve">49.5 </w:t>
                  </w:r>
                </w:p>
              </w:tc>
              <w:tc>
                <w:tcPr>
                  <w:tcW w:w="412" w:type="pct"/>
                  <w:tcBorders>
                    <w:top w:val="single" w:color="000000" w:sz="4" w:space="0"/>
                    <w:left w:val="single" w:color="000000" w:sz="4" w:space="0"/>
                    <w:bottom w:val="single" w:color="000000" w:sz="4" w:space="0"/>
                    <w:right w:val="single" w:color="000000" w:sz="4" w:space="0"/>
                  </w:tcBorders>
                </w:tcPr>
                <w:p w14:paraId="6B8B63BC">
                  <w:pPr>
                    <w:pStyle w:val="25"/>
                    <w:rPr>
                      <w:rFonts w:hint="default"/>
                      <w:color w:val="0000FF"/>
                    </w:rPr>
                  </w:pPr>
                  <w:r>
                    <w:rPr>
                      <w:color w:val="0000FF"/>
                    </w:rPr>
                    <w:t xml:space="preserve">49.0 </w:t>
                  </w:r>
                </w:p>
              </w:tc>
            </w:tr>
            <w:tr w14:paraId="76070298">
              <w:tblPrEx>
                <w:tblCellMar>
                  <w:top w:w="0" w:type="dxa"/>
                  <w:left w:w="108" w:type="dxa"/>
                  <w:bottom w:w="0" w:type="dxa"/>
                  <w:right w:w="108" w:type="dxa"/>
                </w:tblCellMar>
              </w:tblPrEx>
              <w:trPr>
                <w:trHeight w:val="440" w:hRule="atLeast"/>
              </w:trPr>
              <w:tc>
                <w:tcPr>
                  <w:tcW w:w="1137" w:type="pct"/>
                  <w:vMerge w:val="continue"/>
                  <w:tcBorders>
                    <w:top w:val="single" w:color="000000" w:sz="4" w:space="0"/>
                    <w:left w:val="single" w:color="000000" w:sz="4" w:space="0"/>
                    <w:bottom w:val="single" w:color="000000" w:sz="4" w:space="0"/>
                    <w:right w:val="single" w:color="000000" w:sz="4" w:space="0"/>
                  </w:tcBorders>
                  <w:vAlign w:val="center"/>
                </w:tcPr>
                <w:p w14:paraId="692E7F19">
                  <w:pPr>
                    <w:pStyle w:val="25"/>
                    <w:rPr>
                      <w:rFonts w:hint="default"/>
                      <w:color w:val="0000FF"/>
                    </w:rPr>
                  </w:pPr>
                </w:p>
              </w:tc>
              <w:tc>
                <w:tcPr>
                  <w:tcW w:w="861" w:type="pct"/>
                  <w:tcBorders>
                    <w:top w:val="single" w:color="000000" w:sz="4" w:space="0"/>
                    <w:left w:val="single" w:color="000000" w:sz="4" w:space="0"/>
                    <w:bottom w:val="single" w:color="000000" w:sz="4" w:space="0"/>
                    <w:right w:val="single" w:color="000000" w:sz="4" w:space="0"/>
                  </w:tcBorders>
                  <w:vAlign w:val="center"/>
                </w:tcPr>
                <w:p w14:paraId="30399100">
                  <w:pPr>
                    <w:pStyle w:val="25"/>
                    <w:rPr>
                      <w:rFonts w:hint="default"/>
                      <w:color w:val="0000FF"/>
                    </w:rPr>
                  </w:pPr>
                  <w:r>
                    <w:rPr>
                      <w:color w:val="0000FF"/>
                    </w:rPr>
                    <w:t>切割机</w:t>
                  </w:r>
                </w:p>
              </w:tc>
              <w:tc>
                <w:tcPr>
                  <w:tcW w:w="397" w:type="pct"/>
                  <w:tcBorders>
                    <w:top w:val="single" w:color="000000" w:sz="4" w:space="0"/>
                    <w:left w:val="single" w:color="000000" w:sz="4" w:space="0"/>
                    <w:bottom w:val="single" w:color="000000" w:sz="4" w:space="0"/>
                    <w:right w:val="single" w:color="000000" w:sz="4" w:space="0"/>
                  </w:tcBorders>
                </w:tcPr>
                <w:p w14:paraId="4E57771F">
                  <w:pPr>
                    <w:pStyle w:val="25"/>
                    <w:rPr>
                      <w:rFonts w:hint="default"/>
                      <w:color w:val="0000FF"/>
                    </w:rPr>
                  </w:pPr>
                  <w:r>
                    <w:rPr>
                      <w:color w:val="0000FF"/>
                    </w:rPr>
                    <w:t xml:space="preserve">100 </w:t>
                  </w:r>
                </w:p>
              </w:tc>
              <w:tc>
                <w:tcPr>
                  <w:tcW w:w="337" w:type="pct"/>
                  <w:tcBorders>
                    <w:top w:val="single" w:color="000000" w:sz="4" w:space="0"/>
                    <w:left w:val="single" w:color="000000" w:sz="4" w:space="0"/>
                    <w:bottom w:val="single" w:color="000000" w:sz="4" w:space="0"/>
                    <w:right w:val="single" w:color="000000" w:sz="4" w:space="0"/>
                  </w:tcBorders>
                </w:tcPr>
                <w:p w14:paraId="0107CF92">
                  <w:pPr>
                    <w:pStyle w:val="25"/>
                    <w:rPr>
                      <w:rFonts w:hint="default"/>
                      <w:color w:val="0000FF"/>
                    </w:rPr>
                  </w:pPr>
                  <w:r>
                    <w:rPr>
                      <w:color w:val="0000FF"/>
                    </w:rPr>
                    <w:t xml:space="preserve">78.0 </w:t>
                  </w:r>
                </w:p>
              </w:tc>
              <w:tc>
                <w:tcPr>
                  <w:tcW w:w="353" w:type="pct"/>
                  <w:tcBorders>
                    <w:top w:val="single" w:color="000000" w:sz="4" w:space="0"/>
                    <w:left w:val="single" w:color="000000" w:sz="4" w:space="0"/>
                    <w:bottom w:val="single" w:color="000000" w:sz="4" w:space="0"/>
                    <w:right w:val="single" w:color="000000" w:sz="4" w:space="0"/>
                  </w:tcBorders>
                </w:tcPr>
                <w:p w14:paraId="5D22CA1E">
                  <w:pPr>
                    <w:pStyle w:val="25"/>
                    <w:rPr>
                      <w:rFonts w:hint="default"/>
                      <w:color w:val="0000FF"/>
                    </w:rPr>
                  </w:pPr>
                  <w:r>
                    <w:rPr>
                      <w:color w:val="0000FF"/>
                    </w:rPr>
                    <w:t xml:space="preserve">72.0 </w:t>
                  </w:r>
                </w:p>
              </w:tc>
              <w:tc>
                <w:tcPr>
                  <w:tcW w:w="337" w:type="pct"/>
                  <w:tcBorders>
                    <w:top w:val="single" w:color="000000" w:sz="4" w:space="0"/>
                    <w:left w:val="single" w:color="000000" w:sz="4" w:space="0"/>
                    <w:bottom w:val="single" w:color="000000" w:sz="4" w:space="0"/>
                    <w:right w:val="single" w:color="000000" w:sz="4" w:space="0"/>
                  </w:tcBorders>
                </w:tcPr>
                <w:p w14:paraId="6DC81B0F">
                  <w:pPr>
                    <w:pStyle w:val="25"/>
                    <w:rPr>
                      <w:rFonts w:hint="default"/>
                      <w:color w:val="0000FF"/>
                    </w:rPr>
                  </w:pPr>
                  <w:r>
                    <w:rPr>
                      <w:color w:val="0000FF"/>
                    </w:rPr>
                    <w:t xml:space="preserve">68.5 </w:t>
                  </w:r>
                </w:p>
              </w:tc>
              <w:tc>
                <w:tcPr>
                  <w:tcW w:w="337" w:type="pct"/>
                  <w:tcBorders>
                    <w:top w:val="single" w:color="000000" w:sz="4" w:space="0"/>
                    <w:left w:val="single" w:color="000000" w:sz="4" w:space="0"/>
                    <w:bottom w:val="single" w:color="000000" w:sz="4" w:space="0"/>
                    <w:right w:val="single" w:color="000000" w:sz="4" w:space="0"/>
                  </w:tcBorders>
                </w:tcPr>
                <w:p w14:paraId="509A3133">
                  <w:pPr>
                    <w:pStyle w:val="25"/>
                    <w:rPr>
                      <w:rFonts w:hint="default"/>
                      <w:color w:val="0000FF"/>
                    </w:rPr>
                  </w:pPr>
                  <w:r>
                    <w:rPr>
                      <w:color w:val="0000FF"/>
                    </w:rPr>
                    <w:t xml:space="preserve">64.0 </w:t>
                  </w:r>
                </w:p>
              </w:tc>
              <w:tc>
                <w:tcPr>
                  <w:tcW w:w="411" w:type="pct"/>
                  <w:tcBorders>
                    <w:top w:val="single" w:color="000000" w:sz="4" w:space="0"/>
                    <w:left w:val="single" w:color="000000" w:sz="4" w:space="0"/>
                    <w:bottom w:val="single" w:color="000000" w:sz="4" w:space="0"/>
                    <w:right w:val="single" w:color="000000" w:sz="4" w:space="0"/>
                  </w:tcBorders>
                </w:tcPr>
                <w:p w14:paraId="7CB35E2C">
                  <w:pPr>
                    <w:pStyle w:val="25"/>
                    <w:rPr>
                      <w:rFonts w:hint="default"/>
                      <w:color w:val="0000FF"/>
                    </w:rPr>
                  </w:pPr>
                  <w:r>
                    <w:rPr>
                      <w:color w:val="0000FF"/>
                    </w:rPr>
                    <w:t xml:space="preserve">58.0 </w:t>
                  </w:r>
                </w:p>
              </w:tc>
              <w:tc>
                <w:tcPr>
                  <w:tcW w:w="411" w:type="pct"/>
                  <w:tcBorders>
                    <w:top w:val="single" w:color="000000" w:sz="4" w:space="0"/>
                    <w:left w:val="single" w:color="000000" w:sz="4" w:space="0"/>
                    <w:bottom w:val="single" w:color="000000" w:sz="4" w:space="0"/>
                    <w:right w:val="single" w:color="000000" w:sz="4" w:space="0"/>
                  </w:tcBorders>
                </w:tcPr>
                <w:p w14:paraId="37F4F39E">
                  <w:pPr>
                    <w:pStyle w:val="25"/>
                    <w:rPr>
                      <w:rFonts w:hint="default"/>
                      <w:color w:val="0000FF"/>
                    </w:rPr>
                  </w:pPr>
                  <w:r>
                    <w:rPr>
                      <w:color w:val="0000FF"/>
                    </w:rPr>
                    <w:t xml:space="preserve">54.5 </w:t>
                  </w:r>
                </w:p>
              </w:tc>
              <w:tc>
                <w:tcPr>
                  <w:tcW w:w="412" w:type="pct"/>
                  <w:tcBorders>
                    <w:top w:val="single" w:color="000000" w:sz="4" w:space="0"/>
                    <w:left w:val="single" w:color="000000" w:sz="4" w:space="0"/>
                    <w:bottom w:val="single" w:color="000000" w:sz="4" w:space="0"/>
                    <w:right w:val="single" w:color="000000" w:sz="4" w:space="0"/>
                  </w:tcBorders>
                </w:tcPr>
                <w:p w14:paraId="16BEE1F5">
                  <w:pPr>
                    <w:pStyle w:val="25"/>
                    <w:rPr>
                      <w:rFonts w:hint="default"/>
                      <w:color w:val="0000FF"/>
                    </w:rPr>
                  </w:pPr>
                  <w:r>
                    <w:rPr>
                      <w:color w:val="0000FF"/>
                    </w:rPr>
                    <w:t xml:space="preserve">52.0 </w:t>
                  </w:r>
                </w:p>
              </w:tc>
            </w:tr>
            <w:tr w14:paraId="723BB5A4">
              <w:tblPrEx>
                <w:tblCellMar>
                  <w:top w:w="0" w:type="dxa"/>
                  <w:left w:w="108" w:type="dxa"/>
                  <w:bottom w:w="0" w:type="dxa"/>
                  <w:right w:w="108" w:type="dxa"/>
                </w:tblCellMar>
              </w:tblPrEx>
              <w:trPr>
                <w:trHeight w:val="440" w:hRule="atLeast"/>
              </w:trPr>
              <w:tc>
                <w:tcPr>
                  <w:tcW w:w="1137" w:type="pct"/>
                  <w:vMerge w:val="continue"/>
                  <w:tcBorders>
                    <w:top w:val="single" w:color="000000" w:sz="4" w:space="0"/>
                    <w:left w:val="single" w:color="000000" w:sz="4" w:space="0"/>
                    <w:bottom w:val="single" w:color="000000" w:sz="4" w:space="0"/>
                    <w:right w:val="single" w:color="000000" w:sz="4" w:space="0"/>
                  </w:tcBorders>
                  <w:vAlign w:val="center"/>
                </w:tcPr>
                <w:p w14:paraId="40F22A8D">
                  <w:pPr>
                    <w:pStyle w:val="25"/>
                    <w:rPr>
                      <w:rFonts w:hint="default"/>
                      <w:color w:val="0000FF"/>
                    </w:rPr>
                  </w:pPr>
                </w:p>
              </w:tc>
              <w:tc>
                <w:tcPr>
                  <w:tcW w:w="861" w:type="pct"/>
                  <w:tcBorders>
                    <w:top w:val="single" w:color="000000" w:sz="4" w:space="0"/>
                    <w:left w:val="single" w:color="000000" w:sz="4" w:space="0"/>
                    <w:bottom w:val="single" w:color="000000" w:sz="4" w:space="0"/>
                    <w:right w:val="single" w:color="000000" w:sz="4" w:space="0"/>
                  </w:tcBorders>
                  <w:vAlign w:val="center"/>
                </w:tcPr>
                <w:p w14:paraId="77248BAB">
                  <w:pPr>
                    <w:pStyle w:val="25"/>
                    <w:rPr>
                      <w:rFonts w:hint="default"/>
                      <w:color w:val="0000FF"/>
                    </w:rPr>
                  </w:pPr>
                  <w:r>
                    <w:rPr>
                      <w:color w:val="0000FF"/>
                    </w:rPr>
                    <w:t>同时施工</w:t>
                  </w:r>
                </w:p>
              </w:tc>
              <w:tc>
                <w:tcPr>
                  <w:tcW w:w="397" w:type="pct"/>
                  <w:tcBorders>
                    <w:top w:val="single" w:color="000000" w:sz="4" w:space="0"/>
                    <w:left w:val="single" w:color="000000" w:sz="4" w:space="0"/>
                    <w:bottom w:val="single" w:color="000000" w:sz="4" w:space="0"/>
                    <w:right w:val="single" w:color="000000" w:sz="4" w:space="0"/>
                  </w:tcBorders>
                </w:tcPr>
                <w:p w14:paraId="5F0C54D3">
                  <w:pPr>
                    <w:pStyle w:val="25"/>
                    <w:rPr>
                      <w:rFonts w:hint="default"/>
                      <w:color w:val="0000FF"/>
                    </w:rPr>
                  </w:pPr>
                  <w:r>
                    <w:rPr>
                      <w:color w:val="0000FF"/>
                    </w:rPr>
                    <w:t xml:space="preserve">101.2 </w:t>
                  </w:r>
                </w:p>
              </w:tc>
              <w:tc>
                <w:tcPr>
                  <w:tcW w:w="337" w:type="pct"/>
                  <w:tcBorders>
                    <w:top w:val="single" w:color="000000" w:sz="4" w:space="0"/>
                    <w:left w:val="single" w:color="000000" w:sz="4" w:space="0"/>
                    <w:bottom w:val="single" w:color="000000" w:sz="4" w:space="0"/>
                    <w:right w:val="single" w:color="000000" w:sz="4" w:space="0"/>
                  </w:tcBorders>
                </w:tcPr>
                <w:p w14:paraId="15C68414">
                  <w:pPr>
                    <w:pStyle w:val="25"/>
                    <w:rPr>
                      <w:rFonts w:hint="default"/>
                      <w:color w:val="0000FF"/>
                    </w:rPr>
                  </w:pPr>
                  <w:r>
                    <w:rPr>
                      <w:color w:val="0000FF"/>
                    </w:rPr>
                    <w:t xml:space="preserve">79.8 </w:t>
                  </w:r>
                </w:p>
              </w:tc>
              <w:tc>
                <w:tcPr>
                  <w:tcW w:w="353" w:type="pct"/>
                  <w:tcBorders>
                    <w:top w:val="single" w:color="000000" w:sz="4" w:space="0"/>
                    <w:left w:val="single" w:color="000000" w:sz="4" w:space="0"/>
                    <w:bottom w:val="single" w:color="000000" w:sz="4" w:space="0"/>
                    <w:right w:val="single" w:color="000000" w:sz="4" w:space="0"/>
                  </w:tcBorders>
                </w:tcPr>
                <w:p w14:paraId="7C9A4E56">
                  <w:pPr>
                    <w:pStyle w:val="25"/>
                    <w:rPr>
                      <w:rFonts w:hint="default"/>
                      <w:color w:val="0000FF"/>
                    </w:rPr>
                  </w:pPr>
                  <w:r>
                    <w:rPr>
                      <w:color w:val="0000FF"/>
                    </w:rPr>
                    <w:t xml:space="preserve">73.8 </w:t>
                  </w:r>
                </w:p>
              </w:tc>
              <w:tc>
                <w:tcPr>
                  <w:tcW w:w="337" w:type="pct"/>
                  <w:tcBorders>
                    <w:top w:val="single" w:color="000000" w:sz="4" w:space="0"/>
                    <w:left w:val="single" w:color="000000" w:sz="4" w:space="0"/>
                    <w:bottom w:val="single" w:color="000000" w:sz="4" w:space="0"/>
                    <w:right w:val="single" w:color="000000" w:sz="4" w:space="0"/>
                  </w:tcBorders>
                </w:tcPr>
                <w:p w14:paraId="6B38BE79">
                  <w:pPr>
                    <w:pStyle w:val="25"/>
                    <w:rPr>
                      <w:rFonts w:hint="default"/>
                      <w:color w:val="0000FF"/>
                    </w:rPr>
                  </w:pPr>
                  <w:r>
                    <w:rPr>
                      <w:color w:val="0000FF"/>
                    </w:rPr>
                    <w:t xml:space="preserve">70.3 </w:t>
                  </w:r>
                </w:p>
              </w:tc>
              <w:tc>
                <w:tcPr>
                  <w:tcW w:w="337" w:type="pct"/>
                  <w:tcBorders>
                    <w:top w:val="single" w:color="000000" w:sz="4" w:space="0"/>
                    <w:left w:val="single" w:color="000000" w:sz="4" w:space="0"/>
                    <w:bottom w:val="single" w:color="000000" w:sz="4" w:space="0"/>
                    <w:right w:val="single" w:color="000000" w:sz="4" w:space="0"/>
                  </w:tcBorders>
                </w:tcPr>
                <w:p w14:paraId="07B47631">
                  <w:pPr>
                    <w:pStyle w:val="25"/>
                    <w:rPr>
                      <w:rFonts w:hint="default"/>
                      <w:color w:val="0000FF"/>
                    </w:rPr>
                  </w:pPr>
                  <w:r>
                    <w:rPr>
                      <w:color w:val="0000FF"/>
                    </w:rPr>
                    <w:t xml:space="preserve">65.8 </w:t>
                  </w:r>
                </w:p>
              </w:tc>
              <w:tc>
                <w:tcPr>
                  <w:tcW w:w="411" w:type="pct"/>
                  <w:tcBorders>
                    <w:top w:val="single" w:color="000000" w:sz="4" w:space="0"/>
                    <w:left w:val="single" w:color="000000" w:sz="4" w:space="0"/>
                    <w:bottom w:val="single" w:color="000000" w:sz="4" w:space="0"/>
                    <w:right w:val="single" w:color="000000" w:sz="4" w:space="0"/>
                  </w:tcBorders>
                </w:tcPr>
                <w:p w14:paraId="73468340">
                  <w:pPr>
                    <w:pStyle w:val="25"/>
                    <w:rPr>
                      <w:rFonts w:hint="default"/>
                      <w:color w:val="0000FF"/>
                    </w:rPr>
                  </w:pPr>
                  <w:r>
                    <w:rPr>
                      <w:color w:val="0000FF"/>
                    </w:rPr>
                    <w:t xml:space="preserve">59.8 </w:t>
                  </w:r>
                </w:p>
              </w:tc>
              <w:tc>
                <w:tcPr>
                  <w:tcW w:w="411" w:type="pct"/>
                  <w:tcBorders>
                    <w:top w:val="single" w:color="000000" w:sz="4" w:space="0"/>
                    <w:left w:val="single" w:color="000000" w:sz="4" w:space="0"/>
                    <w:bottom w:val="single" w:color="000000" w:sz="4" w:space="0"/>
                    <w:right w:val="single" w:color="000000" w:sz="4" w:space="0"/>
                  </w:tcBorders>
                </w:tcPr>
                <w:p w14:paraId="45A92321">
                  <w:pPr>
                    <w:pStyle w:val="25"/>
                    <w:rPr>
                      <w:rFonts w:hint="default"/>
                      <w:color w:val="0000FF"/>
                    </w:rPr>
                  </w:pPr>
                  <w:r>
                    <w:rPr>
                      <w:color w:val="0000FF"/>
                    </w:rPr>
                    <w:t xml:space="preserve">55.7 </w:t>
                  </w:r>
                </w:p>
              </w:tc>
              <w:tc>
                <w:tcPr>
                  <w:tcW w:w="412" w:type="pct"/>
                  <w:tcBorders>
                    <w:top w:val="single" w:color="000000" w:sz="4" w:space="0"/>
                    <w:left w:val="single" w:color="000000" w:sz="4" w:space="0"/>
                    <w:bottom w:val="single" w:color="000000" w:sz="4" w:space="0"/>
                    <w:right w:val="single" w:color="000000" w:sz="4" w:space="0"/>
                  </w:tcBorders>
                </w:tcPr>
                <w:p w14:paraId="62092079">
                  <w:pPr>
                    <w:pStyle w:val="25"/>
                    <w:rPr>
                      <w:rFonts w:hint="default"/>
                      <w:color w:val="0000FF"/>
                    </w:rPr>
                  </w:pPr>
                  <w:r>
                    <w:rPr>
                      <w:color w:val="0000FF"/>
                    </w:rPr>
                    <w:t xml:space="preserve">53.8 </w:t>
                  </w:r>
                </w:p>
              </w:tc>
            </w:tr>
            <w:tr w14:paraId="40BB35CB">
              <w:tblPrEx>
                <w:tblCellMar>
                  <w:top w:w="0" w:type="dxa"/>
                  <w:left w:w="108" w:type="dxa"/>
                  <w:bottom w:w="0" w:type="dxa"/>
                  <w:right w:w="108" w:type="dxa"/>
                </w:tblCellMar>
              </w:tblPrEx>
              <w:trPr>
                <w:trHeight w:val="410" w:hRule="atLeast"/>
              </w:trPr>
              <w:tc>
                <w:tcPr>
                  <w:tcW w:w="1137" w:type="pct"/>
                  <w:vMerge w:val="restart"/>
                  <w:tcBorders>
                    <w:top w:val="single" w:color="000000" w:sz="4" w:space="0"/>
                    <w:left w:val="single" w:color="000000" w:sz="4" w:space="0"/>
                    <w:bottom w:val="single" w:color="000000" w:sz="4" w:space="0"/>
                    <w:right w:val="single" w:color="000000" w:sz="4" w:space="0"/>
                  </w:tcBorders>
                  <w:vAlign w:val="center"/>
                </w:tcPr>
                <w:p w14:paraId="77FDF8C5">
                  <w:pPr>
                    <w:pStyle w:val="25"/>
                    <w:rPr>
                      <w:rFonts w:hint="default"/>
                      <w:color w:val="0000FF"/>
                    </w:rPr>
                  </w:pPr>
                  <w:r>
                    <w:rPr>
                      <w:color w:val="0000FF"/>
                    </w:rPr>
                    <w:t>设备安装调试阶段</w:t>
                  </w:r>
                </w:p>
              </w:tc>
              <w:tc>
                <w:tcPr>
                  <w:tcW w:w="861" w:type="pct"/>
                  <w:tcBorders>
                    <w:top w:val="single" w:color="000000" w:sz="4" w:space="0"/>
                    <w:left w:val="single" w:color="000000" w:sz="4" w:space="0"/>
                    <w:bottom w:val="single" w:color="000000" w:sz="4" w:space="0"/>
                    <w:right w:val="single" w:color="000000" w:sz="4" w:space="0"/>
                  </w:tcBorders>
                  <w:vAlign w:val="center"/>
                </w:tcPr>
                <w:p w14:paraId="6481AFC8">
                  <w:pPr>
                    <w:pStyle w:val="25"/>
                    <w:rPr>
                      <w:rFonts w:hint="default"/>
                      <w:color w:val="0000FF"/>
                    </w:rPr>
                  </w:pPr>
                  <w:r>
                    <w:rPr>
                      <w:color w:val="0000FF"/>
                    </w:rPr>
                    <w:t>电锯、电刨</w:t>
                  </w:r>
                </w:p>
              </w:tc>
              <w:tc>
                <w:tcPr>
                  <w:tcW w:w="397" w:type="pct"/>
                  <w:tcBorders>
                    <w:top w:val="single" w:color="000000" w:sz="4" w:space="0"/>
                    <w:left w:val="single" w:color="000000" w:sz="4" w:space="0"/>
                    <w:bottom w:val="single" w:color="000000" w:sz="4" w:space="0"/>
                    <w:right w:val="single" w:color="000000" w:sz="4" w:space="0"/>
                  </w:tcBorders>
                </w:tcPr>
                <w:p w14:paraId="0C720174">
                  <w:pPr>
                    <w:pStyle w:val="25"/>
                    <w:rPr>
                      <w:rFonts w:hint="default"/>
                      <w:color w:val="0000FF"/>
                    </w:rPr>
                  </w:pPr>
                  <w:r>
                    <w:rPr>
                      <w:color w:val="0000FF"/>
                    </w:rPr>
                    <w:t xml:space="preserve">100 </w:t>
                  </w:r>
                </w:p>
              </w:tc>
              <w:tc>
                <w:tcPr>
                  <w:tcW w:w="337" w:type="pct"/>
                  <w:tcBorders>
                    <w:top w:val="single" w:color="000000" w:sz="4" w:space="0"/>
                    <w:left w:val="single" w:color="000000" w:sz="4" w:space="0"/>
                    <w:bottom w:val="single" w:color="000000" w:sz="4" w:space="0"/>
                    <w:right w:val="single" w:color="000000" w:sz="4" w:space="0"/>
                  </w:tcBorders>
                </w:tcPr>
                <w:p w14:paraId="4D355F91">
                  <w:pPr>
                    <w:pStyle w:val="25"/>
                    <w:rPr>
                      <w:rFonts w:hint="default"/>
                      <w:color w:val="0000FF"/>
                    </w:rPr>
                  </w:pPr>
                  <w:r>
                    <w:rPr>
                      <w:color w:val="0000FF"/>
                    </w:rPr>
                    <w:t xml:space="preserve">78.0 </w:t>
                  </w:r>
                </w:p>
              </w:tc>
              <w:tc>
                <w:tcPr>
                  <w:tcW w:w="353" w:type="pct"/>
                  <w:tcBorders>
                    <w:top w:val="single" w:color="000000" w:sz="4" w:space="0"/>
                    <w:left w:val="single" w:color="000000" w:sz="4" w:space="0"/>
                    <w:bottom w:val="single" w:color="000000" w:sz="4" w:space="0"/>
                    <w:right w:val="single" w:color="000000" w:sz="4" w:space="0"/>
                  </w:tcBorders>
                </w:tcPr>
                <w:p w14:paraId="27A9EA36">
                  <w:pPr>
                    <w:pStyle w:val="25"/>
                    <w:rPr>
                      <w:rFonts w:hint="default"/>
                      <w:color w:val="0000FF"/>
                    </w:rPr>
                  </w:pPr>
                  <w:r>
                    <w:rPr>
                      <w:color w:val="0000FF"/>
                    </w:rPr>
                    <w:t xml:space="preserve">72.0 </w:t>
                  </w:r>
                </w:p>
              </w:tc>
              <w:tc>
                <w:tcPr>
                  <w:tcW w:w="337" w:type="pct"/>
                  <w:tcBorders>
                    <w:top w:val="single" w:color="000000" w:sz="4" w:space="0"/>
                    <w:left w:val="single" w:color="000000" w:sz="4" w:space="0"/>
                    <w:bottom w:val="single" w:color="000000" w:sz="4" w:space="0"/>
                    <w:right w:val="single" w:color="000000" w:sz="4" w:space="0"/>
                  </w:tcBorders>
                </w:tcPr>
                <w:p w14:paraId="10A65E16">
                  <w:pPr>
                    <w:pStyle w:val="25"/>
                    <w:rPr>
                      <w:rFonts w:hint="default"/>
                      <w:color w:val="0000FF"/>
                    </w:rPr>
                  </w:pPr>
                  <w:r>
                    <w:rPr>
                      <w:color w:val="0000FF"/>
                    </w:rPr>
                    <w:t xml:space="preserve">68.5 </w:t>
                  </w:r>
                </w:p>
              </w:tc>
              <w:tc>
                <w:tcPr>
                  <w:tcW w:w="337" w:type="pct"/>
                  <w:tcBorders>
                    <w:top w:val="single" w:color="000000" w:sz="4" w:space="0"/>
                    <w:left w:val="single" w:color="000000" w:sz="4" w:space="0"/>
                    <w:bottom w:val="single" w:color="000000" w:sz="4" w:space="0"/>
                    <w:right w:val="single" w:color="000000" w:sz="4" w:space="0"/>
                  </w:tcBorders>
                </w:tcPr>
                <w:p w14:paraId="6EFB4C4A">
                  <w:pPr>
                    <w:pStyle w:val="25"/>
                    <w:rPr>
                      <w:rFonts w:hint="default"/>
                      <w:color w:val="0000FF"/>
                    </w:rPr>
                  </w:pPr>
                  <w:r>
                    <w:rPr>
                      <w:color w:val="0000FF"/>
                    </w:rPr>
                    <w:t xml:space="preserve">64.0 </w:t>
                  </w:r>
                </w:p>
              </w:tc>
              <w:tc>
                <w:tcPr>
                  <w:tcW w:w="411" w:type="pct"/>
                  <w:tcBorders>
                    <w:top w:val="single" w:color="000000" w:sz="4" w:space="0"/>
                    <w:left w:val="single" w:color="000000" w:sz="4" w:space="0"/>
                    <w:bottom w:val="single" w:color="000000" w:sz="4" w:space="0"/>
                    <w:right w:val="single" w:color="000000" w:sz="4" w:space="0"/>
                  </w:tcBorders>
                </w:tcPr>
                <w:p w14:paraId="124DEC8B">
                  <w:pPr>
                    <w:pStyle w:val="25"/>
                    <w:rPr>
                      <w:rFonts w:hint="default"/>
                      <w:color w:val="0000FF"/>
                    </w:rPr>
                  </w:pPr>
                  <w:r>
                    <w:rPr>
                      <w:color w:val="0000FF"/>
                    </w:rPr>
                    <w:t xml:space="preserve">58.0 </w:t>
                  </w:r>
                </w:p>
              </w:tc>
              <w:tc>
                <w:tcPr>
                  <w:tcW w:w="411" w:type="pct"/>
                  <w:tcBorders>
                    <w:top w:val="single" w:color="000000" w:sz="4" w:space="0"/>
                    <w:left w:val="single" w:color="000000" w:sz="4" w:space="0"/>
                    <w:bottom w:val="single" w:color="000000" w:sz="4" w:space="0"/>
                    <w:right w:val="single" w:color="000000" w:sz="4" w:space="0"/>
                  </w:tcBorders>
                </w:tcPr>
                <w:p w14:paraId="4D646B18">
                  <w:pPr>
                    <w:pStyle w:val="25"/>
                    <w:rPr>
                      <w:rFonts w:hint="default"/>
                      <w:color w:val="0000FF"/>
                    </w:rPr>
                  </w:pPr>
                  <w:r>
                    <w:rPr>
                      <w:color w:val="0000FF"/>
                    </w:rPr>
                    <w:t xml:space="preserve">54.5 </w:t>
                  </w:r>
                </w:p>
              </w:tc>
              <w:tc>
                <w:tcPr>
                  <w:tcW w:w="412" w:type="pct"/>
                  <w:tcBorders>
                    <w:top w:val="single" w:color="000000" w:sz="4" w:space="0"/>
                    <w:left w:val="single" w:color="000000" w:sz="4" w:space="0"/>
                    <w:bottom w:val="single" w:color="000000" w:sz="4" w:space="0"/>
                    <w:right w:val="single" w:color="000000" w:sz="4" w:space="0"/>
                  </w:tcBorders>
                </w:tcPr>
                <w:p w14:paraId="5873F567">
                  <w:pPr>
                    <w:pStyle w:val="25"/>
                    <w:rPr>
                      <w:rFonts w:hint="default"/>
                      <w:color w:val="0000FF"/>
                    </w:rPr>
                  </w:pPr>
                  <w:r>
                    <w:rPr>
                      <w:color w:val="0000FF"/>
                    </w:rPr>
                    <w:t xml:space="preserve">52.0 </w:t>
                  </w:r>
                </w:p>
              </w:tc>
            </w:tr>
            <w:tr w14:paraId="331327AD">
              <w:tblPrEx>
                <w:tblCellMar>
                  <w:top w:w="0" w:type="dxa"/>
                  <w:left w:w="108" w:type="dxa"/>
                  <w:bottom w:w="0" w:type="dxa"/>
                  <w:right w:w="108" w:type="dxa"/>
                </w:tblCellMar>
              </w:tblPrEx>
              <w:trPr>
                <w:trHeight w:val="440" w:hRule="atLeast"/>
              </w:trPr>
              <w:tc>
                <w:tcPr>
                  <w:tcW w:w="1137" w:type="pct"/>
                  <w:vMerge w:val="continue"/>
                  <w:tcBorders>
                    <w:top w:val="single" w:color="000000" w:sz="4" w:space="0"/>
                    <w:left w:val="single" w:color="000000" w:sz="4" w:space="0"/>
                    <w:bottom w:val="single" w:color="000000" w:sz="4" w:space="0"/>
                    <w:right w:val="single" w:color="000000" w:sz="4" w:space="0"/>
                  </w:tcBorders>
                  <w:vAlign w:val="center"/>
                </w:tcPr>
                <w:p w14:paraId="584F27A7">
                  <w:pPr>
                    <w:pStyle w:val="25"/>
                    <w:rPr>
                      <w:rFonts w:hint="default"/>
                      <w:color w:val="0000FF"/>
                    </w:rPr>
                  </w:pPr>
                </w:p>
              </w:tc>
              <w:tc>
                <w:tcPr>
                  <w:tcW w:w="861" w:type="pct"/>
                  <w:tcBorders>
                    <w:top w:val="single" w:color="000000" w:sz="4" w:space="0"/>
                    <w:left w:val="single" w:color="000000" w:sz="4" w:space="0"/>
                    <w:bottom w:val="single" w:color="000000" w:sz="4" w:space="0"/>
                    <w:right w:val="single" w:color="000000" w:sz="4" w:space="0"/>
                  </w:tcBorders>
                  <w:vAlign w:val="center"/>
                </w:tcPr>
                <w:p w14:paraId="241AEDC0">
                  <w:pPr>
                    <w:pStyle w:val="25"/>
                    <w:rPr>
                      <w:rFonts w:hint="default"/>
                      <w:color w:val="0000FF"/>
                    </w:rPr>
                  </w:pPr>
                  <w:r>
                    <w:rPr>
                      <w:color w:val="0000FF"/>
                    </w:rPr>
                    <w:t>起重机</w:t>
                  </w:r>
                </w:p>
              </w:tc>
              <w:tc>
                <w:tcPr>
                  <w:tcW w:w="397" w:type="pct"/>
                  <w:tcBorders>
                    <w:top w:val="single" w:color="000000" w:sz="4" w:space="0"/>
                    <w:left w:val="single" w:color="000000" w:sz="4" w:space="0"/>
                    <w:bottom w:val="single" w:color="000000" w:sz="4" w:space="0"/>
                    <w:right w:val="single" w:color="000000" w:sz="4" w:space="0"/>
                  </w:tcBorders>
                </w:tcPr>
                <w:p w14:paraId="5BBDCA1B">
                  <w:pPr>
                    <w:pStyle w:val="25"/>
                    <w:rPr>
                      <w:rFonts w:hint="default"/>
                      <w:color w:val="0000FF"/>
                    </w:rPr>
                  </w:pPr>
                  <w:r>
                    <w:rPr>
                      <w:color w:val="0000FF"/>
                    </w:rPr>
                    <w:t xml:space="preserve">85 </w:t>
                  </w:r>
                </w:p>
              </w:tc>
              <w:tc>
                <w:tcPr>
                  <w:tcW w:w="337" w:type="pct"/>
                  <w:tcBorders>
                    <w:top w:val="single" w:color="000000" w:sz="4" w:space="0"/>
                    <w:left w:val="single" w:color="000000" w:sz="4" w:space="0"/>
                    <w:bottom w:val="single" w:color="000000" w:sz="4" w:space="0"/>
                    <w:right w:val="single" w:color="000000" w:sz="4" w:space="0"/>
                  </w:tcBorders>
                </w:tcPr>
                <w:p w14:paraId="74AAB3BE">
                  <w:pPr>
                    <w:pStyle w:val="25"/>
                    <w:rPr>
                      <w:rFonts w:hint="default"/>
                      <w:color w:val="0000FF"/>
                    </w:rPr>
                  </w:pPr>
                  <w:r>
                    <w:rPr>
                      <w:color w:val="0000FF"/>
                    </w:rPr>
                    <w:t xml:space="preserve">63.0 </w:t>
                  </w:r>
                </w:p>
              </w:tc>
              <w:tc>
                <w:tcPr>
                  <w:tcW w:w="353" w:type="pct"/>
                  <w:tcBorders>
                    <w:top w:val="single" w:color="000000" w:sz="4" w:space="0"/>
                    <w:left w:val="single" w:color="000000" w:sz="4" w:space="0"/>
                    <w:bottom w:val="single" w:color="000000" w:sz="4" w:space="0"/>
                    <w:right w:val="single" w:color="000000" w:sz="4" w:space="0"/>
                  </w:tcBorders>
                </w:tcPr>
                <w:p w14:paraId="7CDDF578">
                  <w:pPr>
                    <w:pStyle w:val="25"/>
                    <w:rPr>
                      <w:rFonts w:hint="default"/>
                      <w:color w:val="0000FF"/>
                    </w:rPr>
                  </w:pPr>
                  <w:r>
                    <w:rPr>
                      <w:color w:val="0000FF"/>
                    </w:rPr>
                    <w:t xml:space="preserve">57.0 </w:t>
                  </w:r>
                </w:p>
              </w:tc>
              <w:tc>
                <w:tcPr>
                  <w:tcW w:w="337" w:type="pct"/>
                  <w:tcBorders>
                    <w:top w:val="single" w:color="000000" w:sz="4" w:space="0"/>
                    <w:left w:val="single" w:color="000000" w:sz="4" w:space="0"/>
                    <w:bottom w:val="single" w:color="000000" w:sz="4" w:space="0"/>
                    <w:right w:val="single" w:color="000000" w:sz="4" w:space="0"/>
                  </w:tcBorders>
                </w:tcPr>
                <w:p w14:paraId="483BC464">
                  <w:pPr>
                    <w:pStyle w:val="25"/>
                    <w:rPr>
                      <w:rFonts w:hint="default"/>
                      <w:color w:val="0000FF"/>
                    </w:rPr>
                  </w:pPr>
                  <w:r>
                    <w:rPr>
                      <w:color w:val="0000FF"/>
                    </w:rPr>
                    <w:t xml:space="preserve">56.5 </w:t>
                  </w:r>
                </w:p>
              </w:tc>
              <w:tc>
                <w:tcPr>
                  <w:tcW w:w="337" w:type="pct"/>
                  <w:tcBorders>
                    <w:top w:val="single" w:color="000000" w:sz="4" w:space="0"/>
                    <w:left w:val="single" w:color="000000" w:sz="4" w:space="0"/>
                    <w:bottom w:val="single" w:color="000000" w:sz="4" w:space="0"/>
                    <w:right w:val="single" w:color="000000" w:sz="4" w:space="0"/>
                  </w:tcBorders>
                </w:tcPr>
                <w:p w14:paraId="6E835D49">
                  <w:pPr>
                    <w:pStyle w:val="25"/>
                    <w:rPr>
                      <w:rFonts w:hint="default"/>
                      <w:color w:val="0000FF"/>
                    </w:rPr>
                  </w:pPr>
                  <w:r>
                    <w:rPr>
                      <w:color w:val="0000FF"/>
                    </w:rPr>
                    <w:t xml:space="preserve">49.0 </w:t>
                  </w:r>
                </w:p>
              </w:tc>
              <w:tc>
                <w:tcPr>
                  <w:tcW w:w="411" w:type="pct"/>
                  <w:tcBorders>
                    <w:top w:val="single" w:color="000000" w:sz="4" w:space="0"/>
                    <w:left w:val="single" w:color="000000" w:sz="4" w:space="0"/>
                    <w:bottom w:val="single" w:color="000000" w:sz="4" w:space="0"/>
                    <w:right w:val="single" w:color="000000" w:sz="4" w:space="0"/>
                  </w:tcBorders>
                </w:tcPr>
                <w:p w14:paraId="655B7E86">
                  <w:pPr>
                    <w:pStyle w:val="25"/>
                    <w:rPr>
                      <w:rFonts w:hint="default"/>
                      <w:color w:val="0000FF"/>
                    </w:rPr>
                  </w:pPr>
                  <w:r>
                    <w:rPr>
                      <w:color w:val="0000FF"/>
                    </w:rPr>
                    <w:t xml:space="preserve">43.0 </w:t>
                  </w:r>
                </w:p>
              </w:tc>
              <w:tc>
                <w:tcPr>
                  <w:tcW w:w="411" w:type="pct"/>
                  <w:tcBorders>
                    <w:top w:val="single" w:color="000000" w:sz="4" w:space="0"/>
                    <w:left w:val="single" w:color="000000" w:sz="4" w:space="0"/>
                    <w:bottom w:val="single" w:color="000000" w:sz="4" w:space="0"/>
                    <w:right w:val="single" w:color="000000" w:sz="4" w:space="0"/>
                  </w:tcBorders>
                </w:tcPr>
                <w:p w14:paraId="586A3484">
                  <w:pPr>
                    <w:pStyle w:val="25"/>
                    <w:rPr>
                      <w:rFonts w:hint="default"/>
                      <w:color w:val="0000FF"/>
                    </w:rPr>
                  </w:pPr>
                  <w:r>
                    <w:rPr>
                      <w:color w:val="0000FF"/>
                    </w:rPr>
                    <w:t xml:space="preserve">39.5 </w:t>
                  </w:r>
                </w:p>
              </w:tc>
              <w:tc>
                <w:tcPr>
                  <w:tcW w:w="412" w:type="pct"/>
                  <w:tcBorders>
                    <w:top w:val="single" w:color="000000" w:sz="4" w:space="0"/>
                    <w:left w:val="single" w:color="000000" w:sz="4" w:space="0"/>
                    <w:bottom w:val="single" w:color="000000" w:sz="4" w:space="0"/>
                    <w:right w:val="single" w:color="000000" w:sz="4" w:space="0"/>
                  </w:tcBorders>
                </w:tcPr>
                <w:p w14:paraId="5C822242">
                  <w:pPr>
                    <w:pStyle w:val="25"/>
                    <w:rPr>
                      <w:rFonts w:hint="default"/>
                      <w:color w:val="0000FF"/>
                    </w:rPr>
                  </w:pPr>
                  <w:r>
                    <w:rPr>
                      <w:color w:val="0000FF"/>
                    </w:rPr>
                    <w:t xml:space="preserve">37.0 </w:t>
                  </w:r>
                </w:p>
              </w:tc>
            </w:tr>
            <w:tr w14:paraId="0EDE8158">
              <w:tblPrEx>
                <w:tblCellMar>
                  <w:top w:w="0" w:type="dxa"/>
                  <w:left w:w="108" w:type="dxa"/>
                  <w:bottom w:w="0" w:type="dxa"/>
                  <w:right w:w="108" w:type="dxa"/>
                </w:tblCellMar>
              </w:tblPrEx>
              <w:trPr>
                <w:trHeight w:val="440" w:hRule="atLeast"/>
              </w:trPr>
              <w:tc>
                <w:tcPr>
                  <w:tcW w:w="1137" w:type="pct"/>
                  <w:vMerge w:val="continue"/>
                  <w:tcBorders>
                    <w:top w:val="single" w:color="000000" w:sz="4" w:space="0"/>
                    <w:left w:val="single" w:color="000000" w:sz="4" w:space="0"/>
                    <w:bottom w:val="single" w:color="000000" w:sz="4" w:space="0"/>
                    <w:right w:val="single" w:color="000000" w:sz="4" w:space="0"/>
                  </w:tcBorders>
                  <w:vAlign w:val="center"/>
                </w:tcPr>
                <w:p w14:paraId="55ECBEE5">
                  <w:pPr>
                    <w:pStyle w:val="25"/>
                    <w:rPr>
                      <w:rFonts w:hint="default"/>
                      <w:color w:val="0000FF"/>
                    </w:rPr>
                  </w:pPr>
                </w:p>
              </w:tc>
              <w:tc>
                <w:tcPr>
                  <w:tcW w:w="861" w:type="pct"/>
                  <w:tcBorders>
                    <w:top w:val="single" w:color="000000" w:sz="4" w:space="0"/>
                    <w:left w:val="single" w:color="000000" w:sz="4" w:space="0"/>
                    <w:bottom w:val="single" w:color="000000" w:sz="4" w:space="0"/>
                    <w:right w:val="single" w:color="000000" w:sz="4" w:space="0"/>
                  </w:tcBorders>
                  <w:vAlign w:val="center"/>
                </w:tcPr>
                <w:p w14:paraId="550BBC7C">
                  <w:pPr>
                    <w:pStyle w:val="25"/>
                    <w:rPr>
                      <w:rFonts w:hint="default"/>
                      <w:color w:val="0000FF"/>
                    </w:rPr>
                  </w:pPr>
                  <w:r>
                    <w:rPr>
                      <w:color w:val="0000FF"/>
                    </w:rPr>
                    <w:t>吊车、升降机</w:t>
                  </w:r>
                </w:p>
              </w:tc>
              <w:tc>
                <w:tcPr>
                  <w:tcW w:w="397" w:type="pct"/>
                  <w:tcBorders>
                    <w:top w:val="single" w:color="000000" w:sz="4" w:space="0"/>
                    <w:left w:val="single" w:color="000000" w:sz="4" w:space="0"/>
                    <w:bottom w:val="single" w:color="000000" w:sz="4" w:space="0"/>
                    <w:right w:val="single" w:color="000000" w:sz="4" w:space="0"/>
                  </w:tcBorders>
                </w:tcPr>
                <w:p w14:paraId="5F5686A8">
                  <w:pPr>
                    <w:pStyle w:val="25"/>
                    <w:rPr>
                      <w:rFonts w:hint="default"/>
                      <w:color w:val="0000FF"/>
                    </w:rPr>
                  </w:pPr>
                  <w:r>
                    <w:rPr>
                      <w:color w:val="0000FF"/>
                    </w:rPr>
                    <w:t xml:space="preserve">85 </w:t>
                  </w:r>
                </w:p>
              </w:tc>
              <w:tc>
                <w:tcPr>
                  <w:tcW w:w="337" w:type="pct"/>
                  <w:tcBorders>
                    <w:top w:val="single" w:color="000000" w:sz="4" w:space="0"/>
                    <w:left w:val="single" w:color="000000" w:sz="4" w:space="0"/>
                    <w:bottom w:val="single" w:color="000000" w:sz="4" w:space="0"/>
                    <w:right w:val="single" w:color="000000" w:sz="4" w:space="0"/>
                  </w:tcBorders>
                </w:tcPr>
                <w:p w14:paraId="0A9B1A5D">
                  <w:pPr>
                    <w:pStyle w:val="25"/>
                    <w:rPr>
                      <w:rFonts w:hint="default"/>
                      <w:color w:val="0000FF"/>
                    </w:rPr>
                  </w:pPr>
                  <w:r>
                    <w:rPr>
                      <w:color w:val="0000FF"/>
                    </w:rPr>
                    <w:t xml:space="preserve">63.0 </w:t>
                  </w:r>
                </w:p>
              </w:tc>
              <w:tc>
                <w:tcPr>
                  <w:tcW w:w="353" w:type="pct"/>
                  <w:tcBorders>
                    <w:top w:val="single" w:color="000000" w:sz="4" w:space="0"/>
                    <w:left w:val="single" w:color="000000" w:sz="4" w:space="0"/>
                    <w:bottom w:val="single" w:color="000000" w:sz="4" w:space="0"/>
                    <w:right w:val="single" w:color="000000" w:sz="4" w:space="0"/>
                  </w:tcBorders>
                </w:tcPr>
                <w:p w14:paraId="45C8657B">
                  <w:pPr>
                    <w:pStyle w:val="25"/>
                    <w:rPr>
                      <w:rFonts w:hint="default"/>
                      <w:color w:val="0000FF"/>
                    </w:rPr>
                  </w:pPr>
                  <w:r>
                    <w:rPr>
                      <w:color w:val="0000FF"/>
                    </w:rPr>
                    <w:t xml:space="preserve">57.0 </w:t>
                  </w:r>
                </w:p>
              </w:tc>
              <w:tc>
                <w:tcPr>
                  <w:tcW w:w="337" w:type="pct"/>
                  <w:tcBorders>
                    <w:top w:val="single" w:color="000000" w:sz="4" w:space="0"/>
                    <w:left w:val="single" w:color="000000" w:sz="4" w:space="0"/>
                    <w:bottom w:val="single" w:color="000000" w:sz="4" w:space="0"/>
                    <w:right w:val="single" w:color="000000" w:sz="4" w:space="0"/>
                  </w:tcBorders>
                </w:tcPr>
                <w:p w14:paraId="4D1D6BBB">
                  <w:pPr>
                    <w:pStyle w:val="25"/>
                    <w:rPr>
                      <w:rFonts w:hint="default"/>
                      <w:color w:val="0000FF"/>
                    </w:rPr>
                  </w:pPr>
                  <w:r>
                    <w:rPr>
                      <w:color w:val="0000FF"/>
                    </w:rPr>
                    <w:t xml:space="preserve">56.5 </w:t>
                  </w:r>
                </w:p>
              </w:tc>
              <w:tc>
                <w:tcPr>
                  <w:tcW w:w="337" w:type="pct"/>
                  <w:tcBorders>
                    <w:top w:val="single" w:color="000000" w:sz="4" w:space="0"/>
                    <w:left w:val="single" w:color="000000" w:sz="4" w:space="0"/>
                    <w:bottom w:val="single" w:color="000000" w:sz="4" w:space="0"/>
                    <w:right w:val="single" w:color="000000" w:sz="4" w:space="0"/>
                  </w:tcBorders>
                </w:tcPr>
                <w:p w14:paraId="3F59376F">
                  <w:pPr>
                    <w:pStyle w:val="25"/>
                    <w:rPr>
                      <w:rFonts w:hint="default"/>
                      <w:color w:val="0000FF"/>
                    </w:rPr>
                  </w:pPr>
                  <w:r>
                    <w:rPr>
                      <w:color w:val="0000FF"/>
                    </w:rPr>
                    <w:t xml:space="preserve">49.0 </w:t>
                  </w:r>
                </w:p>
              </w:tc>
              <w:tc>
                <w:tcPr>
                  <w:tcW w:w="411" w:type="pct"/>
                  <w:tcBorders>
                    <w:top w:val="single" w:color="000000" w:sz="4" w:space="0"/>
                    <w:left w:val="single" w:color="000000" w:sz="4" w:space="0"/>
                    <w:bottom w:val="single" w:color="000000" w:sz="4" w:space="0"/>
                    <w:right w:val="single" w:color="000000" w:sz="4" w:space="0"/>
                  </w:tcBorders>
                </w:tcPr>
                <w:p w14:paraId="2EC9BF64">
                  <w:pPr>
                    <w:pStyle w:val="25"/>
                    <w:rPr>
                      <w:rFonts w:hint="default"/>
                      <w:color w:val="0000FF"/>
                    </w:rPr>
                  </w:pPr>
                  <w:r>
                    <w:rPr>
                      <w:color w:val="0000FF"/>
                    </w:rPr>
                    <w:t xml:space="preserve">43.0 </w:t>
                  </w:r>
                </w:p>
              </w:tc>
              <w:tc>
                <w:tcPr>
                  <w:tcW w:w="411" w:type="pct"/>
                  <w:tcBorders>
                    <w:top w:val="single" w:color="000000" w:sz="4" w:space="0"/>
                    <w:left w:val="single" w:color="000000" w:sz="4" w:space="0"/>
                    <w:bottom w:val="single" w:color="000000" w:sz="4" w:space="0"/>
                    <w:right w:val="single" w:color="000000" w:sz="4" w:space="0"/>
                  </w:tcBorders>
                </w:tcPr>
                <w:p w14:paraId="47842403">
                  <w:pPr>
                    <w:pStyle w:val="25"/>
                    <w:rPr>
                      <w:rFonts w:hint="default"/>
                      <w:color w:val="0000FF"/>
                    </w:rPr>
                  </w:pPr>
                  <w:r>
                    <w:rPr>
                      <w:color w:val="0000FF"/>
                    </w:rPr>
                    <w:t xml:space="preserve">39.5 </w:t>
                  </w:r>
                </w:p>
              </w:tc>
              <w:tc>
                <w:tcPr>
                  <w:tcW w:w="412" w:type="pct"/>
                  <w:tcBorders>
                    <w:top w:val="single" w:color="000000" w:sz="4" w:space="0"/>
                    <w:left w:val="single" w:color="000000" w:sz="4" w:space="0"/>
                    <w:bottom w:val="single" w:color="000000" w:sz="4" w:space="0"/>
                    <w:right w:val="single" w:color="000000" w:sz="4" w:space="0"/>
                  </w:tcBorders>
                </w:tcPr>
                <w:p w14:paraId="208EBADD">
                  <w:pPr>
                    <w:pStyle w:val="25"/>
                    <w:rPr>
                      <w:rFonts w:hint="default"/>
                      <w:color w:val="0000FF"/>
                    </w:rPr>
                  </w:pPr>
                  <w:r>
                    <w:rPr>
                      <w:color w:val="0000FF"/>
                    </w:rPr>
                    <w:t xml:space="preserve">37.0 </w:t>
                  </w:r>
                </w:p>
              </w:tc>
            </w:tr>
            <w:tr w14:paraId="24E7C010">
              <w:tblPrEx>
                <w:tblCellMar>
                  <w:top w:w="0" w:type="dxa"/>
                  <w:left w:w="108" w:type="dxa"/>
                  <w:bottom w:w="0" w:type="dxa"/>
                  <w:right w:w="108" w:type="dxa"/>
                </w:tblCellMar>
              </w:tblPrEx>
              <w:trPr>
                <w:trHeight w:val="430" w:hRule="atLeast"/>
              </w:trPr>
              <w:tc>
                <w:tcPr>
                  <w:tcW w:w="1137" w:type="pct"/>
                  <w:vMerge w:val="continue"/>
                  <w:tcBorders>
                    <w:top w:val="single" w:color="000000" w:sz="4" w:space="0"/>
                    <w:left w:val="single" w:color="000000" w:sz="4" w:space="0"/>
                    <w:bottom w:val="single" w:color="000000" w:sz="4" w:space="0"/>
                    <w:right w:val="single" w:color="000000" w:sz="4" w:space="0"/>
                  </w:tcBorders>
                  <w:vAlign w:val="center"/>
                </w:tcPr>
                <w:p w14:paraId="3E607CF9">
                  <w:pPr>
                    <w:pStyle w:val="25"/>
                    <w:rPr>
                      <w:rFonts w:hint="default"/>
                      <w:color w:val="0000FF"/>
                    </w:rPr>
                  </w:pPr>
                </w:p>
              </w:tc>
              <w:tc>
                <w:tcPr>
                  <w:tcW w:w="861" w:type="pct"/>
                  <w:tcBorders>
                    <w:top w:val="single" w:color="000000" w:sz="4" w:space="0"/>
                    <w:left w:val="single" w:color="000000" w:sz="4" w:space="0"/>
                    <w:bottom w:val="single" w:color="000000" w:sz="4" w:space="0"/>
                    <w:right w:val="single" w:color="000000" w:sz="4" w:space="0"/>
                  </w:tcBorders>
                  <w:vAlign w:val="center"/>
                </w:tcPr>
                <w:p w14:paraId="679D1073">
                  <w:pPr>
                    <w:pStyle w:val="25"/>
                    <w:rPr>
                      <w:rFonts w:hint="default"/>
                      <w:color w:val="0000FF"/>
                    </w:rPr>
                  </w:pPr>
                  <w:r>
                    <w:rPr>
                      <w:color w:val="0000FF"/>
                    </w:rPr>
                    <w:t>同时施工</w:t>
                  </w:r>
                </w:p>
              </w:tc>
              <w:tc>
                <w:tcPr>
                  <w:tcW w:w="397" w:type="pct"/>
                  <w:tcBorders>
                    <w:top w:val="single" w:color="000000" w:sz="4" w:space="0"/>
                    <w:left w:val="single" w:color="000000" w:sz="4" w:space="0"/>
                    <w:bottom w:val="single" w:color="000000" w:sz="4" w:space="0"/>
                    <w:right w:val="single" w:color="000000" w:sz="4" w:space="0"/>
                  </w:tcBorders>
                </w:tcPr>
                <w:p w14:paraId="070DC284">
                  <w:pPr>
                    <w:pStyle w:val="25"/>
                    <w:rPr>
                      <w:rFonts w:hint="default"/>
                      <w:color w:val="0000FF"/>
                    </w:rPr>
                  </w:pPr>
                  <w:r>
                    <w:rPr>
                      <w:color w:val="0000FF"/>
                    </w:rPr>
                    <w:t xml:space="preserve">100.3 </w:t>
                  </w:r>
                </w:p>
              </w:tc>
              <w:tc>
                <w:tcPr>
                  <w:tcW w:w="337" w:type="pct"/>
                  <w:tcBorders>
                    <w:top w:val="single" w:color="000000" w:sz="4" w:space="0"/>
                    <w:left w:val="single" w:color="000000" w:sz="4" w:space="0"/>
                    <w:bottom w:val="single" w:color="000000" w:sz="4" w:space="0"/>
                    <w:right w:val="single" w:color="000000" w:sz="4" w:space="0"/>
                  </w:tcBorders>
                </w:tcPr>
                <w:p w14:paraId="1231E3A8">
                  <w:pPr>
                    <w:pStyle w:val="25"/>
                    <w:rPr>
                      <w:rFonts w:hint="default"/>
                      <w:color w:val="0000FF"/>
                    </w:rPr>
                  </w:pPr>
                  <w:r>
                    <w:rPr>
                      <w:color w:val="0000FF"/>
                    </w:rPr>
                    <w:t xml:space="preserve">78.3 </w:t>
                  </w:r>
                </w:p>
              </w:tc>
              <w:tc>
                <w:tcPr>
                  <w:tcW w:w="353" w:type="pct"/>
                  <w:tcBorders>
                    <w:top w:val="single" w:color="000000" w:sz="4" w:space="0"/>
                    <w:left w:val="single" w:color="000000" w:sz="4" w:space="0"/>
                    <w:bottom w:val="single" w:color="000000" w:sz="4" w:space="0"/>
                    <w:right w:val="single" w:color="000000" w:sz="4" w:space="0"/>
                  </w:tcBorders>
                </w:tcPr>
                <w:p w14:paraId="675CC27E">
                  <w:pPr>
                    <w:pStyle w:val="25"/>
                    <w:rPr>
                      <w:rFonts w:hint="default"/>
                      <w:color w:val="0000FF"/>
                    </w:rPr>
                  </w:pPr>
                  <w:r>
                    <w:rPr>
                      <w:color w:val="0000FF"/>
                    </w:rPr>
                    <w:t xml:space="preserve">72.3 </w:t>
                  </w:r>
                </w:p>
              </w:tc>
              <w:tc>
                <w:tcPr>
                  <w:tcW w:w="337" w:type="pct"/>
                  <w:tcBorders>
                    <w:top w:val="single" w:color="000000" w:sz="4" w:space="0"/>
                    <w:left w:val="single" w:color="000000" w:sz="4" w:space="0"/>
                    <w:bottom w:val="single" w:color="000000" w:sz="4" w:space="0"/>
                    <w:right w:val="single" w:color="000000" w:sz="4" w:space="0"/>
                  </w:tcBorders>
                </w:tcPr>
                <w:p w14:paraId="00714968">
                  <w:pPr>
                    <w:pStyle w:val="25"/>
                    <w:rPr>
                      <w:rFonts w:hint="default"/>
                      <w:color w:val="0000FF"/>
                    </w:rPr>
                  </w:pPr>
                  <w:r>
                    <w:rPr>
                      <w:color w:val="0000FF"/>
                    </w:rPr>
                    <w:t xml:space="preserve">68.8 </w:t>
                  </w:r>
                </w:p>
              </w:tc>
              <w:tc>
                <w:tcPr>
                  <w:tcW w:w="337" w:type="pct"/>
                  <w:tcBorders>
                    <w:top w:val="single" w:color="000000" w:sz="4" w:space="0"/>
                    <w:left w:val="single" w:color="000000" w:sz="4" w:space="0"/>
                    <w:bottom w:val="single" w:color="000000" w:sz="4" w:space="0"/>
                    <w:right w:val="single" w:color="000000" w:sz="4" w:space="0"/>
                  </w:tcBorders>
                </w:tcPr>
                <w:p w14:paraId="54572B9D">
                  <w:pPr>
                    <w:pStyle w:val="25"/>
                    <w:rPr>
                      <w:rFonts w:hint="default"/>
                      <w:color w:val="0000FF"/>
                    </w:rPr>
                  </w:pPr>
                  <w:r>
                    <w:rPr>
                      <w:color w:val="0000FF"/>
                    </w:rPr>
                    <w:t xml:space="preserve">64.3 </w:t>
                  </w:r>
                </w:p>
              </w:tc>
              <w:tc>
                <w:tcPr>
                  <w:tcW w:w="411" w:type="pct"/>
                  <w:tcBorders>
                    <w:top w:val="single" w:color="000000" w:sz="4" w:space="0"/>
                    <w:left w:val="single" w:color="000000" w:sz="4" w:space="0"/>
                    <w:bottom w:val="single" w:color="000000" w:sz="4" w:space="0"/>
                    <w:right w:val="single" w:color="000000" w:sz="4" w:space="0"/>
                  </w:tcBorders>
                </w:tcPr>
                <w:p w14:paraId="3BEB518D">
                  <w:pPr>
                    <w:pStyle w:val="25"/>
                    <w:rPr>
                      <w:rFonts w:hint="default"/>
                      <w:color w:val="0000FF"/>
                    </w:rPr>
                  </w:pPr>
                  <w:r>
                    <w:rPr>
                      <w:color w:val="0000FF"/>
                    </w:rPr>
                    <w:t xml:space="preserve">58.3 </w:t>
                  </w:r>
                </w:p>
              </w:tc>
              <w:tc>
                <w:tcPr>
                  <w:tcW w:w="411" w:type="pct"/>
                  <w:tcBorders>
                    <w:top w:val="single" w:color="000000" w:sz="4" w:space="0"/>
                    <w:left w:val="single" w:color="000000" w:sz="4" w:space="0"/>
                    <w:bottom w:val="single" w:color="000000" w:sz="4" w:space="0"/>
                    <w:right w:val="single" w:color="000000" w:sz="4" w:space="0"/>
                  </w:tcBorders>
                </w:tcPr>
                <w:p w14:paraId="02E9C682">
                  <w:pPr>
                    <w:pStyle w:val="25"/>
                    <w:rPr>
                      <w:rFonts w:hint="default"/>
                      <w:color w:val="0000FF"/>
                    </w:rPr>
                  </w:pPr>
                  <w:r>
                    <w:rPr>
                      <w:color w:val="0000FF"/>
                    </w:rPr>
                    <w:t xml:space="preserve">54.8 </w:t>
                  </w:r>
                </w:p>
              </w:tc>
              <w:tc>
                <w:tcPr>
                  <w:tcW w:w="412" w:type="pct"/>
                  <w:tcBorders>
                    <w:top w:val="single" w:color="000000" w:sz="4" w:space="0"/>
                    <w:left w:val="single" w:color="000000" w:sz="4" w:space="0"/>
                    <w:bottom w:val="single" w:color="000000" w:sz="4" w:space="0"/>
                    <w:right w:val="single" w:color="000000" w:sz="4" w:space="0"/>
                  </w:tcBorders>
                </w:tcPr>
                <w:p w14:paraId="0A44352D">
                  <w:pPr>
                    <w:pStyle w:val="25"/>
                    <w:rPr>
                      <w:rFonts w:hint="default"/>
                      <w:color w:val="0000FF"/>
                    </w:rPr>
                  </w:pPr>
                  <w:r>
                    <w:rPr>
                      <w:color w:val="0000FF"/>
                    </w:rPr>
                    <w:t xml:space="preserve">52.3 </w:t>
                  </w:r>
                </w:p>
              </w:tc>
            </w:tr>
          </w:tbl>
          <w:p w14:paraId="7374028B">
            <w:pPr>
              <w:pStyle w:val="38"/>
              <w:rPr>
                <w:color w:val="0000FF"/>
              </w:rPr>
            </w:pPr>
            <w:r>
              <w:rPr>
                <w:color w:val="0000FF"/>
              </w:rPr>
              <w:t>（4）施工厂界噪声影响预测分析</w:t>
            </w:r>
          </w:p>
          <w:p w14:paraId="38355EA1">
            <w:pPr>
              <w:pStyle w:val="38"/>
              <w:rPr>
                <w:color w:val="0000FF"/>
              </w:rPr>
            </w:pPr>
            <w:r>
              <w:rPr>
                <w:rFonts w:hint="eastAsia"/>
                <w:color w:val="0000FF"/>
              </w:rPr>
              <w:t>昼间：在土石方阶段，距主要施工机械约 30m 外，可以满足 70dB(A)的限值；在结构和装修阶段，距主要施工机械约 100m 外，可以满足 70dB(A)的限值</w:t>
            </w:r>
          </w:p>
          <w:p w14:paraId="1B1D8D87">
            <w:pPr>
              <w:pStyle w:val="38"/>
            </w:pPr>
            <w:r>
              <w:rPr>
                <w:rFonts w:hint="eastAsia"/>
              </w:rPr>
              <w:t>为减小本项目施工期噪声的影响，将施工期对周边公众的影响降至最低，避免扰民，本项目应严格执行《中华人民共和国噪声污染防治法》、《建筑施工场界环境噪声排放标准》（GB12523-2011）等相关规定，并采取以下施工期噪声治理措施：</w:t>
            </w:r>
          </w:p>
          <w:p w14:paraId="63701FF5">
            <w:pPr>
              <w:pStyle w:val="38"/>
            </w:pPr>
            <w:r>
              <w:rPr>
                <w:rFonts w:hint="eastAsia"/>
              </w:rPr>
              <w:t>（1）施工单位施工前应制定施工现场噪声污染防治管理制度并设置专人负责施工期环境管理。</w:t>
            </w:r>
          </w:p>
          <w:p w14:paraId="23D03604">
            <w:pPr>
              <w:pStyle w:val="38"/>
            </w:pPr>
            <w:r>
              <w:rPr>
                <w:rFonts w:hint="eastAsia"/>
              </w:rPr>
              <w:t>（2）施工前应当按照规定在施工现场周边设置围挡，施工单位应当对围挡进行定期维护。合理布置施工现场，应尽量避免在施工现场的同一地点安排大量的高噪声设备，造成局部声级过高，高噪声设备尽可能远离噪声敏感建筑物，并对高噪声源可单独设立围挡进行隔声降噪。</w:t>
            </w:r>
          </w:p>
          <w:p w14:paraId="4C8F261F">
            <w:pPr>
              <w:pStyle w:val="38"/>
            </w:pPr>
            <w:r>
              <w:rPr>
                <w:rFonts w:hint="eastAsia"/>
              </w:rPr>
              <w:t>（3）施工设备选型时尽量采用低噪声设备，对动力机械设备定期进行维修和养护，避免设备因部件损坏而加大其工作时的声级。</w:t>
            </w:r>
          </w:p>
          <w:p w14:paraId="4A0815DF">
            <w:pPr>
              <w:pStyle w:val="38"/>
            </w:pPr>
            <w:r>
              <w:rPr>
                <w:rFonts w:hint="eastAsia"/>
              </w:rPr>
              <w:t>（4）模板、支架拆卸过程中，遵守作业规定，减少碰撞噪音，尽量少用哨子、喇叭、笛等指挥作业，减少人为噪声。</w:t>
            </w:r>
          </w:p>
          <w:p w14:paraId="47AFF8C7">
            <w:pPr>
              <w:pStyle w:val="38"/>
            </w:pPr>
            <w:r>
              <w:rPr>
                <w:rFonts w:hint="eastAsia"/>
              </w:rPr>
              <w:t>（5）合理安排运输路线，运输车辆经过沿线居民区时，要适当降低车速，避免鸣笛，并减少夜间运输量。</w:t>
            </w:r>
          </w:p>
          <w:p w14:paraId="06DC61C5">
            <w:pPr>
              <w:pStyle w:val="38"/>
            </w:pPr>
            <w:r>
              <w:rPr>
                <w:rFonts w:hint="eastAsia"/>
              </w:rPr>
              <w:t>（6）合理安排施工时间，应尽可能避免大量高噪声设备同时施工。高噪声设备的施工阶段应尽量安排在白天，避免在夜间进行产生噪声污染的施工作业，减少对周边环境影响。确需在夜间进行施工作业的，应当取得工程所在地建设行政主管部门核发的准予夜间施工的批准文件。</w:t>
            </w:r>
          </w:p>
          <w:p w14:paraId="170BFC08">
            <w:pPr>
              <w:pStyle w:val="38"/>
              <w:rPr>
                <w:b/>
              </w:rPr>
            </w:pPr>
            <w:r>
              <w:rPr>
                <w:rFonts w:hint="eastAsia"/>
              </w:rPr>
              <w:t>采取上述措施后，施工期噪声经距离衰减和隔声后能够满足 GB12523-2011《建筑施工场界环境噪声排放标准》的要求</w:t>
            </w:r>
            <w:r>
              <w:t>。</w:t>
            </w:r>
          </w:p>
          <w:p w14:paraId="7F04C48D">
            <w:pPr>
              <w:pStyle w:val="38"/>
            </w:pPr>
            <w:r>
              <w:rPr>
                <w:rFonts w:hint="eastAsia"/>
              </w:rPr>
              <w:t>4.1.2</w:t>
            </w:r>
            <w:r>
              <w:t>施工扬尘环境影响分析</w:t>
            </w:r>
          </w:p>
          <w:p w14:paraId="2EF1A267">
            <w:pPr>
              <w:pStyle w:val="38"/>
            </w:pPr>
            <w:r>
              <w:rPr>
                <w:rFonts w:hint="eastAsia"/>
              </w:rPr>
              <w:t>①</w:t>
            </w:r>
            <w:r>
              <w:t>环境空气影响源</w:t>
            </w:r>
          </w:p>
          <w:p w14:paraId="7761349F">
            <w:pPr>
              <w:pStyle w:val="38"/>
            </w:pPr>
            <w:r>
              <w:t>施工扬尘主要来自于土方挖掘、材料的运输装卸、施工现场内车辆行驶时道路扬尘等。由于扬尘源多且分散，源高一般在15m以下，属无组织排放。受施工方式、设备、气候等因素制约，产生的随机性和波动性较大。</w:t>
            </w:r>
          </w:p>
          <w:p w14:paraId="39E4DEAB">
            <w:pPr>
              <w:pStyle w:val="38"/>
            </w:pPr>
            <w:r>
              <w:t>施工阶段，尤其是施工初期，地基开挖会产生扬尘影响，特别是雨水较少、风大，扬尘影响将更为突出。施工开挖、车辆运输等产生的粉尘短期内将使局部区域内空气中的TSP明显增加。</w:t>
            </w:r>
          </w:p>
          <w:p w14:paraId="5A659DB6">
            <w:pPr>
              <w:pStyle w:val="38"/>
            </w:pPr>
            <w:r>
              <w:rPr>
                <w:rFonts w:hint="eastAsia"/>
              </w:rPr>
              <w:t>②</w:t>
            </w:r>
            <w:r>
              <w:t>施工扬尘环境影响分析</w:t>
            </w:r>
          </w:p>
          <w:p w14:paraId="77461EDF">
            <w:pPr>
              <w:pStyle w:val="38"/>
            </w:pPr>
            <w:r>
              <w:t>本工程施工扬尘影响的区域小、影响的时间短，随着施工期的结束，其对环境的影响也将随之消失，通过施工期采取抑尘措施，可有效降低扬尘带来的不良环境影响。</w:t>
            </w:r>
          </w:p>
          <w:p w14:paraId="4E1F7116">
            <w:pPr>
              <w:pStyle w:val="38"/>
            </w:pPr>
            <w:r>
              <w:rPr>
                <w:rFonts w:hint="eastAsia"/>
              </w:rPr>
              <w:t>③</w:t>
            </w:r>
            <w:r>
              <w:t>拟采取的环保措施</w:t>
            </w:r>
          </w:p>
          <w:p w14:paraId="6A47EA8A">
            <w:pPr>
              <w:ind w:firstLine="480"/>
              <w:rPr>
                <w:rFonts w:cs="Times New Roman"/>
                <w:bCs/>
                <w:color w:val="000000"/>
                <w:szCs w:val="24"/>
              </w:rPr>
            </w:pPr>
            <w:r>
              <w:rPr>
                <w:rFonts w:hint="eastAsia" w:cs="Times New Roman"/>
                <w:bCs/>
                <w:color w:val="000000"/>
                <w:szCs w:val="24"/>
              </w:rPr>
              <w:t>（1）项目施工前制定控制工地扬尘方案。</w:t>
            </w:r>
          </w:p>
          <w:p w14:paraId="631387C9">
            <w:pPr>
              <w:ind w:firstLine="480"/>
              <w:rPr>
                <w:rFonts w:cs="Times New Roman"/>
                <w:bCs/>
                <w:color w:val="000000"/>
                <w:szCs w:val="24"/>
              </w:rPr>
            </w:pPr>
            <w:r>
              <w:rPr>
                <w:rFonts w:hint="eastAsia" w:cs="Times New Roman"/>
                <w:bCs/>
                <w:color w:val="000000"/>
                <w:szCs w:val="24"/>
              </w:rPr>
              <w:t>（2）施工场地每天定期洒水，及时清扫、冲洗，4 级以上大风日停止土方工程。</w:t>
            </w:r>
          </w:p>
          <w:p w14:paraId="690BD8CD">
            <w:pPr>
              <w:ind w:firstLine="480"/>
              <w:rPr>
                <w:rFonts w:cs="Times New Roman"/>
                <w:bCs/>
                <w:color w:val="000000"/>
                <w:szCs w:val="24"/>
              </w:rPr>
            </w:pPr>
            <w:r>
              <w:rPr>
                <w:rFonts w:hint="eastAsia" w:cs="Times New Roman"/>
                <w:bCs/>
                <w:color w:val="000000"/>
                <w:szCs w:val="24"/>
              </w:rPr>
              <w:t>（3）运输车辆进入场地应低速行驶，减少扬尘量；车体轮胎应清理干净后再离开工地。</w:t>
            </w:r>
          </w:p>
          <w:p w14:paraId="7863D967">
            <w:pPr>
              <w:ind w:firstLine="480"/>
              <w:rPr>
                <w:rFonts w:cs="Times New Roman"/>
                <w:bCs/>
                <w:color w:val="000000"/>
                <w:szCs w:val="24"/>
              </w:rPr>
            </w:pPr>
            <w:r>
              <w:rPr>
                <w:rFonts w:hint="eastAsia" w:cs="Times New Roman"/>
                <w:bCs/>
                <w:color w:val="000000"/>
                <w:szCs w:val="24"/>
              </w:rPr>
              <w:t>（4）不在施工现场搅拌混凝土。</w:t>
            </w:r>
          </w:p>
          <w:p w14:paraId="5E0A4EC7">
            <w:pPr>
              <w:ind w:firstLine="480"/>
              <w:rPr>
                <w:rFonts w:cs="Times New Roman"/>
                <w:bCs/>
                <w:color w:val="000000"/>
                <w:szCs w:val="24"/>
              </w:rPr>
            </w:pPr>
            <w:r>
              <w:rPr>
                <w:rFonts w:hint="eastAsia" w:cs="Times New Roman"/>
                <w:bCs/>
                <w:color w:val="000000"/>
                <w:szCs w:val="24"/>
              </w:rPr>
              <w:t>（5）避免起尘材料的露天堆放，施工渣土需用帆布覆盖。</w:t>
            </w:r>
          </w:p>
          <w:p w14:paraId="14854695">
            <w:pPr>
              <w:ind w:firstLine="480"/>
              <w:rPr>
                <w:color w:val="000000" w:themeColor="text1"/>
                <w:szCs w:val="36"/>
                <w14:textFill>
                  <w14:solidFill>
                    <w14:schemeClr w14:val="tx1"/>
                  </w14:solidFill>
                </w14:textFill>
              </w:rPr>
            </w:pPr>
            <w:r>
              <w:rPr>
                <w:rFonts w:hint="eastAsia" w:cs="Times New Roman"/>
                <w:bCs/>
                <w:color w:val="000000"/>
                <w:szCs w:val="24"/>
              </w:rPr>
              <w:t>施工期的废气主要为运输车辆、施工机械（推土机、搅拌机、吊车等）等运行时排放的尾气。由于变电站工程所在地较为开阔，空气流通性较好，车辆排放的废气能够较快的扩散，不会对当地的空气环境产生较大影响，但工程建设过程中仍应合理控制施工车辆的数量，尽量降低对空气环境质量的影响</w:t>
            </w:r>
            <w:r>
              <w:rPr>
                <w:rFonts w:cs="Times New Roman"/>
                <w:bCs/>
                <w:color w:val="000000"/>
                <w:szCs w:val="24"/>
              </w:rPr>
              <w:t>。</w:t>
            </w:r>
          </w:p>
          <w:p w14:paraId="3736E680">
            <w:pPr>
              <w:pStyle w:val="38"/>
            </w:pPr>
            <w:r>
              <w:rPr>
                <w:rFonts w:hint="eastAsia"/>
              </w:rPr>
              <w:t>4.1.3</w:t>
            </w:r>
            <w:r>
              <w:t>施工废水环境影响分析</w:t>
            </w:r>
          </w:p>
          <w:p w14:paraId="69471049">
            <w:pPr>
              <w:pStyle w:val="38"/>
            </w:pPr>
            <w:r>
              <w:rPr>
                <w:rFonts w:hint="eastAsia"/>
              </w:rPr>
              <w:t>①</w:t>
            </w:r>
            <w:r>
              <w:t>废污水源</w:t>
            </w:r>
          </w:p>
          <w:p w14:paraId="724CF95E">
            <w:pPr>
              <w:pStyle w:val="38"/>
            </w:pPr>
            <w:r>
              <w:rPr>
                <w:rFonts w:hint="eastAsia"/>
              </w:rPr>
              <w:t>施工期废水主要来自于施工过程中结构施工、车辆冲洗等产生少量的施工废水及施工人员产生的生活污水。施工废水高峰日用水量约 60m</w:t>
            </w:r>
            <w:r>
              <w:rPr>
                <w:rFonts w:hint="eastAsia"/>
                <w:vertAlign w:val="superscript"/>
              </w:rPr>
              <w:t>3</w:t>
            </w:r>
            <w:r>
              <w:rPr>
                <w:rFonts w:hint="eastAsia"/>
              </w:rPr>
              <w:t>/d。施工人员的生活污水主要为洗涤废水和粪便污水，含 CODcr、BOD5、SS 等。本项目施工人员约为 50 人，用水量按 40L/人·d 计，则施工人员用水量约为 2.0t/d，废水产生量按用水量的 80%计，则废水量为 1.6t/d</w:t>
            </w:r>
            <w:r>
              <w:t>。</w:t>
            </w:r>
          </w:p>
          <w:p w14:paraId="7D74CEBA">
            <w:pPr>
              <w:pStyle w:val="38"/>
            </w:pPr>
            <w:r>
              <w:rPr>
                <w:rFonts w:hint="eastAsia"/>
              </w:rPr>
              <w:t>②</w:t>
            </w:r>
            <w:r>
              <w:t>拟采取的环保措施</w:t>
            </w:r>
          </w:p>
          <w:p w14:paraId="1FD290D3">
            <w:pPr>
              <w:pStyle w:val="38"/>
            </w:pPr>
            <w:r>
              <w:rPr>
                <w:rFonts w:hint="eastAsia"/>
              </w:rPr>
              <w:t>（1）施工废水严禁以渗坑、渗井或漫流方式排放，临时防渗沉淀池处理后回用于降尘，沉淀物质随施工场地内固体废物运至指定地点。</w:t>
            </w:r>
          </w:p>
          <w:p w14:paraId="34D35102">
            <w:pPr>
              <w:pStyle w:val="38"/>
            </w:pPr>
            <w:r>
              <w:rPr>
                <w:rFonts w:hint="eastAsia"/>
              </w:rPr>
              <w:t>（2）施工人员生活污水依托厂区化粪池收集后拉运至苏尼特右旗新蒙新材料有限公司处理后回用。不会对周围水环境产生不利影响。</w:t>
            </w:r>
          </w:p>
          <w:p w14:paraId="556F3294">
            <w:pPr>
              <w:pStyle w:val="38"/>
            </w:pPr>
            <w:r>
              <w:rPr>
                <w:rFonts w:hint="eastAsia"/>
              </w:rPr>
              <w:t>4.1.4</w:t>
            </w:r>
            <w:r>
              <w:t>施工固废环境影响分析</w:t>
            </w:r>
          </w:p>
          <w:p w14:paraId="2E725BBD">
            <w:pPr>
              <w:pStyle w:val="38"/>
            </w:pPr>
            <w:r>
              <w:rPr>
                <w:rFonts w:hint="eastAsia"/>
              </w:rPr>
              <w:t>①</w:t>
            </w:r>
            <w:r>
              <w:t>施工固废环境影响分析</w:t>
            </w:r>
          </w:p>
          <w:p w14:paraId="752C8B12">
            <w:pPr>
              <w:pStyle w:val="38"/>
            </w:pPr>
            <w:r>
              <w:rPr>
                <w:rFonts w:hint="eastAsia"/>
              </w:rPr>
              <w:t>施工期土方用于场地平整后，不存在弃方，</w:t>
            </w:r>
            <w:r>
              <w:t>施工期固体废弃物主要为施工人员的生活垃圾</w:t>
            </w:r>
            <w:r>
              <w:rPr>
                <w:rFonts w:hint="eastAsia"/>
              </w:rPr>
              <w:t>以及变电站的土地平整、变电站内建筑施工等建筑垃圾。</w:t>
            </w:r>
            <w:r>
              <w:t>建筑垃圾若不妥善处置则会产生水土流失等生态环境影响，产生的生活垃圾若不妥善处置则不仅污染环境而且破坏景观。</w:t>
            </w:r>
          </w:p>
          <w:p w14:paraId="2603BE7B">
            <w:pPr>
              <w:pStyle w:val="38"/>
            </w:pPr>
            <w:r>
              <w:rPr>
                <w:rFonts w:hint="eastAsia"/>
              </w:rPr>
              <w:t>②</w:t>
            </w:r>
            <w:r>
              <w:t>拟采取的环保措施及效果分析</w:t>
            </w:r>
          </w:p>
          <w:p w14:paraId="3C160388">
            <w:pPr>
              <w:pStyle w:val="38"/>
            </w:pPr>
            <w:r>
              <w:rPr>
                <w:rFonts w:hint="eastAsia"/>
              </w:rPr>
              <w:t>施工垃圾应设置专门的存放地点，设置围挡并进行遮盖，统一外运，不得随意堆弃</w:t>
            </w:r>
            <w:r>
              <w:t>。施工过程中做到土石方平衡。在此基础上，施工固废不会对环境产生污染影响。</w:t>
            </w:r>
          </w:p>
          <w:p w14:paraId="1EF62EAC">
            <w:pPr>
              <w:pStyle w:val="38"/>
              <w:rPr>
                <w:color w:val="0000FF"/>
              </w:rPr>
            </w:pPr>
            <w:r>
              <w:rPr>
                <w:rFonts w:hint="eastAsia"/>
                <w:color w:val="0000FF"/>
              </w:rPr>
              <w:t>4.1.5</w:t>
            </w:r>
            <w:r>
              <w:rPr>
                <w:color w:val="0000FF"/>
              </w:rPr>
              <w:t>施工期生态环境影响</w:t>
            </w:r>
          </w:p>
          <w:p w14:paraId="28E6C87A">
            <w:pPr>
              <w:pStyle w:val="38"/>
              <w:rPr>
                <w:color w:val="0000FF"/>
              </w:rPr>
            </w:pPr>
            <w:r>
              <w:rPr>
                <w:rFonts w:hint="eastAsia"/>
                <w:color w:val="0000FF"/>
              </w:rPr>
              <w:t>施工占地在已经建成多年的厂区内，占地均为工业用地，临时用地均控制在变电站相邻区域，不会超出厂区范围，占地范围内无植被存在，施工区域无国家级或省级保护的野生动植物。</w:t>
            </w:r>
          </w:p>
          <w:p w14:paraId="334F880D">
            <w:pPr>
              <w:pStyle w:val="38"/>
              <w:rPr>
                <w:color w:val="0000FF"/>
              </w:rPr>
            </w:pPr>
            <w:r>
              <w:rPr>
                <w:rFonts w:hint="eastAsia"/>
                <w:color w:val="0000FF"/>
              </w:rPr>
              <w:t>减少施工期生态环境影响的措施如下：</w:t>
            </w:r>
          </w:p>
          <w:p w14:paraId="0211501D">
            <w:pPr>
              <w:pStyle w:val="38"/>
              <w:rPr>
                <w:color w:val="0000FF"/>
              </w:rPr>
            </w:pPr>
            <w:r>
              <w:rPr>
                <w:rFonts w:hint="eastAsia"/>
                <w:color w:val="0000FF"/>
              </w:rPr>
              <w:t>（1）施工前充分利用现有地形，优先选择对生态影响小的区域划定为临时占地范围。严格限定施工单位在施工过程中按照设计范围控制开挖量，将施工活动限制在厂区范围内。</w:t>
            </w:r>
          </w:p>
          <w:p w14:paraId="0BFFE2E3">
            <w:pPr>
              <w:pStyle w:val="38"/>
              <w:rPr>
                <w:color w:val="0000FF"/>
              </w:rPr>
            </w:pPr>
            <w:r>
              <w:rPr>
                <w:rFonts w:hint="eastAsia"/>
                <w:color w:val="0000FF"/>
              </w:rPr>
              <w:t>（2）按照设计要求确定占地范围，减小开挖土石方量，土方尽可能回填，减小建筑垃圾量的产生。</w:t>
            </w:r>
          </w:p>
          <w:p w14:paraId="6CFD1B7C">
            <w:pPr>
              <w:pStyle w:val="38"/>
              <w:rPr>
                <w:color w:val="0000FF"/>
              </w:rPr>
            </w:pPr>
            <w:r>
              <w:rPr>
                <w:rFonts w:hint="eastAsia"/>
                <w:color w:val="0000FF"/>
              </w:rPr>
              <w:t>（3）清除多余的土方和石料，严禁随意倾倒覆压植被，及时进行场地平整和迹地恢复。</w:t>
            </w:r>
          </w:p>
          <w:p w14:paraId="430DACE0">
            <w:pPr>
              <w:pStyle w:val="38"/>
              <w:rPr>
                <w:color w:val="0000FF"/>
              </w:rPr>
            </w:pPr>
            <w:r>
              <w:rPr>
                <w:rFonts w:hint="eastAsia"/>
                <w:color w:val="0000FF"/>
              </w:rPr>
              <w:t>（4）合理规划运输路线，尽量利用原有路网，施工道路优先选择利用场地内现有道路，不得乱压乱占；施工作业过程严格控制作业区域，减少不必要的碾压和破坏。</w:t>
            </w:r>
          </w:p>
          <w:p w14:paraId="70193CB4">
            <w:pPr>
              <w:pStyle w:val="38"/>
              <w:rPr>
                <w:color w:val="0000FF"/>
              </w:rPr>
            </w:pPr>
            <w:r>
              <w:rPr>
                <w:rFonts w:hint="eastAsia"/>
                <w:color w:val="0000FF"/>
              </w:rPr>
              <w:t>（5）进一步优化变电站的布置设计，最大限度的减小施工过程中对土地的永久占用，减少对土地的扰动。</w:t>
            </w:r>
          </w:p>
          <w:p w14:paraId="539B84DA">
            <w:pPr>
              <w:pStyle w:val="38"/>
            </w:pPr>
            <w:r>
              <w:rPr>
                <w:rFonts w:hint="eastAsia"/>
                <w:color w:val="0000FF"/>
              </w:rPr>
              <w:t>（6）施工临时占地等，后续全部硬化。</w:t>
            </w:r>
          </w:p>
          <w:p w14:paraId="17B36EF7">
            <w:pPr>
              <w:pStyle w:val="38"/>
            </w:pPr>
            <w:r>
              <w:rPr>
                <w:rFonts w:hint="eastAsia"/>
              </w:rPr>
              <w:t>4.1.6</w:t>
            </w:r>
            <w:r>
              <w:t>施工期环境影响分析小结</w:t>
            </w:r>
          </w:p>
          <w:p w14:paraId="2A4EC045">
            <w:pPr>
              <w:pStyle w:val="38"/>
            </w:pPr>
            <w:r>
              <w:t>综上所述，本工程在施工期的环境影响是短暂的、可逆的，随着施工期的结束而消失。施工单位</w:t>
            </w:r>
            <w:r>
              <w:rPr>
                <w:rFonts w:hint="eastAsia"/>
              </w:rPr>
              <w:t>已经</w:t>
            </w:r>
            <w:r>
              <w:t>严格按照有关规定采取上述措施进行污染防治，并加强监管，本项目施工对周围环境的影响</w:t>
            </w:r>
            <w:r>
              <w:rPr>
                <w:rFonts w:hint="eastAsia"/>
              </w:rPr>
              <w:t>较小</w:t>
            </w:r>
            <w:r>
              <w:t>。</w:t>
            </w:r>
          </w:p>
        </w:tc>
      </w:tr>
      <w:tr w14:paraId="4058DF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699" w:type="dxa"/>
            <w:tcMar>
              <w:left w:w="28" w:type="dxa"/>
              <w:right w:w="28" w:type="dxa"/>
            </w:tcMar>
            <w:vAlign w:val="center"/>
          </w:tcPr>
          <w:p w14:paraId="7D047804">
            <w:pPr>
              <w:pStyle w:val="40"/>
              <w:rPr>
                <w:b/>
                <w:bCs/>
                <w:color w:val="000000" w:themeColor="text1"/>
                <w14:textFill>
                  <w14:solidFill>
                    <w14:schemeClr w14:val="tx1"/>
                  </w14:solidFill>
                </w14:textFill>
              </w:rPr>
            </w:pPr>
            <w:r>
              <w:rPr>
                <w:rFonts w:hint="eastAsia"/>
                <w:b/>
                <w:bCs/>
                <w:color w:val="000000" w:themeColor="text1"/>
                <w:sz w:val="24"/>
                <w:szCs w:val="24"/>
                <w14:textFill>
                  <w14:solidFill>
                    <w14:schemeClr w14:val="tx1"/>
                  </w14:solidFill>
                </w14:textFill>
              </w:rPr>
              <w:t>运营期生态环境影响分析</w:t>
            </w:r>
          </w:p>
        </w:tc>
        <w:tc>
          <w:tcPr>
            <w:tcW w:w="8975" w:type="dxa"/>
            <w:vAlign w:val="center"/>
          </w:tcPr>
          <w:p w14:paraId="678E169E">
            <w:pPr>
              <w:pStyle w:val="38"/>
            </w:pPr>
            <w:r>
              <w:rPr>
                <w:rFonts w:hint="eastAsia"/>
              </w:rPr>
              <w:t>4.2运营期环境影响分析</w:t>
            </w:r>
          </w:p>
          <w:p w14:paraId="4C854534">
            <w:pPr>
              <w:pStyle w:val="38"/>
            </w:pPr>
            <w:r>
              <w:rPr>
                <w:rFonts w:hint="eastAsia"/>
              </w:rPr>
              <w:t>4.2.1运营期声环境影响分析</w:t>
            </w:r>
          </w:p>
          <w:p w14:paraId="59EB5FFD">
            <w:pPr>
              <w:pStyle w:val="38"/>
              <w:rPr>
                <w:color w:val="0000FF"/>
              </w:rPr>
            </w:pPr>
            <w:r>
              <w:rPr>
                <w:rFonts w:hint="eastAsia"/>
              </w:rPr>
              <w:t>本项目声环境影响主要为变电站主变压器及风机运行时产生的设备噪声。主变噪声源强参照《变电站噪声技术控制导则》（DL/T 1518-2016）中电压等级为110kV，冷却方式为油浸自冷，变压器声功率级为82.9dB(A)。</w:t>
            </w:r>
          </w:p>
          <w:p w14:paraId="0F847368">
            <w:pPr>
              <w:pStyle w:val="38"/>
            </w:pPr>
            <w:r>
              <w:rPr>
                <w:rFonts w:hint="eastAsia"/>
              </w:rPr>
              <w:t>此外，配电楼还设置有风机，这些风机一般在夏季高温情况下才开启用于散热通风，风机运行时产生的噪声为不连续噪声。经设计单位确认，这些风机均采用低噪声风机，并经加装减振垫，屋顶风机自带出风罩，墙体风机排风口设置消声百叶等处理措施后对外界影响可降低至 45dB(A)以下，因此本次预测不再考虑风机的噪声影响。</w:t>
            </w:r>
          </w:p>
          <w:p w14:paraId="11CFCB3C">
            <w:pPr>
              <w:pStyle w:val="38"/>
              <w:jc w:val="center"/>
              <w:rPr>
                <w:b/>
                <w:bCs/>
                <w:sz w:val="21"/>
                <w:szCs w:val="21"/>
              </w:rPr>
            </w:pPr>
            <w:r>
              <w:rPr>
                <w:rFonts w:hint="eastAsia"/>
                <w:b/>
                <w:bCs/>
                <w:sz w:val="21"/>
                <w:szCs w:val="21"/>
              </w:rPr>
              <w:t>表4.3主要噪声源强调查表</w:t>
            </w:r>
          </w:p>
          <w:tbl>
            <w:tblPr>
              <w:tblStyle w:val="21"/>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9"/>
              <w:gridCol w:w="1068"/>
              <w:gridCol w:w="1371"/>
              <w:gridCol w:w="1371"/>
              <w:gridCol w:w="2490"/>
              <w:gridCol w:w="1150"/>
              <w:gridCol w:w="835"/>
            </w:tblGrid>
            <w:tr w14:paraId="7D4B5C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815" w:hRule="atLeast"/>
              </w:trPr>
              <w:tc>
                <w:tcPr>
                  <w:tcW w:w="268" w:type="pct"/>
                  <w:vAlign w:val="center"/>
                </w:tcPr>
                <w:p w14:paraId="2125C898">
                  <w:pPr>
                    <w:spacing w:line="240" w:lineRule="auto"/>
                    <w:ind w:firstLine="0" w:firstLineChars="0"/>
                    <w:jc w:val="center"/>
                    <w:rPr>
                      <w:rFonts w:cs="Times New Roman"/>
                      <w:b/>
                      <w:bCs/>
                      <w:sz w:val="21"/>
                      <w:szCs w:val="21"/>
                    </w:rPr>
                  </w:pPr>
                  <w:r>
                    <w:rPr>
                      <w:rFonts w:cs="Times New Roman"/>
                      <w:b/>
                      <w:bCs/>
                      <w:sz w:val="21"/>
                      <w:szCs w:val="21"/>
                    </w:rPr>
                    <w:t>序号</w:t>
                  </w:r>
                </w:p>
              </w:tc>
              <w:tc>
                <w:tcPr>
                  <w:tcW w:w="610" w:type="pct"/>
                  <w:vAlign w:val="center"/>
                </w:tcPr>
                <w:p w14:paraId="72CA26F6">
                  <w:pPr>
                    <w:spacing w:line="240" w:lineRule="auto"/>
                    <w:ind w:firstLine="0" w:firstLineChars="0"/>
                    <w:jc w:val="center"/>
                    <w:rPr>
                      <w:rFonts w:cs="Times New Roman"/>
                      <w:b/>
                      <w:bCs/>
                      <w:sz w:val="21"/>
                      <w:szCs w:val="21"/>
                    </w:rPr>
                  </w:pPr>
                  <w:r>
                    <w:rPr>
                      <w:rFonts w:hint="eastAsia" w:cs="Times New Roman"/>
                      <w:b/>
                      <w:bCs/>
                      <w:sz w:val="21"/>
                      <w:szCs w:val="21"/>
                    </w:rPr>
                    <w:t>声源</w:t>
                  </w:r>
                  <w:r>
                    <w:rPr>
                      <w:rFonts w:cs="Times New Roman"/>
                      <w:b/>
                      <w:bCs/>
                      <w:sz w:val="21"/>
                      <w:szCs w:val="21"/>
                    </w:rPr>
                    <w:t>名称</w:t>
                  </w:r>
                </w:p>
              </w:tc>
              <w:tc>
                <w:tcPr>
                  <w:tcW w:w="783" w:type="pct"/>
                  <w:vAlign w:val="center"/>
                </w:tcPr>
                <w:p w14:paraId="1ED94387">
                  <w:pPr>
                    <w:spacing w:line="240" w:lineRule="auto"/>
                    <w:ind w:firstLine="0" w:firstLineChars="0"/>
                    <w:jc w:val="center"/>
                    <w:rPr>
                      <w:rFonts w:cs="Times New Roman"/>
                      <w:b/>
                      <w:bCs/>
                      <w:sz w:val="21"/>
                      <w:szCs w:val="21"/>
                    </w:rPr>
                  </w:pPr>
                  <w:r>
                    <w:rPr>
                      <w:rFonts w:hint="eastAsia" w:cs="Times New Roman"/>
                      <w:b/>
                      <w:bCs/>
                      <w:sz w:val="21"/>
                      <w:szCs w:val="21"/>
                    </w:rPr>
                    <w:t>设备型号</w:t>
                  </w:r>
                </w:p>
              </w:tc>
              <w:tc>
                <w:tcPr>
                  <w:tcW w:w="783" w:type="pct"/>
                  <w:vAlign w:val="center"/>
                </w:tcPr>
                <w:p w14:paraId="41010524">
                  <w:pPr>
                    <w:spacing w:line="240" w:lineRule="auto"/>
                    <w:ind w:firstLine="0" w:firstLineChars="0"/>
                    <w:jc w:val="center"/>
                    <w:rPr>
                      <w:rFonts w:cs="Times New Roman"/>
                      <w:b/>
                      <w:bCs/>
                      <w:sz w:val="21"/>
                      <w:szCs w:val="21"/>
                    </w:rPr>
                  </w:pPr>
                  <w:r>
                    <w:rPr>
                      <w:rFonts w:hint="eastAsia" w:cs="Times New Roman"/>
                      <w:b/>
                      <w:bCs/>
                      <w:sz w:val="21"/>
                      <w:szCs w:val="21"/>
                    </w:rPr>
                    <w:t>声源源强dB(A)</w:t>
                  </w:r>
                </w:p>
              </w:tc>
              <w:tc>
                <w:tcPr>
                  <w:tcW w:w="1422" w:type="pct"/>
                  <w:vAlign w:val="center"/>
                </w:tcPr>
                <w:p w14:paraId="2D76D555">
                  <w:pPr>
                    <w:spacing w:line="240" w:lineRule="auto"/>
                    <w:ind w:firstLine="0" w:firstLineChars="0"/>
                    <w:jc w:val="center"/>
                    <w:rPr>
                      <w:rFonts w:cs="Times New Roman"/>
                      <w:b/>
                      <w:bCs/>
                      <w:sz w:val="21"/>
                      <w:szCs w:val="21"/>
                    </w:rPr>
                  </w:pPr>
                  <w:r>
                    <w:rPr>
                      <w:rFonts w:hint="eastAsia" w:cs="Times New Roman"/>
                      <w:b/>
                      <w:bCs/>
                      <w:sz w:val="21"/>
                      <w:szCs w:val="21"/>
                    </w:rPr>
                    <w:t>空间相对位置（m）</w:t>
                  </w:r>
                </w:p>
              </w:tc>
              <w:tc>
                <w:tcPr>
                  <w:tcW w:w="657" w:type="pct"/>
                  <w:vAlign w:val="center"/>
                </w:tcPr>
                <w:p w14:paraId="63CA3F54">
                  <w:pPr>
                    <w:widowControl/>
                    <w:spacing w:line="240" w:lineRule="auto"/>
                    <w:ind w:firstLine="0" w:firstLineChars="0"/>
                    <w:jc w:val="center"/>
                    <w:rPr>
                      <w:rFonts w:cs="Times New Roman"/>
                      <w:b/>
                      <w:bCs/>
                      <w:sz w:val="21"/>
                      <w:szCs w:val="21"/>
                    </w:rPr>
                  </w:pPr>
                  <w:r>
                    <w:rPr>
                      <w:rFonts w:hint="eastAsia" w:cs="Times New Roman"/>
                      <w:b/>
                      <w:bCs/>
                      <w:kern w:val="0"/>
                      <w:sz w:val="21"/>
                      <w:szCs w:val="21"/>
                    </w:rPr>
                    <w:t>声源控制</w:t>
                  </w:r>
                  <w:r>
                    <w:rPr>
                      <w:rFonts w:cs="Times New Roman"/>
                      <w:b/>
                      <w:bCs/>
                      <w:kern w:val="0"/>
                      <w:sz w:val="21"/>
                      <w:szCs w:val="21"/>
                    </w:rPr>
                    <w:t>措施</w:t>
                  </w:r>
                </w:p>
              </w:tc>
              <w:tc>
                <w:tcPr>
                  <w:tcW w:w="475" w:type="pct"/>
                  <w:vAlign w:val="center"/>
                </w:tcPr>
                <w:p w14:paraId="21016AF0">
                  <w:pPr>
                    <w:widowControl/>
                    <w:spacing w:line="240" w:lineRule="auto"/>
                    <w:ind w:firstLine="0" w:firstLineChars="0"/>
                    <w:jc w:val="center"/>
                    <w:rPr>
                      <w:rFonts w:cs="Times New Roman"/>
                      <w:b/>
                      <w:bCs/>
                      <w:sz w:val="21"/>
                      <w:szCs w:val="21"/>
                    </w:rPr>
                  </w:pPr>
                  <w:r>
                    <w:rPr>
                      <w:rFonts w:hint="eastAsia" w:cs="Times New Roman"/>
                      <w:b/>
                      <w:bCs/>
                      <w:sz w:val="21"/>
                      <w:szCs w:val="21"/>
                    </w:rPr>
                    <w:t>运行时段</w:t>
                  </w:r>
                </w:p>
              </w:tc>
            </w:tr>
            <w:tr w14:paraId="2C0C37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268" w:type="pct"/>
                  <w:vAlign w:val="center"/>
                </w:tcPr>
                <w:p w14:paraId="4A6316ED">
                  <w:pPr>
                    <w:spacing w:line="240" w:lineRule="auto"/>
                    <w:ind w:firstLine="0" w:firstLineChars="0"/>
                    <w:jc w:val="center"/>
                    <w:rPr>
                      <w:rFonts w:cs="Times New Roman"/>
                      <w:sz w:val="21"/>
                      <w:szCs w:val="21"/>
                    </w:rPr>
                  </w:pPr>
                  <w:r>
                    <w:rPr>
                      <w:rFonts w:cs="Times New Roman"/>
                      <w:sz w:val="21"/>
                      <w:szCs w:val="21"/>
                    </w:rPr>
                    <w:t>1</w:t>
                  </w:r>
                </w:p>
              </w:tc>
              <w:tc>
                <w:tcPr>
                  <w:tcW w:w="610" w:type="pct"/>
                  <w:vAlign w:val="center"/>
                </w:tcPr>
                <w:p w14:paraId="1D407533">
                  <w:pPr>
                    <w:spacing w:line="240" w:lineRule="auto"/>
                    <w:ind w:firstLine="0" w:firstLineChars="0"/>
                    <w:jc w:val="center"/>
                    <w:rPr>
                      <w:rFonts w:cs="Times New Roman"/>
                      <w:sz w:val="21"/>
                      <w:szCs w:val="21"/>
                    </w:rPr>
                  </w:pPr>
                  <w:r>
                    <w:rPr>
                      <w:rFonts w:hint="eastAsia" w:cs="Times New Roman"/>
                      <w:sz w:val="21"/>
                      <w:szCs w:val="21"/>
                    </w:rPr>
                    <w:t>主变1</w:t>
                  </w:r>
                </w:p>
              </w:tc>
              <w:tc>
                <w:tcPr>
                  <w:tcW w:w="783" w:type="pct"/>
                  <w:vAlign w:val="center"/>
                </w:tcPr>
                <w:p w14:paraId="64032805">
                  <w:pPr>
                    <w:spacing w:line="240" w:lineRule="auto"/>
                    <w:ind w:firstLine="0" w:firstLineChars="0"/>
                    <w:jc w:val="center"/>
                    <w:rPr>
                      <w:rFonts w:cs="Times New Roman"/>
                      <w:sz w:val="21"/>
                      <w:szCs w:val="21"/>
                    </w:rPr>
                  </w:pPr>
                  <w:r>
                    <w:rPr>
                      <w:rFonts w:hint="eastAsia" w:cs="Times New Roman"/>
                      <w:sz w:val="21"/>
                      <w:szCs w:val="21"/>
                    </w:rPr>
                    <w:t>110kV油浸自冷变压器</w:t>
                  </w:r>
                </w:p>
              </w:tc>
              <w:tc>
                <w:tcPr>
                  <w:tcW w:w="783" w:type="pct"/>
                  <w:vAlign w:val="center"/>
                </w:tcPr>
                <w:p w14:paraId="0BFF87BD">
                  <w:pPr>
                    <w:widowControl/>
                    <w:spacing w:line="240" w:lineRule="auto"/>
                    <w:ind w:firstLine="0" w:firstLineChars="0"/>
                    <w:jc w:val="center"/>
                    <w:textAlignment w:val="center"/>
                    <w:rPr>
                      <w:sz w:val="21"/>
                      <w:szCs w:val="21"/>
                    </w:rPr>
                  </w:pPr>
                  <w:r>
                    <w:rPr>
                      <w:rFonts w:hint="eastAsia"/>
                      <w:sz w:val="21"/>
                      <w:szCs w:val="21"/>
                    </w:rPr>
                    <w:t>82.9</w:t>
                  </w:r>
                </w:p>
                <w:p w14:paraId="10AEEDFF">
                  <w:pPr>
                    <w:widowControl/>
                    <w:spacing w:line="240" w:lineRule="auto"/>
                    <w:ind w:firstLine="0" w:firstLineChars="0"/>
                    <w:jc w:val="center"/>
                    <w:textAlignment w:val="center"/>
                    <w:rPr>
                      <w:sz w:val="21"/>
                      <w:szCs w:val="21"/>
                    </w:rPr>
                  </w:pPr>
                  <w:r>
                    <w:rPr>
                      <w:rFonts w:hint="eastAsia"/>
                      <w:sz w:val="21"/>
                      <w:szCs w:val="21"/>
                    </w:rPr>
                    <w:t>（声功率级）</w:t>
                  </w:r>
                </w:p>
              </w:tc>
              <w:tc>
                <w:tcPr>
                  <w:tcW w:w="1422" w:type="pct"/>
                  <w:vAlign w:val="center"/>
                </w:tcPr>
                <w:p w14:paraId="32F2009E">
                  <w:pPr>
                    <w:widowControl/>
                    <w:spacing w:line="240" w:lineRule="auto"/>
                    <w:ind w:firstLine="0" w:firstLineChars="0"/>
                    <w:jc w:val="center"/>
                    <w:textAlignment w:val="center"/>
                    <w:rPr>
                      <w:sz w:val="20"/>
                      <w:szCs w:val="20"/>
                      <w:lang w:bidi="ar"/>
                    </w:rPr>
                  </w:pPr>
                  <w:r>
                    <w:rPr>
                      <w:rFonts w:hint="eastAsia"/>
                      <w:sz w:val="20"/>
                      <w:szCs w:val="20"/>
                      <w:lang w:bidi="ar"/>
                    </w:rPr>
                    <w:t>X:25；Y:16；Z:1.5</w:t>
                  </w:r>
                </w:p>
              </w:tc>
              <w:tc>
                <w:tcPr>
                  <w:tcW w:w="657" w:type="pct"/>
                  <w:vAlign w:val="center"/>
                </w:tcPr>
                <w:p w14:paraId="7BAD4EE0">
                  <w:pPr>
                    <w:widowControl/>
                    <w:spacing w:line="240" w:lineRule="auto"/>
                    <w:ind w:firstLine="0" w:firstLineChars="0"/>
                    <w:jc w:val="center"/>
                    <w:rPr>
                      <w:rFonts w:cs="Times New Roman"/>
                      <w:sz w:val="21"/>
                      <w:szCs w:val="21"/>
                    </w:rPr>
                  </w:pPr>
                  <w:r>
                    <w:rPr>
                      <w:rFonts w:hint="eastAsia"/>
                      <w:sz w:val="21"/>
                      <w:szCs w:val="21"/>
                    </w:rPr>
                    <w:t>低噪设备、加强保养维护、基础减震</w:t>
                  </w:r>
                </w:p>
              </w:tc>
              <w:tc>
                <w:tcPr>
                  <w:tcW w:w="475" w:type="pct"/>
                  <w:vAlign w:val="center"/>
                </w:tcPr>
                <w:p w14:paraId="5EE0FAB3">
                  <w:pPr>
                    <w:spacing w:line="240" w:lineRule="auto"/>
                    <w:ind w:firstLine="0" w:firstLineChars="0"/>
                    <w:jc w:val="center"/>
                    <w:rPr>
                      <w:rFonts w:cs="Times New Roman"/>
                      <w:sz w:val="21"/>
                      <w:szCs w:val="21"/>
                    </w:rPr>
                  </w:pPr>
                  <w:r>
                    <w:rPr>
                      <w:rFonts w:hint="eastAsia" w:cs="Times New Roman"/>
                      <w:sz w:val="21"/>
                      <w:szCs w:val="21"/>
                    </w:rPr>
                    <w:t>8760h</w:t>
                  </w:r>
                </w:p>
              </w:tc>
            </w:tr>
            <w:tr w14:paraId="148962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83" w:hRule="atLeast"/>
              </w:trPr>
              <w:tc>
                <w:tcPr>
                  <w:tcW w:w="5000" w:type="pct"/>
                  <w:gridSpan w:val="7"/>
                  <w:vAlign w:val="center"/>
                </w:tcPr>
                <w:p w14:paraId="365FB389">
                  <w:pPr>
                    <w:spacing w:line="240" w:lineRule="auto"/>
                    <w:ind w:firstLine="0" w:firstLineChars="0"/>
                    <w:rPr>
                      <w:rFonts w:cs="Times New Roman"/>
                      <w:sz w:val="21"/>
                      <w:szCs w:val="21"/>
                    </w:rPr>
                  </w:pPr>
                  <w:r>
                    <w:rPr>
                      <w:rFonts w:hint="eastAsia" w:cs="Times New Roman"/>
                      <w:sz w:val="21"/>
                      <w:szCs w:val="21"/>
                    </w:rPr>
                    <w:t>注：空间相对位置以变电站西南角为坐标原点，按主变油箱中心确定相对位置</w:t>
                  </w:r>
                </w:p>
                <w:p w14:paraId="4B4D6A85">
                  <w:pPr>
                    <w:spacing w:line="240" w:lineRule="auto"/>
                    <w:ind w:firstLine="0" w:firstLineChars="0"/>
                    <w:rPr>
                      <w:rFonts w:cs="Times New Roman"/>
                      <w:sz w:val="21"/>
                      <w:szCs w:val="21"/>
                    </w:rPr>
                  </w:pPr>
                  <w:r>
                    <w:rPr>
                      <w:rFonts w:hint="eastAsia" w:cs="Times New Roman"/>
                      <w:sz w:val="21"/>
                      <w:szCs w:val="21"/>
                    </w:rPr>
                    <w:t>主变距变电站东侧边界约30m，南侧边界约15.5m，西侧边界约22m，北侧边界约43m</w:t>
                  </w:r>
                </w:p>
              </w:tc>
            </w:tr>
          </w:tbl>
          <w:p w14:paraId="71A4C829">
            <w:pPr>
              <w:pStyle w:val="38"/>
            </w:pPr>
            <w:r>
              <w:rPr>
                <w:rFonts w:hint="eastAsia"/>
              </w:rPr>
              <w:t>本次评价考虑一台变压器噪声源强82.9dB(A)，采取的降噪措施为加强保养维护、基础减震，降噪量按10dB(A)计算，进行计算。</w:t>
            </w:r>
          </w:p>
          <w:p w14:paraId="64B11BCD">
            <w:pPr>
              <w:pStyle w:val="38"/>
            </w:pPr>
            <w:r>
              <w:rPr>
                <w:rFonts w:hint="eastAsia"/>
              </w:rPr>
              <w:t>点声源距离衰减公式：</w:t>
            </w:r>
          </w:p>
          <w:p w14:paraId="503A637E">
            <w:pPr>
              <w:pStyle w:val="38"/>
            </w:pPr>
            <w:r>
              <w:rPr>
                <w:rFonts w:cs="Times New Roman"/>
              </w:rPr>
              <w:t>L</w:t>
            </w:r>
            <w:r>
              <w:rPr>
                <w:rFonts w:cs="Times New Roman"/>
                <w:vertAlign w:val="subscript"/>
              </w:rPr>
              <w:t>p</w:t>
            </w:r>
            <w:r>
              <w:rPr>
                <w:rFonts w:cs="Times New Roman"/>
              </w:rPr>
              <w:t>(r)= L</w:t>
            </w:r>
            <w:r>
              <w:rPr>
                <w:rFonts w:cs="Times New Roman"/>
                <w:vertAlign w:val="subscript"/>
              </w:rPr>
              <w:t>p</w:t>
            </w:r>
            <w:r>
              <w:rPr>
                <w:rFonts w:cs="Times New Roman"/>
              </w:rPr>
              <w:t>(r</w:t>
            </w:r>
            <w:r>
              <w:rPr>
                <w:rFonts w:cs="Times New Roman"/>
                <w:vertAlign w:val="subscript"/>
              </w:rPr>
              <w:t>0</w:t>
            </w:r>
            <w:r>
              <w:rPr>
                <w:rFonts w:cs="Times New Roman"/>
              </w:rPr>
              <w:t>)-20lg(r /r</w:t>
            </w:r>
            <w:r>
              <w:rPr>
                <w:rFonts w:cs="Times New Roman"/>
                <w:vertAlign w:val="subscript"/>
              </w:rPr>
              <w:t>0</w:t>
            </w:r>
            <w:r>
              <w:rPr>
                <w:rFonts w:cs="Times New Roman"/>
              </w:rPr>
              <w:t xml:space="preserve">) </w:t>
            </w:r>
            <w:r>
              <w:rPr>
                <w:rFonts w:hint="eastAsia"/>
              </w:rPr>
              <w:t xml:space="preserve">  </w:t>
            </w:r>
          </w:p>
          <w:p w14:paraId="1613C30E">
            <w:pPr>
              <w:pStyle w:val="38"/>
            </w:pPr>
            <w:r>
              <w:rPr>
                <w:rFonts w:hint="eastAsia"/>
              </w:rPr>
              <w:t>其中：</w:t>
            </w:r>
            <w:r>
              <w:rPr>
                <w:rFonts w:cs="Times New Roman"/>
              </w:rPr>
              <w:t>L</w:t>
            </w:r>
            <w:r>
              <w:rPr>
                <w:rFonts w:cs="Times New Roman"/>
                <w:vertAlign w:val="subscript"/>
              </w:rPr>
              <w:t>p</w:t>
            </w:r>
            <w:r>
              <w:rPr>
                <w:rFonts w:cs="Times New Roman"/>
              </w:rPr>
              <w:t>(r)</w:t>
            </w:r>
            <w:r>
              <w:rPr>
                <w:rFonts w:hint="eastAsia"/>
              </w:rPr>
              <w:t>：距声源 r 处的 A 声级，dB(A)；</w:t>
            </w:r>
          </w:p>
          <w:p w14:paraId="08626955">
            <w:pPr>
              <w:pStyle w:val="38"/>
            </w:pPr>
            <w:r>
              <w:rPr>
                <w:rFonts w:cs="Times New Roman"/>
              </w:rPr>
              <w:t>L</w:t>
            </w:r>
            <w:r>
              <w:rPr>
                <w:rFonts w:cs="Times New Roman"/>
                <w:vertAlign w:val="subscript"/>
              </w:rPr>
              <w:t>p</w:t>
            </w:r>
            <w:r>
              <w:rPr>
                <w:rFonts w:cs="Times New Roman"/>
              </w:rPr>
              <w:t>(r</w:t>
            </w:r>
            <w:r>
              <w:rPr>
                <w:rFonts w:cs="Times New Roman"/>
                <w:vertAlign w:val="subscript"/>
              </w:rPr>
              <w:t>0</w:t>
            </w:r>
            <w:r>
              <w:rPr>
                <w:rFonts w:cs="Times New Roman"/>
              </w:rPr>
              <w:t>)</w:t>
            </w:r>
            <w:r>
              <w:rPr>
                <w:rFonts w:hint="eastAsia"/>
              </w:rPr>
              <w:t>：参考位置 r0 处的 A 声级，取65dB(A)；</w:t>
            </w:r>
          </w:p>
          <w:p w14:paraId="2A815B3A">
            <w:pPr>
              <w:pStyle w:val="38"/>
            </w:pPr>
            <w:r>
              <w:rPr>
                <w:rFonts w:hint="eastAsia"/>
              </w:rPr>
              <w:t>r：预测点距离声源的距离，m；</w:t>
            </w:r>
          </w:p>
          <w:p w14:paraId="425486C9">
            <w:pPr>
              <w:pStyle w:val="38"/>
            </w:pPr>
            <w:r>
              <w:rPr>
                <w:rFonts w:hint="eastAsia"/>
              </w:rPr>
              <w:t>r</w:t>
            </w:r>
            <w:r>
              <w:rPr>
                <w:rFonts w:hint="eastAsia"/>
                <w:vertAlign w:val="subscript"/>
              </w:rPr>
              <w:t>0</w:t>
            </w:r>
            <w:r>
              <w:rPr>
                <w:rFonts w:hint="eastAsia"/>
              </w:rPr>
              <w:t>：参考位置距离声源的距离m。</w:t>
            </w:r>
          </w:p>
          <w:p w14:paraId="3B34047F">
            <w:pPr>
              <w:snapToGrid w:val="0"/>
              <w:ind w:firstLine="480"/>
              <w:outlineLvl w:val="1"/>
              <w:rPr>
                <w:rFonts w:cs="Times New Roman"/>
                <w:snapToGrid w:val="0"/>
                <w:color w:val="000000"/>
                <w:szCs w:val="24"/>
              </w:rPr>
            </w:pPr>
            <w:bookmarkStart w:id="8" w:name="_Toc26186"/>
            <w:r>
              <w:rPr>
                <w:rFonts w:cs="Times New Roman"/>
                <w:snapToGrid w:val="0"/>
                <w:color w:val="000000"/>
                <w:szCs w:val="24"/>
              </w:rPr>
              <w:t>预测值计算</w:t>
            </w:r>
            <w:bookmarkEnd w:id="8"/>
          </w:p>
          <w:p w14:paraId="404CADBE">
            <w:pPr>
              <w:snapToGrid w:val="0"/>
              <w:ind w:firstLine="480"/>
              <w:rPr>
                <w:rFonts w:cs="Times New Roman"/>
                <w:snapToGrid w:val="0"/>
                <w:color w:val="000000"/>
                <w:szCs w:val="24"/>
              </w:rPr>
            </w:pPr>
            <w:r>
              <w:rPr>
                <w:rFonts w:cs="Times New Roman"/>
                <w:snapToGrid w:val="0"/>
                <w:color w:val="000000"/>
                <w:szCs w:val="24"/>
              </w:rPr>
              <w:t>预测点的预测等效声级(</w:t>
            </w:r>
            <w:r>
              <w:rPr>
                <w:rFonts w:cs="Times New Roman"/>
                <w:snapToGrid w:val="0"/>
                <w:color w:val="000000"/>
                <w:szCs w:val="23"/>
              </w:rPr>
              <w:t>L</w:t>
            </w:r>
            <w:r>
              <w:rPr>
                <w:rFonts w:cs="Times New Roman"/>
                <w:snapToGrid w:val="0"/>
                <w:color w:val="000000"/>
                <w:szCs w:val="13"/>
                <w:vertAlign w:val="subscript"/>
              </w:rPr>
              <w:t>eq</w:t>
            </w:r>
            <w:r>
              <w:rPr>
                <w:rFonts w:cs="Times New Roman"/>
                <w:snapToGrid w:val="0"/>
                <w:color w:val="000000"/>
                <w:szCs w:val="24"/>
              </w:rPr>
              <w:t xml:space="preserve">)计算公式： </w:t>
            </w:r>
          </w:p>
          <w:p w14:paraId="77F275B7">
            <w:pPr>
              <w:snapToGrid w:val="0"/>
              <w:ind w:firstLine="480"/>
              <w:jc w:val="center"/>
              <w:rPr>
                <w:rFonts w:cs="Times New Roman"/>
                <w:snapToGrid w:val="0"/>
                <w:color w:val="000000"/>
                <w:szCs w:val="24"/>
              </w:rPr>
            </w:pPr>
            <w:r>
              <w:rPr>
                <w:rFonts w:cs="Times New Roman"/>
                <w:snapToGrid w:val="0"/>
                <w:color w:val="000000"/>
                <w:szCs w:val="24"/>
              </w:rPr>
              <w:t>L</w:t>
            </w:r>
            <w:r>
              <w:rPr>
                <w:rFonts w:cs="Times New Roman"/>
                <w:snapToGrid w:val="0"/>
                <w:color w:val="000000"/>
                <w:szCs w:val="24"/>
                <w:vertAlign w:val="subscript"/>
              </w:rPr>
              <w:t>eq</w:t>
            </w:r>
            <w:r>
              <w:rPr>
                <w:rFonts w:cs="Times New Roman"/>
                <w:snapToGrid w:val="0"/>
                <w:color w:val="000000"/>
                <w:szCs w:val="24"/>
              </w:rPr>
              <w:t>=10lg(10</w:t>
            </w:r>
            <w:r>
              <w:rPr>
                <w:rFonts w:cs="Times New Roman"/>
                <w:snapToGrid w:val="0"/>
                <w:color w:val="000000"/>
                <w:szCs w:val="24"/>
                <w:vertAlign w:val="superscript"/>
              </w:rPr>
              <w:t>0.1Leqg</w:t>
            </w:r>
            <w:r>
              <w:rPr>
                <w:rFonts w:cs="Times New Roman"/>
                <w:snapToGrid w:val="0"/>
                <w:color w:val="000000"/>
                <w:szCs w:val="24"/>
              </w:rPr>
              <w:t>+10</w:t>
            </w:r>
            <w:r>
              <w:rPr>
                <w:rFonts w:cs="Times New Roman"/>
                <w:snapToGrid w:val="0"/>
                <w:color w:val="000000"/>
                <w:szCs w:val="24"/>
                <w:vertAlign w:val="superscript"/>
              </w:rPr>
              <w:t>0.1Leqb</w:t>
            </w:r>
            <w:r>
              <w:rPr>
                <w:rFonts w:cs="Times New Roman"/>
                <w:snapToGrid w:val="0"/>
                <w:color w:val="000000"/>
                <w:szCs w:val="24"/>
              </w:rPr>
              <w:t>)</w:t>
            </w:r>
          </w:p>
          <w:p w14:paraId="5424C0E1">
            <w:pPr>
              <w:snapToGrid w:val="0"/>
              <w:ind w:firstLine="480"/>
              <w:rPr>
                <w:rFonts w:cs="Times New Roman"/>
                <w:snapToGrid w:val="0"/>
                <w:color w:val="000000"/>
                <w:szCs w:val="24"/>
              </w:rPr>
            </w:pPr>
            <w:r>
              <w:rPr>
                <w:rFonts w:cs="Times New Roman"/>
                <w:snapToGrid w:val="0"/>
                <w:color w:val="000000"/>
                <w:szCs w:val="24"/>
              </w:rPr>
              <w:t>式中：</w:t>
            </w:r>
            <w:r>
              <w:rPr>
                <w:rFonts w:cs="Times New Roman"/>
                <w:snapToGrid w:val="0"/>
                <w:color w:val="000000"/>
                <w:szCs w:val="23"/>
              </w:rPr>
              <w:t>L</w:t>
            </w:r>
            <w:r>
              <w:rPr>
                <w:rFonts w:cs="Times New Roman"/>
                <w:snapToGrid w:val="0"/>
                <w:color w:val="000000"/>
                <w:szCs w:val="13"/>
                <w:vertAlign w:val="subscript"/>
              </w:rPr>
              <w:t>eqg</w:t>
            </w:r>
            <w:r>
              <w:rPr>
                <w:rFonts w:cs="Times New Roman"/>
                <w:snapToGrid w:val="0"/>
                <w:color w:val="000000"/>
                <w:szCs w:val="24"/>
              </w:rPr>
              <w:t xml:space="preserve">—建设项目声源在预测点的等效声级贡献值，dB(A)； </w:t>
            </w:r>
          </w:p>
          <w:p w14:paraId="436F6C97">
            <w:pPr>
              <w:ind w:firstLine="480"/>
              <w:rPr>
                <w:rFonts w:cs="Times New Roman"/>
                <w:color w:val="000000"/>
                <w:szCs w:val="24"/>
              </w:rPr>
            </w:pPr>
            <w:r>
              <w:rPr>
                <w:rFonts w:cs="Times New Roman"/>
                <w:color w:val="000000"/>
                <w:szCs w:val="23"/>
              </w:rPr>
              <w:t>L</w:t>
            </w:r>
            <w:r>
              <w:rPr>
                <w:rFonts w:cs="Times New Roman"/>
                <w:color w:val="000000"/>
                <w:szCs w:val="13"/>
                <w:vertAlign w:val="subscript"/>
              </w:rPr>
              <w:t>eqb</w:t>
            </w:r>
            <w:r>
              <w:rPr>
                <w:rFonts w:cs="Times New Roman"/>
                <w:color w:val="000000"/>
                <w:szCs w:val="24"/>
              </w:rPr>
              <w:t>— 预测点的背景值，dB(A)。</w:t>
            </w:r>
          </w:p>
          <w:p w14:paraId="65F1F39E">
            <w:pPr>
              <w:pStyle w:val="38"/>
              <w:ind w:firstLine="0"/>
              <w:jc w:val="center"/>
            </w:pPr>
            <w:r>
              <w:drawing>
                <wp:inline distT="0" distB="0" distL="114300" distR="114300">
                  <wp:extent cx="5225415" cy="4032885"/>
                  <wp:effectExtent l="0" t="0" r="13335" b="571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19"/>
                          <a:stretch>
                            <a:fillRect/>
                          </a:stretch>
                        </pic:blipFill>
                        <pic:spPr>
                          <a:xfrm>
                            <a:off x="0" y="0"/>
                            <a:ext cx="5225415" cy="4032885"/>
                          </a:xfrm>
                          <a:prstGeom prst="rect">
                            <a:avLst/>
                          </a:prstGeom>
                          <a:noFill/>
                          <a:ln>
                            <a:noFill/>
                          </a:ln>
                        </pic:spPr>
                      </pic:pic>
                    </a:graphicData>
                  </a:graphic>
                </wp:inline>
              </w:drawing>
            </w:r>
          </w:p>
          <w:p w14:paraId="40C30FBE">
            <w:pPr>
              <w:pStyle w:val="38"/>
            </w:pPr>
            <w:r>
              <w:rPr>
                <w:rFonts w:hint="eastAsia"/>
              </w:rPr>
              <w:t>具体预测结果见表4.4</w:t>
            </w:r>
          </w:p>
          <w:p w14:paraId="0E94B175">
            <w:pPr>
              <w:pStyle w:val="38"/>
              <w:jc w:val="center"/>
              <w:rPr>
                <w:b/>
                <w:bCs/>
                <w:sz w:val="21"/>
                <w:szCs w:val="21"/>
              </w:rPr>
            </w:pPr>
            <w:r>
              <w:rPr>
                <w:rFonts w:hint="eastAsia"/>
                <w:b/>
                <w:bCs/>
                <w:sz w:val="21"/>
                <w:szCs w:val="21"/>
              </w:rPr>
              <w:t>表4.4声环境影响预测结果</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95"/>
              <w:gridCol w:w="1946"/>
              <w:gridCol w:w="2249"/>
              <w:gridCol w:w="1157"/>
            </w:tblGrid>
            <w:tr w14:paraId="14452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940" w:type="pct"/>
                  <w:vAlign w:val="center"/>
                </w:tcPr>
                <w:p w14:paraId="720CC49D">
                  <w:pPr>
                    <w:tabs>
                      <w:tab w:val="right" w:pos="3294"/>
                    </w:tabs>
                    <w:spacing w:line="240" w:lineRule="auto"/>
                    <w:ind w:firstLine="0" w:firstLineChars="0"/>
                    <w:jc w:val="center"/>
                    <w:rPr>
                      <w:rFonts w:hint="eastAsia" w:ascii="宋体" w:hAnsi="宋体"/>
                      <w:b/>
                      <w:sz w:val="21"/>
                      <w:szCs w:val="21"/>
                    </w:rPr>
                  </w:pPr>
                  <w:r>
                    <w:rPr>
                      <w:rFonts w:ascii="宋体" w:hAnsi="宋体"/>
                      <w:b/>
                      <w:sz w:val="21"/>
                      <w:szCs w:val="21"/>
                    </w:rPr>
                    <w:t>测量位置</w:t>
                  </w:r>
                </w:p>
              </w:tc>
              <w:tc>
                <w:tcPr>
                  <w:tcW w:w="1112" w:type="pct"/>
                  <w:vAlign w:val="center"/>
                </w:tcPr>
                <w:p w14:paraId="28BAF0CB">
                  <w:pPr>
                    <w:spacing w:line="240" w:lineRule="auto"/>
                    <w:ind w:firstLine="0" w:firstLineChars="0"/>
                    <w:jc w:val="center"/>
                    <w:rPr>
                      <w:rFonts w:hint="eastAsia" w:ascii="宋体" w:hAnsi="宋体"/>
                      <w:b/>
                      <w:sz w:val="21"/>
                      <w:szCs w:val="21"/>
                    </w:rPr>
                  </w:pPr>
                  <w:r>
                    <w:rPr>
                      <w:rFonts w:hint="eastAsia" w:ascii="宋体" w:hAnsi="宋体"/>
                      <w:b/>
                      <w:sz w:val="21"/>
                      <w:szCs w:val="21"/>
                    </w:rPr>
                    <w:t>贡献值</w:t>
                  </w:r>
                </w:p>
              </w:tc>
              <w:tc>
                <w:tcPr>
                  <w:tcW w:w="1285" w:type="pct"/>
                  <w:vMerge w:val="restart"/>
                  <w:vAlign w:val="center"/>
                </w:tcPr>
                <w:p w14:paraId="47452828">
                  <w:pPr>
                    <w:spacing w:line="240" w:lineRule="auto"/>
                    <w:ind w:firstLine="0" w:firstLineChars="0"/>
                    <w:jc w:val="center"/>
                    <w:rPr>
                      <w:rFonts w:hint="eastAsia" w:ascii="宋体" w:hAnsi="宋体"/>
                      <w:b/>
                      <w:sz w:val="21"/>
                      <w:szCs w:val="21"/>
                    </w:rPr>
                  </w:pPr>
                  <w:r>
                    <w:rPr>
                      <w:rFonts w:hint="eastAsia" w:ascii="宋体" w:hAnsi="宋体"/>
                      <w:b/>
                      <w:sz w:val="21"/>
                      <w:szCs w:val="21"/>
                    </w:rPr>
                    <w:t>标准值</w:t>
                  </w:r>
                </w:p>
              </w:tc>
              <w:tc>
                <w:tcPr>
                  <w:tcW w:w="661" w:type="pct"/>
                  <w:vAlign w:val="center"/>
                </w:tcPr>
                <w:p w14:paraId="59799A93">
                  <w:pPr>
                    <w:spacing w:line="240" w:lineRule="auto"/>
                    <w:ind w:firstLine="0" w:firstLineChars="0"/>
                    <w:jc w:val="center"/>
                    <w:rPr>
                      <w:rFonts w:hint="eastAsia" w:ascii="宋体" w:hAnsi="宋体"/>
                      <w:b/>
                      <w:sz w:val="21"/>
                      <w:szCs w:val="21"/>
                    </w:rPr>
                  </w:pPr>
                  <w:r>
                    <w:rPr>
                      <w:rFonts w:hint="eastAsia" w:ascii="宋体" w:hAnsi="宋体"/>
                      <w:b/>
                      <w:sz w:val="21"/>
                      <w:szCs w:val="21"/>
                    </w:rPr>
                    <w:t>是否达标</w:t>
                  </w:r>
                </w:p>
              </w:tc>
            </w:tr>
            <w:tr w14:paraId="0C707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40" w:type="pct"/>
                  <w:tcBorders>
                    <w:right w:val="nil"/>
                  </w:tcBorders>
                  <w:vAlign w:val="center"/>
                </w:tcPr>
                <w:p w14:paraId="750A6ADB">
                  <w:pPr>
                    <w:spacing w:line="240" w:lineRule="auto"/>
                    <w:ind w:firstLine="0" w:firstLineChars="0"/>
                    <w:jc w:val="center"/>
                    <w:rPr>
                      <w:rFonts w:cs="Times New Roman"/>
                      <w:sz w:val="21"/>
                      <w:szCs w:val="21"/>
                    </w:rPr>
                  </w:pPr>
                  <w:r>
                    <w:rPr>
                      <w:rFonts w:cs="Times New Roman"/>
                      <w:sz w:val="21"/>
                      <w:szCs w:val="21"/>
                    </w:rPr>
                    <w:t>厂界东侧</w:t>
                  </w:r>
                </w:p>
              </w:tc>
              <w:tc>
                <w:tcPr>
                  <w:tcW w:w="1112" w:type="pct"/>
                  <w:vAlign w:val="center"/>
                </w:tcPr>
                <w:p w14:paraId="514265B1">
                  <w:pPr>
                    <w:widowControl/>
                    <w:spacing w:line="240" w:lineRule="auto"/>
                    <w:ind w:firstLine="0" w:firstLineChars="0"/>
                    <w:jc w:val="center"/>
                    <w:rPr>
                      <w:rFonts w:cs="Times New Roman"/>
                      <w:sz w:val="21"/>
                      <w:szCs w:val="21"/>
                    </w:rPr>
                  </w:pPr>
                  <w:r>
                    <w:rPr>
                      <w:rFonts w:hint="eastAsia" w:cs="Times New Roman"/>
                      <w:sz w:val="21"/>
                      <w:szCs w:val="21"/>
                    </w:rPr>
                    <w:t>45</w:t>
                  </w:r>
                </w:p>
              </w:tc>
              <w:tc>
                <w:tcPr>
                  <w:tcW w:w="1285" w:type="pct"/>
                  <w:vMerge w:val="restart"/>
                  <w:vAlign w:val="center"/>
                </w:tcPr>
                <w:p w14:paraId="21922527">
                  <w:pPr>
                    <w:widowControl/>
                    <w:spacing w:line="240" w:lineRule="auto"/>
                    <w:ind w:firstLine="0" w:firstLineChars="0"/>
                    <w:jc w:val="center"/>
                    <w:rPr>
                      <w:rFonts w:cs="Times New Roman"/>
                      <w:sz w:val="21"/>
                      <w:szCs w:val="21"/>
                    </w:rPr>
                  </w:pPr>
                  <w:r>
                    <w:rPr>
                      <w:rFonts w:cs="Times New Roman"/>
                      <w:sz w:val="21"/>
                      <w:szCs w:val="21"/>
                    </w:rPr>
                    <w:t>昼间≤60</w:t>
                  </w:r>
                </w:p>
                <w:p w14:paraId="20C514EC">
                  <w:pPr>
                    <w:widowControl/>
                    <w:spacing w:line="240" w:lineRule="auto"/>
                    <w:ind w:firstLine="0" w:firstLineChars="0"/>
                    <w:jc w:val="center"/>
                    <w:rPr>
                      <w:rFonts w:cs="Times New Roman"/>
                      <w:sz w:val="21"/>
                      <w:szCs w:val="21"/>
                    </w:rPr>
                  </w:pPr>
                  <w:r>
                    <w:rPr>
                      <w:rFonts w:cs="Times New Roman"/>
                      <w:sz w:val="21"/>
                      <w:szCs w:val="21"/>
                    </w:rPr>
                    <w:t>夜间≤50</w:t>
                  </w:r>
                </w:p>
              </w:tc>
              <w:tc>
                <w:tcPr>
                  <w:tcW w:w="661" w:type="pct"/>
                  <w:vAlign w:val="center"/>
                </w:tcPr>
                <w:p w14:paraId="40A1949B">
                  <w:pPr>
                    <w:widowControl/>
                    <w:spacing w:line="240" w:lineRule="auto"/>
                    <w:ind w:firstLine="0" w:firstLineChars="0"/>
                    <w:jc w:val="center"/>
                    <w:rPr>
                      <w:rFonts w:cs="Times New Roman"/>
                      <w:sz w:val="21"/>
                      <w:szCs w:val="21"/>
                    </w:rPr>
                  </w:pPr>
                  <w:r>
                    <w:rPr>
                      <w:rFonts w:hint="eastAsia" w:cs="Times New Roman"/>
                      <w:sz w:val="21"/>
                      <w:szCs w:val="21"/>
                    </w:rPr>
                    <w:t>是</w:t>
                  </w:r>
                </w:p>
              </w:tc>
            </w:tr>
            <w:tr w14:paraId="28FBE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40" w:type="pct"/>
                  <w:tcBorders>
                    <w:right w:val="nil"/>
                  </w:tcBorders>
                  <w:vAlign w:val="center"/>
                </w:tcPr>
                <w:p w14:paraId="1FC63C51">
                  <w:pPr>
                    <w:spacing w:line="240" w:lineRule="auto"/>
                    <w:ind w:firstLine="0" w:firstLineChars="0"/>
                    <w:jc w:val="center"/>
                    <w:rPr>
                      <w:rFonts w:cs="Times New Roman"/>
                      <w:sz w:val="21"/>
                      <w:szCs w:val="21"/>
                    </w:rPr>
                  </w:pPr>
                  <w:r>
                    <w:rPr>
                      <w:rFonts w:cs="Times New Roman"/>
                      <w:sz w:val="21"/>
                      <w:szCs w:val="21"/>
                    </w:rPr>
                    <w:t>厂界南侧</w:t>
                  </w:r>
                </w:p>
              </w:tc>
              <w:tc>
                <w:tcPr>
                  <w:tcW w:w="1112" w:type="pct"/>
                  <w:vAlign w:val="center"/>
                </w:tcPr>
                <w:p w14:paraId="57082497">
                  <w:pPr>
                    <w:widowControl/>
                    <w:spacing w:line="240" w:lineRule="auto"/>
                    <w:ind w:firstLine="0" w:firstLineChars="0"/>
                    <w:jc w:val="center"/>
                    <w:rPr>
                      <w:rFonts w:cs="Times New Roman"/>
                      <w:sz w:val="21"/>
                      <w:szCs w:val="21"/>
                    </w:rPr>
                  </w:pPr>
                  <w:r>
                    <w:rPr>
                      <w:rFonts w:hint="eastAsia" w:cs="Times New Roman"/>
                      <w:sz w:val="21"/>
                      <w:szCs w:val="21"/>
                    </w:rPr>
                    <w:t>49</w:t>
                  </w:r>
                </w:p>
              </w:tc>
              <w:tc>
                <w:tcPr>
                  <w:tcW w:w="1285" w:type="pct"/>
                  <w:vMerge w:val="continue"/>
                  <w:vAlign w:val="center"/>
                </w:tcPr>
                <w:p w14:paraId="1D73FF5E">
                  <w:pPr>
                    <w:widowControl/>
                    <w:spacing w:line="240" w:lineRule="auto"/>
                    <w:ind w:firstLine="0" w:firstLineChars="0"/>
                    <w:jc w:val="center"/>
                    <w:rPr>
                      <w:rFonts w:cs="Times New Roman"/>
                      <w:sz w:val="21"/>
                      <w:szCs w:val="21"/>
                    </w:rPr>
                  </w:pPr>
                </w:p>
              </w:tc>
              <w:tc>
                <w:tcPr>
                  <w:tcW w:w="661" w:type="pct"/>
                  <w:vAlign w:val="center"/>
                </w:tcPr>
                <w:p w14:paraId="40F8B0A4">
                  <w:pPr>
                    <w:widowControl/>
                    <w:spacing w:line="240" w:lineRule="auto"/>
                    <w:ind w:firstLine="0" w:firstLineChars="0"/>
                    <w:jc w:val="center"/>
                    <w:rPr>
                      <w:rFonts w:cs="Times New Roman"/>
                      <w:sz w:val="21"/>
                      <w:szCs w:val="21"/>
                    </w:rPr>
                  </w:pPr>
                  <w:r>
                    <w:rPr>
                      <w:rFonts w:hint="eastAsia" w:cs="Times New Roman"/>
                      <w:sz w:val="21"/>
                      <w:szCs w:val="21"/>
                    </w:rPr>
                    <w:t>是</w:t>
                  </w:r>
                </w:p>
              </w:tc>
            </w:tr>
            <w:tr w14:paraId="612C6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40" w:type="pct"/>
                  <w:tcBorders>
                    <w:right w:val="nil"/>
                  </w:tcBorders>
                  <w:vAlign w:val="center"/>
                </w:tcPr>
                <w:p w14:paraId="76E964B3">
                  <w:pPr>
                    <w:spacing w:line="240" w:lineRule="auto"/>
                    <w:ind w:firstLine="0" w:firstLineChars="0"/>
                    <w:jc w:val="center"/>
                    <w:rPr>
                      <w:rFonts w:cs="Times New Roman"/>
                      <w:sz w:val="21"/>
                      <w:szCs w:val="21"/>
                    </w:rPr>
                  </w:pPr>
                  <w:r>
                    <w:rPr>
                      <w:rFonts w:cs="Times New Roman"/>
                      <w:sz w:val="21"/>
                      <w:szCs w:val="21"/>
                    </w:rPr>
                    <w:t>厂界西侧</w:t>
                  </w:r>
                </w:p>
              </w:tc>
              <w:tc>
                <w:tcPr>
                  <w:tcW w:w="1112" w:type="pct"/>
                  <w:vAlign w:val="center"/>
                </w:tcPr>
                <w:p w14:paraId="740837E7">
                  <w:pPr>
                    <w:widowControl/>
                    <w:spacing w:line="240" w:lineRule="auto"/>
                    <w:ind w:firstLine="0" w:firstLineChars="0"/>
                    <w:jc w:val="center"/>
                    <w:rPr>
                      <w:rFonts w:cs="Times New Roman"/>
                      <w:sz w:val="21"/>
                      <w:szCs w:val="21"/>
                    </w:rPr>
                  </w:pPr>
                  <w:r>
                    <w:rPr>
                      <w:rFonts w:hint="eastAsia" w:cs="Times New Roman"/>
                      <w:sz w:val="21"/>
                      <w:szCs w:val="21"/>
                    </w:rPr>
                    <w:t>47</w:t>
                  </w:r>
                </w:p>
              </w:tc>
              <w:tc>
                <w:tcPr>
                  <w:tcW w:w="1285" w:type="pct"/>
                  <w:vMerge w:val="continue"/>
                  <w:vAlign w:val="center"/>
                </w:tcPr>
                <w:p w14:paraId="22E4CA16">
                  <w:pPr>
                    <w:widowControl/>
                    <w:spacing w:line="240" w:lineRule="auto"/>
                    <w:ind w:firstLine="0" w:firstLineChars="0"/>
                    <w:jc w:val="center"/>
                    <w:rPr>
                      <w:rFonts w:cs="Times New Roman"/>
                      <w:sz w:val="21"/>
                      <w:szCs w:val="21"/>
                    </w:rPr>
                  </w:pPr>
                </w:p>
              </w:tc>
              <w:tc>
                <w:tcPr>
                  <w:tcW w:w="661" w:type="pct"/>
                  <w:vAlign w:val="center"/>
                </w:tcPr>
                <w:p w14:paraId="04A64487">
                  <w:pPr>
                    <w:widowControl/>
                    <w:spacing w:line="240" w:lineRule="auto"/>
                    <w:ind w:firstLine="0" w:firstLineChars="0"/>
                    <w:jc w:val="center"/>
                    <w:rPr>
                      <w:rFonts w:cs="Times New Roman"/>
                      <w:sz w:val="21"/>
                      <w:szCs w:val="21"/>
                    </w:rPr>
                  </w:pPr>
                  <w:r>
                    <w:rPr>
                      <w:rFonts w:hint="eastAsia" w:cs="Times New Roman"/>
                      <w:sz w:val="21"/>
                      <w:szCs w:val="21"/>
                    </w:rPr>
                    <w:t>是</w:t>
                  </w:r>
                </w:p>
              </w:tc>
            </w:tr>
            <w:tr w14:paraId="132CF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40" w:type="pct"/>
                  <w:tcBorders>
                    <w:right w:val="nil"/>
                  </w:tcBorders>
                  <w:vAlign w:val="center"/>
                </w:tcPr>
                <w:p w14:paraId="08FC8F6D">
                  <w:pPr>
                    <w:spacing w:line="240" w:lineRule="auto"/>
                    <w:ind w:firstLine="0" w:firstLineChars="0"/>
                    <w:jc w:val="center"/>
                    <w:rPr>
                      <w:rFonts w:cs="Times New Roman"/>
                      <w:sz w:val="21"/>
                      <w:szCs w:val="21"/>
                    </w:rPr>
                  </w:pPr>
                  <w:r>
                    <w:rPr>
                      <w:rFonts w:cs="Times New Roman"/>
                      <w:sz w:val="21"/>
                      <w:szCs w:val="21"/>
                    </w:rPr>
                    <w:t>厂界北侧</w:t>
                  </w:r>
                </w:p>
              </w:tc>
              <w:tc>
                <w:tcPr>
                  <w:tcW w:w="1112" w:type="pct"/>
                  <w:vAlign w:val="center"/>
                </w:tcPr>
                <w:p w14:paraId="3974B151">
                  <w:pPr>
                    <w:widowControl/>
                    <w:spacing w:line="240" w:lineRule="auto"/>
                    <w:ind w:firstLine="0" w:firstLineChars="0"/>
                    <w:jc w:val="center"/>
                    <w:rPr>
                      <w:rFonts w:cs="Times New Roman"/>
                      <w:sz w:val="21"/>
                      <w:szCs w:val="21"/>
                    </w:rPr>
                  </w:pPr>
                  <w:r>
                    <w:rPr>
                      <w:rFonts w:hint="eastAsia" w:cs="Times New Roman"/>
                      <w:sz w:val="21"/>
                      <w:szCs w:val="21"/>
                    </w:rPr>
                    <w:t>41</w:t>
                  </w:r>
                </w:p>
              </w:tc>
              <w:tc>
                <w:tcPr>
                  <w:tcW w:w="1285" w:type="pct"/>
                  <w:vMerge w:val="continue"/>
                  <w:vAlign w:val="center"/>
                </w:tcPr>
                <w:p w14:paraId="75ECC405">
                  <w:pPr>
                    <w:widowControl/>
                    <w:spacing w:line="240" w:lineRule="auto"/>
                    <w:ind w:firstLine="0" w:firstLineChars="0"/>
                    <w:jc w:val="center"/>
                    <w:rPr>
                      <w:rFonts w:cs="Times New Roman"/>
                      <w:sz w:val="21"/>
                      <w:szCs w:val="21"/>
                    </w:rPr>
                  </w:pPr>
                </w:p>
              </w:tc>
              <w:tc>
                <w:tcPr>
                  <w:tcW w:w="661" w:type="pct"/>
                  <w:vAlign w:val="center"/>
                </w:tcPr>
                <w:p w14:paraId="3EC43122">
                  <w:pPr>
                    <w:widowControl/>
                    <w:spacing w:line="240" w:lineRule="auto"/>
                    <w:ind w:firstLine="0" w:firstLineChars="0"/>
                    <w:jc w:val="center"/>
                    <w:rPr>
                      <w:rFonts w:cs="Times New Roman"/>
                      <w:sz w:val="21"/>
                      <w:szCs w:val="21"/>
                    </w:rPr>
                  </w:pPr>
                  <w:r>
                    <w:rPr>
                      <w:rFonts w:hint="eastAsia" w:cs="Times New Roman"/>
                      <w:sz w:val="21"/>
                      <w:szCs w:val="21"/>
                    </w:rPr>
                    <w:t>是</w:t>
                  </w:r>
                </w:p>
              </w:tc>
            </w:tr>
          </w:tbl>
          <w:p w14:paraId="351FEEF3">
            <w:pPr>
              <w:pStyle w:val="38"/>
            </w:pPr>
            <w:r>
              <w:rPr>
                <w:rFonts w:hint="eastAsia"/>
              </w:rPr>
              <w:t>由上表可知，变电站噪声源对厂界的噪声贡献值为36dB(A)～43.5dB(A)，满足《工业企业厂界环境噪声排放标准》(GB12348-2008)中 2 类标准限值要求，即昼间 60dB(A)、夜间50dB(A)。</w:t>
            </w:r>
          </w:p>
          <w:p w14:paraId="66567CD5">
            <w:pPr>
              <w:pStyle w:val="38"/>
            </w:pPr>
            <w:r>
              <w:rPr>
                <w:rFonts w:hint="eastAsia"/>
              </w:rPr>
              <w:t>同时本项目位于现有厂区内，变电站边界距离厂区东边界25m，变电站边界距离厂区南、西、北边界均超过100m，经过距离衰减后，对周边声环境影响较小。</w:t>
            </w:r>
          </w:p>
          <w:p w14:paraId="14B4E6C6">
            <w:pPr>
              <w:pStyle w:val="38"/>
            </w:pPr>
            <w:r>
              <w:rPr>
                <w:rFonts w:hint="eastAsia"/>
              </w:rPr>
              <w:t>4.2.2水环境影响分析</w:t>
            </w:r>
          </w:p>
          <w:p w14:paraId="4CEFB81E">
            <w:pPr>
              <w:ind w:firstLine="480"/>
            </w:pPr>
            <w:r>
              <w:rPr>
                <w:rFonts w:hint="eastAsia"/>
              </w:rPr>
              <w:t>本项目营运期产生的废水为运维人员3人，</w:t>
            </w:r>
            <w:r>
              <w:rPr>
                <w:rFonts w:hint="eastAsia"/>
                <w:szCs w:val="28"/>
              </w:rPr>
              <w:t>办公生活依托内蒙古新蒙新科技有限公司办公生活区，按人均日用水量60L，用水量为0.18t/d，65.7t/a</w:t>
            </w:r>
            <w:r>
              <w:rPr>
                <w:szCs w:val="28"/>
              </w:rPr>
              <w:t>。</w:t>
            </w:r>
            <w:r>
              <w:rPr>
                <w:rFonts w:hint="eastAsia"/>
                <w:szCs w:val="28"/>
              </w:rPr>
              <w:t>排水量按用水量80%为0.144t/d，52.56t/a</w:t>
            </w:r>
            <w:r>
              <w:rPr>
                <w:szCs w:val="28"/>
              </w:rPr>
              <w:t>。</w:t>
            </w:r>
          </w:p>
          <w:p w14:paraId="1164FD34">
            <w:pPr>
              <w:ind w:firstLine="480"/>
              <w:rPr>
                <w:color w:val="0000FF"/>
              </w:rPr>
            </w:pPr>
            <w:r>
              <w:rPr>
                <w:rFonts w:hint="eastAsia"/>
                <w:color w:val="0000FF"/>
                <w:szCs w:val="28"/>
              </w:rPr>
              <w:t>生活污水卫生间收集后，排入厂区现有化粪池处理</w:t>
            </w:r>
            <w:r>
              <w:rPr>
                <w:rFonts w:hint="eastAsia"/>
                <w:color w:val="0000FF"/>
              </w:rPr>
              <w:t>。化粪池共有两个容积分别为70m</w:t>
            </w:r>
            <w:r>
              <w:rPr>
                <w:rFonts w:hint="eastAsia"/>
                <w:color w:val="0000FF"/>
                <w:vertAlign w:val="superscript"/>
              </w:rPr>
              <w:t>3</w:t>
            </w:r>
            <w:r>
              <w:rPr>
                <w:rFonts w:hint="eastAsia"/>
                <w:color w:val="0000FF"/>
              </w:rPr>
              <w:t>和80m</w:t>
            </w:r>
            <w:r>
              <w:rPr>
                <w:rFonts w:hint="eastAsia"/>
                <w:color w:val="0000FF"/>
                <w:vertAlign w:val="superscript"/>
              </w:rPr>
              <w:t>3</w:t>
            </w:r>
            <w:r>
              <w:rPr>
                <w:rFonts w:hint="eastAsia"/>
                <w:color w:val="0000FF"/>
              </w:rPr>
              <w:t>，目前厂区污水量约为15m</w:t>
            </w:r>
            <w:r>
              <w:rPr>
                <w:rFonts w:hint="eastAsia"/>
                <w:color w:val="0000FF"/>
                <w:vertAlign w:val="superscript"/>
              </w:rPr>
              <w:t>3</w:t>
            </w:r>
            <w:r>
              <w:rPr>
                <w:rFonts w:hint="eastAsia"/>
                <w:color w:val="0000FF"/>
              </w:rPr>
              <w:t>/d，化粪池容积可以满足本项目依托要求。</w:t>
            </w:r>
          </w:p>
          <w:p w14:paraId="0C07CDBA">
            <w:pPr>
              <w:ind w:firstLine="480"/>
              <w:rPr>
                <w:color w:val="0000FF"/>
              </w:rPr>
            </w:pPr>
            <w:r>
              <w:rPr>
                <w:rFonts w:hint="eastAsia"/>
                <w:color w:val="0000FF"/>
              </w:rPr>
              <w:t>生活污水化粪池处理后，采用吸粪车拉运至苏尼特右旗新蒙新材料有限公司生活污水处理站处理，生活污水处理站为一座地埋式生活污水处理站，处理规模为200m</w:t>
            </w:r>
            <w:r>
              <w:rPr>
                <w:rFonts w:hint="eastAsia"/>
                <w:color w:val="0000FF"/>
                <w:vertAlign w:val="superscript"/>
              </w:rPr>
              <w:t>3</w:t>
            </w:r>
            <w:r>
              <w:rPr>
                <w:rFonts w:hint="eastAsia"/>
                <w:color w:val="0000FF"/>
              </w:rPr>
              <w:t>/d，目前苏尼特右旗新蒙新材料有限公司污水量约65m</w:t>
            </w:r>
            <w:r>
              <w:rPr>
                <w:rFonts w:hint="eastAsia"/>
                <w:color w:val="0000FF"/>
                <w:vertAlign w:val="superscript"/>
              </w:rPr>
              <w:t>3</w:t>
            </w:r>
            <w:r>
              <w:rPr>
                <w:rFonts w:hint="eastAsia"/>
                <w:color w:val="0000FF"/>
              </w:rPr>
              <w:t>/d，有余量处理本项目生活污水。</w:t>
            </w:r>
          </w:p>
          <w:p w14:paraId="4478AF50">
            <w:pPr>
              <w:ind w:firstLine="480"/>
              <w:rPr>
                <w:color w:val="0000FF"/>
              </w:rPr>
            </w:pPr>
            <w:r>
              <w:rPr>
                <w:rFonts w:hint="eastAsia"/>
                <w:color w:val="0000FF"/>
              </w:rPr>
              <w:t>生活污水经处理站处理后排入苏尼特右旗新蒙新材料有限公司水淬渣池，作为水淬渣补水。</w:t>
            </w:r>
          </w:p>
          <w:p w14:paraId="24341304">
            <w:pPr>
              <w:pStyle w:val="38"/>
            </w:pPr>
            <w:r>
              <w:rPr>
                <w:rFonts w:hint="eastAsia"/>
              </w:rPr>
              <w:t>4.2.3固体废物环境影响分析</w:t>
            </w:r>
          </w:p>
          <w:p w14:paraId="6702BE52">
            <w:pPr>
              <w:autoSpaceDE w:val="0"/>
              <w:autoSpaceDN w:val="0"/>
              <w:adjustRightInd w:val="0"/>
              <w:ind w:firstLine="480"/>
              <w:rPr>
                <w:color w:val="000000"/>
                <w:szCs w:val="24"/>
                <w:lang w:val="zh-CN"/>
              </w:rPr>
            </w:pPr>
            <w:r>
              <w:rPr>
                <w:rFonts w:hint="eastAsia"/>
                <w:color w:val="000000"/>
                <w:szCs w:val="24"/>
                <w:lang w:val="zh-CN"/>
              </w:rPr>
              <w:t>本项目建成后产生的固体废物主要为生活垃圾、废旧蓄电池、变压器事故油。</w:t>
            </w:r>
          </w:p>
          <w:p w14:paraId="1757F344">
            <w:pPr>
              <w:autoSpaceDE w:val="0"/>
              <w:autoSpaceDN w:val="0"/>
              <w:adjustRightInd w:val="0"/>
              <w:ind w:firstLine="480"/>
              <w:rPr>
                <w:color w:val="000000"/>
                <w:szCs w:val="24"/>
                <w:lang w:val="zh-CN"/>
              </w:rPr>
            </w:pPr>
            <w:r>
              <w:rPr>
                <w:rFonts w:hint="eastAsia"/>
                <w:color w:val="000000"/>
                <w:szCs w:val="24"/>
                <w:lang w:val="zh-CN"/>
              </w:rPr>
              <w:t>变电站</w:t>
            </w:r>
            <w:r>
              <w:rPr>
                <w:rFonts w:hint="eastAsia"/>
                <w:color w:val="000000"/>
                <w:szCs w:val="24"/>
              </w:rPr>
              <w:t>运维人员3</w:t>
            </w:r>
            <w:r>
              <w:rPr>
                <w:rFonts w:hint="eastAsia"/>
                <w:color w:val="000000"/>
                <w:szCs w:val="24"/>
                <w:lang w:val="zh-CN"/>
              </w:rPr>
              <w:t xml:space="preserve">人，按每人每天 0.5kg 计，生活垃圾产生量约为 </w:t>
            </w:r>
            <w:r>
              <w:rPr>
                <w:rFonts w:hint="eastAsia"/>
                <w:color w:val="000000"/>
                <w:szCs w:val="24"/>
              </w:rPr>
              <w:t>0.55</w:t>
            </w:r>
            <w:r>
              <w:rPr>
                <w:rFonts w:hint="eastAsia"/>
                <w:color w:val="000000"/>
                <w:szCs w:val="24"/>
                <w:lang w:val="zh-CN"/>
              </w:rPr>
              <w:t>t/a，由环卫部门负责收集和处置。</w:t>
            </w:r>
          </w:p>
          <w:p w14:paraId="4FFC5E96">
            <w:pPr>
              <w:autoSpaceDE w:val="0"/>
              <w:autoSpaceDN w:val="0"/>
              <w:adjustRightInd w:val="0"/>
              <w:ind w:firstLine="480"/>
              <w:rPr>
                <w:color w:val="000000"/>
                <w:szCs w:val="24"/>
                <w:lang w:val="zh-CN"/>
              </w:rPr>
            </w:pPr>
            <w:r>
              <w:rPr>
                <w:rFonts w:hint="eastAsia"/>
                <w:color w:val="000000"/>
                <w:szCs w:val="24"/>
                <w:lang w:val="zh-CN"/>
              </w:rPr>
              <w:t>变电站在继电保护、仪表及事故照明时采用铅酸蓄电池作为应急能源，这些蓄电池由于全密封，无需加水维护，正常使用寿命在 10-20 年。由于环境温度、充电电压、过度放电等因素可能会</w:t>
            </w:r>
            <w:r>
              <w:rPr>
                <w:rFonts w:hint="eastAsia"/>
                <w:color w:val="000000"/>
                <w:szCs w:val="24"/>
              </w:rPr>
              <w:t>影响</w:t>
            </w:r>
            <w:r>
              <w:rPr>
                <w:rFonts w:hint="eastAsia"/>
                <w:color w:val="000000"/>
                <w:szCs w:val="24"/>
                <w:lang w:val="zh-CN"/>
              </w:rPr>
              <w:t>电池寿命，产生的废旧蓄电池均由有资质的生产厂家</w:t>
            </w:r>
            <w:r>
              <w:rPr>
                <w:rFonts w:hint="eastAsia"/>
                <w:color w:val="000000"/>
                <w:szCs w:val="24"/>
              </w:rPr>
              <w:t>更换并</w:t>
            </w:r>
            <w:r>
              <w:rPr>
                <w:rFonts w:hint="eastAsia"/>
                <w:color w:val="000000"/>
                <w:szCs w:val="24"/>
                <w:lang w:val="zh-CN"/>
              </w:rPr>
              <w:t>回收处置。废旧蓄电池产生量约为 1 个/a。</w:t>
            </w:r>
          </w:p>
          <w:p w14:paraId="7CFFA7CE">
            <w:pPr>
              <w:adjustRightInd w:val="0"/>
              <w:snapToGrid w:val="0"/>
              <w:ind w:firstLine="480"/>
              <w:rPr>
                <w:rFonts w:cs="Times New Roman"/>
                <w:color w:val="0000FF"/>
              </w:rPr>
            </w:pPr>
            <w:r>
              <w:rPr>
                <w:rFonts w:hint="eastAsia" w:cs="Times New Roman"/>
                <w:color w:val="0000FF"/>
              </w:rPr>
              <w:t>内蒙古新蒙新科技有限公司10万吨负极材料项目拟建危废暂存间10m</w:t>
            </w:r>
            <w:r>
              <w:rPr>
                <w:rFonts w:hint="eastAsia" w:cs="Times New Roman"/>
                <w:color w:val="0000FF"/>
                <w:vertAlign w:val="superscript"/>
              </w:rPr>
              <w:t>2</w:t>
            </w:r>
            <w:r>
              <w:rPr>
                <w:rFonts w:hint="eastAsia" w:cs="Times New Roman"/>
                <w:color w:val="0000FF"/>
              </w:rPr>
              <w:t>。该危废暂存间设计是即考虑了包括变电站危废在内的全厂危废贮存需要，主要贮存本项目废旧蓄电池和废机油。根据环评报告“内蒙古新蒙新科技有限公司10万吨负极材料项目”，该厂区废机油产生量约1t/a，剩余空间可以满足本项目1个/年废旧蓄电池贮存需要。</w:t>
            </w:r>
          </w:p>
          <w:p w14:paraId="546CF5A7">
            <w:pPr>
              <w:adjustRightInd w:val="0"/>
              <w:snapToGrid w:val="0"/>
              <w:ind w:firstLine="480"/>
            </w:pPr>
            <w:r>
              <w:rPr>
                <w:rFonts w:hint="eastAsia" w:cs="Times New Roman"/>
                <w:color w:val="0000FF"/>
              </w:rPr>
              <w:t>目前依托的危废间尚未建成，但本项目属于“内蒙古新蒙新科技有限公司10万吨负极材料项目”的配套供电工程，因此与该项目同时运行，即本项目运行时，依托的“内蒙古新蒙新科技有限公司10万吨负极材料项目”的危废间应已建成，可以依托。</w:t>
            </w:r>
          </w:p>
          <w:p w14:paraId="68862285">
            <w:pPr>
              <w:autoSpaceDE w:val="0"/>
              <w:autoSpaceDN w:val="0"/>
              <w:adjustRightInd w:val="0"/>
              <w:ind w:firstLine="480"/>
              <w:rPr>
                <w:color w:val="000000"/>
                <w:szCs w:val="24"/>
                <w:lang w:val="zh-CN"/>
              </w:rPr>
            </w:pPr>
            <w:r>
              <w:rPr>
                <w:rFonts w:hint="eastAsia"/>
                <w:color w:val="000000"/>
                <w:szCs w:val="24"/>
                <w:lang w:val="zh-CN"/>
              </w:rPr>
              <w:t>本项目变压器发生事故的最不利情况下单台主变最大漏油量约</w:t>
            </w:r>
            <w:r>
              <w:rPr>
                <w:rFonts w:hint="eastAsia"/>
                <w:color w:val="000000"/>
                <w:szCs w:val="24"/>
              </w:rPr>
              <w:t>22</w:t>
            </w:r>
            <w:r>
              <w:rPr>
                <w:rFonts w:hint="eastAsia"/>
                <w:color w:val="000000"/>
                <w:szCs w:val="24"/>
                <w:lang w:val="zh-CN"/>
              </w:rPr>
              <w:t>m</w:t>
            </w:r>
            <w:r>
              <w:rPr>
                <w:rFonts w:hint="eastAsia"/>
                <w:color w:val="000000"/>
                <w:szCs w:val="24"/>
                <w:vertAlign w:val="superscript"/>
                <w:lang w:val="zh-CN"/>
              </w:rPr>
              <w:t>3</w:t>
            </w:r>
            <w:r>
              <w:rPr>
                <w:rFonts w:hint="eastAsia"/>
                <w:color w:val="000000"/>
                <w:szCs w:val="24"/>
                <w:lang w:val="zh-CN"/>
              </w:rPr>
              <w:t>。变电站厂区地下设有经防渗防漏处理的事故油池，容积约</w:t>
            </w:r>
            <w:r>
              <w:rPr>
                <w:rFonts w:hint="eastAsia"/>
                <w:color w:val="000000"/>
                <w:szCs w:val="24"/>
              </w:rPr>
              <w:t>30</w:t>
            </w:r>
            <w:r>
              <w:rPr>
                <w:rFonts w:hint="eastAsia"/>
                <w:color w:val="000000"/>
                <w:szCs w:val="24"/>
                <w:lang w:val="zh-CN"/>
              </w:rPr>
              <w:t>m</w:t>
            </w:r>
            <w:r>
              <w:rPr>
                <w:rFonts w:hint="eastAsia"/>
                <w:color w:val="000000"/>
                <w:szCs w:val="24"/>
                <w:vertAlign w:val="superscript"/>
                <w:lang w:val="zh-CN"/>
              </w:rPr>
              <w:t>3</w:t>
            </w:r>
            <w:r>
              <w:rPr>
                <w:rFonts w:hint="eastAsia"/>
                <w:color w:val="000000"/>
                <w:szCs w:val="24"/>
                <w:lang w:val="zh-CN"/>
              </w:rPr>
              <w:t>，事故油池容量满足《火力发电厂与变电站设计防火规范》（GB 50229-2019）中“总事故贮油池的容量应按其接入的油量最大的一台设备确定”的要求。事故油由有资质的单位</w:t>
            </w:r>
            <w:r>
              <w:rPr>
                <w:rFonts w:hint="eastAsia"/>
                <w:color w:val="000000"/>
                <w:szCs w:val="24"/>
              </w:rPr>
              <w:t>转运</w:t>
            </w:r>
            <w:r>
              <w:rPr>
                <w:rFonts w:hint="eastAsia"/>
                <w:color w:val="000000"/>
                <w:szCs w:val="24"/>
                <w:lang w:val="zh-CN"/>
              </w:rPr>
              <w:t>处置</w:t>
            </w:r>
            <w:r>
              <w:rPr>
                <w:color w:val="000000"/>
                <w:szCs w:val="24"/>
                <w:lang w:val="zh-CN"/>
              </w:rPr>
              <w:t>。</w:t>
            </w:r>
          </w:p>
          <w:p w14:paraId="3CEFDB35">
            <w:pPr>
              <w:pStyle w:val="38"/>
            </w:pPr>
            <w:r>
              <w:rPr>
                <w:rFonts w:hint="eastAsia"/>
              </w:rPr>
              <w:t>4.2.4电磁环境影响分析</w:t>
            </w:r>
          </w:p>
          <w:p w14:paraId="6918D4BC">
            <w:pPr>
              <w:autoSpaceDE w:val="0"/>
              <w:autoSpaceDN w:val="0"/>
              <w:adjustRightInd w:val="0"/>
              <w:ind w:firstLine="480"/>
              <w:rPr>
                <w:color w:val="000000"/>
                <w:szCs w:val="24"/>
                <w:lang w:val="zh-CN"/>
              </w:rPr>
            </w:pPr>
            <w:r>
              <w:rPr>
                <w:rFonts w:hint="eastAsia"/>
                <w:color w:val="000000"/>
                <w:szCs w:val="24"/>
                <w:lang w:val="zh-CN"/>
              </w:rPr>
              <w:t>根据《环境影响评价技术导则 输变电》（HJ24-2020），本工程 110kV 变电站采用</w:t>
            </w:r>
            <w:r>
              <w:rPr>
                <w:rFonts w:hint="eastAsia"/>
                <w:color w:val="000000"/>
                <w:szCs w:val="24"/>
              </w:rPr>
              <w:t>户外</w:t>
            </w:r>
            <w:r>
              <w:rPr>
                <w:rFonts w:hint="eastAsia"/>
                <w:color w:val="000000"/>
                <w:szCs w:val="24"/>
                <w:lang w:val="zh-CN"/>
              </w:rPr>
              <w:t>布置，其电磁环境影响采用类比预测的方式进行预测分析。按照导则要求对电磁环境影响进行了专题评价，类比预测详细内容详见电磁环境影响专题评价，在此仅作结论性分析。</w:t>
            </w:r>
          </w:p>
          <w:p w14:paraId="31417281">
            <w:pPr>
              <w:autoSpaceDE w:val="0"/>
              <w:autoSpaceDN w:val="0"/>
              <w:adjustRightInd w:val="0"/>
              <w:ind w:firstLine="480"/>
              <w:rPr>
                <w:color w:val="000000"/>
                <w:szCs w:val="24"/>
                <w:lang w:val="zh-CN"/>
              </w:rPr>
            </w:pPr>
            <w:r>
              <w:rPr>
                <w:rFonts w:hint="eastAsia"/>
                <w:color w:val="000000"/>
                <w:szCs w:val="24"/>
                <w:lang w:val="zh-CN"/>
              </w:rPr>
              <w:t>根据类比监测结果可知，</w:t>
            </w:r>
            <w:r>
              <w:rPr>
                <w:rFonts w:hint="eastAsia"/>
                <w:color w:val="000000"/>
                <w:szCs w:val="24"/>
              </w:rPr>
              <w:t>类比</w:t>
            </w:r>
            <w:r>
              <w:rPr>
                <w:rFonts w:hint="eastAsia"/>
                <w:color w:val="000000"/>
                <w:szCs w:val="24"/>
                <w:lang w:val="zh-CN"/>
              </w:rPr>
              <w:t>110kV 变电站站界四周各监测点的工频电场强度、工频磁感应强度监测值均满足《电磁环境控制限值》（GB8702-2014）标准限值要求。由此可以预测，本项目 110kV 变电站建成后所产生的工频电场强度、工频磁感应强度均满足《电磁环境控制限值》（GB 8702-2014）中电场强度 4000V/m、磁感应强度 100µT 的公众曝露控制限值的要求。</w:t>
            </w:r>
          </w:p>
          <w:p w14:paraId="672E844F">
            <w:pPr>
              <w:pStyle w:val="38"/>
              <w:rPr>
                <w:color w:val="0000FF"/>
              </w:rPr>
            </w:pPr>
            <w:r>
              <w:rPr>
                <w:rFonts w:hint="eastAsia"/>
                <w:color w:val="0000FF"/>
              </w:rPr>
              <w:t>4.2.5生态环境影响分析</w:t>
            </w:r>
          </w:p>
          <w:p w14:paraId="729DC288">
            <w:pPr>
              <w:autoSpaceDE w:val="0"/>
              <w:autoSpaceDN w:val="0"/>
              <w:adjustRightInd w:val="0"/>
              <w:ind w:firstLine="480"/>
              <w:rPr>
                <w:color w:val="0000FF"/>
                <w:szCs w:val="24"/>
                <w:lang w:val="zh-CN"/>
              </w:rPr>
            </w:pPr>
            <w:r>
              <w:rPr>
                <w:rFonts w:hint="eastAsia"/>
                <w:color w:val="0000FF"/>
                <w:szCs w:val="24"/>
                <w:lang w:val="zh-CN"/>
              </w:rPr>
              <w:t>本项目为输变电工程。变电站设计规划为</w:t>
            </w:r>
            <w:r>
              <w:rPr>
                <w:rFonts w:hint="eastAsia"/>
                <w:color w:val="0000FF"/>
                <w:szCs w:val="24"/>
              </w:rPr>
              <w:t>户外</w:t>
            </w:r>
            <w:r>
              <w:rPr>
                <w:rFonts w:hint="eastAsia"/>
                <w:color w:val="0000FF"/>
                <w:szCs w:val="24"/>
                <w:lang w:val="zh-CN"/>
              </w:rPr>
              <w:t>站，</w:t>
            </w:r>
            <w:r>
              <w:rPr>
                <w:rFonts w:hint="eastAsia"/>
                <w:color w:val="0000FF"/>
                <w:szCs w:val="24"/>
              </w:rPr>
              <w:t>位于现有已建成厂区内，</w:t>
            </w:r>
            <w:r>
              <w:rPr>
                <w:rFonts w:hint="eastAsia"/>
                <w:color w:val="0000FF"/>
                <w:szCs w:val="24"/>
                <w:lang w:val="zh-CN"/>
              </w:rPr>
              <w:t>站址周边主要为</w:t>
            </w:r>
            <w:r>
              <w:rPr>
                <w:rFonts w:hint="eastAsia"/>
                <w:color w:val="0000FF"/>
                <w:szCs w:val="24"/>
              </w:rPr>
              <w:t>厂区</w:t>
            </w:r>
            <w:r>
              <w:rPr>
                <w:rFonts w:hint="eastAsia"/>
                <w:color w:val="0000FF"/>
                <w:szCs w:val="24"/>
                <w:lang w:val="zh-CN"/>
              </w:rPr>
              <w:t>空地及</w:t>
            </w:r>
            <w:r>
              <w:rPr>
                <w:rFonts w:hint="eastAsia"/>
                <w:color w:val="0000FF"/>
                <w:szCs w:val="24"/>
              </w:rPr>
              <w:t>厂区</w:t>
            </w:r>
            <w:r>
              <w:rPr>
                <w:rFonts w:hint="eastAsia"/>
                <w:color w:val="0000FF"/>
                <w:szCs w:val="24"/>
                <w:lang w:val="zh-CN"/>
              </w:rPr>
              <w:t>道路等，</w:t>
            </w:r>
            <w:r>
              <w:rPr>
                <w:rFonts w:hint="eastAsia" w:ascii="宋体" w:hAnsi="宋体"/>
                <w:color w:val="0000FF"/>
              </w:rPr>
              <w:t>施工临时占地在变电站建成后</w:t>
            </w:r>
            <w:r>
              <w:rPr>
                <w:rFonts w:hint="eastAsia"/>
                <w:color w:val="0000FF"/>
                <w:szCs w:val="24"/>
                <w:lang w:val="zh-CN"/>
              </w:rPr>
              <w:t>全部硬化，作为变电站进出场道路。运营期间对周边生态环境不会产生不利影响。</w:t>
            </w:r>
          </w:p>
          <w:p w14:paraId="404453D1">
            <w:pPr>
              <w:pStyle w:val="38"/>
            </w:pPr>
            <w:r>
              <w:rPr>
                <w:rFonts w:hint="eastAsia"/>
              </w:rPr>
              <w:t>4.2.6环境风险分析</w:t>
            </w:r>
          </w:p>
          <w:p w14:paraId="6D3F5534">
            <w:pPr>
              <w:autoSpaceDE w:val="0"/>
              <w:autoSpaceDN w:val="0"/>
              <w:adjustRightInd w:val="0"/>
              <w:ind w:firstLine="480"/>
              <w:rPr>
                <w:color w:val="000000"/>
                <w:szCs w:val="24"/>
                <w:lang w:val="zh-CN"/>
              </w:rPr>
            </w:pPr>
            <w:r>
              <w:rPr>
                <w:rFonts w:hint="eastAsia"/>
                <w:color w:val="000000"/>
                <w:szCs w:val="24"/>
                <w:lang w:val="zh-CN"/>
              </w:rPr>
              <w:t>（1）环境风险源</w:t>
            </w:r>
          </w:p>
          <w:p w14:paraId="7FDC260C">
            <w:pPr>
              <w:autoSpaceDE w:val="0"/>
              <w:autoSpaceDN w:val="0"/>
              <w:adjustRightInd w:val="0"/>
              <w:ind w:firstLine="480"/>
              <w:rPr>
                <w:color w:val="000000"/>
                <w:szCs w:val="24"/>
                <w:lang w:val="zh-CN"/>
              </w:rPr>
            </w:pPr>
            <w:r>
              <w:rPr>
                <w:rFonts w:hint="eastAsia"/>
                <w:color w:val="000000"/>
                <w:szCs w:val="24"/>
                <w:lang w:val="zh-CN"/>
              </w:rPr>
              <w:t>本项目变电站运营期的环境风险事故来源主要为主变压器发生事故时的变压器油泄漏，如不及时收集处置会对环境产生影响。变电站正常运行状态下无变压器油外泄，只有在主变压器出现故障时才会有少量含油废水产生。</w:t>
            </w:r>
          </w:p>
          <w:p w14:paraId="66F93D18">
            <w:pPr>
              <w:autoSpaceDE w:val="0"/>
              <w:autoSpaceDN w:val="0"/>
              <w:adjustRightInd w:val="0"/>
              <w:ind w:firstLine="480"/>
              <w:rPr>
                <w:color w:val="000000"/>
                <w:szCs w:val="24"/>
                <w:lang w:val="zh-CN"/>
              </w:rPr>
            </w:pPr>
            <w:r>
              <w:rPr>
                <w:rFonts w:hint="eastAsia"/>
                <w:color w:val="000000"/>
                <w:szCs w:val="24"/>
                <w:lang w:val="zh-CN"/>
              </w:rPr>
              <w:t>（2）环境风险事故影响</w:t>
            </w:r>
          </w:p>
          <w:p w14:paraId="011EB596">
            <w:pPr>
              <w:autoSpaceDE w:val="0"/>
              <w:autoSpaceDN w:val="0"/>
              <w:adjustRightInd w:val="0"/>
              <w:ind w:firstLine="480"/>
              <w:rPr>
                <w:color w:val="000000"/>
                <w:szCs w:val="24"/>
                <w:lang w:val="zh-CN"/>
              </w:rPr>
            </w:pPr>
            <w:r>
              <w:rPr>
                <w:rFonts w:hint="eastAsia"/>
                <w:color w:val="000000"/>
                <w:szCs w:val="24"/>
                <w:lang w:val="zh-CN"/>
              </w:rPr>
              <w:t>主变压器发生事故时将排放事故油，如不采取措施处理，将污染地下水及土壤。</w:t>
            </w:r>
          </w:p>
          <w:p w14:paraId="799FEDA8">
            <w:pPr>
              <w:autoSpaceDE w:val="0"/>
              <w:autoSpaceDN w:val="0"/>
              <w:adjustRightInd w:val="0"/>
              <w:ind w:firstLine="480"/>
              <w:rPr>
                <w:color w:val="000000" w:themeColor="text1"/>
                <w:szCs w:val="36"/>
                <w14:textFill>
                  <w14:solidFill>
                    <w14:schemeClr w14:val="tx1"/>
                  </w14:solidFill>
                </w14:textFill>
              </w:rPr>
            </w:pPr>
            <w:r>
              <w:rPr>
                <w:rFonts w:hint="eastAsia"/>
                <w:color w:val="000000" w:themeColor="text1"/>
                <w:szCs w:val="36"/>
                <w14:textFill>
                  <w14:solidFill>
                    <w14:schemeClr w14:val="tx1"/>
                  </w14:solidFill>
                </w14:textFill>
              </w:rPr>
              <w:t>（3）预防措施及应急措施</w:t>
            </w:r>
          </w:p>
          <w:p w14:paraId="38F2B8C8">
            <w:pPr>
              <w:autoSpaceDE w:val="0"/>
              <w:autoSpaceDN w:val="0"/>
              <w:adjustRightInd w:val="0"/>
              <w:ind w:firstLine="480"/>
              <w:rPr>
                <w:color w:val="000000" w:themeColor="text1"/>
                <w:szCs w:val="36"/>
                <w14:textFill>
                  <w14:solidFill>
                    <w14:schemeClr w14:val="tx1"/>
                  </w14:solidFill>
                </w14:textFill>
              </w:rPr>
            </w:pPr>
            <w:r>
              <w:rPr>
                <w:rFonts w:hint="eastAsia"/>
                <w:color w:val="000000" w:themeColor="text1"/>
                <w:szCs w:val="36"/>
                <w14:textFill>
                  <w14:solidFill>
                    <w14:schemeClr w14:val="tx1"/>
                  </w14:solidFill>
                </w14:textFill>
              </w:rPr>
              <w:t>本项目变电站在设计阶段考虑了风险防范和应急措施，已按相应设计规程在每台主变压器下方设置油坑，事故油进入油坑后通过排油管道集中排至变电站厂区内的事故油池暂存，后交由具有经营此类危险废物类别资质的单位进行转运、处置。</w:t>
            </w:r>
          </w:p>
          <w:p w14:paraId="787BB96B">
            <w:pPr>
              <w:autoSpaceDE w:val="0"/>
              <w:autoSpaceDN w:val="0"/>
              <w:adjustRightInd w:val="0"/>
              <w:ind w:firstLine="480"/>
              <w:rPr>
                <w:color w:val="000000" w:themeColor="text1"/>
                <w:szCs w:val="36"/>
                <w14:textFill>
                  <w14:solidFill>
                    <w14:schemeClr w14:val="tx1"/>
                  </w14:solidFill>
                </w14:textFill>
              </w:rPr>
            </w:pPr>
            <w:r>
              <w:rPr>
                <w:rFonts w:hint="eastAsia"/>
                <w:color w:val="000000" w:themeColor="text1"/>
                <w:szCs w:val="36"/>
                <w14:textFill>
                  <w14:solidFill>
                    <w14:schemeClr w14:val="tx1"/>
                  </w14:solidFill>
                </w14:textFill>
              </w:rPr>
              <w:t>按照发生事故的最不利情况考虑，本项目单台主变最大漏油量约为22m</w:t>
            </w:r>
            <w:r>
              <w:rPr>
                <w:rFonts w:hint="eastAsia"/>
                <w:color w:val="000000" w:themeColor="text1"/>
                <w:szCs w:val="36"/>
                <w:vertAlign w:val="superscript"/>
                <w14:textFill>
                  <w14:solidFill>
                    <w14:schemeClr w14:val="tx1"/>
                  </w14:solidFill>
                </w14:textFill>
              </w:rPr>
              <w:t>3</w:t>
            </w:r>
            <w:r>
              <w:rPr>
                <w:rFonts w:hint="eastAsia"/>
                <w:color w:val="000000" w:themeColor="text1"/>
                <w:szCs w:val="36"/>
                <w14:textFill>
                  <w14:solidFill>
                    <w14:schemeClr w14:val="tx1"/>
                  </w14:solidFill>
                </w14:textFill>
              </w:rPr>
              <w:t>。变电站厂区地下设有经防渗防漏处理的事故油池，容积约30m</w:t>
            </w:r>
            <w:r>
              <w:rPr>
                <w:rFonts w:hint="eastAsia"/>
                <w:color w:val="000000" w:themeColor="text1"/>
                <w:szCs w:val="36"/>
                <w:vertAlign w:val="superscript"/>
                <w14:textFill>
                  <w14:solidFill>
                    <w14:schemeClr w14:val="tx1"/>
                  </w14:solidFill>
                </w14:textFill>
              </w:rPr>
              <w:t>3</w:t>
            </w:r>
            <w:r>
              <w:rPr>
                <w:rFonts w:hint="eastAsia"/>
                <w:color w:val="000000" w:themeColor="text1"/>
                <w:szCs w:val="36"/>
                <w14:textFill>
                  <w14:solidFill>
                    <w14:schemeClr w14:val="tx1"/>
                  </w14:solidFill>
                </w14:textFill>
              </w:rPr>
              <w:t>，事故油池容量满足《火力发电厂与变电站设计防火规范》（GB 50229-2019）中“总事故贮油池的容量应按其接入的油量最大的一台设备确定”的要求。</w:t>
            </w:r>
          </w:p>
          <w:p w14:paraId="37BD0B31">
            <w:pPr>
              <w:autoSpaceDE w:val="0"/>
              <w:autoSpaceDN w:val="0"/>
              <w:adjustRightInd w:val="0"/>
              <w:ind w:firstLine="480"/>
              <w:rPr>
                <w:color w:val="000000" w:themeColor="text1"/>
                <w:szCs w:val="36"/>
                <w14:textFill>
                  <w14:solidFill>
                    <w14:schemeClr w14:val="tx1"/>
                  </w14:solidFill>
                </w14:textFill>
              </w:rPr>
            </w:pPr>
            <w:r>
              <w:rPr>
                <w:rFonts w:hint="eastAsia"/>
                <w:color w:val="000000"/>
              </w:rPr>
              <w:t>油坑及</w:t>
            </w:r>
            <w:r>
              <w:rPr>
                <w:rFonts w:hint="eastAsia"/>
                <w:color w:val="000000" w:themeColor="text1"/>
                <w:szCs w:val="36"/>
                <w14:textFill>
                  <w14:solidFill>
                    <w14:schemeClr w14:val="tx1"/>
                  </w14:solidFill>
                </w14:textFill>
              </w:rPr>
              <w:t>事故油池</w:t>
            </w:r>
            <w:r>
              <w:rPr>
                <w:rFonts w:hint="eastAsia"/>
                <w:color w:val="000000"/>
              </w:rPr>
              <w:t>进行基础防渗（防渗层为至少 1m 厚黏土层(渗透系数不大于10</w:t>
            </w:r>
            <w:r>
              <w:rPr>
                <w:rFonts w:hint="eastAsia"/>
                <w:color w:val="000000"/>
                <w:vertAlign w:val="superscript"/>
              </w:rPr>
              <w:t>-7</w:t>
            </w:r>
            <w:r>
              <w:rPr>
                <w:rFonts w:hint="eastAsia"/>
                <w:color w:val="000000"/>
              </w:rPr>
              <w:t>cm/s)，或至少2mm厚高密度聚乙烯膜等人工防渗材料(渗透系数不大于10</w:t>
            </w:r>
            <w:r>
              <w:rPr>
                <w:rFonts w:hint="eastAsia"/>
                <w:color w:val="000000"/>
                <w:vertAlign w:val="superscript"/>
              </w:rPr>
              <w:t>-10</w:t>
            </w:r>
            <w:r>
              <w:rPr>
                <w:rFonts w:hint="eastAsia"/>
                <w:color w:val="000000"/>
              </w:rPr>
              <w:t>cm/s)，或其他防渗性能等效的材料。）</w:t>
            </w:r>
            <w:r>
              <w:rPr>
                <w:rFonts w:hint="eastAsia"/>
                <w:color w:val="000000" w:themeColor="text1"/>
                <w:szCs w:val="36"/>
                <w14:textFill>
                  <w14:solidFill>
                    <w14:schemeClr w14:val="tx1"/>
                  </w14:solidFill>
                </w14:textFill>
              </w:rPr>
              <w:t>。</w:t>
            </w:r>
          </w:p>
          <w:p w14:paraId="4061EB10">
            <w:pPr>
              <w:autoSpaceDE w:val="0"/>
              <w:autoSpaceDN w:val="0"/>
              <w:adjustRightInd w:val="0"/>
              <w:ind w:firstLine="480"/>
              <w:rPr>
                <w:color w:val="000000" w:themeColor="text1"/>
                <w:szCs w:val="36"/>
                <w14:textFill>
                  <w14:solidFill>
                    <w14:schemeClr w14:val="tx1"/>
                  </w14:solidFill>
                </w14:textFill>
              </w:rPr>
            </w:pPr>
            <w:r>
              <w:rPr>
                <w:rFonts w:hint="eastAsia"/>
                <w:color w:val="000000" w:themeColor="text1"/>
                <w:szCs w:val="36"/>
                <w14:textFill>
                  <w14:solidFill>
                    <w14:schemeClr w14:val="tx1"/>
                  </w14:solidFill>
                </w14:textFill>
              </w:rPr>
              <w:t>事故油池布置在室外且远离火源，设置有呼吸孔，安装有防护罩，防杂质落入。主变压器发生事故时，事故油进入设备下方的事故油坑，</w:t>
            </w:r>
            <w:r>
              <w:rPr>
                <w:rFonts w:hint="eastAsia" w:ascii="宋体" w:hAnsi="宋体" w:cs="宋体"/>
                <w:szCs w:val="21"/>
              </w:rPr>
              <w:t>油池位于地下，与油坑存在高差，事故油可</w:t>
            </w:r>
            <w:r>
              <w:rPr>
                <w:rFonts w:hint="eastAsia"/>
                <w:color w:val="000000" w:themeColor="text1"/>
                <w:szCs w:val="36"/>
                <w14:textFill>
                  <w14:solidFill>
                    <w14:schemeClr w14:val="tx1"/>
                  </w14:solidFill>
                </w14:textFill>
              </w:rPr>
              <w:t>自流进入事故油池，排油管径大于100mm，经事故油池进行油水分离后，大部分事故油可回收利用，少量事故废油由有资质的单位处置，不外排。</w:t>
            </w:r>
          </w:p>
          <w:p w14:paraId="511CC627">
            <w:pPr>
              <w:autoSpaceDE w:val="0"/>
              <w:autoSpaceDN w:val="0"/>
              <w:adjustRightInd w:val="0"/>
              <w:ind w:firstLine="480"/>
              <w:rPr>
                <w:color w:val="000000" w:themeColor="text1"/>
                <w:szCs w:val="36"/>
                <w14:textFill>
                  <w14:solidFill>
                    <w14:schemeClr w14:val="tx1"/>
                  </w14:solidFill>
                </w14:textFill>
              </w:rPr>
            </w:pPr>
            <w:r>
              <w:rPr>
                <w:rFonts w:hint="eastAsia"/>
                <w:color w:val="000000" w:themeColor="text1"/>
                <w:szCs w:val="36"/>
                <w14:textFill>
                  <w14:solidFill>
                    <w14:schemeClr w14:val="tx1"/>
                  </w14:solidFill>
                </w14:textFill>
              </w:rPr>
              <w:t>（4）事故油处置</w:t>
            </w:r>
          </w:p>
          <w:p w14:paraId="4A7FB7E4">
            <w:pPr>
              <w:autoSpaceDE w:val="0"/>
              <w:autoSpaceDN w:val="0"/>
              <w:adjustRightInd w:val="0"/>
              <w:ind w:firstLine="480"/>
              <w:rPr>
                <w:color w:val="000000" w:themeColor="text1"/>
                <w:szCs w:val="36"/>
                <w14:textFill>
                  <w14:solidFill>
                    <w14:schemeClr w14:val="tx1"/>
                  </w14:solidFill>
                </w14:textFill>
              </w:rPr>
            </w:pPr>
            <w:r>
              <w:rPr>
                <w:rFonts w:hint="eastAsia"/>
                <w:color w:val="000000" w:themeColor="text1"/>
                <w:szCs w:val="36"/>
                <w14:textFill>
                  <w14:solidFill>
                    <w14:schemeClr w14:val="tx1"/>
                  </w14:solidFill>
                </w14:textFill>
              </w:rPr>
              <w:t>在正常运行状态下，用油设备无油外排；在用油设备出现故障或检修时会有少量含油废水产生。</w:t>
            </w:r>
          </w:p>
          <w:p w14:paraId="75989C51">
            <w:pPr>
              <w:autoSpaceDE w:val="0"/>
              <w:autoSpaceDN w:val="0"/>
              <w:adjustRightInd w:val="0"/>
              <w:ind w:firstLine="480"/>
              <w:rPr>
                <w:color w:val="000000" w:themeColor="text1"/>
                <w:szCs w:val="36"/>
                <w14:textFill>
                  <w14:solidFill>
                    <w14:schemeClr w14:val="tx1"/>
                  </w14:solidFill>
                </w14:textFill>
              </w:rPr>
            </w:pPr>
            <w:r>
              <w:rPr>
                <w:rFonts w:hint="eastAsia"/>
                <w:color w:val="000000" w:themeColor="text1"/>
                <w:szCs w:val="36"/>
                <w14:textFill>
                  <w14:solidFill>
                    <w14:schemeClr w14:val="tx1"/>
                  </w14:solidFill>
                </w14:textFill>
              </w:rPr>
              <w:t>用油设备在检修过程中，变压器油由专用工具收集，存放在事先准备好的容器内，在检修工作完毕后，再将变压器油注入用油设备，无变压器油外排；一般只有事故发生时才会发生变压器油外泄，变电站内设置有事故油排蓄系统，主变下方油坑内铺设有卵石层，并通过排油管道与事故油池相连。</w:t>
            </w:r>
          </w:p>
          <w:p w14:paraId="18FCF510">
            <w:pPr>
              <w:autoSpaceDE w:val="0"/>
              <w:autoSpaceDN w:val="0"/>
              <w:adjustRightInd w:val="0"/>
              <w:ind w:firstLine="480"/>
              <w:rPr>
                <w:color w:val="000000" w:themeColor="text1"/>
                <w:szCs w:val="36"/>
                <w14:textFill>
                  <w14:solidFill>
                    <w14:schemeClr w14:val="tx1"/>
                  </w14:solidFill>
                </w14:textFill>
              </w:rPr>
            </w:pPr>
            <w:r>
              <w:rPr>
                <w:rFonts w:hint="eastAsia"/>
                <w:color w:val="000000" w:themeColor="text1"/>
                <w:szCs w:val="36"/>
                <w14:textFill>
                  <w14:solidFill>
                    <w14:schemeClr w14:val="tx1"/>
                  </w14:solidFill>
                </w14:textFill>
              </w:rPr>
              <w:t>一旦设备发生事故时排油或漏油，所有的油水混合物将渗过卵石层并通过排油管道到达事故油池，在此过程中卵石层起到冷却作用，不易发生火灾。</w:t>
            </w:r>
          </w:p>
          <w:p w14:paraId="033C4005">
            <w:pPr>
              <w:autoSpaceDE w:val="0"/>
              <w:autoSpaceDN w:val="0"/>
              <w:adjustRightInd w:val="0"/>
              <w:ind w:firstLine="480"/>
              <w:rPr>
                <w:color w:val="000000" w:themeColor="text1"/>
                <w:szCs w:val="36"/>
                <w14:textFill>
                  <w14:solidFill>
                    <w14:schemeClr w14:val="tx1"/>
                  </w14:solidFill>
                </w14:textFill>
              </w:rPr>
            </w:pPr>
            <w:r>
              <w:rPr>
                <w:rFonts w:hint="eastAsia"/>
                <w:color w:val="000000" w:themeColor="text1"/>
                <w:szCs w:val="36"/>
                <w14:textFill>
                  <w14:solidFill>
                    <w14:schemeClr w14:val="tx1"/>
                  </w14:solidFill>
                </w14:textFill>
              </w:rPr>
              <w:t>废变压器油属于《国家危险废物名录》（2021 年版）中的“HW08 废矿物油与含矿物油废物”，废物代码 900-220-08。主变事故排油经事故油池收集，由具备相关资质单位对油进行转运及处置，少量废油渣及含油污水委托有相应危废处理资质的单位转运处置。</w:t>
            </w:r>
          </w:p>
          <w:p w14:paraId="1C71D95D">
            <w:pPr>
              <w:autoSpaceDE w:val="0"/>
              <w:autoSpaceDN w:val="0"/>
              <w:adjustRightInd w:val="0"/>
              <w:ind w:firstLine="480"/>
              <w:rPr>
                <w:color w:val="000000" w:themeColor="text1"/>
                <w:szCs w:val="36"/>
                <w14:textFill>
                  <w14:solidFill>
                    <w14:schemeClr w14:val="tx1"/>
                  </w14:solidFill>
                </w14:textFill>
              </w:rPr>
            </w:pPr>
            <w:r>
              <w:rPr>
                <w:rFonts w:hint="eastAsia"/>
                <w:color w:val="000000" w:themeColor="text1"/>
                <w:szCs w:val="36"/>
                <w14:textFill>
                  <w14:solidFill>
                    <w14:schemeClr w14:val="tx1"/>
                  </w14:solidFill>
                </w14:textFill>
              </w:rPr>
              <w:t>根据对已运行的 110kV 变电站调查来看，变电站内的主变压器发生事故的几率很小，即使上述设备发生事故时，事故废油也能得到妥善处理，对环境的风险影响很小。</w:t>
            </w:r>
          </w:p>
          <w:p w14:paraId="529B5257">
            <w:pPr>
              <w:autoSpaceDE w:val="0"/>
              <w:autoSpaceDN w:val="0"/>
              <w:adjustRightInd w:val="0"/>
              <w:ind w:firstLine="480"/>
              <w:rPr>
                <w:color w:val="000000" w:themeColor="text1"/>
                <w:szCs w:val="36"/>
                <w14:textFill>
                  <w14:solidFill>
                    <w14:schemeClr w14:val="tx1"/>
                  </w14:solidFill>
                </w14:textFill>
              </w:rPr>
            </w:pPr>
            <w:r>
              <w:rPr>
                <w:rFonts w:hint="eastAsia"/>
                <w:color w:val="000000" w:themeColor="text1"/>
                <w:szCs w:val="36"/>
                <w14:textFill>
                  <w14:solidFill>
                    <w14:schemeClr w14:val="tx1"/>
                  </w14:solidFill>
                </w14:textFill>
              </w:rPr>
              <w:t>（5）应急管理</w:t>
            </w:r>
          </w:p>
          <w:p w14:paraId="1E8007CB">
            <w:pPr>
              <w:autoSpaceDE w:val="0"/>
              <w:autoSpaceDN w:val="0"/>
              <w:adjustRightInd w:val="0"/>
              <w:ind w:firstLine="480"/>
              <w:rPr>
                <w:color w:val="000000" w:themeColor="text1"/>
                <w:szCs w:val="36"/>
                <w14:textFill>
                  <w14:solidFill>
                    <w14:schemeClr w14:val="tx1"/>
                  </w14:solidFill>
                </w14:textFill>
              </w:rPr>
            </w:pPr>
            <w:r>
              <w:rPr>
                <w:rFonts w:hint="eastAsia"/>
                <w:color w:val="000000" w:themeColor="text1"/>
                <w:szCs w:val="36"/>
                <w14:textFill>
                  <w14:solidFill>
                    <w14:schemeClr w14:val="tx1"/>
                  </w14:solidFill>
                </w14:textFill>
              </w:rPr>
              <w:t>企业应加强应急管理，</w:t>
            </w:r>
            <w:r>
              <w:rPr>
                <w:rFonts w:cs="Times New Roman"/>
                <w:kern w:val="0"/>
                <w:szCs w:val="18"/>
              </w:rPr>
              <w:t>开展污染隐患排查。要通过经常性的污染隐患排查，确定排查和防范的重点部位，全面分析可能造成的次生灾害和衍生灾害，制定相应的切断污染源、消除和减轻污染的应急处置措施。对查出的污染隐患制定切实可行的整改方案，进行治理整改，并建立相关工作档案。</w:t>
            </w:r>
            <w:r>
              <w:rPr>
                <w:rFonts w:hint="eastAsia"/>
                <w:color w:val="000000" w:themeColor="text1"/>
                <w:szCs w:val="36"/>
                <w14:textFill>
                  <w14:solidFill>
                    <w14:schemeClr w14:val="tx1"/>
                  </w14:solidFill>
                </w14:textFill>
              </w:rPr>
              <w:t>配备各项应急物资，落实应急保障措施，并由专职人员负责管理，按《突发事件应急预案管理办法》编制突发环境事件应急预案，并按计划进行演练，</w:t>
            </w:r>
            <w:r>
              <w:t>提高防范和处置突发环境事件的技能，增强实战能力</w:t>
            </w:r>
            <w:r>
              <w:rPr>
                <w:rFonts w:hint="eastAsia"/>
              </w:rPr>
              <w:t>，同时</w:t>
            </w:r>
            <w:r>
              <w:t>加强环境保护科普宣传教育工作，增强公众的防范意识和相关心理准备，提高公众的防范能力。企业内工作人员应积极主动接受日常培训，企业应对重要目标工作人员进行培训和管理。</w:t>
            </w:r>
          </w:p>
        </w:tc>
      </w:tr>
      <w:tr w14:paraId="7B4F7F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31" w:hRule="atLeast"/>
          <w:jc w:val="center"/>
        </w:trPr>
        <w:tc>
          <w:tcPr>
            <w:tcW w:w="699" w:type="dxa"/>
            <w:vAlign w:val="center"/>
          </w:tcPr>
          <w:p w14:paraId="681F6C5D">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选址选线环境合理性分析</w:t>
            </w:r>
          </w:p>
        </w:tc>
        <w:tc>
          <w:tcPr>
            <w:tcW w:w="8975" w:type="dxa"/>
            <w:vAlign w:val="center"/>
          </w:tcPr>
          <w:p w14:paraId="75363600">
            <w:pPr>
              <w:pStyle w:val="38"/>
            </w:pPr>
            <w:r>
              <w:rPr>
                <w:rFonts w:hint="eastAsia"/>
              </w:rPr>
              <w:t>（1）选址合理性</w:t>
            </w:r>
          </w:p>
          <w:p w14:paraId="61F48F6D">
            <w:pPr>
              <w:pStyle w:val="38"/>
            </w:pPr>
            <w:r>
              <w:rPr>
                <w:rFonts w:hint="eastAsia"/>
              </w:rPr>
              <w:t>本项目位于现有厂区内。项目规划用地性质为工业用地。</w:t>
            </w:r>
          </w:p>
          <w:p w14:paraId="72A5A810">
            <w:pPr>
              <w:ind w:firstLine="480"/>
              <w:rPr>
                <w:rFonts w:cs="Times New Roman"/>
              </w:rPr>
            </w:pPr>
            <w:r>
              <w:rPr>
                <w:rFonts w:cs="Times New Roman"/>
              </w:rPr>
              <w:t>苏尼特右旗新蒙新材料有限公司年产硅锰合金12万t项目于2015年1月21日以锡署环审书[2015]3号文件批复，于2016年11月24日由苏尼特右旗环境保护局出具验收意见同意通过竣工环保验收（苏右环验[2016]12号）。</w:t>
            </w:r>
          </w:p>
          <w:p w14:paraId="481D2077">
            <w:pPr>
              <w:pStyle w:val="38"/>
              <w:rPr>
                <w:rFonts w:cs="Times New Roman"/>
              </w:rPr>
            </w:pPr>
            <w:r>
              <w:rPr>
                <w:rFonts w:cs="Times New Roman"/>
              </w:rPr>
              <w:t>内蒙古新蒙新科技有限公司租赁苏尼特右旗新蒙新材料有限公司白彦湖厂区用于建设10万吨负极材料项目中石墨化以及成品加工工段。</w:t>
            </w:r>
          </w:p>
          <w:p w14:paraId="1A2D0C3D">
            <w:pPr>
              <w:pStyle w:val="38"/>
              <w:rPr>
                <w:rStyle w:val="46"/>
                <w:rFonts w:ascii="Times New Roman" w:hAnsi="Times New Roman" w:cs="Times New Roman"/>
                <w:color w:val="000000" w:themeColor="text1"/>
                <w:sz w:val="24"/>
                <w:szCs w:val="36"/>
                <w14:textFill>
                  <w14:solidFill>
                    <w14:schemeClr w14:val="tx1"/>
                  </w14:solidFill>
                </w14:textFill>
              </w:rPr>
            </w:pPr>
            <w:r>
              <w:rPr>
                <w:rStyle w:val="46"/>
                <w:rFonts w:ascii="Times New Roman" w:hAnsi="Times New Roman" w:cs="Times New Roman"/>
                <w:color w:val="000000" w:themeColor="text1"/>
                <w:sz w:val="24"/>
                <w:szCs w:val="36"/>
                <w14:textFill>
                  <w14:solidFill>
                    <w14:schemeClr w14:val="tx1"/>
                  </w14:solidFill>
                </w14:textFill>
              </w:rPr>
              <w:t>“内蒙古新蒙新科技有限公司10万吨负极材料项目”，于2023年1月11日取得锡林郭勒盟生态环境局批复，文号“锡署环审书〔2023〕4号”。</w:t>
            </w:r>
          </w:p>
          <w:p w14:paraId="53FD06FB">
            <w:pPr>
              <w:pStyle w:val="38"/>
            </w:pPr>
            <w:r>
              <w:rPr>
                <w:szCs w:val="21"/>
              </w:rPr>
              <w:t>按照《输变电建设项目环境保护技术要求》</w:t>
            </w:r>
            <w:r>
              <w:rPr>
                <w:rFonts w:hint="eastAsia"/>
                <w:szCs w:val="21"/>
              </w:rPr>
              <w:t>本项目选址合理性分析如下：</w:t>
            </w:r>
          </w:p>
          <w:p w14:paraId="1E8672AD">
            <w:pPr>
              <w:pStyle w:val="38"/>
              <w:jc w:val="center"/>
              <w:rPr>
                <w:b/>
                <w:bCs/>
                <w:sz w:val="21"/>
                <w:szCs w:val="21"/>
              </w:rPr>
            </w:pPr>
            <w:r>
              <w:rPr>
                <w:rFonts w:hint="eastAsia"/>
                <w:b/>
                <w:bCs/>
                <w:sz w:val="21"/>
                <w:szCs w:val="21"/>
              </w:rPr>
              <w:t>表4.4 选址和理性分析</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4275"/>
              <w:gridCol w:w="2565"/>
              <w:gridCol w:w="876"/>
            </w:tblGrid>
            <w:tr w14:paraId="1E2E1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 w:type="dxa"/>
                  <w:vAlign w:val="center"/>
                </w:tcPr>
                <w:p w14:paraId="66B63B31">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序号</w:t>
                  </w:r>
                </w:p>
              </w:tc>
              <w:tc>
                <w:tcPr>
                  <w:tcW w:w="4275" w:type="dxa"/>
                  <w:vAlign w:val="center"/>
                </w:tcPr>
                <w:p w14:paraId="41C5451D">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技术要求</w:t>
                  </w:r>
                </w:p>
              </w:tc>
              <w:tc>
                <w:tcPr>
                  <w:tcW w:w="2565" w:type="dxa"/>
                  <w:vAlign w:val="center"/>
                </w:tcPr>
                <w:p w14:paraId="566FAE7A">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项目现状</w:t>
                  </w:r>
                </w:p>
              </w:tc>
              <w:tc>
                <w:tcPr>
                  <w:tcW w:w="876" w:type="dxa"/>
                  <w:vAlign w:val="center"/>
                </w:tcPr>
                <w:p w14:paraId="01FDED2B">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符合性</w:t>
                  </w:r>
                </w:p>
              </w:tc>
            </w:tr>
            <w:tr w14:paraId="15F10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 w:type="dxa"/>
                  <w:vAlign w:val="center"/>
                </w:tcPr>
                <w:p w14:paraId="5F2A2EB4">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1</w:t>
                  </w:r>
                </w:p>
              </w:tc>
              <w:tc>
                <w:tcPr>
                  <w:tcW w:w="4275" w:type="dxa"/>
                  <w:vAlign w:val="center"/>
                </w:tcPr>
                <w:p w14:paraId="34F166D5">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工程选址选线应符合规划环境影响评价文件的要求</w:t>
                  </w:r>
                </w:p>
              </w:tc>
              <w:tc>
                <w:tcPr>
                  <w:tcW w:w="2565" w:type="dxa"/>
                  <w:vAlign w:val="center"/>
                </w:tcPr>
                <w:p w14:paraId="12233DAC">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hint="eastAsia" w:ascii="Times New Roman" w:hAnsi="Times New Roman" w:cs="Times New Roman"/>
                      <w:color w:val="auto"/>
                      <w:sz w:val="21"/>
                      <w:szCs w:val="21"/>
                      <w:lang w:bidi="ar"/>
                    </w:rPr>
                    <w:t>不涉及规划环评</w:t>
                  </w:r>
                </w:p>
              </w:tc>
              <w:tc>
                <w:tcPr>
                  <w:tcW w:w="876" w:type="dxa"/>
                  <w:vAlign w:val="center"/>
                </w:tcPr>
                <w:p w14:paraId="4635BD4C">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符合</w:t>
                  </w:r>
                </w:p>
              </w:tc>
            </w:tr>
            <w:tr w14:paraId="72E96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 w:type="dxa"/>
                  <w:vAlign w:val="center"/>
                </w:tcPr>
                <w:p w14:paraId="2E24AEBB">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2</w:t>
                  </w:r>
                </w:p>
              </w:tc>
              <w:tc>
                <w:tcPr>
                  <w:tcW w:w="4275" w:type="dxa"/>
                  <w:vAlign w:val="center"/>
                </w:tcPr>
                <w:p w14:paraId="161892AB">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输变电建设项目选址选线应符合生态保护红线管控要求，避让自然保护区、饮用水水源保护区等环境敏感区。确实因自然条件等因素限制无法避让自然保护区实验区、饮用水水源二级保护区等环境敏感区的输电线路，应在满足相关法律法规及管理要求的前提下对线路方案进行唯一性论证，并采取无害化方式通过</w:t>
                  </w:r>
                </w:p>
              </w:tc>
              <w:tc>
                <w:tcPr>
                  <w:tcW w:w="2565" w:type="dxa"/>
                  <w:vAlign w:val="center"/>
                </w:tcPr>
                <w:p w14:paraId="39D1AA80">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本项目</w:t>
                  </w:r>
                  <w:r>
                    <w:rPr>
                      <w:rFonts w:hint="eastAsia" w:ascii="Times New Roman" w:hAnsi="Times New Roman" w:cs="Times New Roman"/>
                      <w:color w:val="auto"/>
                      <w:sz w:val="21"/>
                      <w:szCs w:val="21"/>
                      <w:lang w:bidi="ar"/>
                    </w:rPr>
                    <w:t>不涉及生态红线</w:t>
                  </w:r>
                  <w:r>
                    <w:rPr>
                      <w:rFonts w:ascii="Times New Roman" w:hAnsi="Times New Roman" w:cs="Times New Roman"/>
                      <w:color w:val="auto"/>
                      <w:sz w:val="21"/>
                      <w:szCs w:val="21"/>
                      <w:lang w:bidi="ar"/>
                    </w:rPr>
                    <w:t>，选址不涉及自然保护区、饮用水水源保护区等环境敏感区</w:t>
                  </w:r>
                </w:p>
              </w:tc>
              <w:tc>
                <w:tcPr>
                  <w:tcW w:w="876" w:type="dxa"/>
                  <w:vAlign w:val="center"/>
                </w:tcPr>
                <w:p w14:paraId="09C569BF">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符合</w:t>
                  </w:r>
                </w:p>
              </w:tc>
            </w:tr>
            <w:tr w14:paraId="416F1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 w:type="dxa"/>
                  <w:vAlign w:val="center"/>
                </w:tcPr>
                <w:p w14:paraId="0FB95763">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3</w:t>
                  </w:r>
                </w:p>
              </w:tc>
              <w:tc>
                <w:tcPr>
                  <w:tcW w:w="4275" w:type="dxa"/>
                  <w:vAlign w:val="center"/>
                </w:tcPr>
                <w:p w14:paraId="13217C3E">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变电工程在选址时应按终期规模综合考虑进出线走廊规划，避免进出线进入自然保护区、饮用水水源保护区等环境敏感区</w:t>
                  </w:r>
                </w:p>
              </w:tc>
              <w:tc>
                <w:tcPr>
                  <w:tcW w:w="2565" w:type="dxa"/>
                  <w:vAlign w:val="center"/>
                </w:tcPr>
                <w:p w14:paraId="7A6371C5">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本项目</w:t>
                  </w:r>
                  <w:r>
                    <w:rPr>
                      <w:rFonts w:hint="eastAsia" w:ascii="Times New Roman" w:hAnsi="Times New Roman" w:cs="Times New Roman"/>
                      <w:color w:val="auto"/>
                      <w:sz w:val="21"/>
                      <w:szCs w:val="21"/>
                      <w:lang w:bidi="ar"/>
                    </w:rPr>
                    <w:t>进出线不涉及</w:t>
                  </w:r>
                  <w:r>
                    <w:rPr>
                      <w:rFonts w:ascii="Times New Roman" w:hAnsi="Times New Roman" w:cs="Times New Roman"/>
                      <w:color w:val="auto"/>
                      <w:sz w:val="21"/>
                      <w:szCs w:val="21"/>
                      <w:lang w:bidi="ar"/>
                    </w:rPr>
                    <w:t>自然保护区、饮用水水源保护区等环境敏感区</w:t>
                  </w:r>
                </w:p>
              </w:tc>
              <w:tc>
                <w:tcPr>
                  <w:tcW w:w="876" w:type="dxa"/>
                  <w:vAlign w:val="center"/>
                </w:tcPr>
                <w:p w14:paraId="32ED72CE">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符合</w:t>
                  </w:r>
                </w:p>
              </w:tc>
            </w:tr>
            <w:tr w14:paraId="58695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 w:type="dxa"/>
                  <w:vAlign w:val="center"/>
                </w:tcPr>
                <w:p w14:paraId="74F6F913">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4</w:t>
                  </w:r>
                </w:p>
              </w:tc>
              <w:tc>
                <w:tcPr>
                  <w:tcW w:w="4275" w:type="dxa"/>
                  <w:vAlign w:val="center"/>
                </w:tcPr>
                <w:p w14:paraId="6B2EF199">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户外变电工程及规划架空进出线选址选线时，应关注以居住、医疗卫生、文化教育、科研、行政办公等为主要功能的区域，采取综合措施，减少电磁和声环境影响</w:t>
                  </w:r>
                </w:p>
              </w:tc>
              <w:tc>
                <w:tcPr>
                  <w:tcW w:w="2565" w:type="dxa"/>
                  <w:vAlign w:val="center"/>
                </w:tcPr>
                <w:p w14:paraId="4A7AA2C6">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本项目</w:t>
                  </w:r>
                  <w:r>
                    <w:rPr>
                      <w:rFonts w:hint="eastAsia" w:ascii="Times New Roman" w:hAnsi="Times New Roman" w:cs="Times New Roman"/>
                      <w:color w:val="auto"/>
                      <w:sz w:val="21"/>
                      <w:szCs w:val="21"/>
                      <w:lang w:bidi="ar"/>
                    </w:rPr>
                    <w:t>选址不涉及相关区域</w:t>
                  </w:r>
                  <w:r>
                    <w:rPr>
                      <w:rFonts w:ascii="Times New Roman" w:hAnsi="Times New Roman" w:cs="Times New Roman"/>
                      <w:color w:val="auto"/>
                      <w:sz w:val="21"/>
                      <w:szCs w:val="21"/>
                      <w:lang w:bidi="ar"/>
                    </w:rPr>
                    <w:t>，实测结果符合电磁环境质量要求</w:t>
                  </w:r>
                </w:p>
              </w:tc>
              <w:tc>
                <w:tcPr>
                  <w:tcW w:w="876" w:type="dxa"/>
                  <w:vAlign w:val="center"/>
                </w:tcPr>
                <w:p w14:paraId="6827484F">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符合</w:t>
                  </w:r>
                </w:p>
              </w:tc>
            </w:tr>
            <w:tr w14:paraId="25543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 w:type="dxa"/>
                  <w:vAlign w:val="center"/>
                </w:tcPr>
                <w:p w14:paraId="25D622A1">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5</w:t>
                  </w:r>
                </w:p>
              </w:tc>
              <w:tc>
                <w:tcPr>
                  <w:tcW w:w="4275" w:type="dxa"/>
                  <w:vAlign w:val="center"/>
                </w:tcPr>
                <w:p w14:paraId="7DEEB83C">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同一走廊内的多回输电线路，宜采取同塔多回架设、并行架设等形式，减少新开辟走廊，优化线路走廊间距，降低环境影响</w:t>
                  </w:r>
                </w:p>
              </w:tc>
              <w:tc>
                <w:tcPr>
                  <w:tcW w:w="2565" w:type="dxa"/>
                  <w:vAlign w:val="center"/>
                </w:tcPr>
                <w:p w14:paraId="346A0945">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本项目</w:t>
                  </w:r>
                  <w:r>
                    <w:rPr>
                      <w:rFonts w:hint="eastAsia" w:ascii="Times New Roman" w:hAnsi="Times New Roman" w:cs="Times New Roman"/>
                      <w:color w:val="auto"/>
                      <w:sz w:val="21"/>
                      <w:szCs w:val="21"/>
                      <w:lang w:bidi="ar"/>
                    </w:rPr>
                    <w:t>不涉及线路工程</w:t>
                  </w:r>
                </w:p>
              </w:tc>
              <w:tc>
                <w:tcPr>
                  <w:tcW w:w="876" w:type="dxa"/>
                  <w:vAlign w:val="center"/>
                </w:tcPr>
                <w:p w14:paraId="3542A283">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符合</w:t>
                  </w:r>
                </w:p>
              </w:tc>
            </w:tr>
            <w:tr w14:paraId="185A5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 w:type="dxa"/>
                  <w:vAlign w:val="center"/>
                </w:tcPr>
                <w:p w14:paraId="78D436AE">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6</w:t>
                  </w:r>
                </w:p>
              </w:tc>
              <w:tc>
                <w:tcPr>
                  <w:tcW w:w="4275" w:type="dxa"/>
                  <w:vAlign w:val="center"/>
                </w:tcPr>
                <w:p w14:paraId="0E8481C5">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原则上避免在0类声环境功能区建设变电工程</w:t>
                  </w:r>
                </w:p>
              </w:tc>
              <w:tc>
                <w:tcPr>
                  <w:tcW w:w="2565" w:type="dxa"/>
                  <w:vAlign w:val="center"/>
                </w:tcPr>
                <w:p w14:paraId="731878C2">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本项目</w:t>
                  </w:r>
                  <w:r>
                    <w:rPr>
                      <w:rFonts w:hint="eastAsia" w:ascii="Times New Roman" w:hAnsi="Times New Roman" w:cs="Times New Roman"/>
                      <w:color w:val="auto"/>
                      <w:sz w:val="21"/>
                      <w:szCs w:val="21"/>
                      <w:lang w:bidi="ar"/>
                    </w:rPr>
                    <w:t>选址</w:t>
                  </w:r>
                  <w:r>
                    <w:rPr>
                      <w:rFonts w:ascii="Times New Roman" w:hAnsi="Times New Roman" w:cs="Times New Roman"/>
                      <w:color w:val="auto"/>
                      <w:sz w:val="21"/>
                      <w:szCs w:val="21"/>
                      <w:lang w:bidi="ar"/>
                    </w:rPr>
                    <w:t>不涉及0类声环境功能区</w:t>
                  </w:r>
                </w:p>
              </w:tc>
              <w:tc>
                <w:tcPr>
                  <w:tcW w:w="876" w:type="dxa"/>
                  <w:vAlign w:val="center"/>
                </w:tcPr>
                <w:p w14:paraId="7C04EFD4">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符合</w:t>
                  </w:r>
                </w:p>
              </w:tc>
            </w:tr>
            <w:tr w14:paraId="014F5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 w:type="dxa"/>
                  <w:vAlign w:val="center"/>
                </w:tcPr>
                <w:p w14:paraId="139C81CF">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7</w:t>
                  </w:r>
                </w:p>
              </w:tc>
              <w:tc>
                <w:tcPr>
                  <w:tcW w:w="4275" w:type="dxa"/>
                  <w:vAlign w:val="center"/>
                </w:tcPr>
                <w:p w14:paraId="401C63E8">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变电工程选址时，应综合考虑减少土地占用、植被砍伐和弃土弃渣等，以减少对生态环境的不利影响</w:t>
                  </w:r>
                </w:p>
              </w:tc>
              <w:tc>
                <w:tcPr>
                  <w:tcW w:w="2565" w:type="dxa"/>
                  <w:vAlign w:val="center"/>
                </w:tcPr>
                <w:p w14:paraId="40A1D080">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hint="eastAsia" w:ascii="Times New Roman" w:hAnsi="Times New Roman" w:cs="Times New Roman"/>
                      <w:color w:val="auto"/>
                      <w:sz w:val="21"/>
                      <w:szCs w:val="21"/>
                      <w:lang w:bidi="ar"/>
                    </w:rPr>
                    <w:t>本项目选址位于内蒙古新蒙新科技有限公司厂区内</w:t>
                  </w:r>
                </w:p>
              </w:tc>
              <w:tc>
                <w:tcPr>
                  <w:tcW w:w="876" w:type="dxa"/>
                  <w:vAlign w:val="center"/>
                </w:tcPr>
                <w:p w14:paraId="181892CD">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符合</w:t>
                  </w:r>
                </w:p>
              </w:tc>
            </w:tr>
            <w:tr w14:paraId="3DEE2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 w:type="dxa"/>
                  <w:vAlign w:val="center"/>
                </w:tcPr>
                <w:p w14:paraId="7E9F9514">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8</w:t>
                  </w:r>
                </w:p>
              </w:tc>
              <w:tc>
                <w:tcPr>
                  <w:tcW w:w="4275" w:type="dxa"/>
                  <w:vAlign w:val="center"/>
                </w:tcPr>
                <w:p w14:paraId="7B5693EC">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输电线路宜避让集中林区，以减少林木砍伐，保护生态环境</w:t>
                  </w:r>
                </w:p>
              </w:tc>
              <w:tc>
                <w:tcPr>
                  <w:tcW w:w="2565" w:type="dxa"/>
                  <w:vAlign w:val="center"/>
                </w:tcPr>
                <w:p w14:paraId="6B59AF9D">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本项目</w:t>
                  </w:r>
                  <w:r>
                    <w:rPr>
                      <w:rFonts w:hint="eastAsia" w:ascii="Times New Roman" w:hAnsi="Times New Roman" w:cs="Times New Roman"/>
                      <w:color w:val="auto"/>
                      <w:sz w:val="21"/>
                      <w:szCs w:val="21"/>
                      <w:lang w:bidi="ar"/>
                    </w:rPr>
                    <w:t>不涉及线路工程</w:t>
                  </w:r>
                </w:p>
              </w:tc>
              <w:tc>
                <w:tcPr>
                  <w:tcW w:w="876" w:type="dxa"/>
                  <w:vAlign w:val="center"/>
                </w:tcPr>
                <w:p w14:paraId="74DF3671">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符合</w:t>
                  </w:r>
                </w:p>
              </w:tc>
            </w:tr>
            <w:tr w14:paraId="15ECD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 w:type="dxa"/>
                  <w:vAlign w:val="center"/>
                </w:tcPr>
                <w:p w14:paraId="51BDCDBD">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9</w:t>
                  </w:r>
                </w:p>
              </w:tc>
              <w:tc>
                <w:tcPr>
                  <w:tcW w:w="4275" w:type="dxa"/>
                  <w:vAlign w:val="center"/>
                </w:tcPr>
                <w:p w14:paraId="596E5617">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进入自然保护区的输电线路，应按照HJ19的要求开展生态现状调查，避让保护对象的集中分布区</w:t>
                  </w:r>
                </w:p>
              </w:tc>
              <w:tc>
                <w:tcPr>
                  <w:tcW w:w="2565" w:type="dxa"/>
                  <w:vAlign w:val="center"/>
                </w:tcPr>
                <w:p w14:paraId="1DE94CBA">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本项目不涉及自然保护区</w:t>
                  </w:r>
                </w:p>
              </w:tc>
              <w:tc>
                <w:tcPr>
                  <w:tcW w:w="876" w:type="dxa"/>
                  <w:vAlign w:val="center"/>
                </w:tcPr>
                <w:p w14:paraId="5EB87938">
                  <w:pPr>
                    <w:pStyle w:val="19"/>
                    <w:spacing w:before="0" w:beforeAutospacing="0" w:after="0" w:afterAutospacing="0" w:line="240" w:lineRule="auto"/>
                    <w:ind w:firstLine="0" w:firstLineChars="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符合</w:t>
                  </w:r>
                </w:p>
              </w:tc>
            </w:tr>
          </w:tbl>
          <w:p w14:paraId="5069DD94">
            <w:pPr>
              <w:pStyle w:val="38"/>
              <w:rPr>
                <w:szCs w:val="21"/>
              </w:rPr>
            </w:pPr>
            <w:r>
              <w:rPr>
                <w:rFonts w:cs="Times New Roman"/>
              </w:rPr>
              <w:t>本项目属于内蒙古新蒙新科技有限公司10万吨负极材料项目配套变电站工程，选址位于租赁苏尼特右旗新蒙新材料有限公司白彦湖厂区未利用的空地上。</w:t>
            </w:r>
            <w:r>
              <w:rPr>
                <w:rFonts w:hint="eastAsia" w:cs="Times New Roman"/>
              </w:rPr>
              <w:t>选址合理。</w:t>
            </w:r>
          </w:p>
          <w:p w14:paraId="55CF13C4">
            <w:pPr>
              <w:pStyle w:val="38"/>
            </w:pPr>
            <w:r>
              <w:rPr>
                <w:rFonts w:hint="eastAsia"/>
              </w:rPr>
              <w:t>（2）环境制约因素分析</w:t>
            </w:r>
          </w:p>
          <w:p w14:paraId="56A1AE75">
            <w:pPr>
              <w:pStyle w:val="38"/>
            </w:pPr>
            <w:r>
              <w:rPr>
                <w:rFonts w:hint="eastAsia"/>
              </w:rPr>
              <w:t>本项目生态环境评价范围内没有国家公园、自然保护区、风景名胜区、世界文化和自然遗产保护地、海洋特别保护区、饮用水水源保护区等环境敏感区。变电站位于现有厂区内，属于工业用地，不会对周边生态环境和景观造成明显破坏。</w:t>
            </w:r>
          </w:p>
          <w:p w14:paraId="21128D8B">
            <w:pPr>
              <w:pStyle w:val="38"/>
            </w:pPr>
            <w:r>
              <w:rPr>
                <w:rFonts w:hint="eastAsia"/>
              </w:rPr>
              <w:t>根据环境质量现状监测，变电站站址及周围声环境现状监测值均满足《声环境质量标准》(GB3096-2008)2类标准限值要求。</w:t>
            </w:r>
          </w:p>
          <w:p w14:paraId="79CA689A">
            <w:pPr>
              <w:pStyle w:val="38"/>
            </w:pPr>
            <w:r>
              <w:rPr>
                <w:rFonts w:hint="eastAsia"/>
              </w:rPr>
              <w:t>变电站站址电磁环境现状监测值均满足《电磁环境控制限值》（GB 8702-2014）中电场强度4000V/m、磁感应强度 100µT 的公众曝露控制限值的要求。</w:t>
            </w:r>
          </w:p>
          <w:p w14:paraId="4F5FDF19">
            <w:pPr>
              <w:pStyle w:val="38"/>
            </w:pPr>
            <w:r>
              <w:rPr>
                <w:rFonts w:hint="eastAsia"/>
              </w:rPr>
              <w:t>因此，本项目的建设不存在环境制约因素。</w:t>
            </w:r>
          </w:p>
          <w:p w14:paraId="1E9165FC">
            <w:pPr>
              <w:pStyle w:val="38"/>
            </w:pPr>
            <w:r>
              <w:rPr>
                <w:rFonts w:hint="eastAsia"/>
              </w:rPr>
              <w:t>（3）环境影响程度分析</w:t>
            </w:r>
          </w:p>
          <w:p w14:paraId="51C9CCDE">
            <w:pPr>
              <w:pStyle w:val="38"/>
            </w:pPr>
            <w:r>
              <w:rPr>
                <w:rFonts w:hint="eastAsia"/>
              </w:rPr>
              <w:t>本项目施工期加强对施工现场的管理，严格执行环评报告中提出的各项防护措施后，可最大限度地降低施工期间对周围环境的影响。</w:t>
            </w:r>
          </w:p>
          <w:p w14:paraId="7B3ECD7C">
            <w:pPr>
              <w:pStyle w:val="38"/>
            </w:pPr>
            <w:r>
              <w:rPr>
                <w:rFonts w:hint="eastAsia"/>
              </w:rPr>
              <w:t>本项目建成后，生活污水全部处理后回用。变电站生活垃圾由环卫部门负责收集和处置；废旧蓄电池均由有资质的生产厂家回收处置；事故油由有资质的单位转运处置。变电站厂界噪声满足《工业企业厂界环境噪声排放标准》(GB12348-2008)2类标准限值要求。变电站站址的工频电场强度满足《电磁环境控制限值》（GB 8702-2014）中 4000V/m 标准限值的要求，工频磁感应强度满足 100µT 标准限值的要求。</w:t>
            </w:r>
          </w:p>
          <w:p w14:paraId="5B2190B6">
            <w:pPr>
              <w:pStyle w:val="38"/>
            </w:pPr>
            <w:r>
              <w:rPr>
                <w:rFonts w:hint="eastAsia"/>
              </w:rPr>
              <w:t>综上所述，本项目不存在环境制约因素，污染物均能达标排放。从环保角度分析，本项目的选址是合理的。</w:t>
            </w:r>
          </w:p>
        </w:tc>
      </w:tr>
    </w:tbl>
    <w:p w14:paraId="5EE1DC2B">
      <w:pPr>
        <w:widowControl/>
        <w:spacing w:before="100" w:beforeAutospacing="1" w:after="100" w:afterAutospacing="1"/>
        <w:ind w:firstLine="720" w:firstLineChars="0"/>
        <w:jc w:val="center"/>
        <w:rPr>
          <w:rFonts w:hint="eastAsia" w:ascii="黑体" w:hAnsi="黑体" w:eastAsia="黑体" w:cs="Times New Roman"/>
          <w:snapToGrid w:val="0"/>
          <w:color w:val="000000" w:themeColor="text1"/>
          <w:kern w:val="0"/>
          <w:sz w:val="36"/>
          <w:szCs w:val="36"/>
          <w14:textFill>
            <w14:solidFill>
              <w14:schemeClr w14:val="tx1"/>
            </w14:solidFill>
          </w14:textFill>
        </w:rPr>
        <w:sectPr>
          <w:pgSz w:w="11906" w:h="16838"/>
          <w:pgMar w:top="1440" w:right="1800" w:bottom="1440" w:left="1800" w:header="851" w:footer="1077" w:gutter="0"/>
          <w:pgNumType w:fmt="numberInDash"/>
          <w:cols w:space="425" w:num="1"/>
          <w:docGrid w:linePitch="312" w:charSpace="0"/>
        </w:sectPr>
      </w:pPr>
    </w:p>
    <w:p w14:paraId="455E6CE7">
      <w:pPr>
        <w:ind w:firstLine="480" w:firstLineChars="0"/>
        <w:rPr>
          <w:rFonts w:cs="Times New Roman"/>
          <w:snapToGrid w:val="0"/>
          <w:color w:val="000000" w:themeColor="text1"/>
          <w:sz w:val="21"/>
          <w:szCs w:val="24"/>
          <w14:textFill>
            <w14:solidFill>
              <w14:schemeClr w14:val="tx1"/>
            </w14:solidFill>
          </w14:textFill>
        </w:rPr>
      </w:pPr>
    </w:p>
    <w:p w14:paraId="16907982">
      <w:pPr>
        <w:widowControl/>
        <w:spacing w:line="240" w:lineRule="auto"/>
        <w:ind w:firstLine="0" w:firstLineChars="0"/>
        <w:jc w:val="center"/>
        <w:outlineLvl w:val="0"/>
        <w:rPr>
          <w:rFonts w:hint="eastAsia" w:ascii="宋体" w:hAnsi="宋体" w:cs="Times New Roman"/>
          <w:b/>
          <w:bCs/>
          <w:snapToGrid w:val="0"/>
          <w:color w:val="000000" w:themeColor="text1"/>
          <w:kern w:val="0"/>
          <w:sz w:val="32"/>
          <w:szCs w:val="32"/>
          <w14:textFill>
            <w14:solidFill>
              <w14:schemeClr w14:val="tx1"/>
            </w14:solidFill>
          </w14:textFill>
        </w:rPr>
      </w:pPr>
      <w:bookmarkStart w:id="9" w:name="_Toc30069"/>
      <w:r>
        <w:rPr>
          <w:rFonts w:hint="eastAsia" w:ascii="宋体" w:hAnsi="宋体" w:cs="Times New Roman"/>
          <w:b/>
          <w:bCs/>
          <w:snapToGrid w:val="0"/>
          <w:color w:val="000000" w:themeColor="text1"/>
          <w:kern w:val="0"/>
          <w:sz w:val="32"/>
          <w:szCs w:val="32"/>
          <w14:textFill>
            <w14:solidFill>
              <w14:schemeClr w14:val="tx1"/>
            </w14:solidFill>
          </w14:textFill>
        </w:rPr>
        <w:t>五、主要生态环境保护措施</w:t>
      </w:r>
      <w:bookmarkEnd w:id="9"/>
    </w:p>
    <w:tbl>
      <w:tblPr>
        <w:tblStyle w:val="21"/>
        <w:tblW w:w="934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8889"/>
      </w:tblGrid>
      <w:tr w14:paraId="24377C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8" w:hRule="atLeast"/>
          <w:jc w:val="center"/>
        </w:trPr>
        <w:tc>
          <w:tcPr>
            <w:tcW w:w="427" w:type="dxa"/>
            <w:tcMar>
              <w:left w:w="28" w:type="dxa"/>
              <w:right w:w="28" w:type="dxa"/>
            </w:tcMar>
            <w:vAlign w:val="center"/>
          </w:tcPr>
          <w:p w14:paraId="706509C0">
            <w:pPr>
              <w:pStyle w:val="40"/>
              <w:rPr>
                <w:rFonts w:cs="Times New Roman"/>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施工期生态环境保护措施</w:t>
            </w:r>
          </w:p>
        </w:tc>
        <w:tc>
          <w:tcPr>
            <w:tcW w:w="8919" w:type="dxa"/>
            <w:vAlign w:val="center"/>
          </w:tcPr>
          <w:p w14:paraId="1C423F10">
            <w:pPr>
              <w:pStyle w:val="38"/>
            </w:pPr>
            <w:r>
              <w:rPr>
                <w:rFonts w:hint="eastAsia"/>
              </w:rPr>
              <w:t>大气环境保护措施：</w:t>
            </w:r>
          </w:p>
          <w:p w14:paraId="791E3142">
            <w:pPr>
              <w:pStyle w:val="38"/>
            </w:pPr>
            <w:r>
              <w:rPr>
                <w:rFonts w:hint="eastAsia"/>
              </w:rPr>
              <w:t>施工期的施工扬尘，主要是施工过程中产生的，施工扬尘影响主要在塔基施工范围本工程应设定施工区域，在施工区域边界设临时围墙或拦挡设施，能起到一定防止扬尘作用；同时避免施工材料、土方等影响周边环境。施工中应注重文明施工管理，定期对施工场地洒水抑尘、及时清理建筑垃圾和余土；塔基开挖后的土石方及建筑材料应定点堆放，采取拦挡、苫盖措施，并对临时弃土、弃渣等易产生扬尘点采取喷水抑尘措施，特别是在大风季节强化管理，要求大风天停止土石方施工，并做必要的遮掩覆盖；粉性材料堆放在料棚内，施工工地定期喷洒，施工建筑设置滞尘网，以减少施工扬尘的产生；运输车辆必须进行苫盖，避免对周围环境造成扬尘污染。</w:t>
            </w:r>
          </w:p>
          <w:p w14:paraId="438AC149">
            <w:pPr>
              <w:pStyle w:val="38"/>
            </w:pPr>
            <w:r>
              <w:rPr>
                <w:rFonts w:hint="eastAsia"/>
              </w:rPr>
              <w:t>水环境保护措施：</w:t>
            </w:r>
          </w:p>
          <w:p w14:paraId="099387C8">
            <w:pPr>
              <w:pStyle w:val="76"/>
              <w:shd w:val="clear" w:color="auto" w:fill="auto"/>
              <w:adjustRightInd/>
              <w:snapToGrid/>
              <w:rPr>
                <w:color w:val="000000"/>
              </w:rPr>
            </w:pPr>
            <w:r>
              <w:rPr>
                <w:rFonts w:hint="eastAsia"/>
                <w:color w:val="000000"/>
              </w:rPr>
              <w:t>施工期废水主要来自于施工过程中结构施工、车辆冲洗等产生少量的施工废水及施工人员产生的生活污水。</w:t>
            </w:r>
          </w:p>
          <w:p w14:paraId="4AAD6F54">
            <w:pPr>
              <w:pStyle w:val="76"/>
              <w:shd w:val="clear" w:color="auto" w:fill="auto"/>
              <w:adjustRightInd/>
              <w:snapToGrid/>
              <w:rPr>
                <w:color w:val="000000"/>
              </w:rPr>
            </w:pPr>
            <w:r>
              <w:rPr>
                <w:rFonts w:hint="eastAsia"/>
                <w:color w:val="000000"/>
              </w:rPr>
              <w:t>施工期水环境保护措施如下：</w:t>
            </w:r>
          </w:p>
          <w:p w14:paraId="349FA743">
            <w:pPr>
              <w:pStyle w:val="76"/>
              <w:shd w:val="clear" w:color="auto" w:fill="auto"/>
              <w:adjustRightInd/>
              <w:snapToGrid/>
              <w:rPr>
                <w:color w:val="000000"/>
              </w:rPr>
            </w:pPr>
            <w:r>
              <w:rPr>
                <w:color w:val="000000"/>
              </w:rPr>
              <w:t>（1）施工单位要做好施工场地周围的拦挡措施，尽量避免雨季开挖作业；</w:t>
            </w:r>
            <w:r>
              <w:rPr>
                <w:rFonts w:hint="eastAsia"/>
                <w:color w:val="000000"/>
              </w:rPr>
              <w:t>施工废水临时防渗沉淀池处理后回用</w:t>
            </w:r>
            <w:r>
              <w:rPr>
                <w:color w:val="000000"/>
              </w:rPr>
              <w:t>。</w:t>
            </w:r>
          </w:p>
          <w:p w14:paraId="373454C7">
            <w:pPr>
              <w:pStyle w:val="76"/>
              <w:shd w:val="clear" w:color="auto" w:fill="auto"/>
              <w:adjustRightInd/>
              <w:snapToGrid/>
              <w:rPr>
                <w:color w:val="000000"/>
              </w:rPr>
            </w:pPr>
            <w:r>
              <w:rPr>
                <w:color w:val="000000"/>
              </w:rPr>
              <w:t>（2）对于混凝土养护所需用水采用罐车运送，养护方法为先用吸水材料覆盖混凝土，再在吸水材料上洒水，根据吸收和蒸发情况，适时补充。在养护过程中，大部分养护水被混凝土吸收或被蒸发，不会因养护水漫流而污染周围环境。</w:t>
            </w:r>
          </w:p>
          <w:p w14:paraId="1E7B380A">
            <w:pPr>
              <w:pStyle w:val="76"/>
              <w:shd w:val="clear" w:color="auto" w:fill="auto"/>
              <w:adjustRightInd/>
              <w:snapToGrid/>
              <w:rPr>
                <w:color w:val="000000"/>
              </w:rPr>
            </w:pPr>
            <w:r>
              <w:rPr>
                <w:color w:val="000000"/>
              </w:rPr>
              <w:t>（3）施工人员</w:t>
            </w:r>
            <w:r>
              <w:rPr>
                <w:rFonts w:hint="eastAsia"/>
                <w:color w:val="000000"/>
              </w:rPr>
              <w:t>现场生活污水排入厂区化粪池，拉运处理后回用</w:t>
            </w:r>
            <w:r>
              <w:rPr>
                <w:color w:val="000000"/>
              </w:rPr>
              <w:t>。</w:t>
            </w:r>
          </w:p>
          <w:p w14:paraId="50A66437">
            <w:pPr>
              <w:pStyle w:val="76"/>
              <w:shd w:val="clear" w:color="auto" w:fill="auto"/>
              <w:adjustRightInd/>
              <w:snapToGrid/>
              <w:rPr>
                <w:color w:val="000000"/>
              </w:rPr>
            </w:pPr>
            <w:r>
              <w:rPr>
                <w:color w:val="000000"/>
              </w:rPr>
              <w:t>（4）落实文明施工原则，不漫排施工废水。</w:t>
            </w:r>
          </w:p>
          <w:p w14:paraId="509AC9CC">
            <w:pPr>
              <w:ind w:firstLine="480"/>
              <w:rPr>
                <w:color w:val="000000" w:themeColor="text1"/>
                <w:szCs w:val="24"/>
                <w14:textFill>
                  <w14:solidFill>
                    <w14:schemeClr w14:val="tx1"/>
                  </w14:solidFill>
                </w14:textFill>
              </w:rPr>
            </w:pPr>
            <w:r>
              <w:rPr>
                <w:rFonts w:cs="Times New Roman"/>
                <w:color w:val="000000"/>
              </w:rPr>
              <w:t>在做好上述环保措施的基础上，施工过程中产生的废污水不会对周围水环境产生不良影响。</w:t>
            </w:r>
          </w:p>
          <w:p w14:paraId="5206B7A4">
            <w:pPr>
              <w:pStyle w:val="38"/>
            </w:pPr>
            <w:r>
              <w:rPr>
                <w:rFonts w:hint="eastAsia"/>
              </w:rPr>
              <w:t>声环境保护措施：</w:t>
            </w:r>
          </w:p>
          <w:p w14:paraId="5D6098EF">
            <w:pPr>
              <w:pStyle w:val="38"/>
              <w:rPr>
                <w:snapToGrid w:val="0"/>
              </w:rPr>
            </w:pPr>
            <w:r>
              <w:rPr>
                <w:rFonts w:hint="eastAsia"/>
                <w:snapToGrid w:val="0"/>
              </w:rPr>
              <w:t>施工期噪声主要为施工设备噪声、运输车辆噪声，大多为不连续性噪声。本项目施工期</w:t>
            </w:r>
          </w:p>
          <w:p w14:paraId="6F5CAC42">
            <w:pPr>
              <w:pStyle w:val="38"/>
              <w:rPr>
                <w:snapToGrid w:val="0"/>
              </w:rPr>
            </w:pPr>
            <w:r>
              <w:rPr>
                <w:rFonts w:hint="eastAsia"/>
                <w:snapToGrid w:val="0"/>
              </w:rPr>
              <w:t>应严格做到以下几点：</w:t>
            </w:r>
          </w:p>
          <w:p w14:paraId="1A2523CE">
            <w:pPr>
              <w:pStyle w:val="38"/>
              <w:rPr>
                <w:snapToGrid w:val="0"/>
              </w:rPr>
            </w:pPr>
            <w:r>
              <w:rPr>
                <w:rFonts w:hint="eastAsia"/>
                <w:snapToGrid w:val="0"/>
              </w:rPr>
              <w:t>（1）施工单位施工前应制定施工现场噪声污染防治管理制度并设置专人负责施工期环境管理。</w:t>
            </w:r>
          </w:p>
          <w:p w14:paraId="30DE8F47">
            <w:pPr>
              <w:pStyle w:val="38"/>
              <w:rPr>
                <w:snapToGrid w:val="0"/>
              </w:rPr>
            </w:pPr>
            <w:r>
              <w:rPr>
                <w:rFonts w:hint="eastAsia"/>
                <w:snapToGrid w:val="0"/>
              </w:rPr>
              <w:t>（2）施工前应当按照规定在施工现场周边设置围挡，施工单位应当对围挡进行定期维护。合理布置施工现场，应尽量避免在施工现场的同一地点安排大量的高噪声设备，造成局部声级过高，高噪声设备尽可能远离噪声敏感建筑物，并对高噪声源可单独设立围挡进行隔声降噪。</w:t>
            </w:r>
          </w:p>
          <w:p w14:paraId="0853A989">
            <w:pPr>
              <w:pStyle w:val="38"/>
              <w:rPr>
                <w:snapToGrid w:val="0"/>
              </w:rPr>
            </w:pPr>
            <w:r>
              <w:rPr>
                <w:rFonts w:hint="eastAsia"/>
                <w:snapToGrid w:val="0"/>
              </w:rPr>
              <w:t>（3）施工设备选型时尽量采用低噪声设备，对动力机械设备定期进行维修和养护，避免设备因部件损坏而加大其工作时的声级</w:t>
            </w:r>
            <w:r>
              <w:rPr>
                <w:snapToGrid w:val="0"/>
              </w:rPr>
              <w:t>。</w:t>
            </w:r>
          </w:p>
          <w:p w14:paraId="334FCC02">
            <w:pPr>
              <w:pStyle w:val="38"/>
              <w:rPr>
                <w:snapToGrid w:val="0"/>
              </w:rPr>
            </w:pPr>
            <w:r>
              <w:rPr>
                <w:rFonts w:hint="eastAsia"/>
                <w:snapToGrid w:val="0"/>
              </w:rPr>
              <w:t>（4）模板、支架拆卸过程中，遵守作业规定，减少碰撞噪音，尽量少用哨子、喇叭、笛等指挥作业，减少人为噪声。</w:t>
            </w:r>
          </w:p>
          <w:p w14:paraId="27C9C64B">
            <w:pPr>
              <w:pStyle w:val="38"/>
              <w:rPr>
                <w:snapToGrid w:val="0"/>
              </w:rPr>
            </w:pPr>
            <w:r>
              <w:rPr>
                <w:rFonts w:hint="eastAsia"/>
                <w:snapToGrid w:val="0"/>
              </w:rPr>
              <w:t>（5）合理安排运输路线，运输车辆经过沿线居民区时，要适当降低车速，避免鸣笛，并减少夜间运输量。</w:t>
            </w:r>
          </w:p>
          <w:p w14:paraId="41C0BC94">
            <w:pPr>
              <w:pStyle w:val="38"/>
              <w:rPr>
                <w:snapToGrid w:val="0"/>
              </w:rPr>
            </w:pPr>
            <w:r>
              <w:rPr>
                <w:rFonts w:hint="eastAsia"/>
                <w:snapToGrid w:val="0"/>
              </w:rPr>
              <w:t>（6）合理安排施工时间，应尽可能避免大量高噪声设备同时施工。高噪声设备的施工阶段应尽量安排在白天，避免在夜间进行产生噪声污染的施工作业，确需在夜间进行施工作业的，应当取得工程所在地建设行政主管部门核发的准予夜间施工的批准文件。进行夜间施工作业的，应当进行公告。</w:t>
            </w:r>
          </w:p>
          <w:p w14:paraId="78E67B26">
            <w:pPr>
              <w:pStyle w:val="38"/>
              <w:rPr>
                <w:color w:val="000000" w:themeColor="text1"/>
                <w14:textFill>
                  <w14:solidFill>
                    <w14:schemeClr w14:val="tx1"/>
                  </w14:solidFill>
                </w14:textFill>
              </w:rPr>
            </w:pPr>
            <w:r>
              <w:rPr>
                <w:rFonts w:hint="eastAsia"/>
                <w:snapToGrid w:val="0"/>
              </w:rPr>
              <w:t>采取上述措施后，施工期噪声经距离衰减和隔声后能够满足 GB12523-2011《建筑施工场界环境噪声排放标准》的要求。</w:t>
            </w:r>
          </w:p>
          <w:p w14:paraId="08853B6A">
            <w:pPr>
              <w:pStyle w:val="38"/>
            </w:pPr>
            <w:r>
              <w:rPr>
                <w:rFonts w:hint="eastAsia"/>
              </w:rPr>
              <w:t>固废处理措施：</w:t>
            </w:r>
          </w:p>
          <w:p w14:paraId="4805CB65">
            <w:pPr>
              <w:pStyle w:val="38"/>
            </w:pPr>
            <w:r>
              <w:rPr>
                <w:rFonts w:hint="eastAsia"/>
              </w:rPr>
              <w:t>施工期固体废物主要为施工垃圾，来源于变电站站址土地平整及结构施工等。</w:t>
            </w:r>
          </w:p>
          <w:p w14:paraId="2EB5548F">
            <w:pPr>
              <w:pStyle w:val="38"/>
            </w:pPr>
            <w:r>
              <w:rPr>
                <w:rFonts w:hint="eastAsia"/>
              </w:rPr>
              <w:t>施工期固体废物环境保护措施如下：</w:t>
            </w:r>
          </w:p>
          <w:p w14:paraId="6CDA542F">
            <w:pPr>
              <w:pStyle w:val="38"/>
            </w:pPr>
            <w:r>
              <w:rPr>
                <w:rFonts w:hint="eastAsia"/>
              </w:rPr>
              <w:t>施工垃圾应设置专门的存放地点，设置围挡并进行遮盖，统一外运，不得随意堆弃。</w:t>
            </w:r>
          </w:p>
          <w:p w14:paraId="77DD7E36">
            <w:pPr>
              <w:pStyle w:val="38"/>
            </w:pPr>
            <w:r>
              <w:rPr>
                <w:rFonts w:hint="eastAsia"/>
              </w:rPr>
              <w:t>经实施以上措施后，施工期产生的固体废物均可得到妥善处置，不会对周围环境产生不利影响。</w:t>
            </w:r>
          </w:p>
          <w:p w14:paraId="7B01D034">
            <w:pPr>
              <w:pStyle w:val="38"/>
            </w:pPr>
            <w:r>
              <w:rPr>
                <w:rFonts w:hint="eastAsia"/>
              </w:rPr>
              <w:t>生态环境保护措施：</w:t>
            </w:r>
          </w:p>
          <w:p w14:paraId="3AA5382D">
            <w:pPr>
              <w:pStyle w:val="38"/>
            </w:pPr>
            <w:r>
              <w:rPr>
                <w:rFonts w:hint="eastAsia"/>
              </w:rPr>
              <w:t>减少施工期生态环境影响的有效措施如下：</w:t>
            </w:r>
          </w:p>
          <w:p w14:paraId="0BCF1AC9">
            <w:pPr>
              <w:pStyle w:val="38"/>
            </w:pPr>
            <w:r>
              <w:rPr>
                <w:rFonts w:hint="eastAsia"/>
              </w:rPr>
              <w:t>（1）施工前充分利用现有地形，优先选择对生态影响小的区域划定为临时占地范围。严格限定施工单位在施工过程中按照设计范围控制开挖量，将施工活动限制在站区范围内。</w:t>
            </w:r>
          </w:p>
          <w:p w14:paraId="087EA634">
            <w:pPr>
              <w:pStyle w:val="38"/>
            </w:pPr>
            <w:r>
              <w:rPr>
                <w:rFonts w:hint="eastAsia"/>
              </w:rPr>
              <w:t>（2）按照设计要求确定征占土地范围，尽量控制地表剥离程度，减小开挖土石方量和植被破坏，土方尽可能回填，减小建筑垃圾量的产生。</w:t>
            </w:r>
          </w:p>
          <w:p w14:paraId="5F3C1F0F">
            <w:pPr>
              <w:pStyle w:val="38"/>
            </w:pPr>
            <w:r>
              <w:rPr>
                <w:rFonts w:hint="eastAsia"/>
              </w:rPr>
              <w:t>（3）清除多余的土方和石料，严禁就地倾倒覆压植被，及时进行场地平整和植被恢复。</w:t>
            </w:r>
          </w:p>
          <w:p w14:paraId="23B8565A">
            <w:pPr>
              <w:pStyle w:val="38"/>
            </w:pPr>
            <w:r>
              <w:rPr>
                <w:rFonts w:hint="eastAsia"/>
              </w:rPr>
              <w:t>（4）合理规划运输路线，尽量利用原有路网，施工道路优先选择利用场地内现有道路，不得乱压乱占；施工作业过程严格控制作业区域，减少不必要的碾压和破坏。</w:t>
            </w:r>
          </w:p>
          <w:p w14:paraId="42DBBB30">
            <w:pPr>
              <w:pStyle w:val="38"/>
            </w:pPr>
            <w:r>
              <w:rPr>
                <w:rFonts w:hint="eastAsia"/>
              </w:rPr>
              <w:t>（5）进一步优化变电站的布置设计，最大限度的减小施工过程中对土地的永久占用，减少对土地的扰动。</w:t>
            </w:r>
          </w:p>
          <w:p w14:paraId="57344FE4">
            <w:pPr>
              <w:pStyle w:val="38"/>
            </w:pPr>
            <w:r>
              <w:rPr>
                <w:rFonts w:hint="eastAsia"/>
              </w:rPr>
              <w:t>（6）变电站施工中应先行修建挡土、排水设施等水土保持措施。加强施工期的施工管理，合理安排施工时序，对开挖后的裸露开挖面用苫布覆盖，避免降雨时水流直接冲刷，施工时开挖的土石方不允许就地倾倒，临时堆土应在土体表面覆上苫布防治水土流失。施工结束后立即整治，及时进行土方回填和土地平整，恢复地表植被，尽量减轻对土地的扰动。</w:t>
            </w:r>
          </w:p>
          <w:p w14:paraId="10BCE00C">
            <w:pPr>
              <w:pStyle w:val="38"/>
            </w:pPr>
            <w:r>
              <w:rPr>
                <w:rFonts w:hint="eastAsia"/>
              </w:rPr>
              <w:t>本项目变电站施工期在采取上述措施后，可将对生态环境的影响降至最低。</w:t>
            </w:r>
          </w:p>
        </w:tc>
      </w:tr>
      <w:tr w14:paraId="095035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9" w:hRule="atLeast"/>
          <w:jc w:val="center"/>
        </w:trPr>
        <w:tc>
          <w:tcPr>
            <w:tcW w:w="427" w:type="dxa"/>
            <w:tcMar>
              <w:left w:w="28" w:type="dxa"/>
              <w:right w:w="28" w:type="dxa"/>
            </w:tcMar>
            <w:vAlign w:val="center"/>
          </w:tcPr>
          <w:p w14:paraId="2B1AF2AC">
            <w:pPr>
              <w:pStyle w:val="40"/>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运营期生态环境保护措施</w:t>
            </w:r>
          </w:p>
        </w:tc>
        <w:tc>
          <w:tcPr>
            <w:tcW w:w="8919" w:type="dxa"/>
            <w:vAlign w:val="center"/>
          </w:tcPr>
          <w:p w14:paraId="110A6B2A">
            <w:pPr>
              <w:adjustRightInd w:val="0"/>
              <w:snapToGrid w:val="0"/>
              <w:ind w:firstLine="480"/>
              <w:rPr>
                <w:rFonts w:cs="Times New Roman"/>
              </w:rPr>
            </w:pPr>
            <w:r>
              <w:rPr>
                <w:rFonts w:hint="eastAsia" w:cs="Times New Roman"/>
              </w:rPr>
              <w:t>1.水环境保护措施</w:t>
            </w:r>
          </w:p>
          <w:p w14:paraId="0818A68E">
            <w:pPr>
              <w:adjustRightInd w:val="0"/>
              <w:snapToGrid w:val="0"/>
              <w:ind w:firstLine="480"/>
              <w:rPr>
                <w:rFonts w:cs="Times New Roman"/>
              </w:rPr>
            </w:pPr>
            <w:r>
              <w:rPr>
                <w:rFonts w:hint="eastAsia" w:cs="Times New Roman"/>
              </w:rPr>
              <w:t>本项目营运期产生的废水为变电站运维人员日常生活产生的生活污水。</w:t>
            </w:r>
          </w:p>
          <w:p w14:paraId="5B933B66">
            <w:pPr>
              <w:ind w:firstLine="480"/>
              <w:rPr>
                <w:rFonts w:cs="Times New Roman"/>
              </w:rPr>
            </w:pPr>
            <w:r>
              <w:rPr>
                <w:rFonts w:hint="eastAsia" w:cs="Times New Roman"/>
              </w:rPr>
              <w:t>本项目生活污水经厂区内化粪池处理后，</w:t>
            </w:r>
            <w:r>
              <w:rPr>
                <w:rFonts w:hint="eastAsia"/>
                <w:color w:val="0000FF"/>
              </w:rPr>
              <w:t>采用吸粪车拉运至苏尼特右旗新蒙新材料有限公司生活污水处理站处理，生活污水处理站为一座地埋式生活污水处理站，处理规模为200m</w:t>
            </w:r>
            <w:r>
              <w:rPr>
                <w:rFonts w:hint="eastAsia"/>
                <w:color w:val="0000FF"/>
                <w:vertAlign w:val="superscript"/>
              </w:rPr>
              <w:t>3</w:t>
            </w:r>
            <w:r>
              <w:rPr>
                <w:rFonts w:hint="eastAsia"/>
                <w:color w:val="0000FF"/>
              </w:rPr>
              <w:t>/d，目前苏尼特右旗新蒙新材料有限公司污水量约65m</w:t>
            </w:r>
            <w:r>
              <w:rPr>
                <w:rFonts w:hint="eastAsia"/>
                <w:color w:val="0000FF"/>
                <w:vertAlign w:val="superscript"/>
              </w:rPr>
              <w:t>3</w:t>
            </w:r>
            <w:r>
              <w:rPr>
                <w:rFonts w:hint="eastAsia"/>
                <w:color w:val="0000FF"/>
              </w:rPr>
              <w:t>/d，有余量处理本项目生活污水。</w:t>
            </w:r>
          </w:p>
          <w:p w14:paraId="7B265439">
            <w:pPr>
              <w:adjustRightInd w:val="0"/>
              <w:snapToGrid w:val="0"/>
              <w:ind w:firstLine="480"/>
              <w:rPr>
                <w:rFonts w:cs="Times New Roman"/>
              </w:rPr>
            </w:pPr>
            <w:r>
              <w:rPr>
                <w:rFonts w:hint="eastAsia" w:cs="Times New Roman"/>
              </w:rPr>
              <w:t>2.声环境保护措施</w:t>
            </w:r>
          </w:p>
          <w:p w14:paraId="2E61E9A3">
            <w:pPr>
              <w:adjustRightInd w:val="0"/>
              <w:snapToGrid w:val="0"/>
              <w:ind w:firstLine="480"/>
              <w:rPr>
                <w:rFonts w:cs="Times New Roman"/>
              </w:rPr>
            </w:pPr>
            <w:r>
              <w:rPr>
                <w:rFonts w:hint="eastAsia" w:cs="Times New Roman"/>
              </w:rPr>
              <w:t>选用低噪声设备，主变基础垫衬减振材料。</w:t>
            </w:r>
          </w:p>
          <w:p w14:paraId="40F24095">
            <w:pPr>
              <w:adjustRightInd w:val="0"/>
              <w:snapToGrid w:val="0"/>
              <w:ind w:firstLine="480"/>
              <w:rPr>
                <w:rFonts w:cs="Times New Roman"/>
              </w:rPr>
            </w:pPr>
            <w:r>
              <w:rPr>
                <w:rFonts w:hint="eastAsia" w:cs="Times New Roman"/>
              </w:rPr>
              <w:t>3.固体废物环境保护措施</w:t>
            </w:r>
          </w:p>
          <w:p w14:paraId="77450146">
            <w:pPr>
              <w:adjustRightInd w:val="0"/>
              <w:snapToGrid w:val="0"/>
              <w:ind w:firstLine="480"/>
              <w:rPr>
                <w:rFonts w:cs="Times New Roman"/>
              </w:rPr>
            </w:pPr>
            <w:r>
              <w:rPr>
                <w:rFonts w:hint="eastAsia" w:cs="Times New Roman"/>
              </w:rPr>
              <w:t>本项目建成后产生的固体废物主要为生活垃圾、废旧蓄电池、变压器事故油。</w:t>
            </w:r>
          </w:p>
          <w:p w14:paraId="094ADE7C">
            <w:pPr>
              <w:adjustRightInd w:val="0"/>
              <w:snapToGrid w:val="0"/>
              <w:ind w:firstLine="480"/>
              <w:rPr>
                <w:rFonts w:cs="Times New Roman"/>
              </w:rPr>
            </w:pPr>
            <w:r>
              <w:rPr>
                <w:rFonts w:hint="eastAsia" w:cs="Times New Roman"/>
              </w:rPr>
              <w:t>变电站生活垃圾由环卫部门负责收集和处置。变电站厂区设有事故油池，事故油由有资质的单位转运处置。</w:t>
            </w:r>
          </w:p>
          <w:p w14:paraId="26D50507">
            <w:pPr>
              <w:adjustRightInd w:val="0"/>
              <w:snapToGrid w:val="0"/>
              <w:ind w:firstLine="480"/>
              <w:rPr>
                <w:rFonts w:cs="Times New Roman"/>
                <w:color w:val="0000FF"/>
              </w:rPr>
            </w:pPr>
            <w:r>
              <w:rPr>
                <w:rFonts w:hint="eastAsia" w:cs="Times New Roman"/>
                <w:color w:val="0000FF"/>
              </w:rPr>
              <w:t>变电站产生的废旧蓄电池约1个/年，危废暂存间暂存后由有资质的生产厂家回收处置。</w:t>
            </w:r>
          </w:p>
          <w:p w14:paraId="72E9D1BD">
            <w:pPr>
              <w:adjustRightInd w:val="0"/>
              <w:snapToGrid w:val="0"/>
              <w:ind w:firstLine="480"/>
              <w:rPr>
                <w:rFonts w:cs="Times New Roman"/>
              </w:rPr>
            </w:pPr>
            <w:r>
              <w:rPr>
                <w:rFonts w:hint="eastAsia" w:cs="Times New Roman"/>
              </w:rPr>
              <w:t>4.电磁环境保护措施</w:t>
            </w:r>
          </w:p>
          <w:p w14:paraId="191EB6DC">
            <w:pPr>
              <w:adjustRightInd w:val="0"/>
              <w:snapToGrid w:val="0"/>
              <w:ind w:firstLine="480"/>
              <w:rPr>
                <w:rFonts w:cs="Times New Roman"/>
              </w:rPr>
            </w:pPr>
            <w:r>
              <w:rPr>
                <w:rFonts w:hint="eastAsia" w:cs="Times New Roman"/>
              </w:rPr>
              <w:t>变电站采用户外形式建设，变电站内电气设备采取集中布置方式，在设计中按有关规程采取一系列的控制过电压、电磁感应场强水平的措施，如保证导体和电气设备之间的电气安全距离，选用具有低辐射、抗干扰能力的设备，设置防雷接地保护装置，选用带屏蔽层的电缆、屏蔽层接地等，将可以有效的降低电磁环境影响。</w:t>
            </w:r>
          </w:p>
          <w:p w14:paraId="0FB0A2DE">
            <w:pPr>
              <w:adjustRightInd w:val="0"/>
              <w:snapToGrid w:val="0"/>
              <w:ind w:firstLine="480"/>
              <w:rPr>
                <w:rFonts w:cs="Times New Roman"/>
              </w:rPr>
            </w:pPr>
            <w:r>
              <w:rPr>
                <w:rFonts w:hint="eastAsia" w:cs="Times New Roman"/>
              </w:rPr>
              <w:t>通过以上环境保护措施，本项目变电站产生的工频电场强度、工频磁感应强度均满足《电磁环境控制限值》（GB 8702-2014）中相关标准控制限值的要求。</w:t>
            </w:r>
          </w:p>
          <w:p w14:paraId="639255F0">
            <w:pPr>
              <w:adjustRightInd w:val="0"/>
              <w:snapToGrid w:val="0"/>
              <w:ind w:firstLine="480"/>
              <w:rPr>
                <w:rFonts w:cs="Times New Roman"/>
              </w:rPr>
            </w:pPr>
            <w:r>
              <w:rPr>
                <w:rFonts w:hint="eastAsia" w:cs="Times New Roman"/>
              </w:rPr>
              <w:t>5.环境风险防范措施</w:t>
            </w:r>
          </w:p>
          <w:p w14:paraId="1386E147">
            <w:pPr>
              <w:adjustRightInd w:val="0"/>
              <w:snapToGrid w:val="0"/>
              <w:ind w:firstLine="480"/>
              <w:rPr>
                <w:rFonts w:cs="Times New Roman"/>
              </w:rPr>
            </w:pPr>
            <w:r>
              <w:rPr>
                <w:rFonts w:hint="eastAsia" w:cs="Times New Roman"/>
              </w:rPr>
              <w:t>工程在运营过程中可能引发的环境风险事故隐患主要是变压器油外泄。</w:t>
            </w:r>
          </w:p>
          <w:p w14:paraId="694F2ADD">
            <w:pPr>
              <w:adjustRightInd w:val="0"/>
              <w:snapToGrid w:val="0"/>
              <w:ind w:firstLine="480"/>
              <w:rPr>
                <w:color w:val="000000" w:themeColor="text1"/>
                <w:szCs w:val="24"/>
                <w14:textFill>
                  <w14:solidFill>
                    <w14:schemeClr w14:val="tx1"/>
                  </w14:solidFill>
                </w14:textFill>
              </w:rPr>
            </w:pPr>
            <w:r>
              <w:rPr>
                <w:rFonts w:hint="eastAsia" w:cs="Times New Roman"/>
              </w:rPr>
              <w:t>变电站内已按相关规程设置有事故油排蓄系统。变电站在事故状态下，会有部分变压器油外漏，通过主变下方的事故油坑经排油管道进入事故油池内暂存，然后由有资质的单位转运处置。事故油坑和排油管道均采用防渗防漏设计，事故油池采用钢筋混凝土结构，并经防渗处理</w:t>
            </w:r>
            <w:r>
              <w:rPr>
                <w:rFonts w:hint="eastAsia"/>
                <w:color w:val="000000"/>
              </w:rPr>
              <w:t>（防渗层为至少 1m 厚黏土层(渗透系数不大于10</w:t>
            </w:r>
            <w:r>
              <w:rPr>
                <w:rFonts w:hint="eastAsia"/>
                <w:color w:val="000000"/>
                <w:vertAlign w:val="superscript"/>
              </w:rPr>
              <w:t>-7</w:t>
            </w:r>
            <w:r>
              <w:rPr>
                <w:rFonts w:hint="eastAsia"/>
                <w:color w:val="000000"/>
              </w:rPr>
              <w:t>cm/s)，或至少2mm厚高密度聚乙烯膜等人工防渗材料(渗透系数不大于10</w:t>
            </w:r>
            <w:r>
              <w:rPr>
                <w:rFonts w:hint="eastAsia"/>
                <w:color w:val="000000"/>
                <w:vertAlign w:val="superscript"/>
              </w:rPr>
              <w:t>-10</w:t>
            </w:r>
            <w:r>
              <w:rPr>
                <w:rFonts w:hint="eastAsia"/>
                <w:color w:val="000000"/>
              </w:rPr>
              <w:t>cm/s)，或其他防渗性能等效的材料。）</w:t>
            </w:r>
            <w:r>
              <w:rPr>
                <w:rFonts w:hint="eastAsia" w:cs="Times New Roman"/>
              </w:rPr>
              <w:t>，油池容积30m</w:t>
            </w:r>
            <w:r>
              <w:rPr>
                <w:rFonts w:hint="eastAsia" w:cs="Times New Roman"/>
                <w:vertAlign w:val="superscript"/>
              </w:rPr>
              <w:t>3</w:t>
            </w:r>
            <w:r>
              <w:rPr>
                <w:rFonts w:hint="eastAsia" w:cs="Times New Roman"/>
              </w:rPr>
              <w:t>，满足《火力发电厂与变电站设计防火规范》（GB 50229-2019）中的要求，可以避免事故油排入外环境，做到环境风险可控</w:t>
            </w:r>
            <w:r>
              <w:rPr>
                <w:rFonts w:cs="Times New Roman"/>
              </w:rPr>
              <w:t>。</w:t>
            </w:r>
          </w:p>
        </w:tc>
      </w:tr>
      <w:tr w14:paraId="6B2394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02" w:hRule="atLeast"/>
          <w:jc w:val="center"/>
        </w:trPr>
        <w:tc>
          <w:tcPr>
            <w:tcW w:w="427" w:type="dxa"/>
            <w:vAlign w:val="center"/>
          </w:tcPr>
          <w:p w14:paraId="170B4ECE">
            <w:pPr>
              <w:pStyle w:val="40"/>
              <w:rPr>
                <w:b/>
                <w:bCs/>
                <w:color w:val="000000" w:themeColor="text1"/>
                <w14:textFill>
                  <w14:solidFill>
                    <w14:schemeClr w14:val="tx1"/>
                  </w14:solidFill>
                </w14:textFill>
              </w:rPr>
            </w:pPr>
            <w:r>
              <w:rPr>
                <w:rFonts w:hint="eastAsia" w:cs="Times New Roman"/>
                <w:b/>
                <w:bCs/>
                <w:color w:val="000000" w:themeColor="text1"/>
                <w:sz w:val="24"/>
                <w:szCs w:val="24"/>
                <w14:textFill>
                  <w14:solidFill>
                    <w14:schemeClr w14:val="tx1"/>
                  </w14:solidFill>
                </w14:textFill>
              </w:rPr>
              <w:t>其他</w:t>
            </w:r>
          </w:p>
        </w:tc>
        <w:tc>
          <w:tcPr>
            <w:tcW w:w="8919" w:type="dxa"/>
            <w:vAlign w:val="center"/>
          </w:tcPr>
          <w:p w14:paraId="51E97EF7">
            <w:pPr>
              <w:pStyle w:val="38"/>
            </w:pPr>
            <w:r>
              <w:rPr>
                <w:rFonts w:hint="eastAsia"/>
              </w:rPr>
              <w:t>1</w:t>
            </w:r>
            <w:r>
              <w:t>.</w:t>
            </w:r>
            <w:r>
              <w:rPr>
                <w:rFonts w:hint="eastAsia"/>
              </w:rPr>
              <w:t>环境管理及监测计划</w:t>
            </w:r>
          </w:p>
          <w:p w14:paraId="3C0B379C">
            <w:pPr>
              <w:pStyle w:val="38"/>
            </w:pPr>
            <w:r>
              <w:rPr>
                <w:rFonts w:hint="eastAsia"/>
              </w:rPr>
              <w:t>（1）环境管理机构</w:t>
            </w:r>
          </w:p>
          <w:p w14:paraId="4DE9B974">
            <w:pPr>
              <w:pStyle w:val="38"/>
            </w:pPr>
            <w:r>
              <w:rPr>
                <w:rFonts w:hint="eastAsia"/>
              </w:rPr>
              <w:t>本工程的环境管理机构是</w:t>
            </w:r>
            <w:r>
              <w:rPr>
                <w:rFonts w:hint="eastAsia"/>
                <w:color w:val="000000" w:themeColor="text1"/>
                <w14:textFill>
                  <w14:solidFill>
                    <w14:schemeClr w14:val="tx1"/>
                  </w14:solidFill>
                </w14:textFill>
              </w:rPr>
              <w:t>内蒙古新蒙新科技有限公司</w:t>
            </w:r>
            <w:r>
              <w:rPr>
                <w:rFonts w:hint="eastAsia"/>
              </w:rPr>
              <w:t>，其主要职责是：</w:t>
            </w:r>
          </w:p>
          <w:p w14:paraId="77DBD1F5">
            <w:pPr>
              <w:pStyle w:val="38"/>
              <w:numPr>
                <w:ilvl w:val="0"/>
                <w:numId w:val="3"/>
              </w:numPr>
            </w:pPr>
            <w:r>
              <w:rPr>
                <w:rFonts w:hint="eastAsia"/>
              </w:rPr>
              <w:t>贯彻执行国家、内蒙古自治区及所在辖区内各项环境保护方针、政策和法规；</w:t>
            </w:r>
          </w:p>
          <w:p w14:paraId="34804831">
            <w:pPr>
              <w:pStyle w:val="38"/>
              <w:numPr>
                <w:ilvl w:val="0"/>
                <w:numId w:val="3"/>
              </w:numPr>
            </w:pPr>
            <w:r>
              <w:rPr>
                <w:rFonts w:hint="eastAsia"/>
              </w:rPr>
              <w:t>制定本工程施工中的环境保护计划，负责工程施工过程中各项环境保护措施实施的监督和日常管理；</w:t>
            </w:r>
          </w:p>
          <w:p w14:paraId="0B834B9C">
            <w:pPr>
              <w:pStyle w:val="38"/>
            </w:pPr>
            <w:r>
              <w:rPr>
                <w:rFonts w:hint="eastAsia"/>
              </w:rPr>
              <w:t>③组织制定污染事故处理计划，并对事故进行调查处理；</w:t>
            </w:r>
          </w:p>
          <w:p w14:paraId="296704B4">
            <w:pPr>
              <w:pStyle w:val="38"/>
            </w:pPr>
            <w:r>
              <w:rPr>
                <w:rFonts w:hint="eastAsia"/>
              </w:rPr>
              <w:t>④收集、整理、推广和实施工程建设中各项环境保护的先进工作经验和技术；</w:t>
            </w:r>
          </w:p>
          <w:p w14:paraId="08DD81F1">
            <w:pPr>
              <w:pStyle w:val="38"/>
            </w:pPr>
            <w:r>
              <w:rPr>
                <w:rFonts w:hint="eastAsia"/>
              </w:rPr>
              <w:t>⑤组织和开展对施工人员进行施工活动中应遵循的环保法规、知识的培训，提高全体员工文明施工的认识；</w:t>
            </w:r>
          </w:p>
          <w:p w14:paraId="02AC9B56">
            <w:pPr>
              <w:pStyle w:val="38"/>
            </w:pPr>
            <w:r>
              <w:rPr>
                <w:rFonts w:hint="eastAsia"/>
              </w:rPr>
              <w:t>⑥负责日常施工活动中的环境监理工作，做好工程用地区域的环境特征调查，对于环境保护目标要作到心中有数；</w:t>
            </w:r>
          </w:p>
          <w:p w14:paraId="55B72B3C">
            <w:pPr>
              <w:pStyle w:val="38"/>
            </w:pPr>
            <w:r>
              <w:rPr>
                <w:rFonts w:hint="eastAsia"/>
              </w:rPr>
              <w:t>⑦做好施工中各种环境问题的收集、记录、建档和处理工作；</w:t>
            </w:r>
          </w:p>
          <w:p w14:paraId="3956E065">
            <w:pPr>
              <w:pStyle w:val="38"/>
            </w:pPr>
            <w:r>
              <w:rPr>
                <w:rFonts w:hint="eastAsia"/>
              </w:rPr>
              <w:t>⑧监督施工单位，使施工工作完成后的生态恢复和补偿，水保设施、环保设施等各项环境保护工程同时完成。</w:t>
            </w:r>
          </w:p>
          <w:p w14:paraId="5D0497A9">
            <w:pPr>
              <w:pStyle w:val="38"/>
            </w:pPr>
            <w:r>
              <w:rPr>
                <w:rFonts w:hint="eastAsia"/>
              </w:rPr>
              <w:t>（2）监测计划</w:t>
            </w:r>
          </w:p>
          <w:p w14:paraId="72DE0C97">
            <w:pPr>
              <w:pStyle w:val="38"/>
            </w:pPr>
            <w:r>
              <w:rPr>
                <w:rFonts w:hint="eastAsia"/>
              </w:rPr>
              <w:t>①制定的目的与原则</w:t>
            </w:r>
          </w:p>
          <w:p w14:paraId="1EB501D5">
            <w:pPr>
              <w:pStyle w:val="38"/>
            </w:pPr>
            <w:r>
              <w:rPr>
                <w:rFonts w:hint="eastAsia"/>
              </w:rPr>
              <w:t>制定环境监测计划是为了监督各项环保措施的落实，为环保措施的实施时间和实施方案提供依据，也为工程竣工后的评估提供依据。制定的原则是根据预测各个时期的主要环境影响及可能超标的地段及超标指标而定。</w:t>
            </w:r>
          </w:p>
          <w:p w14:paraId="41D6EEF3">
            <w:pPr>
              <w:pStyle w:val="38"/>
            </w:pPr>
            <w:r>
              <w:rPr>
                <w:rFonts w:hint="eastAsia"/>
              </w:rPr>
              <w:t>②监测机构</w:t>
            </w:r>
          </w:p>
          <w:p w14:paraId="5AC3F383">
            <w:pPr>
              <w:pStyle w:val="38"/>
            </w:pPr>
            <w:r>
              <w:rPr>
                <w:rFonts w:hint="eastAsia"/>
              </w:rPr>
              <w:t>本次环境监测计划为营运期。营运期的环境监测由业主委托有资质的单位按已制定的计划监测。为保证监测计划的执行，建设单位应在施工前与监测单位签订施工期的环境监测合同，在工程交付使用前与监测单位签订营运期的环境监测合同。</w:t>
            </w:r>
          </w:p>
          <w:p w14:paraId="0D756A80">
            <w:pPr>
              <w:pStyle w:val="38"/>
              <w:numPr>
                <w:ilvl w:val="0"/>
                <w:numId w:val="3"/>
              </w:numPr>
            </w:pPr>
            <w:r>
              <w:rPr>
                <w:rFonts w:hint="eastAsia"/>
              </w:rPr>
              <w:t>监测计划</w:t>
            </w:r>
          </w:p>
          <w:p w14:paraId="7C3C4514">
            <w:pPr>
              <w:pStyle w:val="38"/>
            </w:pPr>
            <w:r>
              <w:rPr>
                <w:rFonts w:hint="eastAsia"/>
              </w:rPr>
              <w:t>由</w:t>
            </w:r>
            <w:r>
              <w:rPr>
                <w:rFonts w:hint="eastAsia"/>
                <w:color w:val="000000" w:themeColor="text1"/>
                <w14:textFill>
                  <w14:solidFill>
                    <w14:schemeClr w14:val="tx1"/>
                  </w14:solidFill>
                </w14:textFill>
              </w:rPr>
              <w:t>内蒙古新蒙新科技有限公司</w:t>
            </w:r>
            <w:r>
              <w:rPr>
                <w:rFonts w:hint="eastAsia"/>
              </w:rPr>
              <w:t>委托有相关资质的监测单位进行监测。监测计划见表</w:t>
            </w:r>
            <w:r>
              <w:t>5.1</w:t>
            </w:r>
            <w:r>
              <w:rPr>
                <w:rFonts w:hint="eastAsia"/>
              </w:rPr>
              <w:t>。</w:t>
            </w:r>
          </w:p>
          <w:p w14:paraId="308F7445">
            <w:pPr>
              <w:pStyle w:val="42"/>
              <w:rPr>
                <w:rFonts w:hint="eastAsia"/>
                <w:color w:val="0000FF"/>
              </w:rPr>
            </w:pPr>
            <w:r>
              <w:rPr>
                <w:rFonts w:hint="eastAsia"/>
                <w:color w:val="0000FF"/>
              </w:rPr>
              <w:t>表</w:t>
            </w:r>
            <w:r>
              <w:rPr>
                <w:color w:val="0000FF"/>
              </w:rPr>
              <w:t xml:space="preserve">5.1  </w:t>
            </w:r>
            <w:r>
              <w:rPr>
                <w:rFonts w:hint="eastAsia"/>
                <w:color w:val="0000FF"/>
              </w:rPr>
              <w:t>营运期环境监测计划</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6"/>
              <w:gridCol w:w="2355"/>
              <w:gridCol w:w="2166"/>
              <w:gridCol w:w="2166"/>
            </w:tblGrid>
            <w:tr w14:paraId="53771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pct"/>
                  <w:vAlign w:val="center"/>
                </w:tcPr>
                <w:p w14:paraId="3B07177E">
                  <w:pPr>
                    <w:pStyle w:val="40"/>
                    <w:rPr>
                      <w:color w:val="0000FF"/>
                    </w:rPr>
                  </w:pPr>
                  <w:r>
                    <w:rPr>
                      <w:rFonts w:hint="eastAsia"/>
                      <w:color w:val="0000FF"/>
                    </w:rPr>
                    <w:t>监测项目</w:t>
                  </w:r>
                </w:p>
              </w:tc>
              <w:tc>
                <w:tcPr>
                  <w:tcW w:w="1359" w:type="pct"/>
                  <w:vAlign w:val="center"/>
                </w:tcPr>
                <w:p w14:paraId="584C1C70">
                  <w:pPr>
                    <w:pStyle w:val="40"/>
                    <w:rPr>
                      <w:color w:val="0000FF"/>
                    </w:rPr>
                  </w:pPr>
                  <w:r>
                    <w:rPr>
                      <w:rFonts w:hint="eastAsia"/>
                      <w:color w:val="0000FF"/>
                    </w:rPr>
                    <w:t>监测点位</w:t>
                  </w:r>
                </w:p>
              </w:tc>
              <w:tc>
                <w:tcPr>
                  <w:tcW w:w="1250" w:type="pct"/>
                  <w:vAlign w:val="center"/>
                </w:tcPr>
                <w:p w14:paraId="011E95E3">
                  <w:pPr>
                    <w:pStyle w:val="40"/>
                    <w:rPr>
                      <w:color w:val="0000FF"/>
                    </w:rPr>
                  </w:pPr>
                  <w:r>
                    <w:rPr>
                      <w:rFonts w:hint="eastAsia"/>
                      <w:color w:val="0000FF"/>
                    </w:rPr>
                    <w:t>监测方法</w:t>
                  </w:r>
                </w:p>
              </w:tc>
              <w:tc>
                <w:tcPr>
                  <w:tcW w:w="1250" w:type="pct"/>
                  <w:vAlign w:val="center"/>
                </w:tcPr>
                <w:p w14:paraId="268921A7">
                  <w:pPr>
                    <w:pStyle w:val="40"/>
                    <w:rPr>
                      <w:color w:val="0000FF"/>
                    </w:rPr>
                  </w:pPr>
                  <w:r>
                    <w:rPr>
                      <w:rFonts w:hint="eastAsia"/>
                      <w:color w:val="0000FF"/>
                    </w:rPr>
                    <w:t>监测频次</w:t>
                  </w:r>
                </w:p>
              </w:tc>
            </w:tr>
            <w:tr w14:paraId="294BB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1140" w:type="pct"/>
                  <w:vAlign w:val="center"/>
                </w:tcPr>
                <w:p w14:paraId="257DC983">
                  <w:pPr>
                    <w:pStyle w:val="40"/>
                    <w:rPr>
                      <w:color w:val="0000FF"/>
                    </w:rPr>
                  </w:pPr>
                  <w:r>
                    <w:rPr>
                      <w:rFonts w:hint="eastAsia"/>
                      <w:color w:val="0000FF"/>
                    </w:rPr>
                    <w:t>噪声（L</w:t>
                  </w:r>
                  <w:r>
                    <w:rPr>
                      <w:color w:val="0000FF"/>
                    </w:rPr>
                    <w:t>a</w:t>
                  </w:r>
                  <w:r>
                    <w:rPr>
                      <w:rFonts w:hint="eastAsia"/>
                      <w:color w:val="0000FF"/>
                    </w:rPr>
                    <w:t>eq）</w:t>
                  </w:r>
                </w:p>
              </w:tc>
              <w:tc>
                <w:tcPr>
                  <w:tcW w:w="1359" w:type="pct"/>
                  <w:vAlign w:val="center"/>
                </w:tcPr>
                <w:p w14:paraId="43F41DC6">
                  <w:pPr>
                    <w:pStyle w:val="40"/>
                    <w:rPr>
                      <w:color w:val="0000FF"/>
                    </w:rPr>
                  </w:pPr>
                  <w:r>
                    <w:rPr>
                      <w:rFonts w:hint="eastAsia"/>
                      <w:color w:val="0000FF"/>
                    </w:rPr>
                    <w:t>东、南、西、北站界外 1m 各布置一个监测点，地面 1.2m 高处</w:t>
                  </w:r>
                </w:p>
              </w:tc>
              <w:tc>
                <w:tcPr>
                  <w:tcW w:w="1250" w:type="pct"/>
                  <w:vAlign w:val="center"/>
                </w:tcPr>
                <w:p w14:paraId="47A1469F">
                  <w:pPr>
                    <w:pStyle w:val="40"/>
                    <w:rPr>
                      <w:color w:val="0000FF"/>
                    </w:rPr>
                  </w:pPr>
                  <w:r>
                    <w:rPr>
                      <w:rFonts w:hint="eastAsia"/>
                      <w:color w:val="0000FF"/>
                    </w:rPr>
                    <w:t>按《工业企业厂界环境噪声排放标准》</w:t>
                  </w:r>
                </w:p>
                <w:p w14:paraId="03DB32EB">
                  <w:pPr>
                    <w:pStyle w:val="40"/>
                    <w:rPr>
                      <w:color w:val="0000FF"/>
                    </w:rPr>
                  </w:pPr>
                  <w:r>
                    <w:rPr>
                      <w:rFonts w:hint="eastAsia"/>
                      <w:color w:val="0000FF"/>
                    </w:rPr>
                    <w:t>GB12348-2008和《声环境质量标准》GB3096-2008)</w:t>
                  </w:r>
                </w:p>
                <w:p w14:paraId="6DB4ED8B">
                  <w:pPr>
                    <w:pStyle w:val="40"/>
                    <w:rPr>
                      <w:color w:val="0000FF"/>
                    </w:rPr>
                  </w:pPr>
                  <w:r>
                    <w:rPr>
                      <w:rFonts w:hint="eastAsia"/>
                      <w:color w:val="0000FF"/>
                    </w:rPr>
                    <w:t>中的检测方法进行</w:t>
                  </w:r>
                </w:p>
              </w:tc>
              <w:tc>
                <w:tcPr>
                  <w:tcW w:w="1250" w:type="pct"/>
                  <w:vMerge w:val="restart"/>
                  <w:vAlign w:val="center"/>
                </w:tcPr>
                <w:p w14:paraId="67B3063F">
                  <w:pPr>
                    <w:pStyle w:val="40"/>
                    <w:rPr>
                      <w:color w:val="0000FF"/>
                    </w:rPr>
                  </w:pPr>
                  <w:r>
                    <w:rPr>
                      <w:rFonts w:hint="eastAsia"/>
                      <w:color w:val="0000FF"/>
                    </w:rPr>
                    <w:t>结合工程竣工环境保护验收，正式运行后进行一次监测，并针对公众投诉进行必要的监测；主要声源设备大修前后，应对变电工程厂界排放噪声进行监测，监测结果对外公示。</w:t>
                  </w:r>
                </w:p>
              </w:tc>
            </w:tr>
            <w:tr w14:paraId="2DE00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1140" w:type="pct"/>
                  <w:vAlign w:val="center"/>
                </w:tcPr>
                <w:p w14:paraId="7BFB03EF">
                  <w:pPr>
                    <w:pStyle w:val="40"/>
                    <w:rPr>
                      <w:color w:val="0000FF"/>
                    </w:rPr>
                  </w:pPr>
                  <w:r>
                    <w:rPr>
                      <w:rFonts w:hint="eastAsia"/>
                      <w:color w:val="0000FF"/>
                    </w:rPr>
                    <w:t>工频电场、工频</w:t>
                  </w:r>
                </w:p>
                <w:p w14:paraId="1022C553">
                  <w:pPr>
                    <w:pStyle w:val="40"/>
                    <w:rPr>
                      <w:color w:val="0000FF"/>
                    </w:rPr>
                  </w:pPr>
                  <w:r>
                    <w:rPr>
                      <w:rFonts w:hint="eastAsia"/>
                      <w:color w:val="0000FF"/>
                    </w:rPr>
                    <w:t>磁场</w:t>
                  </w:r>
                </w:p>
              </w:tc>
              <w:tc>
                <w:tcPr>
                  <w:tcW w:w="1359" w:type="pct"/>
                  <w:vAlign w:val="center"/>
                </w:tcPr>
                <w:p w14:paraId="502CA73D">
                  <w:pPr>
                    <w:pStyle w:val="40"/>
                    <w:rPr>
                      <w:color w:val="0000FF"/>
                    </w:rPr>
                  </w:pPr>
                  <w:r>
                    <w:rPr>
                      <w:rFonts w:hint="eastAsia"/>
                      <w:color w:val="0000FF"/>
                    </w:rPr>
                    <w:t>东、南、西、北站界外 5m 各布置一个监测点，地面 1.5m 高处</w:t>
                  </w:r>
                </w:p>
              </w:tc>
              <w:tc>
                <w:tcPr>
                  <w:tcW w:w="1250" w:type="pct"/>
                  <w:vAlign w:val="center"/>
                </w:tcPr>
                <w:p w14:paraId="0C4484C4">
                  <w:pPr>
                    <w:pStyle w:val="40"/>
                    <w:rPr>
                      <w:color w:val="0000FF"/>
                    </w:rPr>
                  </w:pPr>
                  <w:r>
                    <w:rPr>
                      <w:rFonts w:hint="eastAsia"/>
                      <w:color w:val="0000FF"/>
                    </w:rPr>
                    <w:t>按照《交流输变电工程电磁环境监测方法(试行)》(HJ681-2013)中的方法进行</w:t>
                  </w:r>
                </w:p>
              </w:tc>
              <w:tc>
                <w:tcPr>
                  <w:tcW w:w="1250" w:type="pct"/>
                  <w:vMerge w:val="continue"/>
                  <w:vAlign w:val="center"/>
                </w:tcPr>
                <w:p w14:paraId="0A25A436">
                  <w:pPr>
                    <w:pStyle w:val="40"/>
                    <w:rPr>
                      <w:color w:val="0000FF"/>
                    </w:rPr>
                  </w:pPr>
                </w:p>
              </w:tc>
            </w:tr>
          </w:tbl>
          <w:p w14:paraId="226A0CB6">
            <w:pPr>
              <w:pStyle w:val="38"/>
            </w:pPr>
            <w:r>
              <w:rPr>
                <w:rFonts w:hint="eastAsia"/>
              </w:rPr>
              <w:t>2</w:t>
            </w:r>
            <w:r>
              <w:t>.</w:t>
            </w:r>
            <w:r>
              <w:rPr>
                <w:rFonts w:hint="eastAsia"/>
              </w:rPr>
              <w:t>污染防治及生态恢复“三同时”验收清单</w:t>
            </w:r>
          </w:p>
          <w:p w14:paraId="585E0B44">
            <w:pPr>
              <w:autoSpaceDE w:val="0"/>
              <w:autoSpaceDN w:val="0"/>
              <w:spacing w:after="84" w:afterLines="35" w:line="490" w:lineRule="exact"/>
              <w:ind w:firstLine="480"/>
              <w:rPr>
                <w:rFonts w:cs="Times New Roman"/>
                <w:color w:val="000000" w:themeColor="text1"/>
                <w:szCs w:val="24"/>
                <w14:textFill>
                  <w14:solidFill>
                    <w14:schemeClr w14:val="tx1"/>
                  </w14:solidFill>
                </w14:textFill>
              </w:rPr>
            </w:pPr>
            <w:r>
              <w:rPr>
                <w:rFonts w:hint="eastAsia" w:cs="Times New Roman"/>
                <w:color w:val="000000" w:themeColor="text1"/>
                <w:szCs w:val="24"/>
                <w14:textFill>
                  <w14:solidFill>
                    <w14:schemeClr w14:val="tx1"/>
                  </w14:solidFill>
                </w14:textFill>
              </w:rPr>
              <w:t>本项目竣工后，建设单位应及时开展建设项目竣工环境保护验收工作。严格按环境影响报告表的要求认真落实“三同时”，明确职责，专人管理，切实搞好环境管理和监测工作，保证环保设施的正常运行，项目竣工环境保护验收通过后，建设单位方可正式投产运行。本项目拟建项目环保竣工验收内容及要求见下表。</w:t>
            </w:r>
          </w:p>
          <w:p w14:paraId="26A569A2">
            <w:pPr>
              <w:pStyle w:val="42"/>
              <w:rPr>
                <w:rFonts w:hint="eastAsia"/>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.2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污染防治及生态恢复“三同时”验收清单</w:t>
            </w:r>
          </w:p>
          <w:tbl>
            <w:tblPr>
              <w:tblStyle w:val="21"/>
              <w:tblW w:w="86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9"/>
              <w:gridCol w:w="1162"/>
              <w:gridCol w:w="763"/>
              <w:gridCol w:w="2341"/>
              <w:gridCol w:w="2002"/>
              <w:gridCol w:w="1663"/>
            </w:tblGrid>
            <w:tr w14:paraId="3DAB9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5" w:type="dxa"/>
                  <w:vAlign w:val="center"/>
                </w:tcPr>
                <w:p w14:paraId="1D79CB2A">
                  <w:pPr>
                    <w:pStyle w:val="40"/>
                    <w:rPr>
                      <w:color w:val="auto"/>
                    </w:rPr>
                  </w:pPr>
                  <w:r>
                    <w:rPr>
                      <w:rFonts w:hint="eastAsia"/>
                      <w:color w:val="auto"/>
                    </w:rPr>
                    <w:t>类别</w:t>
                  </w:r>
                </w:p>
              </w:tc>
              <w:tc>
                <w:tcPr>
                  <w:tcW w:w="1323" w:type="dxa"/>
                  <w:vAlign w:val="center"/>
                </w:tcPr>
                <w:p w14:paraId="42DFA6ED">
                  <w:pPr>
                    <w:pStyle w:val="40"/>
                    <w:rPr>
                      <w:color w:val="auto"/>
                    </w:rPr>
                  </w:pPr>
                  <w:r>
                    <w:rPr>
                      <w:rFonts w:hint="eastAsia"/>
                      <w:color w:val="auto"/>
                    </w:rPr>
                    <w:t>污染源</w:t>
                  </w:r>
                </w:p>
              </w:tc>
              <w:tc>
                <w:tcPr>
                  <w:tcW w:w="791" w:type="dxa"/>
                  <w:vAlign w:val="center"/>
                </w:tcPr>
                <w:p w14:paraId="496B6E13">
                  <w:pPr>
                    <w:pStyle w:val="40"/>
                    <w:rPr>
                      <w:color w:val="auto"/>
                    </w:rPr>
                  </w:pPr>
                  <w:r>
                    <w:rPr>
                      <w:rFonts w:hint="eastAsia"/>
                      <w:color w:val="auto"/>
                    </w:rPr>
                    <w:t>监测点位</w:t>
                  </w:r>
                </w:p>
              </w:tc>
              <w:tc>
                <w:tcPr>
                  <w:tcW w:w="2663" w:type="dxa"/>
                  <w:vAlign w:val="center"/>
                </w:tcPr>
                <w:p w14:paraId="58BACC0A">
                  <w:pPr>
                    <w:pStyle w:val="40"/>
                    <w:rPr>
                      <w:color w:val="auto"/>
                    </w:rPr>
                  </w:pPr>
                  <w:r>
                    <w:rPr>
                      <w:rFonts w:hint="eastAsia"/>
                      <w:color w:val="auto"/>
                    </w:rPr>
                    <w:t>治理措施</w:t>
                  </w:r>
                </w:p>
              </w:tc>
              <w:tc>
                <w:tcPr>
                  <w:tcW w:w="2300" w:type="dxa"/>
                  <w:vAlign w:val="center"/>
                </w:tcPr>
                <w:p w14:paraId="3E2EE372">
                  <w:pPr>
                    <w:pStyle w:val="40"/>
                    <w:rPr>
                      <w:color w:val="auto"/>
                    </w:rPr>
                  </w:pPr>
                  <w:r>
                    <w:rPr>
                      <w:rFonts w:hint="eastAsia"/>
                      <w:color w:val="auto"/>
                    </w:rPr>
                    <w:t>监测项目</w:t>
                  </w:r>
                </w:p>
              </w:tc>
              <w:tc>
                <w:tcPr>
                  <w:tcW w:w="788" w:type="dxa"/>
                  <w:vAlign w:val="center"/>
                </w:tcPr>
                <w:p w14:paraId="2A6D450D">
                  <w:pPr>
                    <w:pStyle w:val="40"/>
                    <w:rPr>
                      <w:color w:val="auto"/>
                    </w:rPr>
                  </w:pPr>
                  <w:r>
                    <w:rPr>
                      <w:color w:val="auto"/>
                    </w:rPr>
                    <w:t>验收标准</w:t>
                  </w:r>
                </w:p>
              </w:tc>
            </w:tr>
            <w:tr w14:paraId="1518F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5" w:type="dxa"/>
                  <w:vAlign w:val="center"/>
                </w:tcPr>
                <w:p w14:paraId="09FADA00">
                  <w:pPr>
                    <w:pStyle w:val="40"/>
                    <w:rPr>
                      <w:color w:val="auto"/>
                    </w:rPr>
                  </w:pPr>
                  <w:r>
                    <w:rPr>
                      <w:rFonts w:hint="eastAsia"/>
                      <w:color w:val="auto"/>
                    </w:rPr>
                    <w:t>电磁环境影响</w:t>
                  </w:r>
                </w:p>
              </w:tc>
              <w:tc>
                <w:tcPr>
                  <w:tcW w:w="1323" w:type="dxa"/>
                  <w:vAlign w:val="center"/>
                </w:tcPr>
                <w:p w14:paraId="33E6A9D1">
                  <w:pPr>
                    <w:pStyle w:val="40"/>
                    <w:rPr>
                      <w:color w:val="auto"/>
                    </w:rPr>
                  </w:pPr>
                  <w:r>
                    <w:rPr>
                      <w:rFonts w:hint="eastAsia"/>
                      <w:color w:val="auto"/>
                    </w:rPr>
                    <w:t>变电站</w:t>
                  </w:r>
                </w:p>
              </w:tc>
              <w:tc>
                <w:tcPr>
                  <w:tcW w:w="791" w:type="dxa"/>
                  <w:vAlign w:val="center"/>
                </w:tcPr>
                <w:p w14:paraId="7F98DF17">
                  <w:pPr>
                    <w:pStyle w:val="40"/>
                    <w:rPr>
                      <w:color w:val="auto"/>
                    </w:rPr>
                  </w:pPr>
                  <w:r>
                    <w:rPr>
                      <w:rFonts w:hint="eastAsia"/>
                      <w:color w:val="auto"/>
                    </w:rPr>
                    <w:t>站址四周</w:t>
                  </w:r>
                </w:p>
              </w:tc>
              <w:tc>
                <w:tcPr>
                  <w:tcW w:w="2663" w:type="dxa"/>
                  <w:vAlign w:val="center"/>
                </w:tcPr>
                <w:p w14:paraId="2DC02F73">
                  <w:pPr>
                    <w:pStyle w:val="40"/>
                    <w:rPr>
                      <w:color w:val="auto"/>
                    </w:rPr>
                  </w:pPr>
                  <w:r>
                    <w:rPr>
                      <w:rFonts w:hint="eastAsia"/>
                      <w:color w:val="auto"/>
                    </w:rPr>
                    <w:t>电气设备集中布置，在设计中应按有关规程采取一系列的控制过电压、防治电磁感应场强水平的措施等</w:t>
                  </w:r>
                </w:p>
              </w:tc>
              <w:tc>
                <w:tcPr>
                  <w:tcW w:w="2300" w:type="dxa"/>
                  <w:vAlign w:val="center"/>
                </w:tcPr>
                <w:p w14:paraId="5F0BF3AC">
                  <w:pPr>
                    <w:pStyle w:val="40"/>
                    <w:rPr>
                      <w:color w:val="auto"/>
                    </w:rPr>
                  </w:pPr>
                  <w:r>
                    <w:rPr>
                      <w:rFonts w:hint="eastAsia"/>
                      <w:color w:val="auto"/>
                    </w:rPr>
                    <w:t>工频电场强度、工频磁感应强度</w:t>
                  </w:r>
                </w:p>
              </w:tc>
              <w:tc>
                <w:tcPr>
                  <w:tcW w:w="788" w:type="dxa"/>
                  <w:vAlign w:val="center"/>
                </w:tcPr>
                <w:p w14:paraId="371D57E2">
                  <w:pPr>
                    <w:pStyle w:val="40"/>
                    <w:jc w:val="both"/>
                    <w:rPr>
                      <w:color w:val="auto"/>
                    </w:rPr>
                  </w:pPr>
                  <w:r>
                    <w:rPr>
                      <w:rFonts w:hint="eastAsia"/>
                      <w:color w:val="auto"/>
                    </w:rPr>
                    <w:t>工频电场、工频磁感应强度执行《电磁环境控制限值》（GB 8702-2014）中电场强度 4000V/m、磁感应强度 100µT 的公众曝露控制限值的要求。</w:t>
                  </w:r>
                </w:p>
              </w:tc>
            </w:tr>
            <w:tr w14:paraId="66192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5" w:type="dxa"/>
                  <w:vAlign w:val="center"/>
                </w:tcPr>
                <w:p w14:paraId="0E0D8528">
                  <w:pPr>
                    <w:pStyle w:val="40"/>
                    <w:rPr>
                      <w:color w:val="auto"/>
                    </w:rPr>
                  </w:pPr>
                  <w:r>
                    <w:rPr>
                      <w:rFonts w:hint="eastAsia"/>
                      <w:color w:val="auto"/>
                    </w:rPr>
                    <w:t>噪声</w:t>
                  </w:r>
                </w:p>
              </w:tc>
              <w:tc>
                <w:tcPr>
                  <w:tcW w:w="1323" w:type="dxa"/>
                  <w:vAlign w:val="center"/>
                </w:tcPr>
                <w:p w14:paraId="2AD2D472">
                  <w:pPr>
                    <w:pStyle w:val="40"/>
                    <w:rPr>
                      <w:color w:val="auto"/>
                    </w:rPr>
                  </w:pPr>
                  <w:r>
                    <w:rPr>
                      <w:rFonts w:hint="eastAsia"/>
                      <w:color w:val="auto"/>
                    </w:rPr>
                    <w:t>主变</w:t>
                  </w:r>
                </w:p>
              </w:tc>
              <w:tc>
                <w:tcPr>
                  <w:tcW w:w="791" w:type="dxa"/>
                  <w:vAlign w:val="center"/>
                </w:tcPr>
                <w:p w14:paraId="2E4D54E6">
                  <w:pPr>
                    <w:pStyle w:val="40"/>
                    <w:rPr>
                      <w:color w:val="auto"/>
                    </w:rPr>
                  </w:pPr>
                  <w:r>
                    <w:rPr>
                      <w:rFonts w:hint="eastAsia"/>
                      <w:color w:val="auto"/>
                    </w:rPr>
                    <w:t>站址四周</w:t>
                  </w:r>
                </w:p>
              </w:tc>
              <w:tc>
                <w:tcPr>
                  <w:tcW w:w="2663" w:type="dxa"/>
                  <w:vAlign w:val="center"/>
                </w:tcPr>
                <w:p w14:paraId="436DDDAB">
                  <w:pPr>
                    <w:pStyle w:val="40"/>
                    <w:rPr>
                      <w:color w:val="auto"/>
                    </w:rPr>
                  </w:pPr>
                  <w:r>
                    <w:rPr>
                      <w:rFonts w:hint="eastAsia"/>
                      <w:color w:val="auto"/>
                    </w:rPr>
                    <w:t>所有产噪设备均应选用低噪声设备，基础垫衬减振材料，风机在进出风口采用消声、吸声处理。</w:t>
                  </w:r>
                </w:p>
              </w:tc>
              <w:tc>
                <w:tcPr>
                  <w:tcW w:w="2300" w:type="dxa"/>
                  <w:vAlign w:val="center"/>
                </w:tcPr>
                <w:p w14:paraId="1F741238">
                  <w:pPr>
                    <w:pStyle w:val="40"/>
                    <w:rPr>
                      <w:color w:val="auto"/>
                    </w:rPr>
                  </w:pPr>
                  <w:r>
                    <w:rPr>
                      <w:rFonts w:hint="eastAsia"/>
                      <w:color w:val="auto"/>
                    </w:rPr>
                    <w:t>等效连续A 声级</w:t>
                  </w:r>
                </w:p>
              </w:tc>
              <w:tc>
                <w:tcPr>
                  <w:tcW w:w="788" w:type="dxa"/>
                  <w:vAlign w:val="center"/>
                </w:tcPr>
                <w:p w14:paraId="39BF9FF7">
                  <w:pPr>
                    <w:pStyle w:val="40"/>
                    <w:jc w:val="both"/>
                    <w:rPr>
                      <w:color w:val="auto"/>
                    </w:rPr>
                  </w:pPr>
                  <w:r>
                    <w:rPr>
                      <w:rFonts w:hint="eastAsia"/>
                      <w:color w:val="auto"/>
                    </w:rPr>
                    <w:t>变电站站界执行《工业企业厂界环境噪声排放标准》(GB12348-2008) 2 类标准限值的要求</w:t>
                  </w:r>
                </w:p>
              </w:tc>
            </w:tr>
            <w:tr w14:paraId="7A97E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5" w:type="dxa"/>
                  <w:vAlign w:val="center"/>
                </w:tcPr>
                <w:p w14:paraId="588B609C">
                  <w:pPr>
                    <w:pStyle w:val="40"/>
                    <w:rPr>
                      <w:color w:val="auto"/>
                    </w:rPr>
                  </w:pPr>
                  <w:r>
                    <w:rPr>
                      <w:rFonts w:hint="eastAsia"/>
                      <w:color w:val="auto"/>
                    </w:rPr>
                    <w:t>废水</w:t>
                  </w:r>
                </w:p>
              </w:tc>
              <w:tc>
                <w:tcPr>
                  <w:tcW w:w="1323" w:type="dxa"/>
                  <w:vAlign w:val="center"/>
                </w:tcPr>
                <w:p w14:paraId="27A7AC7B">
                  <w:pPr>
                    <w:pStyle w:val="40"/>
                    <w:rPr>
                      <w:color w:val="auto"/>
                    </w:rPr>
                  </w:pPr>
                  <w:r>
                    <w:rPr>
                      <w:rFonts w:hint="eastAsia"/>
                      <w:color w:val="auto"/>
                    </w:rPr>
                    <w:t>生活污水</w:t>
                  </w:r>
                </w:p>
              </w:tc>
              <w:tc>
                <w:tcPr>
                  <w:tcW w:w="791" w:type="dxa"/>
                  <w:vAlign w:val="center"/>
                </w:tcPr>
                <w:p w14:paraId="280CA31D">
                  <w:pPr>
                    <w:pStyle w:val="40"/>
                    <w:rPr>
                      <w:color w:val="auto"/>
                    </w:rPr>
                  </w:pPr>
                  <w:r>
                    <w:rPr>
                      <w:rFonts w:hint="eastAsia"/>
                      <w:color w:val="auto"/>
                    </w:rPr>
                    <w:t>/</w:t>
                  </w:r>
                </w:p>
              </w:tc>
              <w:tc>
                <w:tcPr>
                  <w:tcW w:w="2663" w:type="dxa"/>
                  <w:vAlign w:val="center"/>
                </w:tcPr>
                <w:p w14:paraId="22B9D016">
                  <w:pPr>
                    <w:pStyle w:val="40"/>
                    <w:rPr>
                      <w:color w:val="auto"/>
                    </w:rPr>
                  </w:pPr>
                  <w:r>
                    <w:rPr>
                      <w:rFonts w:hint="eastAsia"/>
                      <w:color w:val="auto"/>
                    </w:rPr>
                    <w:t>现有污水处理设施</w:t>
                  </w:r>
                </w:p>
              </w:tc>
              <w:tc>
                <w:tcPr>
                  <w:tcW w:w="2300" w:type="dxa"/>
                  <w:vAlign w:val="center"/>
                </w:tcPr>
                <w:p w14:paraId="21F8577E">
                  <w:pPr>
                    <w:pStyle w:val="40"/>
                    <w:rPr>
                      <w:color w:val="auto"/>
                    </w:rPr>
                  </w:pPr>
                  <w:r>
                    <w:rPr>
                      <w:rFonts w:hint="eastAsia"/>
                      <w:color w:val="auto"/>
                    </w:rPr>
                    <w:t>/</w:t>
                  </w:r>
                </w:p>
              </w:tc>
              <w:tc>
                <w:tcPr>
                  <w:tcW w:w="788" w:type="dxa"/>
                  <w:vAlign w:val="center"/>
                </w:tcPr>
                <w:p w14:paraId="0CED4C05">
                  <w:pPr>
                    <w:pStyle w:val="40"/>
                    <w:rPr>
                      <w:color w:val="auto"/>
                    </w:rPr>
                  </w:pPr>
                  <w:r>
                    <w:rPr>
                      <w:rFonts w:hint="eastAsia"/>
                      <w:color w:val="auto"/>
                    </w:rPr>
                    <w:t>/</w:t>
                  </w:r>
                </w:p>
              </w:tc>
            </w:tr>
            <w:tr w14:paraId="19090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5" w:type="dxa"/>
                  <w:vMerge w:val="restart"/>
                  <w:vAlign w:val="center"/>
                </w:tcPr>
                <w:p w14:paraId="54B886B9">
                  <w:pPr>
                    <w:pStyle w:val="40"/>
                    <w:rPr>
                      <w:color w:val="auto"/>
                    </w:rPr>
                  </w:pPr>
                  <w:r>
                    <w:rPr>
                      <w:rFonts w:hint="eastAsia"/>
                      <w:color w:val="auto"/>
                    </w:rPr>
                    <w:t>固体废物</w:t>
                  </w:r>
                </w:p>
              </w:tc>
              <w:tc>
                <w:tcPr>
                  <w:tcW w:w="1323" w:type="dxa"/>
                  <w:vAlign w:val="center"/>
                </w:tcPr>
                <w:p w14:paraId="7EC5980C">
                  <w:pPr>
                    <w:pStyle w:val="40"/>
                    <w:rPr>
                      <w:color w:val="auto"/>
                    </w:rPr>
                  </w:pPr>
                  <w:r>
                    <w:rPr>
                      <w:rFonts w:hint="eastAsia"/>
                      <w:color w:val="auto"/>
                    </w:rPr>
                    <w:t>生活垃圾</w:t>
                  </w:r>
                </w:p>
              </w:tc>
              <w:tc>
                <w:tcPr>
                  <w:tcW w:w="791" w:type="dxa"/>
                  <w:vAlign w:val="center"/>
                </w:tcPr>
                <w:p w14:paraId="06CE6B00">
                  <w:pPr>
                    <w:pStyle w:val="40"/>
                    <w:rPr>
                      <w:color w:val="auto"/>
                    </w:rPr>
                  </w:pPr>
                </w:p>
              </w:tc>
              <w:tc>
                <w:tcPr>
                  <w:tcW w:w="2663" w:type="dxa"/>
                  <w:vAlign w:val="center"/>
                </w:tcPr>
                <w:p w14:paraId="61AB5768">
                  <w:pPr>
                    <w:pStyle w:val="40"/>
                    <w:rPr>
                      <w:color w:val="auto"/>
                    </w:rPr>
                  </w:pPr>
                  <w:r>
                    <w:rPr>
                      <w:rFonts w:hint="eastAsia"/>
                      <w:color w:val="auto"/>
                    </w:rPr>
                    <w:t>环卫处置</w:t>
                  </w:r>
                </w:p>
              </w:tc>
              <w:tc>
                <w:tcPr>
                  <w:tcW w:w="2300" w:type="dxa"/>
                  <w:vAlign w:val="center"/>
                </w:tcPr>
                <w:p w14:paraId="431EF889">
                  <w:pPr>
                    <w:pStyle w:val="40"/>
                    <w:rPr>
                      <w:color w:val="auto"/>
                    </w:rPr>
                  </w:pPr>
                  <w:r>
                    <w:rPr>
                      <w:rFonts w:hint="eastAsia"/>
                      <w:color w:val="auto"/>
                    </w:rPr>
                    <w:t>/</w:t>
                  </w:r>
                </w:p>
              </w:tc>
              <w:tc>
                <w:tcPr>
                  <w:tcW w:w="788" w:type="dxa"/>
                  <w:vMerge w:val="restart"/>
                  <w:vAlign w:val="center"/>
                </w:tcPr>
                <w:p w14:paraId="0D31D239">
                  <w:pPr>
                    <w:pStyle w:val="40"/>
                    <w:rPr>
                      <w:color w:val="auto"/>
                    </w:rPr>
                  </w:pPr>
                  <w:r>
                    <w:rPr>
                      <w:rFonts w:hint="eastAsia"/>
                      <w:color w:val="auto"/>
                    </w:rPr>
                    <w:t>全部处理</w:t>
                  </w:r>
                </w:p>
              </w:tc>
            </w:tr>
            <w:tr w14:paraId="3D2C3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5" w:type="dxa"/>
                  <w:vMerge w:val="continue"/>
                  <w:vAlign w:val="center"/>
                </w:tcPr>
                <w:p w14:paraId="40B7A8B5">
                  <w:pPr>
                    <w:pStyle w:val="40"/>
                    <w:rPr>
                      <w:color w:val="auto"/>
                    </w:rPr>
                  </w:pPr>
                </w:p>
              </w:tc>
              <w:tc>
                <w:tcPr>
                  <w:tcW w:w="1323" w:type="dxa"/>
                  <w:vAlign w:val="center"/>
                </w:tcPr>
                <w:p w14:paraId="5395BD6B">
                  <w:pPr>
                    <w:pStyle w:val="40"/>
                    <w:rPr>
                      <w:color w:val="auto"/>
                    </w:rPr>
                  </w:pPr>
                  <w:r>
                    <w:rPr>
                      <w:rFonts w:hint="eastAsia"/>
                      <w:color w:val="auto"/>
                    </w:rPr>
                    <w:t>废旧蓄电池</w:t>
                  </w:r>
                </w:p>
              </w:tc>
              <w:tc>
                <w:tcPr>
                  <w:tcW w:w="791" w:type="dxa"/>
                  <w:vAlign w:val="center"/>
                </w:tcPr>
                <w:p w14:paraId="21850CC0">
                  <w:pPr>
                    <w:pStyle w:val="40"/>
                    <w:rPr>
                      <w:color w:val="auto"/>
                    </w:rPr>
                  </w:pPr>
                </w:p>
              </w:tc>
              <w:tc>
                <w:tcPr>
                  <w:tcW w:w="2663" w:type="dxa"/>
                  <w:vAlign w:val="center"/>
                </w:tcPr>
                <w:p w14:paraId="7F1F913F">
                  <w:pPr>
                    <w:pStyle w:val="40"/>
                    <w:jc w:val="both"/>
                    <w:rPr>
                      <w:color w:val="auto"/>
                    </w:rPr>
                  </w:pPr>
                  <w:r>
                    <w:rPr>
                      <w:rFonts w:hint="eastAsia"/>
                      <w:color w:val="auto"/>
                    </w:rPr>
                    <w:t>由有资质的厂家回收</w:t>
                  </w:r>
                </w:p>
              </w:tc>
              <w:tc>
                <w:tcPr>
                  <w:tcW w:w="2300" w:type="dxa"/>
                  <w:vAlign w:val="center"/>
                </w:tcPr>
                <w:p w14:paraId="2A43A89B">
                  <w:pPr>
                    <w:pStyle w:val="40"/>
                    <w:rPr>
                      <w:color w:val="auto"/>
                    </w:rPr>
                  </w:pPr>
                  <w:r>
                    <w:rPr>
                      <w:rFonts w:hint="eastAsia"/>
                      <w:color w:val="auto"/>
                    </w:rPr>
                    <w:t>/</w:t>
                  </w:r>
                </w:p>
              </w:tc>
              <w:tc>
                <w:tcPr>
                  <w:tcW w:w="788" w:type="dxa"/>
                  <w:vMerge w:val="continue"/>
                  <w:vAlign w:val="center"/>
                </w:tcPr>
                <w:p w14:paraId="7B4D8B60">
                  <w:pPr>
                    <w:pStyle w:val="40"/>
                    <w:rPr>
                      <w:color w:val="auto"/>
                    </w:rPr>
                  </w:pPr>
                </w:p>
              </w:tc>
            </w:tr>
            <w:tr w14:paraId="46CAF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5" w:type="dxa"/>
                  <w:vMerge w:val="continue"/>
                  <w:vAlign w:val="center"/>
                </w:tcPr>
                <w:p w14:paraId="359C7625">
                  <w:pPr>
                    <w:pStyle w:val="40"/>
                    <w:rPr>
                      <w:color w:val="auto"/>
                    </w:rPr>
                  </w:pPr>
                </w:p>
              </w:tc>
              <w:tc>
                <w:tcPr>
                  <w:tcW w:w="1323" w:type="dxa"/>
                  <w:vAlign w:val="center"/>
                </w:tcPr>
                <w:p w14:paraId="676145EB">
                  <w:pPr>
                    <w:pStyle w:val="40"/>
                    <w:rPr>
                      <w:color w:val="auto"/>
                    </w:rPr>
                  </w:pPr>
                  <w:r>
                    <w:rPr>
                      <w:rFonts w:hint="eastAsia"/>
                      <w:color w:val="auto"/>
                    </w:rPr>
                    <w:t>事故油</w:t>
                  </w:r>
                </w:p>
              </w:tc>
              <w:tc>
                <w:tcPr>
                  <w:tcW w:w="791" w:type="dxa"/>
                  <w:vAlign w:val="center"/>
                </w:tcPr>
                <w:p w14:paraId="2A450D1A">
                  <w:pPr>
                    <w:pStyle w:val="40"/>
                    <w:rPr>
                      <w:color w:val="auto"/>
                    </w:rPr>
                  </w:pPr>
                </w:p>
              </w:tc>
              <w:tc>
                <w:tcPr>
                  <w:tcW w:w="2663" w:type="dxa"/>
                  <w:vAlign w:val="center"/>
                </w:tcPr>
                <w:p w14:paraId="0879D9FD">
                  <w:pPr>
                    <w:pStyle w:val="40"/>
                    <w:rPr>
                      <w:color w:val="auto"/>
                    </w:rPr>
                  </w:pPr>
                  <w:r>
                    <w:rPr>
                      <w:color w:val="auto"/>
                    </w:rPr>
                    <w:t>由有资质的单位</w:t>
                  </w:r>
                  <w:r>
                    <w:rPr>
                      <w:rFonts w:hint="eastAsia"/>
                      <w:color w:val="auto"/>
                    </w:rPr>
                    <w:t>转运</w:t>
                  </w:r>
                  <w:r>
                    <w:rPr>
                      <w:color w:val="auto"/>
                    </w:rPr>
                    <w:t>处置</w:t>
                  </w:r>
                </w:p>
              </w:tc>
              <w:tc>
                <w:tcPr>
                  <w:tcW w:w="2300" w:type="dxa"/>
                  <w:vAlign w:val="center"/>
                </w:tcPr>
                <w:p w14:paraId="62A7278B">
                  <w:pPr>
                    <w:pStyle w:val="40"/>
                    <w:rPr>
                      <w:color w:val="auto"/>
                    </w:rPr>
                  </w:pPr>
                  <w:r>
                    <w:rPr>
                      <w:rFonts w:hint="eastAsia"/>
                      <w:color w:val="auto"/>
                    </w:rPr>
                    <w:t>/</w:t>
                  </w:r>
                </w:p>
              </w:tc>
              <w:tc>
                <w:tcPr>
                  <w:tcW w:w="788" w:type="dxa"/>
                  <w:vMerge w:val="continue"/>
                  <w:vAlign w:val="center"/>
                </w:tcPr>
                <w:p w14:paraId="6F82364A">
                  <w:pPr>
                    <w:pStyle w:val="40"/>
                    <w:rPr>
                      <w:color w:val="auto"/>
                    </w:rPr>
                  </w:pPr>
                </w:p>
              </w:tc>
            </w:tr>
            <w:tr w14:paraId="7E2CD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5" w:type="dxa"/>
                  <w:vAlign w:val="center"/>
                </w:tcPr>
                <w:p w14:paraId="2887071C">
                  <w:pPr>
                    <w:pStyle w:val="40"/>
                    <w:rPr>
                      <w:color w:val="auto"/>
                    </w:rPr>
                  </w:pPr>
                  <w:r>
                    <w:rPr>
                      <w:rFonts w:hint="eastAsia"/>
                      <w:color w:val="auto"/>
                    </w:rPr>
                    <w:t>生态环境</w:t>
                  </w:r>
                </w:p>
              </w:tc>
              <w:tc>
                <w:tcPr>
                  <w:tcW w:w="1323" w:type="dxa"/>
                  <w:vAlign w:val="center"/>
                </w:tcPr>
                <w:p w14:paraId="001B72FA">
                  <w:pPr>
                    <w:pStyle w:val="40"/>
                    <w:rPr>
                      <w:color w:val="auto"/>
                    </w:rPr>
                  </w:pPr>
                  <w:r>
                    <w:rPr>
                      <w:rFonts w:hint="eastAsia"/>
                      <w:color w:val="auto"/>
                    </w:rPr>
                    <w:t>变电站施工</w:t>
                  </w:r>
                </w:p>
              </w:tc>
              <w:tc>
                <w:tcPr>
                  <w:tcW w:w="791" w:type="dxa"/>
                  <w:vAlign w:val="center"/>
                </w:tcPr>
                <w:p w14:paraId="6D100635">
                  <w:pPr>
                    <w:pStyle w:val="40"/>
                    <w:rPr>
                      <w:color w:val="auto"/>
                    </w:rPr>
                  </w:pPr>
                  <w:r>
                    <w:rPr>
                      <w:rFonts w:hint="eastAsia"/>
                      <w:color w:val="auto"/>
                    </w:rPr>
                    <w:t>变电站占地范围</w:t>
                  </w:r>
                </w:p>
              </w:tc>
              <w:tc>
                <w:tcPr>
                  <w:tcW w:w="2663" w:type="dxa"/>
                  <w:vAlign w:val="center"/>
                </w:tcPr>
                <w:p w14:paraId="1F3B3ED0">
                  <w:pPr>
                    <w:widowControl/>
                    <w:spacing w:line="240" w:lineRule="auto"/>
                    <w:ind w:firstLine="0" w:firstLineChars="0"/>
                    <w:jc w:val="left"/>
                  </w:pPr>
                  <w:r>
                    <w:rPr>
                      <w:rFonts w:hint="eastAsia" w:ascii="宋体" w:hAnsi="宋体" w:cs="宋体"/>
                      <w:kern w:val="0"/>
                      <w:sz w:val="21"/>
                      <w:szCs w:val="21"/>
                      <w:lang w:bidi="ar"/>
                    </w:rPr>
                    <w:t>施工前划定施工区域，施工过程中尽量减少临时占地范围，合理规划运输路线，减小开挖土石方量，并适当修建防治水土流失设施，同时加强管理，施工完成后及时进行场地平整，清除多余的土方和石料，严禁随意倾倒和覆压植被。</w:t>
                  </w:r>
                </w:p>
              </w:tc>
              <w:tc>
                <w:tcPr>
                  <w:tcW w:w="2300" w:type="dxa"/>
                  <w:vAlign w:val="center"/>
                </w:tcPr>
                <w:p w14:paraId="1C948C5A">
                  <w:pPr>
                    <w:pStyle w:val="40"/>
                    <w:rPr>
                      <w:color w:val="auto"/>
                    </w:rPr>
                  </w:pPr>
                  <w:r>
                    <w:rPr>
                      <w:rFonts w:hint="eastAsia"/>
                      <w:color w:val="auto"/>
                    </w:rPr>
                    <w:t>/</w:t>
                  </w:r>
                </w:p>
              </w:tc>
              <w:tc>
                <w:tcPr>
                  <w:tcW w:w="788" w:type="dxa"/>
                  <w:vAlign w:val="center"/>
                </w:tcPr>
                <w:p w14:paraId="6DAC8647">
                  <w:pPr>
                    <w:pStyle w:val="40"/>
                    <w:rPr>
                      <w:color w:val="auto"/>
                    </w:rPr>
                  </w:pPr>
                  <w:r>
                    <w:rPr>
                      <w:rFonts w:hint="eastAsia"/>
                      <w:color w:val="auto"/>
                    </w:rPr>
                    <w:t>施工迹地恢复，无其他占地</w:t>
                  </w:r>
                </w:p>
              </w:tc>
            </w:tr>
            <w:tr w14:paraId="47A8F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5" w:type="dxa"/>
                  <w:vAlign w:val="center"/>
                </w:tcPr>
                <w:p w14:paraId="3EDB5544">
                  <w:pPr>
                    <w:pStyle w:val="40"/>
                    <w:rPr>
                      <w:color w:val="auto"/>
                    </w:rPr>
                  </w:pPr>
                  <w:r>
                    <w:rPr>
                      <w:rFonts w:hint="eastAsia"/>
                      <w:color w:val="auto"/>
                    </w:rPr>
                    <w:t>环境风险</w:t>
                  </w:r>
                </w:p>
              </w:tc>
              <w:tc>
                <w:tcPr>
                  <w:tcW w:w="1323" w:type="dxa"/>
                  <w:vAlign w:val="center"/>
                </w:tcPr>
                <w:p w14:paraId="450D48CA">
                  <w:pPr>
                    <w:pStyle w:val="40"/>
                    <w:rPr>
                      <w:color w:val="auto"/>
                    </w:rPr>
                  </w:pPr>
                  <w:r>
                    <w:rPr>
                      <w:rFonts w:hint="eastAsia"/>
                      <w:color w:val="auto"/>
                    </w:rPr>
                    <w:t>事故油</w:t>
                  </w:r>
                </w:p>
              </w:tc>
              <w:tc>
                <w:tcPr>
                  <w:tcW w:w="791" w:type="dxa"/>
                  <w:vAlign w:val="center"/>
                </w:tcPr>
                <w:p w14:paraId="1554CE85">
                  <w:pPr>
                    <w:pStyle w:val="40"/>
                    <w:rPr>
                      <w:color w:val="auto"/>
                    </w:rPr>
                  </w:pPr>
                  <w:r>
                    <w:rPr>
                      <w:rFonts w:hint="eastAsia"/>
                      <w:color w:val="auto"/>
                    </w:rPr>
                    <w:t>油坑、排油管道、事故油池</w:t>
                  </w:r>
                </w:p>
              </w:tc>
              <w:tc>
                <w:tcPr>
                  <w:tcW w:w="2663" w:type="dxa"/>
                  <w:vAlign w:val="center"/>
                </w:tcPr>
                <w:p w14:paraId="44F19BFF">
                  <w:pPr>
                    <w:pStyle w:val="40"/>
                    <w:rPr>
                      <w:color w:val="auto"/>
                    </w:rPr>
                  </w:pPr>
                  <w:r>
                    <w:rPr>
                      <w:color w:val="auto"/>
                    </w:rPr>
                    <w:t>变电站主变下方均设置事故油坑，事故油通过排油管道集中排至事故油池</w:t>
                  </w:r>
                  <w:r>
                    <w:rPr>
                      <w:rFonts w:hint="eastAsia"/>
                      <w:color w:val="auto"/>
                    </w:rPr>
                    <w:t>容积30m</w:t>
                  </w:r>
                  <w:r>
                    <w:rPr>
                      <w:rFonts w:hint="eastAsia"/>
                      <w:color w:val="auto"/>
                      <w:vertAlign w:val="superscript"/>
                    </w:rPr>
                    <w:t>3</w:t>
                  </w:r>
                  <w:r>
                    <w:rPr>
                      <w:color w:val="auto"/>
                    </w:rPr>
                    <w:t>，由有资质单位</w:t>
                  </w:r>
                  <w:r>
                    <w:rPr>
                      <w:rFonts w:hint="eastAsia"/>
                      <w:color w:val="auto"/>
                    </w:rPr>
                    <w:t>转运</w:t>
                  </w:r>
                  <w:r>
                    <w:rPr>
                      <w:color w:val="auto"/>
                    </w:rPr>
                    <w:t>处置。事故油坑、排油管道以及事故油池均需做防渗处理。</w:t>
                  </w:r>
                </w:p>
              </w:tc>
              <w:tc>
                <w:tcPr>
                  <w:tcW w:w="2300" w:type="dxa"/>
                  <w:vAlign w:val="center"/>
                </w:tcPr>
                <w:p w14:paraId="404CA598">
                  <w:pPr>
                    <w:pStyle w:val="40"/>
                    <w:rPr>
                      <w:color w:val="auto"/>
                    </w:rPr>
                  </w:pPr>
                  <w:r>
                    <w:rPr>
                      <w:rFonts w:hint="eastAsia"/>
                      <w:color w:val="auto"/>
                    </w:rPr>
                    <w:t>/</w:t>
                  </w:r>
                </w:p>
              </w:tc>
              <w:tc>
                <w:tcPr>
                  <w:tcW w:w="788" w:type="dxa"/>
                  <w:vAlign w:val="center"/>
                </w:tcPr>
                <w:p w14:paraId="4E9E9267">
                  <w:pPr>
                    <w:pStyle w:val="40"/>
                    <w:rPr>
                      <w:color w:val="auto"/>
                    </w:rPr>
                  </w:pPr>
                  <w:r>
                    <w:rPr>
                      <w:rFonts w:hint="eastAsia"/>
                      <w:color w:val="auto"/>
                    </w:rPr>
                    <w:t>在事故状态下，变压器油外漏后均可以进入事故油池内，然后由有资质的单位转运处置。</w:t>
                  </w:r>
                </w:p>
              </w:tc>
            </w:tr>
          </w:tbl>
          <w:p w14:paraId="6F2D6C80">
            <w:pPr>
              <w:pStyle w:val="38"/>
            </w:pPr>
          </w:p>
        </w:tc>
      </w:tr>
      <w:tr w14:paraId="0AD6F5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50" w:hRule="atLeast"/>
          <w:jc w:val="center"/>
        </w:trPr>
        <w:tc>
          <w:tcPr>
            <w:tcW w:w="427" w:type="dxa"/>
            <w:vAlign w:val="center"/>
          </w:tcPr>
          <w:p w14:paraId="589B89FE">
            <w:pPr>
              <w:pStyle w:val="40"/>
              <w:rPr>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环保投资</w:t>
            </w:r>
          </w:p>
        </w:tc>
        <w:tc>
          <w:tcPr>
            <w:tcW w:w="8919" w:type="dxa"/>
            <w:vAlign w:val="center"/>
          </w:tcPr>
          <w:p w14:paraId="1E426A26">
            <w:pPr>
              <w:pStyle w:val="38"/>
            </w:pPr>
            <w:r>
              <w:rPr>
                <w:rFonts w:hint="eastAsia"/>
              </w:rPr>
              <w:t>本工程估算投资3069万元，其中环保投33</w:t>
            </w:r>
            <w:r>
              <w:rPr>
                <w:rFonts w:hint="eastAsia"/>
                <w:lang w:val="en-US" w:eastAsia="zh-CN"/>
              </w:rPr>
              <w:t>.8</w:t>
            </w:r>
            <w:r>
              <w:rPr>
                <w:rFonts w:hint="eastAsia"/>
              </w:rPr>
              <w:t>万元，约占总投资的1.</w:t>
            </w:r>
            <w:r>
              <w:rPr>
                <w:rFonts w:hint="eastAsia"/>
                <w:lang w:val="en-US" w:eastAsia="zh-CN"/>
              </w:rPr>
              <w:t>1</w:t>
            </w:r>
            <w:r>
              <w:rPr>
                <w:rFonts w:hint="eastAsia"/>
              </w:rPr>
              <w:t>%。具体见下表。</w:t>
            </w:r>
          </w:p>
          <w:p w14:paraId="7B629398">
            <w:pPr>
              <w:pStyle w:val="4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表5</w:t>
            </w:r>
            <w:r>
              <w:rPr>
                <w:color w:val="000000" w:themeColor="text1"/>
                <w14:textFill>
                  <w14:solidFill>
                    <w14:schemeClr w14:val="tx1"/>
                  </w14:solidFill>
                </w14:textFill>
              </w:rPr>
              <w:t xml:space="preserve">.3 </w:t>
            </w:r>
            <w:r>
              <w:rPr>
                <w:rFonts w:hint="eastAsia"/>
                <w:color w:val="000000" w:themeColor="text1"/>
                <w14:textFill>
                  <w14:solidFill>
                    <w14:schemeClr w14:val="tx1"/>
                  </w14:solidFill>
                </w14:textFill>
              </w:rPr>
              <w:t>本工程环保投资一览表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1"/>
              <w:gridCol w:w="4012"/>
              <w:gridCol w:w="3117"/>
            </w:tblGrid>
            <w:tr w14:paraId="27FBE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884" w:type="pct"/>
                  <w:vAlign w:val="center"/>
                </w:tcPr>
                <w:p w14:paraId="2F3B9DC8">
                  <w:pPr>
                    <w:pStyle w:val="40"/>
                    <w:rPr>
                      <w:color w:val="000000" w:themeColor="text1"/>
                      <w14:textFill>
                        <w14:solidFill>
                          <w14:schemeClr w14:val="tx1"/>
                        </w14:solidFill>
                      </w14:textFill>
                    </w:rPr>
                  </w:pPr>
                  <w:r>
                    <w:rPr>
                      <w:color w:val="000000" w:themeColor="text1"/>
                      <w14:textFill>
                        <w14:solidFill>
                          <w14:schemeClr w14:val="tx1"/>
                        </w14:solidFill>
                      </w14:textFill>
                    </w:rPr>
                    <w:t>工程名称</w:t>
                  </w:r>
                </w:p>
              </w:tc>
              <w:tc>
                <w:tcPr>
                  <w:tcW w:w="2315" w:type="pct"/>
                  <w:vAlign w:val="center"/>
                </w:tcPr>
                <w:p w14:paraId="19B865D3">
                  <w:pPr>
                    <w:pStyle w:val="40"/>
                    <w:rPr>
                      <w:color w:val="000000" w:themeColor="text1"/>
                      <w14:textFill>
                        <w14:solidFill>
                          <w14:schemeClr w14:val="tx1"/>
                        </w14:solidFill>
                      </w14:textFill>
                    </w:rPr>
                  </w:pPr>
                  <w:r>
                    <w:rPr>
                      <w:color w:val="000000" w:themeColor="text1"/>
                      <w14:textFill>
                        <w14:solidFill>
                          <w14:schemeClr w14:val="tx1"/>
                        </w14:solidFill>
                      </w14:textFill>
                    </w:rPr>
                    <w:t>环保措施</w:t>
                  </w:r>
                </w:p>
              </w:tc>
              <w:tc>
                <w:tcPr>
                  <w:tcW w:w="1799" w:type="pct"/>
                  <w:vAlign w:val="center"/>
                </w:tcPr>
                <w:p w14:paraId="535FFD09">
                  <w:pPr>
                    <w:pStyle w:val="40"/>
                    <w:rPr>
                      <w:color w:val="000000" w:themeColor="text1"/>
                      <w14:textFill>
                        <w14:solidFill>
                          <w14:schemeClr w14:val="tx1"/>
                        </w14:solidFill>
                      </w14:textFill>
                    </w:rPr>
                  </w:pPr>
                  <w:r>
                    <w:rPr>
                      <w:color w:val="000000" w:themeColor="text1"/>
                      <w14:textFill>
                        <w14:solidFill>
                          <w14:schemeClr w14:val="tx1"/>
                        </w14:solidFill>
                      </w14:textFill>
                    </w:rPr>
                    <w:t>环保投资</w:t>
                  </w:r>
                </w:p>
                <w:p w14:paraId="00A72802">
                  <w:pPr>
                    <w:pStyle w:val="40"/>
                    <w:rPr>
                      <w:color w:val="000000" w:themeColor="text1"/>
                      <w14:textFill>
                        <w14:solidFill>
                          <w14:schemeClr w14:val="tx1"/>
                        </w14:solidFill>
                      </w14:textFill>
                    </w:rPr>
                  </w:pPr>
                  <w:r>
                    <w:rPr>
                      <w:color w:val="000000" w:themeColor="text1"/>
                      <w14:textFill>
                        <w14:solidFill>
                          <w14:schemeClr w14:val="tx1"/>
                        </w14:solidFill>
                      </w14:textFill>
                    </w:rPr>
                    <w:t>（万元）</w:t>
                  </w:r>
                </w:p>
              </w:tc>
            </w:tr>
            <w:tr w14:paraId="3C3E4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884" w:type="pct"/>
                  <w:vMerge w:val="restart"/>
                  <w:vAlign w:val="center"/>
                </w:tcPr>
                <w:p w14:paraId="7E8F8B72">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tc>
              <w:tc>
                <w:tcPr>
                  <w:tcW w:w="2315" w:type="pct"/>
                  <w:vAlign w:val="center"/>
                </w:tcPr>
                <w:p w14:paraId="0271B8D3">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施工围挡、遮盖等抑尘措施</w:t>
                  </w:r>
                </w:p>
              </w:tc>
              <w:tc>
                <w:tcPr>
                  <w:tcW w:w="1799" w:type="pct"/>
                  <w:vAlign w:val="center"/>
                </w:tcPr>
                <w:p w14:paraId="1CDF0946">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r>
            <w:tr w14:paraId="3DCE7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884" w:type="pct"/>
                  <w:vMerge w:val="continue"/>
                  <w:vAlign w:val="center"/>
                </w:tcPr>
                <w:p w14:paraId="7F012DD4">
                  <w:pPr>
                    <w:pStyle w:val="40"/>
                    <w:rPr>
                      <w:color w:val="000000" w:themeColor="text1"/>
                      <w14:textFill>
                        <w14:solidFill>
                          <w14:schemeClr w14:val="tx1"/>
                        </w14:solidFill>
                      </w14:textFill>
                    </w:rPr>
                  </w:pPr>
                </w:p>
              </w:tc>
              <w:tc>
                <w:tcPr>
                  <w:tcW w:w="2315" w:type="pct"/>
                  <w:vAlign w:val="center"/>
                </w:tcPr>
                <w:p w14:paraId="0BA01840">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施工废水沉淀池</w:t>
                  </w:r>
                </w:p>
              </w:tc>
              <w:tc>
                <w:tcPr>
                  <w:tcW w:w="1799" w:type="pct"/>
                  <w:vAlign w:val="center"/>
                </w:tcPr>
                <w:p w14:paraId="2DD80FD8">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r>
            <w:tr w14:paraId="64D7B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884" w:type="pct"/>
                  <w:vMerge w:val="continue"/>
                  <w:vAlign w:val="center"/>
                </w:tcPr>
                <w:p w14:paraId="36CD1E3C">
                  <w:pPr>
                    <w:pStyle w:val="40"/>
                    <w:rPr>
                      <w:color w:val="000000" w:themeColor="text1"/>
                      <w14:textFill>
                        <w14:solidFill>
                          <w14:schemeClr w14:val="tx1"/>
                        </w14:solidFill>
                      </w14:textFill>
                    </w:rPr>
                  </w:pPr>
                </w:p>
              </w:tc>
              <w:tc>
                <w:tcPr>
                  <w:tcW w:w="2315" w:type="pct"/>
                  <w:vAlign w:val="center"/>
                </w:tcPr>
                <w:p w14:paraId="180416C6">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施工期生活污水</w:t>
                  </w:r>
                </w:p>
              </w:tc>
              <w:tc>
                <w:tcPr>
                  <w:tcW w:w="1799" w:type="pct"/>
                  <w:vAlign w:val="center"/>
                </w:tcPr>
                <w:p w14:paraId="6AEADCB6">
                  <w:pPr>
                    <w:pStyle w:val="40"/>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0.1</w:t>
                  </w:r>
                </w:p>
              </w:tc>
            </w:tr>
            <w:tr w14:paraId="09421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4" w:type="pct"/>
                  <w:vMerge w:val="continue"/>
                  <w:vAlign w:val="center"/>
                </w:tcPr>
                <w:p w14:paraId="2D3376C4">
                  <w:pPr>
                    <w:pStyle w:val="40"/>
                    <w:rPr>
                      <w:color w:val="000000" w:themeColor="text1"/>
                      <w14:textFill>
                        <w14:solidFill>
                          <w14:schemeClr w14:val="tx1"/>
                        </w14:solidFill>
                      </w14:textFill>
                    </w:rPr>
                  </w:pPr>
                </w:p>
              </w:tc>
              <w:tc>
                <w:tcPr>
                  <w:tcW w:w="2315" w:type="pct"/>
                  <w:vAlign w:val="center"/>
                </w:tcPr>
                <w:p w14:paraId="01AF5FAE">
                  <w:pPr>
                    <w:pStyle w:val="40"/>
                    <w:ind w:firstLine="630" w:firstLineChars="3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施工迹地</w:t>
                  </w:r>
                  <w:r>
                    <w:rPr>
                      <w:color w:val="000000" w:themeColor="text1"/>
                      <w14:textFill>
                        <w14:solidFill>
                          <w14:schemeClr w14:val="tx1"/>
                        </w14:solidFill>
                      </w14:textFill>
                    </w:rPr>
                    <w:t>恢复</w:t>
                  </w:r>
                  <w:r>
                    <w:rPr>
                      <w:rFonts w:hint="eastAsia"/>
                      <w:color w:val="000000" w:themeColor="text1"/>
                      <w14:textFill>
                        <w14:solidFill>
                          <w14:schemeClr w14:val="tx1"/>
                        </w14:solidFill>
                      </w14:textFill>
                    </w:rPr>
                    <w:t>及建筑垃圾清运</w:t>
                  </w:r>
                </w:p>
              </w:tc>
              <w:tc>
                <w:tcPr>
                  <w:tcW w:w="1799" w:type="pct"/>
                  <w:vAlign w:val="center"/>
                </w:tcPr>
                <w:p w14:paraId="0F25143B">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2EB67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4" w:type="pct"/>
                  <w:vMerge w:val="restart"/>
                  <w:vAlign w:val="center"/>
                </w:tcPr>
                <w:p w14:paraId="0B3E64FA">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运行期</w:t>
                  </w:r>
                </w:p>
              </w:tc>
              <w:tc>
                <w:tcPr>
                  <w:tcW w:w="2315" w:type="pct"/>
                  <w:vAlign w:val="center"/>
                </w:tcPr>
                <w:p w14:paraId="78B0D0C3">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事故油池、油坑及防渗</w:t>
                  </w:r>
                </w:p>
              </w:tc>
              <w:tc>
                <w:tcPr>
                  <w:tcW w:w="1799" w:type="pct"/>
                  <w:vAlign w:val="center"/>
                </w:tcPr>
                <w:p w14:paraId="2E1DBB49">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18</w:t>
                  </w:r>
                </w:p>
              </w:tc>
            </w:tr>
            <w:tr w14:paraId="36324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4" w:type="pct"/>
                  <w:vMerge w:val="continue"/>
                  <w:vAlign w:val="center"/>
                </w:tcPr>
                <w:p w14:paraId="3091151E">
                  <w:pPr>
                    <w:pStyle w:val="40"/>
                    <w:rPr>
                      <w:color w:val="000000" w:themeColor="text1"/>
                      <w14:textFill>
                        <w14:solidFill>
                          <w14:schemeClr w14:val="tx1"/>
                        </w14:solidFill>
                      </w14:textFill>
                    </w:rPr>
                  </w:pPr>
                </w:p>
              </w:tc>
              <w:tc>
                <w:tcPr>
                  <w:tcW w:w="2315" w:type="pct"/>
                  <w:vAlign w:val="center"/>
                </w:tcPr>
                <w:p w14:paraId="49C37CD2">
                  <w:pPr>
                    <w:pStyle w:val="40"/>
                    <w:rPr>
                      <w:color w:val="auto"/>
                    </w:rPr>
                  </w:pPr>
                  <w:r>
                    <w:rPr>
                      <w:rFonts w:hint="eastAsia"/>
                      <w:color w:val="auto"/>
                    </w:rPr>
                    <w:t>临时占地硬化</w:t>
                  </w:r>
                </w:p>
              </w:tc>
              <w:tc>
                <w:tcPr>
                  <w:tcW w:w="1799" w:type="pct"/>
                  <w:vAlign w:val="center"/>
                </w:tcPr>
                <w:p w14:paraId="46EC8348">
                  <w:pPr>
                    <w:pStyle w:val="40"/>
                    <w:rPr>
                      <w:color w:val="auto"/>
                    </w:rPr>
                  </w:pPr>
                  <w:r>
                    <w:rPr>
                      <w:rFonts w:hint="eastAsia"/>
                      <w:color w:val="auto"/>
                    </w:rPr>
                    <w:t>6</w:t>
                  </w:r>
                </w:p>
              </w:tc>
            </w:tr>
            <w:tr w14:paraId="064EB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4" w:type="pct"/>
                  <w:vMerge w:val="continue"/>
                  <w:vAlign w:val="center"/>
                </w:tcPr>
                <w:p w14:paraId="71A15455">
                  <w:pPr>
                    <w:pStyle w:val="40"/>
                    <w:rPr>
                      <w:color w:val="000000" w:themeColor="text1"/>
                      <w14:textFill>
                        <w14:solidFill>
                          <w14:schemeClr w14:val="tx1"/>
                        </w14:solidFill>
                      </w14:textFill>
                    </w:rPr>
                  </w:pPr>
                </w:p>
              </w:tc>
              <w:tc>
                <w:tcPr>
                  <w:tcW w:w="2315" w:type="pct"/>
                  <w:vAlign w:val="center"/>
                </w:tcPr>
                <w:p w14:paraId="737A93F7">
                  <w:pPr>
                    <w:pStyle w:val="40"/>
                    <w:rPr>
                      <w:color w:val="auto"/>
                    </w:rPr>
                  </w:pPr>
                  <w:r>
                    <w:rPr>
                      <w:rFonts w:hint="eastAsia"/>
                      <w:color w:val="auto"/>
                    </w:rPr>
                    <w:t>设备隔声降噪</w:t>
                  </w:r>
                </w:p>
              </w:tc>
              <w:tc>
                <w:tcPr>
                  <w:tcW w:w="1799" w:type="pct"/>
                  <w:vAlign w:val="center"/>
                </w:tcPr>
                <w:p w14:paraId="7B673FC6">
                  <w:pPr>
                    <w:pStyle w:val="40"/>
                    <w:rPr>
                      <w:color w:val="auto"/>
                    </w:rPr>
                  </w:pPr>
                  <w:r>
                    <w:rPr>
                      <w:rFonts w:hint="eastAsia"/>
                      <w:color w:val="auto"/>
                    </w:rPr>
                    <w:t>1.5</w:t>
                  </w:r>
                </w:p>
              </w:tc>
            </w:tr>
            <w:tr w14:paraId="348CB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4" w:type="pct"/>
                  <w:vMerge w:val="continue"/>
                  <w:vAlign w:val="center"/>
                </w:tcPr>
                <w:p w14:paraId="4E14B5EF">
                  <w:pPr>
                    <w:pStyle w:val="40"/>
                    <w:rPr>
                      <w:color w:val="000000" w:themeColor="text1"/>
                      <w14:textFill>
                        <w14:solidFill>
                          <w14:schemeClr w14:val="tx1"/>
                        </w14:solidFill>
                      </w14:textFill>
                    </w:rPr>
                  </w:pPr>
                </w:p>
              </w:tc>
              <w:tc>
                <w:tcPr>
                  <w:tcW w:w="2315" w:type="pct"/>
                  <w:vAlign w:val="center"/>
                </w:tcPr>
                <w:p w14:paraId="566B143E">
                  <w:pPr>
                    <w:pStyle w:val="40"/>
                    <w:rPr>
                      <w:color w:val="auto"/>
                    </w:rPr>
                  </w:pPr>
                  <w:r>
                    <w:rPr>
                      <w:rFonts w:hint="eastAsia"/>
                      <w:color w:val="000000" w:themeColor="text1"/>
                      <w14:textFill>
                        <w14:solidFill>
                          <w14:schemeClr w14:val="tx1"/>
                        </w14:solidFill>
                      </w14:textFill>
                    </w:rPr>
                    <w:t>运行期生活污水</w:t>
                  </w:r>
                </w:p>
              </w:tc>
              <w:tc>
                <w:tcPr>
                  <w:tcW w:w="1799" w:type="pct"/>
                  <w:vAlign w:val="center"/>
                </w:tcPr>
                <w:p w14:paraId="7C59277F">
                  <w:pPr>
                    <w:pStyle w:val="40"/>
                    <w:rPr>
                      <w:rFonts w:hint="default"/>
                      <w:color w:val="auto"/>
                      <w:lang w:val="en-US"/>
                    </w:rPr>
                  </w:pPr>
                  <w:r>
                    <w:rPr>
                      <w:rFonts w:hint="eastAsia"/>
                      <w:color w:val="000000" w:themeColor="text1"/>
                      <w:lang w:val="en-US" w:eastAsia="zh-CN"/>
                      <w14:textFill>
                        <w14:solidFill>
                          <w14:schemeClr w14:val="tx1"/>
                        </w14:solidFill>
                      </w14:textFill>
                    </w:rPr>
                    <w:t>0.7</w:t>
                  </w:r>
                </w:p>
              </w:tc>
            </w:tr>
            <w:tr w14:paraId="1D995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4" w:type="pct"/>
                  <w:vMerge w:val="continue"/>
                  <w:vAlign w:val="center"/>
                </w:tcPr>
                <w:p w14:paraId="7A9EE8CD">
                  <w:pPr>
                    <w:pStyle w:val="40"/>
                    <w:rPr>
                      <w:color w:val="000000" w:themeColor="text1"/>
                      <w14:textFill>
                        <w14:solidFill>
                          <w14:schemeClr w14:val="tx1"/>
                        </w14:solidFill>
                      </w14:textFill>
                    </w:rPr>
                  </w:pPr>
                </w:p>
              </w:tc>
              <w:tc>
                <w:tcPr>
                  <w:tcW w:w="2315" w:type="pct"/>
                  <w:vAlign w:val="center"/>
                </w:tcPr>
                <w:p w14:paraId="65D0FF7A">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垃圾箱等</w:t>
                  </w:r>
                </w:p>
              </w:tc>
              <w:tc>
                <w:tcPr>
                  <w:tcW w:w="1799" w:type="pct"/>
                  <w:vAlign w:val="center"/>
                </w:tcPr>
                <w:p w14:paraId="62C65B9B">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r>
            <w:tr w14:paraId="5D4ED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4" w:type="pct"/>
                  <w:vMerge w:val="continue"/>
                  <w:vAlign w:val="center"/>
                </w:tcPr>
                <w:p w14:paraId="087CBC5F">
                  <w:pPr>
                    <w:pStyle w:val="40"/>
                    <w:rPr>
                      <w:color w:val="000000" w:themeColor="text1"/>
                      <w14:textFill>
                        <w14:solidFill>
                          <w14:schemeClr w14:val="tx1"/>
                        </w14:solidFill>
                      </w14:textFill>
                    </w:rPr>
                  </w:pPr>
                </w:p>
              </w:tc>
              <w:tc>
                <w:tcPr>
                  <w:tcW w:w="2315" w:type="pct"/>
                  <w:vAlign w:val="center"/>
                </w:tcPr>
                <w:p w14:paraId="5E02867D">
                  <w:pPr>
                    <w:pStyle w:val="40"/>
                    <w:rPr>
                      <w:color w:val="0000FF"/>
                    </w:rPr>
                  </w:pPr>
                  <w:r>
                    <w:rPr>
                      <w:rFonts w:hint="eastAsia"/>
                      <w:color w:val="0000FF"/>
                    </w:rPr>
                    <w:t>环保竣工验收及监测</w:t>
                  </w:r>
                </w:p>
              </w:tc>
              <w:tc>
                <w:tcPr>
                  <w:tcW w:w="1799" w:type="pct"/>
                  <w:vAlign w:val="center"/>
                </w:tcPr>
                <w:p w14:paraId="30A112DA">
                  <w:pPr>
                    <w:pStyle w:val="40"/>
                    <w:rPr>
                      <w:color w:val="0000FF"/>
                    </w:rPr>
                  </w:pPr>
                  <w:r>
                    <w:rPr>
                      <w:rFonts w:hint="eastAsia"/>
                      <w:color w:val="0000FF"/>
                    </w:rPr>
                    <w:t>5</w:t>
                  </w:r>
                </w:p>
              </w:tc>
            </w:tr>
            <w:tr w14:paraId="008C5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00" w:type="pct"/>
                  <w:gridSpan w:val="2"/>
                  <w:vAlign w:val="center"/>
                </w:tcPr>
                <w:p w14:paraId="5F83466E">
                  <w:pPr>
                    <w:pStyle w:val="40"/>
                    <w:rPr>
                      <w:color w:val="000000" w:themeColor="text1"/>
                      <w14:textFill>
                        <w14:solidFill>
                          <w14:schemeClr w14:val="tx1"/>
                        </w14:solidFill>
                      </w14:textFill>
                    </w:rPr>
                  </w:pPr>
                  <w:r>
                    <w:rPr>
                      <w:color w:val="000000" w:themeColor="text1"/>
                      <w14:textFill>
                        <w14:solidFill>
                          <w14:schemeClr w14:val="tx1"/>
                        </w14:solidFill>
                      </w14:textFill>
                    </w:rPr>
                    <w:t>环保投资</w:t>
                  </w:r>
                  <w:r>
                    <w:rPr>
                      <w:rFonts w:hint="eastAsia"/>
                      <w:color w:val="000000" w:themeColor="text1"/>
                      <w14:textFill>
                        <w14:solidFill>
                          <w14:schemeClr w14:val="tx1"/>
                        </w14:solidFill>
                      </w14:textFill>
                    </w:rPr>
                    <w:t>合计</w:t>
                  </w:r>
                  <w:r>
                    <w:rPr>
                      <w:color w:val="000000" w:themeColor="text1"/>
                      <w14:textFill>
                        <w14:solidFill>
                          <w14:schemeClr w14:val="tx1"/>
                        </w14:solidFill>
                      </w14:textFill>
                    </w:rPr>
                    <w:t>（万元）</w:t>
                  </w:r>
                </w:p>
              </w:tc>
              <w:tc>
                <w:tcPr>
                  <w:tcW w:w="1799" w:type="pct"/>
                  <w:vAlign w:val="center"/>
                </w:tcPr>
                <w:p w14:paraId="787BA86E">
                  <w:pPr>
                    <w:pStyle w:val="4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33</w:t>
                  </w:r>
                  <w:r>
                    <w:rPr>
                      <w:rFonts w:hint="eastAsia"/>
                      <w:color w:val="000000" w:themeColor="text1"/>
                      <w:lang w:val="en-US" w:eastAsia="zh-CN"/>
                      <w14:textFill>
                        <w14:solidFill>
                          <w14:schemeClr w14:val="tx1"/>
                        </w14:solidFill>
                      </w14:textFill>
                    </w:rPr>
                    <w:t>.8</w:t>
                  </w:r>
                </w:p>
              </w:tc>
            </w:tr>
          </w:tbl>
          <w:p w14:paraId="78E58A8A">
            <w:pPr>
              <w:pStyle w:val="42"/>
              <w:rPr>
                <w:rFonts w:hint="eastAsia"/>
                <w:color w:val="000000" w:themeColor="text1"/>
                <w14:textFill>
                  <w14:solidFill>
                    <w14:schemeClr w14:val="tx1"/>
                  </w14:solidFill>
                </w14:textFill>
              </w:rPr>
            </w:pPr>
          </w:p>
        </w:tc>
      </w:tr>
    </w:tbl>
    <w:p w14:paraId="19E439C8">
      <w:pPr>
        <w:ind w:firstLine="480" w:firstLineChars="0"/>
        <w:rPr>
          <w:rFonts w:cs="Times New Roman"/>
          <w:color w:val="000000" w:themeColor="text1"/>
          <w:sz w:val="21"/>
          <w:szCs w:val="24"/>
          <w14:textFill>
            <w14:solidFill>
              <w14:schemeClr w14:val="tx1"/>
            </w14:solidFill>
          </w14:textFill>
        </w:rPr>
        <w:sectPr>
          <w:pgSz w:w="11907" w:h="16840"/>
          <w:pgMar w:top="1440" w:right="1797" w:bottom="1440" w:left="1797" w:header="851" w:footer="1077" w:gutter="0"/>
          <w:cols w:space="425" w:num="1"/>
          <w:docGrid w:linePitch="312" w:charSpace="0"/>
        </w:sectPr>
      </w:pPr>
    </w:p>
    <w:p w14:paraId="6956F88A">
      <w:pPr>
        <w:widowControl/>
        <w:spacing w:line="240" w:lineRule="auto"/>
        <w:ind w:firstLine="0" w:firstLineChars="0"/>
        <w:jc w:val="center"/>
        <w:outlineLvl w:val="0"/>
        <w:rPr>
          <w:rFonts w:hint="eastAsia" w:ascii="宋体" w:hAnsi="宋体" w:cs="Times New Roman"/>
          <w:b/>
          <w:bCs/>
          <w:snapToGrid w:val="0"/>
          <w:color w:val="000000" w:themeColor="text1"/>
          <w:kern w:val="0"/>
          <w:sz w:val="32"/>
          <w:szCs w:val="32"/>
          <w14:textFill>
            <w14:solidFill>
              <w14:schemeClr w14:val="tx1"/>
            </w14:solidFill>
          </w14:textFill>
        </w:rPr>
      </w:pPr>
      <w:bookmarkStart w:id="10" w:name="_Toc32320"/>
      <w:r>
        <w:rPr>
          <w:rFonts w:hint="eastAsia" w:ascii="宋体" w:hAnsi="宋体" w:cs="Times New Roman"/>
          <w:b/>
          <w:bCs/>
          <w:snapToGrid w:val="0"/>
          <w:color w:val="000000" w:themeColor="text1"/>
          <w:kern w:val="0"/>
          <w:sz w:val="32"/>
          <w:szCs w:val="32"/>
          <w14:textFill>
            <w14:solidFill>
              <w14:schemeClr w14:val="tx1"/>
            </w14:solidFill>
          </w14:textFill>
        </w:rPr>
        <w:t>六、生态环境保护措施监督检查清单</w:t>
      </w:r>
      <w:bookmarkEnd w:id="10"/>
    </w:p>
    <w:tbl>
      <w:tblPr>
        <w:tblStyle w:val="21"/>
        <w:tblW w:w="512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87"/>
        <w:gridCol w:w="4275"/>
        <w:gridCol w:w="2357"/>
        <w:gridCol w:w="4470"/>
        <w:gridCol w:w="2142"/>
      </w:tblGrid>
      <w:tr w14:paraId="477170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3" w:type="pct"/>
            <w:vMerge w:val="restart"/>
            <w:tcBorders>
              <w:tl2br w:val="single" w:color="auto" w:sz="4" w:space="0"/>
            </w:tcBorders>
          </w:tcPr>
          <w:p w14:paraId="39CD9809">
            <w:pPr>
              <w:pStyle w:val="4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 </w:t>
            </w:r>
            <w:r>
              <w:rPr>
                <w:b/>
                <w:bCs/>
                <w:color w:val="000000" w:themeColor="text1"/>
                <w14:textFill>
                  <w14:solidFill>
                    <w14:schemeClr w14:val="tx1"/>
                  </w14:solidFill>
                </w14:textFill>
              </w:rPr>
              <w:t xml:space="preserve">  </w:t>
            </w:r>
            <w:r>
              <w:rPr>
                <w:rFonts w:hint="eastAsia"/>
                <w:b/>
                <w:bCs/>
                <w:color w:val="000000" w:themeColor="text1"/>
                <w14:textFill>
                  <w14:solidFill>
                    <w14:schemeClr w14:val="tx1"/>
                  </w14:solidFill>
                </w14:textFill>
              </w:rPr>
              <w:t>内容要素</w:t>
            </w:r>
          </w:p>
        </w:tc>
        <w:tc>
          <w:tcPr>
            <w:tcW w:w="2282" w:type="pct"/>
            <w:gridSpan w:val="2"/>
            <w:vAlign w:val="center"/>
          </w:tcPr>
          <w:p w14:paraId="3A2995AA">
            <w:pPr>
              <w:pStyle w:val="4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施工期</w:t>
            </w:r>
          </w:p>
        </w:tc>
        <w:tc>
          <w:tcPr>
            <w:tcW w:w="2275" w:type="pct"/>
            <w:gridSpan w:val="2"/>
            <w:vAlign w:val="center"/>
          </w:tcPr>
          <w:p w14:paraId="726B45FF">
            <w:pPr>
              <w:pStyle w:val="4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运营期</w:t>
            </w:r>
          </w:p>
        </w:tc>
      </w:tr>
      <w:tr w14:paraId="35D61B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3" w:type="pct"/>
            <w:vMerge w:val="continue"/>
          </w:tcPr>
          <w:p w14:paraId="5095476D">
            <w:pPr>
              <w:pStyle w:val="40"/>
              <w:rPr>
                <w:b/>
                <w:bCs/>
                <w:color w:val="000000" w:themeColor="text1"/>
                <w14:textFill>
                  <w14:solidFill>
                    <w14:schemeClr w14:val="tx1"/>
                  </w14:solidFill>
                </w14:textFill>
              </w:rPr>
            </w:pPr>
          </w:p>
        </w:tc>
        <w:tc>
          <w:tcPr>
            <w:tcW w:w="1471" w:type="pct"/>
            <w:vAlign w:val="center"/>
          </w:tcPr>
          <w:p w14:paraId="4844FC09">
            <w:pPr>
              <w:pStyle w:val="4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环境保护措施</w:t>
            </w:r>
          </w:p>
        </w:tc>
        <w:tc>
          <w:tcPr>
            <w:tcW w:w="811" w:type="pct"/>
            <w:vAlign w:val="center"/>
          </w:tcPr>
          <w:p w14:paraId="7E976680">
            <w:pPr>
              <w:pStyle w:val="4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验收要求</w:t>
            </w:r>
          </w:p>
        </w:tc>
        <w:tc>
          <w:tcPr>
            <w:tcW w:w="1538" w:type="pct"/>
            <w:vAlign w:val="center"/>
          </w:tcPr>
          <w:p w14:paraId="6C58FD25">
            <w:pPr>
              <w:pStyle w:val="4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环境保护措施</w:t>
            </w:r>
          </w:p>
        </w:tc>
        <w:tc>
          <w:tcPr>
            <w:tcW w:w="737" w:type="pct"/>
            <w:vAlign w:val="center"/>
          </w:tcPr>
          <w:p w14:paraId="60AD2323">
            <w:pPr>
              <w:pStyle w:val="4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验收要求</w:t>
            </w:r>
          </w:p>
        </w:tc>
      </w:tr>
      <w:tr w14:paraId="749F1D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3" w:type="pct"/>
            <w:vAlign w:val="center"/>
          </w:tcPr>
          <w:p w14:paraId="7D7A7D74">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陆生生态</w:t>
            </w:r>
          </w:p>
        </w:tc>
        <w:tc>
          <w:tcPr>
            <w:tcW w:w="1471" w:type="pct"/>
            <w:vAlign w:val="center"/>
          </w:tcPr>
          <w:p w14:paraId="3298EAD4">
            <w:pPr>
              <w:pStyle w:val="40"/>
              <w:jc w:val="both"/>
              <w:rPr>
                <w:rFonts w:hint="eastAsia" w:ascii="宋体" w:hAnsi="宋体"/>
                <w:color w:val="000000" w:themeColor="text1"/>
                <w14:textFill>
                  <w14:solidFill>
                    <w14:schemeClr w14:val="tx1"/>
                  </w14:solidFill>
                </w14:textFill>
              </w:rPr>
            </w:pPr>
            <w:r>
              <w:rPr>
                <w:rFonts w:hint="eastAsia" w:ascii="宋体" w:hAnsi="宋体" w:cs="宋体"/>
                <w:kern w:val="0"/>
                <w:lang w:bidi="ar"/>
              </w:rPr>
              <w:t>施工前划定施工区域，施工过程中尽量减少临时占地范围，合理规划运输路线，减小开挖土石方量，并适当修建防治水土流失设施，同时加强管理，施工完成后及时进行场地平整，清除多余的土方和石料，严禁随意倾倒和覆压植被。</w:t>
            </w:r>
          </w:p>
        </w:tc>
        <w:tc>
          <w:tcPr>
            <w:tcW w:w="811" w:type="pct"/>
            <w:vAlign w:val="center"/>
          </w:tcPr>
          <w:p w14:paraId="1474639C">
            <w:pPr>
              <w:pStyle w:val="40"/>
              <w:rPr>
                <w:rFonts w:hint="eastAsia" w:ascii="宋体" w:hAnsi="宋体"/>
                <w:color w:val="000000" w:themeColor="text1"/>
                <w14:textFill>
                  <w14:solidFill>
                    <w14:schemeClr w14:val="tx1"/>
                  </w14:solidFill>
                </w14:textFill>
              </w:rPr>
            </w:pPr>
            <w:r>
              <w:rPr>
                <w:rFonts w:hint="eastAsia"/>
                <w:color w:val="000000" w:themeColor="text1"/>
                <w14:textFill>
                  <w14:solidFill>
                    <w14:schemeClr w14:val="tx1"/>
                  </w14:solidFill>
                </w14:textFill>
              </w:rPr>
              <w:t>施工迹地恢复，无其他占地</w:t>
            </w:r>
          </w:p>
        </w:tc>
        <w:tc>
          <w:tcPr>
            <w:tcW w:w="1538" w:type="pct"/>
            <w:vAlign w:val="center"/>
          </w:tcPr>
          <w:p w14:paraId="05655470">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施工临时占地后续全部硬化，作为变电站进出场道路</w:t>
            </w:r>
          </w:p>
        </w:tc>
        <w:tc>
          <w:tcPr>
            <w:tcW w:w="737" w:type="pct"/>
            <w:vAlign w:val="center"/>
          </w:tcPr>
          <w:p w14:paraId="5B9A0E5C">
            <w:pPr>
              <w:spacing w:line="240" w:lineRule="auto"/>
              <w:ind w:firstLine="0" w:firstLineChars="0"/>
              <w:jc w:val="center"/>
              <w:rPr>
                <w:rFonts w:hint="eastAsia"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w:t>
            </w:r>
          </w:p>
        </w:tc>
      </w:tr>
      <w:tr w14:paraId="26686D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3" w:type="pct"/>
            <w:vAlign w:val="center"/>
          </w:tcPr>
          <w:p w14:paraId="6350BA85">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水生生态</w:t>
            </w:r>
          </w:p>
        </w:tc>
        <w:tc>
          <w:tcPr>
            <w:tcW w:w="1471" w:type="pct"/>
            <w:vAlign w:val="center"/>
          </w:tcPr>
          <w:p w14:paraId="4E668F8D">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w:t>
            </w:r>
          </w:p>
        </w:tc>
        <w:tc>
          <w:tcPr>
            <w:tcW w:w="811" w:type="pct"/>
            <w:vAlign w:val="center"/>
          </w:tcPr>
          <w:p w14:paraId="68C26FE4">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w:t>
            </w:r>
          </w:p>
        </w:tc>
        <w:tc>
          <w:tcPr>
            <w:tcW w:w="1538" w:type="pct"/>
            <w:vAlign w:val="center"/>
          </w:tcPr>
          <w:p w14:paraId="630EEB0D">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w:t>
            </w:r>
          </w:p>
        </w:tc>
        <w:tc>
          <w:tcPr>
            <w:tcW w:w="737" w:type="pct"/>
            <w:vAlign w:val="center"/>
          </w:tcPr>
          <w:p w14:paraId="2F69B43F">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w:t>
            </w:r>
          </w:p>
        </w:tc>
      </w:tr>
      <w:tr w14:paraId="3A7100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3" w:type="pct"/>
            <w:vAlign w:val="center"/>
          </w:tcPr>
          <w:p w14:paraId="055EE52F">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地表水环境</w:t>
            </w:r>
          </w:p>
        </w:tc>
        <w:tc>
          <w:tcPr>
            <w:tcW w:w="1471" w:type="pct"/>
            <w:vAlign w:val="center"/>
          </w:tcPr>
          <w:p w14:paraId="1DB326C0">
            <w:pPr>
              <w:pStyle w:val="40"/>
              <w:rPr>
                <w:color w:val="000000" w:themeColor="text1"/>
                <w14:textFill>
                  <w14:solidFill>
                    <w14:schemeClr w14:val="tx1"/>
                  </w14:solidFill>
                </w14:textFill>
              </w:rPr>
            </w:pPr>
            <w:r>
              <w:rPr>
                <w:color w:val="000000" w:themeColor="text1"/>
                <w14:textFill>
                  <w14:solidFill>
                    <w14:schemeClr w14:val="tx1"/>
                  </w14:solidFill>
                </w14:textFill>
              </w:rPr>
              <w:t>施工废水通过沉淀池处理；施工生活污水</w:t>
            </w:r>
            <w:r>
              <w:rPr>
                <w:rFonts w:hint="eastAsia"/>
                <w:color w:val="000000" w:themeColor="text1"/>
                <w14:textFill>
                  <w14:solidFill>
                    <w14:schemeClr w14:val="tx1"/>
                  </w14:solidFill>
                </w14:textFill>
              </w:rPr>
              <w:t>依托现有处理设施</w:t>
            </w:r>
            <w:r>
              <w:rPr>
                <w:color w:val="000000" w:themeColor="text1"/>
                <w14:textFill>
                  <w14:solidFill>
                    <w14:schemeClr w14:val="tx1"/>
                  </w14:solidFill>
                </w14:textFill>
              </w:rPr>
              <w:t>处理。</w:t>
            </w:r>
          </w:p>
        </w:tc>
        <w:tc>
          <w:tcPr>
            <w:tcW w:w="811" w:type="pct"/>
            <w:vAlign w:val="center"/>
          </w:tcPr>
          <w:p w14:paraId="09B0FE43">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相关措施落实，对周围水环境无影响</w:t>
            </w:r>
          </w:p>
        </w:tc>
        <w:tc>
          <w:tcPr>
            <w:tcW w:w="4470" w:type="dxa"/>
            <w:vAlign w:val="center"/>
          </w:tcPr>
          <w:p w14:paraId="646D1505">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生活污水生活污水化粪池处理后，采用吸粪车拉运至苏尼特右旗新蒙新材料有限公司生活污水处理站处理。</w:t>
            </w:r>
          </w:p>
        </w:tc>
        <w:tc>
          <w:tcPr>
            <w:tcW w:w="2142" w:type="dxa"/>
            <w:vAlign w:val="center"/>
          </w:tcPr>
          <w:p w14:paraId="11983759">
            <w:pPr>
              <w:pStyle w:val="4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w:t>
            </w:r>
          </w:p>
        </w:tc>
      </w:tr>
      <w:tr w14:paraId="5196E4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3" w:type="pct"/>
            <w:vAlign w:val="center"/>
          </w:tcPr>
          <w:p w14:paraId="580B6F39">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地下水及土壤环境</w:t>
            </w:r>
          </w:p>
        </w:tc>
        <w:tc>
          <w:tcPr>
            <w:tcW w:w="1471" w:type="pct"/>
            <w:vAlign w:val="center"/>
          </w:tcPr>
          <w:p w14:paraId="7202012C">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11" w:type="pct"/>
            <w:vAlign w:val="center"/>
          </w:tcPr>
          <w:p w14:paraId="0A1EF66E">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38" w:type="pct"/>
            <w:vAlign w:val="center"/>
          </w:tcPr>
          <w:p w14:paraId="43F6CADC">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37" w:type="pct"/>
            <w:vAlign w:val="center"/>
          </w:tcPr>
          <w:p w14:paraId="1486B125">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C3C0A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3" w:type="pct"/>
            <w:vAlign w:val="center"/>
          </w:tcPr>
          <w:p w14:paraId="43030141">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声环境</w:t>
            </w:r>
          </w:p>
        </w:tc>
        <w:tc>
          <w:tcPr>
            <w:tcW w:w="1471" w:type="pct"/>
            <w:vAlign w:val="center"/>
          </w:tcPr>
          <w:p w14:paraId="1EF46D55">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加强施工期管理，合理布置施工现场，采用低噪声设备，加强施工机械的维修、养护，将较强的噪声源尽量设在远离居住区的地方，并对强噪声源设立围挡。合理安排施工时间和运输路线，限制夜间进行高噪声施工，确需施工的，需办理相关审批手续。</w:t>
            </w:r>
          </w:p>
        </w:tc>
        <w:tc>
          <w:tcPr>
            <w:tcW w:w="811" w:type="pct"/>
            <w:vAlign w:val="center"/>
          </w:tcPr>
          <w:p w14:paraId="3004C394">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《建筑施工场界环境噪声排放标》（GB12523-2011）标准</w:t>
            </w:r>
          </w:p>
        </w:tc>
        <w:tc>
          <w:tcPr>
            <w:tcW w:w="1538" w:type="pct"/>
            <w:vAlign w:val="center"/>
          </w:tcPr>
          <w:p w14:paraId="05FF0B5F">
            <w:pPr>
              <w:pStyle w:val="40"/>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所有产噪设备均应选用低噪声设备，基础垫衬减振材料</w:t>
            </w:r>
            <w:r>
              <w:rPr>
                <w:rFonts w:cs="Times New Roman"/>
                <w:color w:val="000000" w:themeColor="text1"/>
                <w14:textFill>
                  <w14:solidFill>
                    <w14:schemeClr w14:val="tx1"/>
                  </w14:solidFill>
                </w14:textFill>
              </w:rPr>
              <w:t>。</w:t>
            </w:r>
          </w:p>
        </w:tc>
        <w:tc>
          <w:tcPr>
            <w:tcW w:w="737" w:type="pct"/>
            <w:vAlign w:val="center"/>
          </w:tcPr>
          <w:p w14:paraId="69ED5BA4">
            <w:pPr>
              <w:pStyle w:val="40"/>
              <w:jc w:val="both"/>
              <w:rPr>
                <w:color w:val="000000" w:themeColor="text1"/>
                <w14:textFill>
                  <w14:solidFill>
                    <w14:schemeClr w14:val="tx1"/>
                  </w14:solidFill>
                </w14:textFill>
              </w:rPr>
            </w:pPr>
            <w:r>
              <w:rPr>
                <w:rFonts w:hint="eastAsia"/>
                <w:color w:val="auto"/>
              </w:rPr>
              <w:t>《工业企业厂界环境噪声排放标准》(GB12348-2008) 2 类标准限值的要求</w:t>
            </w:r>
          </w:p>
        </w:tc>
      </w:tr>
      <w:tr w14:paraId="36C342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3" w:type="pct"/>
            <w:vAlign w:val="center"/>
          </w:tcPr>
          <w:p w14:paraId="109203D2">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振动</w:t>
            </w:r>
          </w:p>
        </w:tc>
        <w:tc>
          <w:tcPr>
            <w:tcW w:w="1471" w:type="pct"/>
            <w:vAlign w:val="center"/>
          </w:tcPr>
          <w:p w14:paraId="067CE055">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11" w:type="pct"/>
            <w:vAlign w:val="center"/>
          </w:tcPr>
          <w:p w14:paraId="60B90C9B">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38" w:type="pct"/>
            <w:vAlign w:val="center"/>
          </w:tcPr>
          <w:p w14:paraId="52013074">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37" w:type="pct"/>
            <w:vAlign w:val="center"/>
          </w:tcPr>
          <w:p w14:paraId="0D1DE860">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7C72F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3" w:type="pct"/>
            <w:vAlign w:val="center"/>
          </w:tcPr>
          <w:p w14:paraId="43C01880">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大气环境</w:t>
            </w:r>
          </w:p>
        </w:tc>
        <w:tc>
          <w:tcPr>
            <w:tcW w:w="1471" w:type="pct"/>
            <w:vAlign w:val="center"/>
          </w:tcPr>
          <w:p w14:paraId="11CE6C10">
            <w:pPr>
              <w:pStyle w:val="40"/>
              <w:rPr>
                <w:color w:val="000000" w:themeColor="text1"/>
                <w14:textFill>
                  <w14:solidFill>
                    <w14:schemeClr w14:val="tx1"/>
                  </w14:solidFill>
                </w14:textFill>
              </w:rPr>
            </w:pPr>
            <w:r>
              <w:rPr>
                <w:color w:val="000000" w:themeColor="text1"/>
                <w14:textFill>
                  <w14:solidFill>
                    <w14:schemeClr w14:val="tx1"/>
                  </w14:solidFill>
                </w14:textFill>
              </w:rPr>
              <w:t>设置施工围挡，对施工现场出入口内外道路进行清扫保洁，进出车辆及时清</w:t>
            </w:r>
            <w:r>
              <w:rPr>
                <w:rFonts w:hint="eastAsia" w:cs="宋体"/>
                <w:color w:val="000000" w:themeColor="text1"/>
                <w14:textFill>
                  <w14:solidFill>
                    <w14:schemeClr w14:val="tx1"/>
                  </w14:solidFill>
                </w14:textFill>
              </w:rPr>
              <w:t>洗</w:t>
            </w:r>
          </w:p>
        </w:tc>
        <w:tc>
          <w:tcPr>
            <w:tcW w:w="811" w:type="pct"/>
            <w:vAlign w:val="center"/>
          </w:tcPr>
          <w:p w14:paraId="4A8185D1">
            <w:pPr>
              <w:pStyle w:val="40"/>
              <w:rPr>
                <w:color w:val="000000" w:themeColor="text1"/>
                <w14:textFill>
                  <w14:solidFill>
                    <w14:schemeClr w14:val="tx1"/>
                  </w14:solidFill>
                </w14:textFill>
              </w:rPr>
            </w:pPr>
            <w:r>
              <w:rPr>
                <w:color w:val="000000" w:themeColor="text1"/>
                <w14:textFill>
                  <w14:solidFill>
                    <w14:schemeClr w14:val="tx1"/>
                  </w14:solidFill>
                </w14:textFill>
              </w:rPr>
              <w:t>相关措施落实，对区域大气环境无影</w:t>
            </w:r>
            <w:r>
              <w:rPr>
                <w:rFonts w:hint="eastAsia" w:cs="宋体"/>
                <w:color w:val="000000" w:themeColor="text1"/>
                <w14:textFill>
                  <w14:solidFill>
                    <w14:schemeClr w14:val="tx1"/>
                  </w14:solidFill>
                </w14:textFill>
              </w:rPr>
              <w:t>响</w:t>
            </w:r>
          </w:p>
        </w:tc>
        <w:tc>
          <w:tcPr>
            <w:tcW w:w="1538" w:type="pct"/>
            <w:vAlign w:val="center"/>
          </w:tcPr>
          <w:p w14:paraId="0F3BFFD0">
            <w:pPr>
              <w:pStyle w:val="40"/>
              <w:rPr>
                <w:color w:val="000000" w:themeColor="text1"/>
                <w14:textFill>
                  <w14:solidFill>
                    <w14:schemeClr w14:val="tx1"/>
                  </w14:solidFill>
                </w14:textFill>
              </w:rPr>
            </w:pPr>
            <w:r>
              <w:rPr>
                <w:color w:val="000000" w:themeColor="text1"/>
                <w14:textFill>
                  <w14:solidFill>
                    <w14:schemeClr w14:val="tx1"/>
                  </w14:solidFill>
                </w14:textFill>
              </w:rPr>
              <w:t>/</w:t>
            </w:r>
          </w:p>
        </w:tc>
        <w:tc>
          <w:tcPr>
            <w:tcW w:w="737" w:type="pct"/>
            <w:vAlign w:val="center"/>
          </w:tcPr>
          <w:p w14:paraId="6E5BD288">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96F87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3" w:type="pct"/>
            <w:vAlign w:val="center"/>
          </w:tcPr>
          <w:p w14:paraId="6D060642">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固体废物</w:t>
            </w:r>
          </w:p>
        </w:tc>
        <w:tc>
          <w:tcPr>
            <w:tcW w:w="1471" w:type="pct"/>
            <w:vAlign w:val="center"/>
          </w:tcPr>
          <w:p w14:paraId="2762FB79">
            <w:pPr>
              <w:pStyle w:val="40"/>
              <w:rPr>
                <w:color w:val="000000" w:themeColor="text1"/>
                <w14:textFill>
                  <w14:solidFill>
                    <w14:schemeClr w14:val="tx1"/>
                  </w14:solidFill>
                </w14:textFill>
              </w:rPr>
            </w:pPr>
            <w:r>
              <w:rPr>
                <w:color w:val="000000" w:themeColor="text1"/>
                <w14:textFill>
                  <w14:solidFill>
                    <w14:schemeClr w14:val="tx1"/>
                  </w14:solidFill>
                </w14:textFill>
              </w:rPr>
              <w:t>生活垃圾应集中堆放，委托当地环卫部门定期清运，建筑垃圾应运至指定地点倾倒</w:t>
            </w:r>
          </w:p>
        </w:tc>
        <w:tc>
          <w:tcPr>
            <w:tcW w:w="811" w:type="pct"/>
            <w:vAlign w:val="center"/>
          </w:tcPr>
          <w:p w14:paraId="3428D640">
            <w:pPr>
              <w:pStyle w:val="40"/>
              <w:rPr>
                <w:color w:val="000000" w:themeColor="text1"/>
                <w14:textFill>
                  <w14:solidFill>
                    <w14:schemeClr w14:val="tx1"/>
                  </w14:solidFill>
                </w14:textFill>
              </w:rPr>
            </w:pPr>
            <w:r>
              <w:rPr>
                <w:color w:val="000000" w:themeColor="text1"/>
                <w14:textFill>
                  <w14:solidFill>
                    <w14:schemeClr w14:val="tx1"/>
                  </w14:solidFill>
                </w14:textFill>
              </w:rPr>
              <w:t>落实相关措施，无乱丢乱弃</w:t>
            </w:r>
          </w:p>
        </w:tc>
        <w:tc>
          <w:tcPr>
            <w:tcW w:w="4470" w:type="dxa"/>
            <w:vAlign w:val="center"/>
          </w:tcPr>
          <w:p w14:paraId="3BBF0721">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生活垃圾由环卫部门清运；废旧蓄电池由有资质的生产厂家回收处置；事故油由有资质的单位转运处置。</w:t>
            </w:r>
          </w:p>
        </w:tc>
        <w:tc>
          <w:tcPr>
            <w:tcW w:w="2142" w:type="dxa"/>
            <w:vAlign w:val="center"/>
          </w:tcPr>
          <w:p w14:paraId="74B268D3">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34BB6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3" w:type="pct"/>
            <w:vAlign w:val="center"/>
          </w:tcPr>
          <w:p w14:paraId="7B2D8378">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电磁环境</w:t>
            </w:r>
          </w:p>
        </w:tc>
        <w:tc>
          <w:tcPr>
            <w:tcW w:w="1471" w:type="pct"/>
            <w:vAlign w:val="center"/>
          </w:tcPr>
          <w:p w14:paraId="1A2ECAF1">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11" w:type="pct"/>
            <w:vAlign w:val="center"/>
          </w:tcPr>
          <w:p w14:paraId="1705A930">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38" w:type="pct"/>
            <w:vAlign w:val="center"/>
          </w:tcPr>
          <w:p w14:paraId="2A8D9ABA">
            <w:pPr>
              <w:pStyle w:val="40"/>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变电站：电气设备集中布置，在设计中应按有关规程采取一系列的控制过电压、防治电磁感应场强水平的措施等。</w:t>
            </w:r>
          </w:p>
        </w:tc>
        <w:tc>
          <w:tcPr>
            <w:tcW w:w="737" w:type="pct"/>
            <w:vAlign w:val="center"/>
          </w:tcPr>
          <w:p w14:paraId="70FB4BC6">
            <w:pPr>
              <w:pStyle w:val="40"/>
              <w:jc w:val="both"/>
              <w:rPr>
                <w:color w:val="000000" w:themeColor="text1"/>
                <w14:textFill>
                  <w14:solidFill>
                    <w14:schemeClr w14:val="tx1"/>
                  </w14:solidFill>
                </w14:textFill>
              </w:rPr>
            </w:pPr>
            <w:r>
              <w:rPr>
                <w:color w:val="000000" w:themeColor="text1"/>
                <w14:textFill>
                  <w14:solidFill>
                    <w14:schemeClr w14:val="tx1"/>
                  </w14:solidFill>
                </w14:textFill>
              </w:rPr>
              <w:t>执行《电磁环境控制限值》(GB8702-2014)</w:t>
            </w:r>
          </w:p>
        </w:tc>
      </w:tr>
      <w:tr w14:paraId="2708BD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3" w:type="pct"/>
            <w:vAlign w:val="center"/>
          </w:tcPr>
          <w:p w14:paraId="01D848AD">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环境风险</w:t>
            </w:r>
          </w:p>
        </w:tc>
        <w:tc>
          <w:tcPr>
            <w:tcW w:w="1471" w:type="pct"/>
            <w:vAlign w:val="center"/>
          </w:tcPr>
          <w:p w14:paraId="5651E7BA">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11" w:type="pct"/>
            <w:vAlign w:val="center"/>
          </w:tcPr>
          <w:p w14:paraId="603FEAD8">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38" w:type="pct"/>
            <w:vAlign w:val="center"/>
          </w:tcPr>
          <w:p w14:paraId="76E5D764">
            <w:pPr>
              <w:pStyle w:val="40"/>
              <w:jc w:val="both"/>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变电站主变下方均设置</w:t>
            </w:r>
            <w:r>
              <w:rPr>
                <w:rFonts w:hint="eastAsia"/>
                <w:color w:val="auto"/>
              </w:rPr>
              <w:t>30m</w:t>
            </w:r>
            <w:r>
              <w:rPr>
                <w:rFonts w:hint="eastAsia"/>
                <w:color w:val="auto"/>
                <w:vertAlign w:val="superscript"/>
              </w:rPr>
              <w:t>3</w:t>
            </w:r>
            <w:r>
              <w:rPr>
                <w:rFonts w:hint="eastAsia" w:cs="Times New Roman"/>
                <w:color w:val="000000" w:themeColor="text1"/>
                <w14:textFill>
                  <w14:solidFill>
                    <w14:schemeClr w14:val="tx1"/>
                  </w14:solidFill>
                </w14:textFill>
              </w:rPr>
              <w:t>事故油坑，事故油通过排油管道集中排至事故油池，由有资质单位转运处置。事故油坑、排油管道以及事故油池均需做防渗处理。</w:t>
            </w:r>
            <w:r>
              <w:rPr>
                <w:rFonts w:hint="eastAsia"/>
              </w:rPr>
              <w:t>（防渗层为至少 1m 厚黏土层(渗透系数不大于10</w:t>
            </w:r>
            <w:r>
              <w:rPr>
                <w:rFonts w:hint="eastAsia"/>
                <w:vertAlign w:val="superscript"/>
              </w:rPr>
              <w:t>-7</w:t>
            </w:r>
            <w:r>
              <w:rPr>
                <w:rFonts w:hint="eastAsia"/>
              </w:rPr>
              <w:t>cm/s)，或至少2mm厚高密度聚乙烯膜等人工防渗材料(渗透系数不大于10</w:t>
            </w:r>
            <w:r>
              <w:rPr>
                <w:rFonts w:hint="eastAsia"/>
                <w:vertAlign w:val="superscript"/>
              </w:rPr>
              <w:t>-10</w:t>
            </w:r>
            <w:r>
              <w:rPr>
                <w:rFonts w:hint="eastAsia"/>
              </w:rPr>
              <w:t>cm/s)，或其他防渗性能等效的材料。）</w:t>
            </w:r>
          </w:p>
        </w:tc>
        <w:tc>
          <w:tcPr>
            <w:tcW w:w="737" w:type="pct"/>
            <w:vAlign w:val="center"/>
          </w:tcPr>
          <w:p w14:paraId="7EE5321B">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事故</w:t>
            </w:r>
            <w:r>
              <w:rPr>
                <w:rFonts w:hint="eastAsia"/>
                <w:color w:val="000000" w:themeColor="text1"/>
                <w:lang w:val="en-US" w:eastAsia="zh-CN"/>
                <w14:textFill>
                  <w14:solidFill>
                    <w14:schemeClr w14:val="tx1"/>
                  </w14:solidFill>
                </w14:textFill>
              </w:rPr>
              <w:t>收集设施</w:t>
            </w:r>
            <w:r>
              <w:rPr>
                <w:rFonts w:hint="eastAsia"/>
                <w:color w:val="000000" w:themeColor="text1"/>
                <w14:textFill>
                  <w14:solidFill>
                    <w14:schemeClr w14:val="tx1"/>
                  </w14:solidFill>
                </w14:textFill>
              </w:rPr>
              <w:t>要求防渗满足危废贮存标准要求</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制定相应风险防控措施及相关规章制度，并严格落实，将风险事故降到较低的水平</w:t>
            </w:r>
          </w:p>
        </w:tc>
      </w:tr>
      <w:tr w14:paraId="65BA5F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3" w:type="pct"/>
            <w:vAlign w:val="center"/>
          </w:tcPr>
          <w:p w14:paraId="3731496A">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环境监测</w:t>
            </w:r>
          </w:p>
        </w:tc>
        <w:tc>
          <w:tcPr>
            <w:tcW w:w="1471" w:type="pct"/>
            <w:vAlign w:val="center"/>
          </w:tcPr>
          <w:p w14:paraId="2554C1F1">
            <w:pPr>
              <w:pStyle w:val="40"/>
              <w:rPr>
                <w:color w:val="000000" w:themeColor="text1"/>
                <w14:textFill>
                  <w14:solidFill>
                    <w14:schemeClr w14:val="tx1"/>
                  </w14:solidFill>
                </w14:textFill>
              </w:rPr>
            </w:pPr>
            <w:r>
              <w:rPr>
                <w:rFonts w:hint="eastAsia"/>
                <w:color w:val="0000FF"/>
              </w:rPr>
              <w:t>结合工程竣工环境保护验收，正式运行后进行一次监测，并针对公众投诉进行必要的监测；主要声源设备大修前后，应对变电工程厂界排放噪声进行监测，监测结果对外公示。</w:t>
            </w:r>
          </w:p>
        </w:tc>
        <w:tc>
          <w:tcPr>
            <w:tcW w:w="811" w:type="pct"/>
            <w:vAlign w:val="center"/>
          </w:tcPr>
          <w:p w14:paraId="6C63907D">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设立专门环境管理机构，负责工程的日常环境管理工作；施工期和运营期的环境管理方案实施落实到位；确保施工期环境管理计划实施，保障施工期环保措施的落实</w:t>
            </w:r>
          </w:p>
        </w:tc>
        <w:tc>
          <w:tcPr>
            <w:tcW w:w="1538" w:type="pct"/>
            <w:vAlign w:val="center"/>
          </w:tcPr>
          <w:p w14:paraId="46AEC53D">
            <w:pPr>
              <w:pStyle w:val="4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电磁环境、声环境影响监测：①监测点位布置：站界四周，四个点位。②监测项目：工频电场、工频磁场和噪声。③竣工验收：运行后应进行环境保护竣工验收。④监测频次：在建设项目竣工验收正式投入后，根据需要，必要时进行再次监测。</w:t>
            </w:r>
          </w:p>
        </w:tc>
        <w:tc>
          <w:tcPr>
            <w:tcW w:w="737" w:type="pct"/>
            <w:vAlign w:val="center"/>
          </w:tcPr>
          <w:p w14:paraId="60E3015F">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运营期项目环境管理和监测计划的落实</w:t>
            </w:r>
          </w:p>
        </w:tc>
      </w:tr>
      <w:tr w14:paraId="28DD09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3" w:type="pct"/>
            <w:vAlign w:val="center"/>
          </w:tcPr>
          <w:p w14:paraId="65B5D476">
            <w:pPr>
              <w:pStyle w:val="40"/>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其他</w:t>
            </w:r>
          </w:p>
        </w:tc>
        <w:tc>
          <w:tcPr>
            <w:tcW w:w="1471" w:type="pct"/>
            <w:vAlign w:val="center"/>
          </w:tcPr>
          <w:p w14:paraId="4E27D4F4">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11" w:type="pct"/>
            <w:vAlign w:val="center"/>
          </w:tcPr>
          <w:p w14:paraId="37E2293E">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38" w:type="pct"/>
            <w:vAlign w:val="center"/>
          </w:tcPr>
          <w:p w14:paraId="2FE3DF06">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37" w:type="pct"/>
            <w:vAlign w:val="center"/>
          </w:tcPr>
          <w:p w14:paraId="50D61367">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26E273EC">
      <w:pPr>
        <w:pStyle w:val="38"/>
        <w:rPr>
          <w:snapToGrid w:val="0"/>
        </w:rPr>
        <w:sectPr>
          <w:pgSz w:w="16838" w:h="11906" w:orient="landscape"/>
          <w:pgMar w:top="1800" w:right="1440" w:bottom="1800" w:left="1440" w:header="851" w:footer="992" w:gutter="0"/>
          <w:cols w:space="425" w:num="1"/>
          <w:docGrid w:type="lines" w:linePitch="326" w:charSpace="0"/>
        </w:sectPr>
      </w:pPr>
    </w:p>
    <w:p w14:paraId="77E47C8A">
      <w:pPr>
        <w:widowControl/>
        <w:spacing w:line="240" w:lineRule="auto"/>
        <w:ind w:firstLine="0" w:firstLineChars="0"/>
        <w:jc w:val="center"/>
        <w:outlineLvl w:val="0"/>
        <w:rPr>
          <w:rFonts w:hint="eastAsia" w:ascii="宋体" w:hAnsi="宋体" w:cs="Times New Roman"/>
          <w:b/>
          <w:bCs/>
          <w:snapToGrid w:val="0"/>
          <w:color w:val="000000" w:themeColor="text1"/>
          <w:kern w:val="0"/>
          <w:sz w:val="32"/>
          <w:szCs w:val="32"/>
          <w14:textFill>
            <w14:solidFill>
              <w14:schemeClr w14:val="tx1"/>
            </w14:solidFill>
          </w14:textFill>
        </w:rPr>
      </w:pPr>
      <w:bookmarkStart w:id="11" w:name="_Toc16721"/>
      <w:r>
        <w:rPr>
          <w:rFonts w:hint="eastAsia" w:ascii="宋体" w:hAnsi="宋体" w:cs="Times New Roman"/>
          <w:b/>
          <w:bCs/>
          <w:snapToGrid w:val="0"/>
          <w:color w:val="000000" w:themeColor="text1"/>
          <w:kern w:val="0"/>
          <w:sz w:val="32"/>
          <w:szCs w:val="32"/>
          <w14:textFill>
            <w14:solidFill>
              <w14:schemeClr w14:val="tx1"/>
            </w14:solidFill>
          </w14:textFill>
        </w:rPr>
        <w:t>七、结论</w:t>
      </w:r>
      <w:bookmarkEnd w:id="11"/>
    </w:p>
    <w:tbl>
      <w:tblPr>
        <w:tblStyle w:val="21"/>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2E246B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vAlign w:val="center"/>
          </w:tcPr>
          <w:p w14:paraId="3E15B72F">
            <w:pPr>
              <w:adjustRightInd w:val="0"/>
              <w:snapToGrid w:val="0"/>
              <w:spacing w:line="486" w:lineRule="exact"/>
              <w:ind w:firstLine="480"/>
            </w:pPr>
            <w:r>
              <w:rPr>
                <w:rFonts w:hint="eastAsia" w:cs="Times New Roman"/>
                <w:bCs/>
              </w:rPr>
              <w:t>本建设项目为内蒙古新蒙新科技有限公司10万吨负极材料项目110kV 变电站工程，</w:t>
            </w:r>
            <w:r>
              <w:rPr>
                <w:rFonts w:cs="Times New Roman"/>
                <w:color w:val="000000" w:themeColor="text1"/>
                <w:szCs w:val="36"/>
                <w14:textFill>
                  <w14:solidFill>
                    <w14:schemeClr w14:val="tx1"/>
                  </w14:solidFill>
                </w14:textFill>
              </w:rPr>
              <w:t>位于</w:t>
            </w:r>
            <w:r>
              <w:rPr>
                <w:rFonts w:hint="eastAsia" w:cs="Times New Roman"/>
                <w:color w:val="000000" w:themeColor="text1"/>
                <w:szCs w:val="36"/>
                <w14:textFill>
                  <w14:solidFill>
                    <w14:schemeClr w14:val="tx1"/>
                  </w14:solidFill>
                </w14:textFill>
              </w:rPr>
              <w:t>内蒙古锡林郭勒盟苏尼特右旗朱日和镇，内蒙古新蒙新科技有限公司厂区内，</w:t>
            </w:r>
            <w:r>
              <w:rPr>
                <w:rFonts w:hint="eastAsia" w:cs="Times New Roman"/>
                <w:bCs/>
              </w:rPr>
              <w:t>本项目符合国家产业政策要求，选址合理。该项目在建设和营运中严格按照相应的治理措施和建议进行管理，在坚持“三同时”原则的基础上，在认真落实本报告中提出的各项污染防治措施及建议的前提下，加强环境管理，其噪声、废水、辐射等对周围环境的影响控制在可接受范围内，从环境保护角度分析，该建设项目可行。</w:t>
            </w:r>
          </w:p>
        </w:tc>
      </w:tr>
    </w:tbl>
    <w:p w14:paraId="265226C6">
      <w:pPr>
        <w:ind w:firstLine="480" w:firstLineChars="0"/>
        <w:rPr>
          <w:rFonts w:ascii="宋体" w:cs="Times New Roman"/>
          <w:color w:val="000000" w:themeColor="text1"/>
          <w:sz w:val="21"/>
          <w:szCs w:val="24"/>
          <w14:textFill>
            <w14:solidFill>
              <w14:schemeClr w14:val="tx1"/>
            </w14:solidFill>
          </w14:textFill>
        </w:rPr>
        <w:sectPr>
          <w:pgSz w:w="11906" w:h="16838"/>
          <w:pgMar w:top="1440" w:right="1800" w:bottom="1440" w:left="1800" w:header="851" w:footer="992" w:gutter="0"/>
          <w:cols w:space="425" w:num="1"/>
          <w:docGrid w:type="lines" w:linePitch="326" w:charSpace="0"/>
        </w:sectPr>
      </w:pPr>
    </w:p>
    <w:p w14:paraId="23362238">
      <w:pPr>
        <w:pStyle w:val="40"/>
        <w:jc w:val="both"/>
        <w:rPr>
          <w:rFonts w:hint="eastAsia" w:ascii="黑体" w:hAnsi="黑体" w:eastAsia="黑体" w:cs="Times New Roman"/>
          <w:snapToGrid w:val="0"/>
          <w:color w:val="000000" w:themeColor="text1"/>
          <w:kern w:val="0"/>
          <w:sz w:val="32"/>
          <w:szCs w:val="32"/>
          <w14:textFill>
            <w14:solidFill>
              <w14:schemeClr w14:val="tx1"/>
            </w14:solidFill>
          </w14:textFill>
        </w:rPr>
      </w:pPr>
      <w:r>
        <w:rPr>
          <w:rFonts w:ascii="黑体" w:hAnsi="黑体" w:eastAsia="黑体" w:cs="Times New Roman"/>
          <w:snapToGrid w:val="0"/>
          <w:color w:val="000000" w:themeColor="text1"/>
          <w:kern w:val="0"/>
          <w:sz w:val="32"/>
          <w:szCs w:val="32"/>
          <w14:textFill>
            <w14:solidFill>
              <w14:schemeClr w14:val="tx1"/>
            </w14:solidFill>
          </w14:textFill>
        </w:rPr>
        <w:t xml:space="preserve"> </w:t>
      </w:r>
    </w:p>
    <w:p w14:paraId="3E326A95">
      <w:pPr>
        <w:pStyle w:val="29"/>
        <w:spacing w:before="0" w:after="0"/>
        <w:jc w:val="center"/>
        <w:rPr>
          <w:rFonts w:hint="eastAsia" w:ascii="宋体" w:hAnsi="宋体" w:eastAsia="宋体" w:cs="宋体"/>
          <w:color w:val="000000" w:themeColor="text1"/>
          <w:sz w:val="36"/>
          <w:szCs w:val="24"/>
          <w14:textFill>
            <w14:solidFill>
              <w14:schemeClr w14:val="tx1"/>
            </w14:solidFill>
          </w14:textFill>
        </w:rPr>
      </w:pPr>
      <w:bookmarkStart w:id="12" w:name="_Toc26232"/>
      <w:r>
        <w:rPr>
          <w:rFonts w:hint="eastAsia" w:ascii="宋体" w:hAnsi="宋体" w:eastAsia="宋体"/>
          <w:color w:val="000000" w:themeColor="text1"/>
          <w:sz w:val="36"/>
          <w:szCs w:val="40"/>
          <w14:textFill>
            <w14:solidFill>
              <w14:schemeClr w14:val="tx1"/>
            </w14:solidFill>
          </w14:textFill>
        </w:rPr>
        <w:t>电磁环境影响专题评价</w:t>
      </w:r>
      <w:bookmarkEnd w:id="12"/>
    </w:p>
    <w:p w14:paraId="565E392B">
      <w:pPr>
        <w:pStyle w:val="38"/>
      </w:pPr>
      <w:bookmarkStart w:id="13" w:name="_Toc22499"/>
      <w:bookmarkStart w:id="14" w:name="_Toc424829667"/>
      <w:r>
        <w:rPr>
          <w:rFonts w:hint="eastAsia"/>
        </w:rPr>
        <w:t>1.</w:t>
      </w:r>
      <w:r>
        <w:t>编制依据</w:t>
      </w:r>
      <w:bookmarkEnd w:id="13"/>
      <w:bookmarkEnd w:id="14"/>
    </w:p>
    <w:p w14:paraId="1057F95D">
      <w:pPr>
        <w:pStyle w:val="38"/>
      </w:pPr>
      <w:r>
        <w:t>1.1环境保护法律法规</w:t>
      </w:r>
    </w:p>
    <w:p w14:paraId="596B2312">
      <w:pPr>
        <w:pStyle w:val="38"/>
      </w:pPr>
      <w:r>
        <w:t>（1）《中华人民共和国环境保护法》（自2015年1月1日起施行）；</w:t>
      </w:r>
    </w:p>
    <w:p w14:paraId="7E6C9299">
      <w:pPr>
        <w:pStyle w:val="38"/>
      </w:pPr>
      <w:r>
        <w:t>（2）《中华人民共和国环境影响评价法》（</w:t>
      </w:r>
      <w:r>
        <w:rPr>
          <w:rFonts w:hint="eastAsia"/>
        </w:rPr>
        <w:t>2018年12月29日</w:t>
      </w:r>
      <w:r>
        <w:t>修订）；</w:t>
      </w:r>
    </w:p>
    <w:p w14:paraId="41ACD51F">
      <w:pPr>
        <w:pStyle w:val="38"/>
      </w:pPr>
      <w:r>
        <w:rPr>
          <w:rFonts w:hint="eastAsia"/>
        </w:rPr>
        <w:t>（</w:t>
      </w:r>
      <w:r>
        <w:t>3</w:t>
      </w:r>
      <w:r>
        <w:rPr>
          <w:rFonts w:hint="eastAsia"/>
        </w:rPr>
        <w:t>）《中华人民共和国电力法》（201</w:t>
      </w:r>
      <w:r>
        <w:t>8</w:t>
      </w:r>
      <w:r>
        <w:rPr>
          <w:rFonts w:hint="eastAsia"/>
        </w:rPr>
        <w:t>年</w:t>
      </w:r>
      <w:r>
        <w:t>12</w:t>
      </w:r>
      <w:r>
        <w:rPr>
          <w:rFonts w:hint="eastAsia"/>
        </w:rPr>
        <w:t>月2</w:t>
      </w:r>
      <w:r>
        <w:t>9</w:t>
      </w:r>
      <w:r>
        <w:rPr>
          <w:rFonts w:hint="eastAsia"/>
        </w:rPr>
        <w:t>日修正）</w:t>
      </w:r>
    </w:p>
    <w:p w14:paraId="119EC881">
      <w:pPr>
        <w:pStyle w:val="38"/>
      </w:pPr>
      <w:r>
        <w:rPr>
          <w:rFonts w:hint="eastAsia"/>
        </w:rPr>
        <w:t>（</w:t>
      </w:r>
      <w:r>
        <w:t>4</w:t>
      </w:r>
      <w:r>
        <w:rPr>
          <w:rFonts w:hint="eastAsia"/>
        </w:rPr>
        <w:t>）《电力设施保护条例》（1987年9月15日国务院发布，根据2011年1月8日《国务院关于废止和修改部分行政法规的决定》第二次修订）；</w:t>
      </w:r>
    </w:p>
    <w:p w14:paraId="3EFD623D">
      <w:pPr>
        <w:pStyle w:val="38"/>
      </w:pPr>
      <w:r>
        <w:rPr>
          <w:rFonts w:hint="eastAsia"/>
        </w:rPr>
        <w:t>（</w:t>
      </w:r>
      <w:r>
        <w:t>5</w:t>
      </w:r>
      <w:r>
        <w:rPr>
          <w:rFonts w:hint="eastAsia"/>
        </w:rPr>
        <w:t>）《电力设施保护条例实施细则》（1999年3月18日国家经济贸易委员会、公安部令第8号发布，根据2011年6月30日国家发展和改革委员会令第10号修改。）</w:t>
      </w:r>
    </w:p>
    <w:p w14:paraId="26923D5B">
      <w:pPr>
        <w:pStyle w:val="38"/>
      </w:pPr>
      <w:r>
        <w:rPr>
          <w:rFonts w:hint="eastAsia"/>
        </w:rPr>
        <w:t>（</w:t>
      </w:r>
      <w:r>
        <w:t>6</w:t>
      </w:r>
      <w:r>
        <w:rPr>
          <w:rFonts w:hint="eastAsia"/>
        </w:rPr>
        <w:t>）《建设项目环境保护管理条例》（2017年</w:t>
      </w:r>
      <w:r>
        <w:t>7</w:t>
      </w:r>
      <w:r>
        <w:rPr>
          <w:rFonts w:hint="eastAsia"/>
        </w:rPr>
        <w:t>月1</w:t>
      </w:r>
      <w:r>
        <w:t>6</w:t>
      </w:r>
      <w:r>
        <w:rPr>
          <w:rFonts w:hint="eastAsia"/>
        </w:rPr>
        <w:t>日修订）</w:t>
      </w:r>
    </w:p>
    <w:p w14:paraId="40BF5268">
      <w:pPr>
        <w:pStyle w:val="38"/>
      </w:pPr>
      <w:r>
        <w:rPr>
          <w:rFonts w:hint="eastAsia"/>
        </w:rPr>
        <w:t>（</w:t>
      </w:r>
      <w:r>
        <w:t>7</w:t>
      </w:r>
      <w:r>
        <w:rPr>
          <w:rFonts w:hint="eastAsia"/>
        </w:rPr>
        <w:t>）《建设项目环境影响评价分类管理名录》（</w:t>
      </w:r>
      <w:r>
        <w:t>2021</w:t>
      </w:r>
      <w:r>
        <w:rPr>
          <w:rFonts w:hint="eastAsia"/>
        </w:rPr>
        <w:t>年版）。</w:t>
      </w:r>
    </w:p>
    <w:p w14:paraId="37F06F49">
      <w:pPr>
        <w:pStyle w:val="38"/>
      </w:pPr>
      <w:r>
        <w:t>1.2</w:t>
      </w:r>
      <w:r>
        <w:rPr>
          <w:rFonts w:hint="eastAsia"/>
        </w:rPr>
        <w:t>地方有关法规</w:t>
      </w:r>
      <w:r>
        <w:t>及</w:t>
      </w:r>
      <w:r>
        <w:rPr>
          <w:rFonts w:hint="eastAsia"/>
        </w:rPr>
        <w:t>规</w:t>
      </w:r>
      <w:r>
        <w:t>划</w:t>
      </w:r>
    </w:p>
    <w:p w14:paraId="1158EF7B">
      <w:pPr>
        <w:pStyle w:val="38"/>
      </w:pPr>
      <w:r>
        <w:rPr>
          <w:rFonts w:hint="eastAsia"/>
        </w:rPr>
        <w:t>《内蒙古自治区生态</w:t>
      </w:r>
      <w:r>
        <w:rPr>
          <w:rFonts w:hint="eastAsia" w:cs="微软雅黑"/>
        </w:rPr>
        <w:t>环</w:t>
      </w:r>
      <w:r>
        <w:rPr>
          <w:rFonts w:cs="MS Gothic"/>
        </w:rPr>
        <w:t>境保</w:t>
      </w:r>
      <w:r>
        <w:rPr>
          <w:rFonts w:hint="eastAsia" w:cs="微软雅黑"/>
        </w:rPr>
        <w:t>护</w:t>
      </w:r>
      <w:r>
        <w:rPr>
          <w:rFonts w:cs="MS Gothic"/>
        </w:rPr>
        <w:t>条例》，</w:t>
      </w:r>
      <w:r>
        <w:rPr>
          <w:rFonts w:hint="eastAsia"/>
        </w:rPr>
        <w:t>202</w:t>
      </w:r>
      <w:r>
        <w:rPr>
          <w:rFonts w:hint="eastAsia"/>
          <w:lang w:val="en-US" w:eastAsia="zh-CN"/>
        </w:rPr>
        <w:t>5</w:t>
      </w:r>
      <w:r>
        <w:rPr>
          <w:rFonts w:hint="eastAsia"/>
        </w:rPr>
        <w:t>年</w:t>
      </w:r>
      <w:r>
        <w:rPr>
          <w:rFonts w:hint="eastAsia"/>
          <w:lang w:val="en-US" w:eastAsia="zh-CN"/>
        </w:rPr>
        <w:t>3</w:t>
      </w:r>
      <w:r>
        <w:rPr>
          <w:rFonts w:hint="eastAsia"/>
        </w:rPr>
        <w:t>月</w:t>
      </w:r>
      <w:r>
        <w:rPr>
          <w:rFonts w:hint="eastAsia"/>
          <w:lang w:val="en-US" w:eastAsia="zh-CN"/>
        </w:rPr>
        <w:t>1</w:t>
      </w:r>
      <w:r>
        <w:rPr>
          <w:rFonts w:hint="eastAsia"/>
        </w:rPr>
        <w:t>日</w:t>
      </w:r>
      <w:r>
        <w:rPr>
          <w:rFonts w:hint="eastAsia"/>
          <w:lang w:val="en-US" w:eastAsia="zh-CN"/>
        </w:rPr>
        <w:t>实施</w:t>
      </w:r>
      <w:r>
        <w:rPr>
          <w:rFonts w:hint="eastAsia"/>
        </w:rPr>
        <w:t>。</w:t>
      </w:r>
    </w:p>
    <w:p w14:paraId="2AAB5EB7">
      <w:pPr>
        <w:pStyle w:val="38"/>
      </w:pPr>
      <w:r>
        <w:t>1.3环境保护相关的导则和规范</w:t>
      </w:r>
    </w:p>
    <w:p w14:paraId="17703B3B">
      <w:pPr>
        <w:pStyle w:val="38"/>
      </w:pPr>
      <w:r>
        <w:rPr>
          <w:rFonts w:hint="eastAsia"/>
        </w:rPr>
        <w:t>（1）《建设项目环境影响评价技术导则总纲》（HJ2.1-2016）；</w:t>
      </w:r>
    </w:p>
    <w:p w14:paraId="235EA4F0">
      <w:pPr>
        <w:pStyle w:val="38"/>
      </w:pPr>
      <w:r>
        <w:rPr>
          <w:rFonts w:hint="eastAsia"/>
        </w:rPr>
        <w:t>（</w:t>
      </w:r>
      <w:r>
        <w:t>2</w:t>
      </w:r>
      <w:r>
        <w:rPr>
          <w:rFonts w:hint="eastAsia"/>
        </w:rPr>
        <w:t xml:space="preserve">）《环境影响评价技术导则 </w:t>
      </w:r>
      <w:r>
        <w:t xml:space="preserve"> </w:t>
      </w:r>
      <w:r>
        <w:rPr>
          <w:rFonts w:hint="eastAsia"/>
        </w:rPr>
        <w:t>输变电》（HJ24-2020）；</w:t>
      </w:r>
    </w:p>
    <w:p w14:paraId="7BB00633">
      <w:pPr>
        <w:pStyle w:val="38"/>
      </w:pPr>
      <w:r>
        <w:rPr>
          <w:rFonts w:hint="eastAsia"/>
        </w:rPr>
        <w:t>（</w:t>
      </w:r>
      <w:r>
        <w:t>3</w:t>
      </w:r>
      <w:r>
        <w:rPr>
          <w:rFonts w:hint="eastAsia"/>
        </w:rPr>
        <w:t>）《交流输变电工程电磁环境监测方法（试行）》（HJ681-2013）。</w:t>
      </w:r>
    </w:p>
    <w:p w14:paraId="69C68BA6">
      <w:pPr>
        <w:pStyle w:val="38"/>
      </w:pPr>
      <w:r>
        <w:rPr>
          <w:rFonts w:hint="eastAsia"/>
        </w:rPr>
        <w:t>（4）《输变电建设项目环境保护技术要求》（</w:t>
      </w:r>
      <w:r>
        <w:t>HJ1113-2020</w:t>
      </w:r>
      <w:r>
        <w:rPr>
          <w:rFonts w:hint="eastAsia"/>
        </w:rPr>
        <w:t>）</w:t>
      </w:r>
    </w:p>
    <w:p w14:paraId="3E2116AA">
      <w:pPr>
        <w:pStyle w:val="38"/>
      </w:pPr>
      <w:r>
        <w:rPr>
          <w:rFonts w:hint="eastAsia"/>
        </w:rPr>
        <w:t>（5）</w:t>
      </w:r>
      <w:r>
        <w:rPr>
          <w:color w:val="000000"/>
        </w:rPr>
        <w:t>《电磁环境控制限值》（GB8702-2014）</w:t>
      </w:r>
      <w:r>
        <w:rPr>
          <w:rFonts w:hint="eastAsia"/>
          <w:color w:val="000000"/>
        </w:rPr>
        <w:t>。</w:t>
      </w:r>
    </w:p>
    <w:p w14:paraId="3F6A78E8">
      <w:pPr>
        <w:pStyle w:val="38"/>
      </w:pPr>
      <w:r>
        <w:t>1.4</w:t>
      </w:r>
      <w:r>
        <w:rPr>
          <w:rFonts w:hint="eastAsia"/>
        </w:rPr>
        <w:t>行业规范</w:t>
      </w:r>
    </w:p>
    <w:p w14:paraId="2CCD3200">
      <w:pPr>
        <w:pStyle w:val="38"/>
      </w:pPr>
      <w:r>
        <w:rPr>
          <w:rFonts w:hint="eastAsia"/>
        </w:rPr>
        <w:t>（1）《</w:t>
      </w:r>
      <w:r>
        <w:t>35kV～110kV</w:t>
      </w:r>
      <w:r>
        <w:rPr>
          <w:rFonts w:hint="eastAsia"/>
        </w:rPr>
        <w:t>变电所设计规范》（</w:t>
      </w:r>
      <w:r>
        <w:t>GB50059-2011</w:t>
      </w:r>
      <w:r>
        <w:rPr>
          <w:rFonts w:hint="eastAsia"/>
        </w:rPr>
        <w:t>）。</w:t>
      </w:r>
    </w:p>
    <w:p w14:paraId="5C1F0B48">
      <w:pPr>
        <w:widowControl/>
        <w:spacing w:line="240" w:lineRule="auto"/>
        <w:ind w:firstLine="0" w:firstLineChars="0"/>
        <w:jc w:val="left"/>
        <w:rPr>
          <w:color w:val="000000" w:themeColor="text1"/>
          <w:sz w:val="21"/>
          <w:szCs w:val="28"/>
          <w14:textFill>
            <w14:solidFill>
              <w14:schemeClr w14:val="tx1"/>
            </w14:solidFill>
          </w14:textFill>
        </w:rPr>
      </w:pPr>
      <w:r>
        <w:rPr>
          <w:color w:val="000000" w:themeColor="text1"/>
          <w14:textFill>
            <w14:solidFill>
              <w14:schemeClr w14:val="tx1"/>
            </w14:solidFill>
          </w14:textFill>
        </w:rPr>
        <w:br w:type="page"/>
      </w:r>
    </w:p>
    <w:p w14:paraId="2DACB861">
      <w:pPr>
        <w:adjustRightInd w:val="0"/>
        <w:snapToGrid w:val="0"/>
        <w:ind w:firstLine="0" w:firstLineChars="0"/>
        <w:outlineLvl w:val="0"/>
        <w:rPr>
          <w:rFonts w:hint="eastAsia" w:ascii="宋体" w:hAnsi="宋体" w:cs="宋体"/>
          <w:b/>
          <w:color w:val="000000" w:themeColor="text1"/>
          <w:sz w:val="28"/>
          <w:szCs w:val="28"/>
          <w14:textFill>
            <w14:solidFill>
              <w14:schemeClr w14:val="tx1"/>
            </w14:solidFill>
          </w14:textFill>
        </w:rPr>
      </w:pPr>
      <w:bookmarkStart w:id="15" w:name="_Toc7469"/>
      <w:r>
        <w:rPr>
          <w:rFonts w:ascii="宋体" w:hAnsi="宋体" w:cs="宋体"/>
          <w:b/>
          <w:color w:val="000000" w:themeColor="text1"/>
          <w:sz w:val="28"/>
          <w:szCs w:val="28"/>
          <w14:textFill>
            <w14:solidFill>
              <w14:schemeClr w14:val="tx1"/>
            </w14:solidFill>
          </w14:textFill>
        </w:rPr>
        <w:t>2</w:t>
      </w:r>
      <w:r>
        <w:rPr>
          <w:rFonts w:hint="eastAsia" w:ascii="宋体" w:hAnsi="宋体" w:cs="宋体"/>
          <w:b/>
          <w:color w:val="000000" w:themeColor="text1"/>
          <w:sz w:val="28"/>
          <w:szCs w:val="28"/>
          <w14:textFill>
            <w14:solidFill>
              <w14:schemeClr w14:val="tx1"/>
            </w14:solidFill>
          </w14:textFill>
        </w:rPr>
        <w:t>总则</w:t>
      </w:r>
      <w:bookmarkEnd w:id="15"/>
    </w:p>
    <w:p w14:paraId="3273E65D">
      <w:pPr>
        <w:adjustRightInd w:val="0"/>
        <w:snapToGrid w:val="0"/>
        <w:ind w:firstLine="0" w:firstLineChars="0"/>
        <w:outlineLvl w:val="0"/>
        <w:rPr>
          <w:rFonts w:hint="eastAsia" w:ascii="宋体" w:hAnsi="宋体" w:cs="宋体"/>
          <w:b/>
          <w:color w:val="000000" w:themeColor="text1"/>
          <w:szCs w:val="28"/>
          <w14:textFill>
            <w14:solidFill>
              <w14:schemeClr w14:val="tx1"/>
            </w14:solidFill>
          </w14:textFill>
        </w:rPr>
      </w:pPr>
      <w:bookmarkStart w:id="16" w:name="_Toc3099"/>
      <w:r>
        <w:rPr>
          <w:rFonts w:ascii="宋体" w:hAnsi="宋体" w:cs="宋体"/>
          <w:b/>
          <w:color w:val="000000" w:themeColor="text1"/>
          <w:szCs w:val="28"/>
          <w14:textFill>
            <w14:solidFill>
              <w14:schemeClr w14:val="tx1"/>
            </w14:solidFill>
          </w14:textFill>
        </w:rPr>
        <w:t>2.1</w:t>
      </w:r>
      <w:r>
        <w:rPr>
          <w:rFonts w:hint="eastAsia" w:ascii="宋体" w:hAnsi="宋体" w:cs="宋体"/>
          <w:b/>
          <w:color w:val="000000" w:themeColor="text1"/>
          <w:szCs w:val="28"/>
          <w14:textFill>
            <w14:solidFill>
              <w14:schemeClr w14:val="tx1"/>
            </w14:solidFill>
          </w14:textFill>
        </w:rPr>
        <w:t>评价工作等级</w:t>
      </w:r>
      <w:bookmarkEnd w:id="16"/>
    </w:p>
    <w:p w14:paraId="5AF1F8ED">
      <w:pPr>
        <w:ind w:firstLine="480"/>
        <w:rPr>
          <w:rFonts w:cs="Times New Roman"/>
          <w:color w:val="000000" w:themeColor="text1"/>
          <w:szCs w:val="24"/>
          <w14:textFill>
            <w14:solidFill>
              <w14:schemeClr w14:val="tx1"/>
            </w14:solidFill>
          </w14:textFill>
        </w:rPr>
      </w:pPr>
      <w:r>
        <w:rPr>
          <w:rFonts w:hint="eastAsia" w:cs="Times New Roman"/>
          <w:color w:val="000000" w:themeColor="text1"/>
          <w:szCs w:val="24"/>
          <w14:textFill>
            <w14:solidFill>
              <w14:schemeClr w14:val="tx1"/>
            </w14:solidFill>
          </w14:textFill>
        </w:rPr>
        <w:t>根据《环境影响评价技术导则 输变电》（HJ24-2020），变电站采用户外布置，因此电磁环境评价工作等级为二级，本次采用类比监测的方法对变电站建成投运后产生的电磁环境影响进行预测分析</w:t>
      </w:r>
      <w:r>
        <w:rPr>
          <w:rFonts w:cs="Times New Roman"/>
          <w:color w:val="000000" w:themeColor="text1"/>
          <w:szCs w:val="24"/>
          <w14:textFill>
            <w14:solidFill>
              <w14:schemeClr w14:val="tx1"/>
            </w14:solidFill>
          </w14:textFill>
        </w:rPr>
        <w:t>。</w:t>
      </w:r>
    </w:p>
    <w:p w14:paraId="2C0400C0">
      <w:pPr>
        <w:adjustRightInd w:val="0"/>
        <w:snapToGrid w:val="0"/>
        <w:ind w:firstLine="0" w:firstLineChars="0"/>
        <w:outlineLvl w:val="0"/>
        <w:rPr>
          <w:rFonts w:hint="eastAsia" w:ascii="宋体" w:hAnsi="宋体" w:cs="宋体"/>
          <w:b/>
          <w:bCs/>
          <w:color w:val="000000" w:themeColor="text1"/>
          <w:szCs w:val="24"/>
          <w14:textFill>
            <w14:solidFill>
              <w14:schemeClr w14:val="tx1"/>
            </w14:solidFill>
          </w14:textFill>
        </w:rPr>
      </w:pPr>
      <w:bookmarkStart w:id="17" w:name="_Toc8351"/>
      <w:r>
        <w:rPr>
          <w:rFonts w:ascii="宋体" w:hAnsi="宋体" w:cs="宋体"/>
          <w:b/>
          <w:bCs/>
          <w:color w:val="000000" w:themeColor="text1"/>
          <w:szCs w:val="24"/>
          <w14:textFill>
            <w14:solidFill>
              <w14:schemeClr w14:val="tx1"/>
            </w14:solidFill>
          </w14:textFill>
        </w:rPr>
        <w:t>2.2</w:t>
      </w:r>
      <w:r>
        <w:rPr>
          <w:rFonts w:hint="eastAsia" w:ascii="宋体" w:hAnsi="宋体" w:cs="宋体"/>
          <w:b/>
          <w:bCs/>
          <w:color w:val="000000" w:themeColor="text1"/>
          <w:szCs w:val="24"/>
          <w14:textFill>
            <w14:solidFill>
              <w14:schemeClr w14:val="tx1"/>
            </w14:solidFill>
          </w14:textFill>
        </w:rPr>
        <w:t>评价范围</w:t>
      </w:r>
      <w:bookmarkEnd w:id="17"/>
    </w:p>
    <w:p w14:paraId="2E6E85E4">
      <w:pPr>
        <w:ind w:firstLine="480"/>
        <w:rPr>
          <w:rFonts w:cs="Times New Roman"/>
          <w:color w:val="000000" w:themeColor="text1"/>
          <w:szCs w:val="24"/>
          <w14:textFill>
            <w14:solidFill>
              <w14:schemeClr w14:val="tx1"/>
            </w14:solidFill>
          </w14:textFill>
        </w:rPr>
      </w:pPr>
      <w:r>
        <w:rPr>
          <w:rFonts w:hint="eastAsia" w:cs="Times New Roman"/>
          <w:color w:val="000000" w:themeColor="text1"/>
          <w:szCs w:val="24"/>
          <w14:textFill>
            <w14:solidFill>
              <w14:schemeClr w14:val="tx1"/>
            </w14:solidFill>
          </w14:textFill>
        </w:rPr>
        <w:t>根据《环境影响评价技术导则 输变电》（HJ24-2020），新建110kV户外变电站的电磁环境影响评价范围为站界外30m</w:t>
      </w:r>
      <w:r>
        <w:rPr>
          <w:rFonts w:cs="Times New Roman"/>
          <w:color w:val="000000" w:themeColor="text1"/>
          <w:szCs w:val="24"/>
          <w14:textFill>
            <w14:solidFill>
              <w14:schemeClr w14:val="tx1"/>
            </w14:solidFill>
          </w14:textFill>
        </w:rPr>
        <w:t>。</w:t>
      </w:r>
    </w:p>
    <w:p w14:paraId="5ED03181">
      <w:pPr>
        <w:adjustRightInd w:val="0"/>
        <w:snapToGrid w:val="0"/>
        <w:ind w:firstLine="0" w:firstLineChars="0"/>
        <w:outlineLvl w:val="0"/>
        <w:rPr>
          <w:rFonts w:hint="eastAsia" w:ascii="宋体" w:hAnsi="宋体" w:cs="宋体"/>
          <w:b/>
          <w:bCs/>
          <w:color w:val="000000" w:themeColor="text1"/>
          <w:szCs w:val="24"/>
          <w14:textFill>
            <w14:solidFill>
              <w14:schemeClr w14:val="tx1"/>
            </w14:solidFill>
          </w14:textFill>
        </w:rPr>
      </w:pPr>
      <w:bookmarkStart w:id="18" w:name="_Toc9755"/>
      <w:r>
        <w:rPr>
          <w:rFonts w:ascii="宋体" w:hAnsi="宋体" w:cs="宋体"/>
          <w:b/>
          <w:bCs/>
          <w:color w:val="000000" w:themeColor="text1"/>
          <w:szCs w:val="24"/>
          <w14:textFill>
            <w14:solidFill>
              <w14:schemeClr w14:val="tx1"/>
            </w14:solidFill>
          </w14:textFill>
        </w:rPr>
        <w:t>2.3</w:t>
      </w:r>
      <w:r>
        <w:rPr>
          <w:rFonts w:hint="eastAsia" w:ascii="宋体" w:hAnsi="宋体" w:cs="宋体"/>
          <w:b/>
          <w:bCs/>
          <w:color w:val="000000" w:themeColor="text1"/>
          <w:szCs w:val="24"/>
          <w14:textFill>
            <w14:solidFill>
              <w14:schemeClr w14:val="tx1"/>
            </w14:solidFill>
          </w14:textFill>
        </w:rPr>
        <w:t>电磁环境敏感目标</w:t>
      </w:r>
      <w:bookmarkEnd w:id="18"/>
    </w:p>
    <w:p w14:paraId="68EB30BE">
      <w:pPr>
        <w:pStyle w:val="38"/>
        <w:rPr>
          <w:rFonts w:hint="eastAsia" w:ascii="宋体" w:hAnsi="宋体" w:cs="宋体"/>
          <w:b/>
          <w:bCs/>
        </w:rPr>
      </w:pPr>
      <w:r>
        <w:rPr>
          <w:rFonts w:hint="eastAsia"/>
        </w:rPr>
        <w:t>根据《建设项目环境影响评价分类管理名录（2021 年版）》 “输变电工程”环境敏感区〔（一）和（三）〕及《环境影响评价技术导则 输变电》（HJ24-2020）的规定，经现场勘查，</w:t>
      </w:r>
      <w:bookmarkStart w:id="19" w:name="_Toc22459"/>
      <w:r>
        <w:rPr>
          <w:rFonts w:hint="eastAsia"/>
        </w:rPr>
        <w:t>站址现状均为空地、道路，无电磁环境敏感目标。</w:t>
      </w:r>
    </w:p>
    <w:p w14:paraId="3D7EB708">
      <w:pPr>
        <w:adjustRightInd w:val="0"/>
        <w:snapToGrid w:val="0"/>
        <w:ind w:firstLine="0" w:firstLineChars="0"/>
        <w:outlineLvl w:val="0"/>
        <w:rPr>
          <w:rFonts w:hint="eastAsia" w:ascii="宋体" w:hAnsi="宋体" w:cs="宋体"/>
          <w:b/>
          <w:bCs/>
          <w:color w:val="000000" w:themeColor="text1"/>
          <w:szCs w:val="24"/>
          <w14:textFill>
            <w14:solidFill>
              <w14:schemeClr w14:val="tx1"/>
            </w14:solidFill>
          </w14:textFill>
        </w:rPr>
      </w:pPr>
      <w:r>
        <w:rPr>
          <w:rFonts w:ascii="宋体" w:hAnsi="宋体" w:cs="宋体"/>
          <w:b/>
          <w:bCs/>
          <w:color w:val="000000" w:themeColor="text1"/>
          <w:szCs w:val="24"/>
          <w14:textFill>
            <w14:solidFill>
              <w14:schemeClr w14:val="tx1"/>
            </w14:solidFill>
          </w14:textFill>
        </w:rPr>
        <w:t>2.4</w:t>
      </w:r>
      <w:r>
        <w:rPr>
          <w:rFonts w:hint="eastAsia" w:ascii="宋体" w:hAnsi="宋体" w:cs="宋体"/>
          <w:b/>
          <w:bCs/>
          <w:color w:val="000000" w:themeColor="text1"/>
          <w:szCs w:val="24"/>
          <w14:textFill>
            <w14:solidFill>
              <w14:schemeClr w14:val="tx1"/>
            </w14:solidFill>
          </w14:textFill>
        </w:rPr>
        <w:t>评价标准</w:t>
      </w:r>
      <w:bookmarkEnd w:id="19"/>
    </w:p>
    <w:p w14:paraId="39BF2CEA">
      <w:pPr>
        <w:pStyle w:val="4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表2</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本项目电磁环境质量现状监测结果</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99"/>
        <w:gridCol w:w="3441"/>
        <w:gridCol w:w="2879"/>
      </w:tblGrid>
      <w:tr w14:paraId="26CF8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pct"/>
            <w:vAlign w:val="center"/>
          </w:tcPr>
          <w:p w14:paraId="163DDCC3">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p>
        </w:tc>
        <w:tc>
          <w:tcPr>
            <w:tcW w:w="2019" w:type="pct"/>
            <w:vAlign w:val="center"/>
          </w:tcPr>
          <w:p w14:paraId="343142ED">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评价标准</w:t>
            </w:r>
          </w:p>
        </w:tc>
        <w:tc>
          <w:tcPr>
            <w:tcW w:w="1689" w:type="pct"/>
            <w:vAlign w:val="center"/>
          </w:tcPr>
          <w:p w14:paraId="33C1594B">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标准来源</w:t>
            </w:r>
          </w:p>
        </w:tc>
      </w:tr>
      <w:tr w14:paraId="3A80A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pct"/>
            <w:vAlign w:val="center"/>
          </w:tcPr>
          <w:p w14:paraId="0DCA04E7">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工频电场强度</w:t>
            </w:r>
          </w:p>
        </w:tc>
        <w:tc>
          <w:tcPr>
            <w:tcW w:w="2019" w:type="pct"/>
            <w:vAlign w:val="center"/>
          </w:tcPr>
          <w:p w14:paraId="2E5CE372">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公众曝露控制限值4000V/m</w:t>
            </w:r>
          </w:p>
        </w:tc>
        <w:tc>
          <w:tcPr>
            <w:tcW w:w="1689" w:type="pct"/>
            <w:vMerge w:val="restart"/>
            <w:vAlign w:val="center"/>
          </w:tcPr>
          <w:p w14:paraId="534DB193">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《电磁环境控制限值》（GB8702-2014）</w:t>
            </w:r>
          </w:p>
        </w:tc>
      </w:tr>
      <w:tr w14:paraId="79356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pct"/>
            <w:vAlign w:val="center"/>
          </w:tcPr>
          <w:p w14:paraId="79DE5097">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工频磁感应强度</w:t>
            </w:r>
          </w:p>
        </w:tc>
        <w:tc>
          <w:tcPr>
            <w:tcW w:w="2019" w:type="pct"/>
            <w:vAlign w:val="center"/>
          </w:tcPr>
          <w:p w14:paraId="5D85BCEE">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公众曝露控制限值100μT</w:t>
            </w:r>
          </w:p>
        </w:tc>
        <w:tc>
          <w:tcPr>
            <w:tcW w:w="1689" w:type="pct"/>
            <w:vMerge w:val="continue"/>
            <w:vAlign w:val="center"/>
          </w:tcPr>
          <w:p w14:paraId="49FEE4B8">
            <w:pPr>
              <w:pStyle w:val="40"/>
              <w:rPr>
                <w:color w:val="000000" w:themeColor="text1"/>
                <w14:textFill>
                  <w14:solidFill>
                    <w14:schemeClr w14:val="tx1"/>
                  </w14:solidFill>
                </w14:textFill>
              </w:rPr>
            </w:pPr>
          </w:p>
        </w:tc>
      </w:tr>
    </w:tbl>
    <w:p w14:paraId="3A7E38FA">
      <w:pPr>
        <w:adjustRightInd w:val="0"/>
        <w:snapToGrid w:val="0"/>
        <w:ind w:firstLine="0" w:firstLineChars="0"/>
        <w:rPr>
          <w:rFonts w:hint="eastAsia" w:ascii="宋体" w:hAnsi="宋体" w:cs="宋体"/>
          <w:color w:val="000000" w:themeColor="text1"/>
          <w:sz w:val="21"/>
          <w:szCs w:val="21"/>
          <w14:textFill>
            <w14:solidFill>
              <w14:schemeClr w14:val="tx1"/>
            </w14:solidFill>
          </w14:textFill>
        </w:rPr>
      </w:pPr>
    </w:p>
    <w:p w14:paraId="664635B0">
      <w:pPr>
        <w:adjustRightInd w:val="0"/>
        <w:snapToGrid w:val="0"/>
        <w:ind w:firstLine="0" w:firstLineChars="0"/>
        <w:outlineLvl w:val="0"/>
        <w:rPr>
          <w:rFonts w:hint="eastAsia" w:ascii="宋体" w:hAnsi="宋体" w:cs="宋体"/>
          <w:b/>
          <w:color w:val="000000" w:themeColor="text1"/>
          <w:sz w:val="28"/>
          <w:szCs w:val="28"/>
          <w14:textFill>
            <w14:solidFill>
              <w14:schemeClr w14:val="tx1"/>
            </w14:solidFill>
          </w14:textFill>
        </w:rPr>
      </w:pPr>
      <w:bookmarkStart w:id="20" w:name="_Toc6926"/>
      <w:r>
        <w:rPr>
          <w:rFonts w:ascii="宋体" w:hAnsi="宋体" w:cs="宋体"/>
          <w:b/>
          <w:color w:val="000000" w:themeColor="text1"/>
          <w:sz w:val="28"/>
          <w:szCs w:val="28"/>
          <w14:textFill>
            <w14:solidFill>
              <w14:schemeClr w14:val="tx1"/>
            </w14:solidFill>
          </w14:textFill>
        </w:rPr>
        <w:t>3</w:t>
      </w:r>
      <w:r>
        <w:rPr>
          <w:rFonts w:hint="eastAsia" w:ascii="宋体" w:hAnsi="宋体" w:cs="宋体"/>
          <w:b/>
          <w:color w:val="000000" w:themeColor="text1"/>
          <w:sz w:val="28"/>
          <w:szCs w:val="28"/>
          <w14:textFill>
            <w14:solidFill>
              <w14:schemeClr w14:val="tx1"/>
            </w14:solidFill>
          </w14:textFill>
        </w:rPr>
        <w:t>电磁环境现状评价</w:t>
      </w:r>
      <w:bookmarkEnd w:id="20"/>
    </w:p>
    <w:p w14:paraId="70AB7ECB">
      <w:pPr>
        <w:ind w:firstLine="480"/>
        <w:jc w:val="left"/>
        <w:rPr>
          <w:color w:val="000000" w:themeColor="text1"/>
          <w:szCs w:val="36"/>
          <w:highlight w:val="yellow"/>
          <w14:textFill>
            <w14:solidFill>
              <w14:schemeClr w14:val="tx1"/>
            </w14:solidFill>
          </w14:textFill>
        </w:rPr>
      </w:pPr>
      <w:bookmarkStart w:id="21" w:name="_Hlk79140749"/>
      <w:r>
        <w:rPr>
          <w:rFonts w:hint="eastAsia"/>
          <w:color w:val="000000" w:themeColor="text1"/>
          <w:szCs w:val="36"/>
          <w14:textFill>
            <w14:solidFill>
              <w14:schemeClr w14:val="tx1"/>
            </w14:solidFill>
          </w14:textFill>
        </w:rPr>
        <w:t>为了解本工程周围的环境现状（本项目主要涉及电磁环境和声环境要素），本次委托</w:t>
      </w:r>
      <w:r>
        <w:rPr>
          <w:rFonts w:hint="eastAsia"/>
        </w:rPr>
        <w:t>内蒙古航峰检测技术有限公司</w:t>
      </w:r>
      <w:r>
        <w:rPr>
          <w:rFonts w:hint="eastAsia"/>
          <w:color w:val="000000" w:themeColor="text1"/>
          <w:szCs w:val="36"/>
          <w14:textFill>
            <w14:solidFill>
              <w14:schemeClr w14:val="tx1"/>
            </w14:solidFill>
          </w14:textFill>
        </w:rPr>
        <w:t>于2</w:t>
      </w:r>
      <w:r>
        <w:rPr>
          <w:color w:val="000000" w:themeColor="text1"/>
          <w:szCs w:val="36"/>
          <w14:textFill>
            <w14:solidFill>
              <w14:schemeClr w14:val="tx1"/>
            </w14:solidFill>
          </w14:textFill>
        </w:rPr>
        <w:t>02</w:t>
      </w:r>
      <w:r>
        <w:rPr>
          <w:rFonts w:hint="eastAsia"/>
          <w:color w:val="000000" w:themeColor="text1"/>
          <w:szCs w:val="36"/>
          <w14:textFill>
            <w14:solidFill>
              <w14:schemeClr w14:val="tx1"/>
            </w14:solidFill>
          </w14:textFill>
        </w:rPr>
        <w:t>5年5月28日，对本工程周围的电磁环境现状进行了检测。</w:t>
      </w:r>
    </w:p>
    <w:p w14:paraId="2D91D118">
      <w:pPr>
        <w:pStyle w:val="38"/>
      </w:pPr>
      <w:r>
        <w:rPr>
          <w:rFonts w:hint="eastAsia"/>
        </w:rPr>
        <w:t>3</w:t>
      </w:r>
      <w:r>
        <w:t>.1</w:t>
      </w:r>
      <w:r>
        <w:rPr>
          <w:rFonts w:hint="eastAsia"/>
        </w:rPr>
        <w:t>现状监测项目</w:t>
      </w:r>
    </w:p>
    <w:p w14:paraId="1DD43D39">
      <w:pPr>
        <w:pStyle w:val="38"/>
      </w:pPr>
      <w:r>
        <w:rPr>
          <w:rFonts w:hint="eastAsia"/>
        </w:rPr>
        <w:t>距离地面1.5m高处的工频电场强度、工频磁感应强度。</w:t>
      </w:r>
    </w:p>
    <w:p w14:paraId="424CFEEE">
      <w:pPr>
        <w:pStyle w:val="38"/>
      </w:pPr>
      <w:r>
        <w:rPr>
          <w:rFonts w:hint="eastAsia"/>
        </w:rPr>
        <w:t>3.2监测方法</w:t>
      </w:r>
    </w:p>
    <w:p w14:paraId="6050E6DF">
      <w:pPr>
        <w:pStyle w:val="38"/>
      </w:pPr>
      <w:r>
        <w:rPr>
          <w:rFonts w:hint="eastAsia"/>
        </w:rPr>
        <w:t>《交流输变电工程电磁环境监测方法》（试行）（HJ681-2013）</w:t>
      </w:r>
    </w:p>
    <w:p w14:paraId="59AE346F">
      <w:pPr>
        <w:pStyle w:val="38"/>
      </w:pPr>
      <w:r>
        <w:rPr>
          <w:rFonts w:hint="eastAsia"/>
        </w:rPr>
        <w:t>3.3监测仪器</w:t>
      </w:r>
    </w:p>
    <w:p w14:paraId="634A05EE">
      <w:pPr>
        <w:pStyle w:val="38"/>
      </w:pPr>
      <w:r>
        <w:rPr>
          <w:rFonts w:hint="eastAsia"/>
        </w:rPr>
        <w:t>本工程环境质量现状监测使用仪器一览表见表</w:t>
      </w:r>
      <w:r>
        <w:t>3</w:t>
      </w:r>
      <w:r>
        <w:rPr>
          <w:rFonts w:hint="eastAsia"/>
        </w:rPr>
        <w:t>。</w:t>
      </w:r>
    </w:p>
    <w:p w14:paraId="050325D3">
      <w:pPr>
        <w:pStyle w:val="4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 xml:space="preserve">  本工程现状监测仪器一览表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56"/>
        <w:gridCol w:w="1937"/>
        <w:gridCol w:w="1288"/>
        <w:gridCol w:w="2938"/>
      </w:tblGrid>
      <w:tr w14:paraId="5BAF2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382" w:type="pct"/>
            <w:vAlign w:val="center"/>
          </w:tcPr>
          <w:p w14:paraId="044E126C">
            <w:pPr>
              <w:spacing w:line="240" w:lineRule="auto"/>
              <w:ind w:firstLine="0" w:firstLineChars="0"/>
              <w:jc w:val="center"/>
              <w:rPr>
                <w:b/>
                <w:sz w:val="21"/>
                <w:szCs w:val="21"/>
              </w:rPr>
            </w:pPr>
            <w:r>
              <w:rPr>
                <w:rFonts w:hint="eastAsia"/>
                <w:b/>
                <w:sz w:val="21"/>
                <w:szCs w:val="21"/>
              </w:rPr>
              <w:t>仪器名称</w:t>
            </w:r>
          </w:p>
        </w:tc>
        <w:tc>
          <w:tcPr>
            <w:tcW w:w="1136" w:type="pct"/>
            <w:vAlign w:val="center"/>
          </w:tcPr>
          <w:p w14:paraId="591B1C33">
            <w:pPr>
              <w:spacing w:line="240" w:lineRule="auto"/>
              <w:ind w:firstLine="0" w:firstLineChars="0"/>
              <w:jc w:val="center"/>
              <w:rPr>
                <w:b/>
                <w:sz w:val="21"/>
                <w:szCs w:val="21"/>
              </w:rPr>
            </w:pPr>
            <w:r>
              <w:rPr>
                <w:rFonts w:hint="eastAsia"/>
                <w:b/>
                <w:sz w:val="21"/>
                <w:szCs w:val="21"/>
              </w:rPr>
              <w:t>仪器型号</w:t>
            </w:r>
          </w:p>
        </w:tc>
        <w:tc>
          <w:tcPr>
            <w:tcW w:w="755" w:type="pct"/>
            <w:vAlign w:val="center"/>
          </w:tcPr>
          <w:p w14:paraId="53E06CEE">
            <w:pPr>
              <w:spacing w:line="240" w:lineRule="auto"/>
              <w:ind w:firstLine="0" w:firstLineChars="0"/>
              <w:jc w:val="center"/>
              <w:rPr>
                <w:b/>
                <w:sz w:val="21"/>
                <w:szCs w:val="21"/>
              </w:rPr>
            </w:pPr>
            <w:r>
              <w:rPr>
                <w:rFonts w:hint="eastAsia"/>
                <w:b/>
                <w:sz w:val="21"/>
                <w:szCs w:val="21"/>
              </w:rPr>
              <w:t>仪器编号</w:t>
            </w:r>
          </w:p>
        </w:tc>
        <w:tc>
          <w:tcPr>
            <w:tcW w:w="1724" w:type="pct"/>
            <w:vAlign w:val="center"/>
          </w:tcPr>
          <w:p w14:paraId="14ACBE76">
            <w:pPr>
              <w:spacing w:line="240" w:lineRule="auto"/>
              <w:ind w:firstLine="0" w:firstLineChars="0"/>
              <w:jc w:val="center"/>
              <w:rPr>
                <w:rFonts w:hint="default" w:eastAsia="宋体"/>
                <w:b/>
                <w:sz w:val="21"/>
                <w:szCs w:val="21"/>
                <w:lang w:val="en-US" w:eastAsia="zh-CN"/>
              </w:rPr>
            </w:pPr>
            <w:r>
              <w:rPr>
                <w:rFonts w:hint="eastAsia"/>
                <w:b/>
                <w:sz w:val="21"/>
                <w:szCs w:val="21"/>
                <w:lang w:val="en-US" w:eastAsia="zh-CN"/>
              </w:rPr>
              <w:t>校准日期/有效期</w:t>
            </w:r>
          </w:p>
        </w:tc>
      </w:tr>
      <w:tr w14:paraId="16DB8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382" w:type="pct"/>
            <w:vAlign w:val="center"/>
          </w:tcPr>
          <w:p w14:paraId="1EAE5F3C">
            <w:pPr>
              <w:spacing w:line="240" w:lineRule="auto"/>
              <w:ind w:firstLine="0" w:firstLineChars="0"/>
              <w:jc w:val="center"/>
              <w:rPr>
                <w:rFonts w:hint="eastAsia" w:ascii="宋体" w:hAnsi="宋体" w:cs="宋体"/>
                <w:sz w:val="21"/>
                <w:szCs w:val="21"/>
              </w:rPr>
            </w:pPr>
            <w:r>
              <w:rPr>
                <w:rFonts w:hint="eastAsia" w:ascii="宋体" w:hAnsi="宋体" w:cs="宋体"/>
                <w:sz w:val="21"/>
                <w:szCs w:val="21"/>
              </w:rPr>
              <w:t>NBM550电磁辐射分析仪</w:t>
            </w:r>
          </w:p>
        </w:tc>
        <w:tc>
          <w:tcPr>
            <w:tcW w:w="1136" w:type="pct"/>
            <w:vAlign w:val="center"/>
          </w:tcPr>
          <w:p w14:paraId="1ED164F0">
            <w:pPr>
              <w:spacing w:line="240" w:lineRule="auto"/>
              <w:ind w:firstLine="0" w:firstLineChars="0"/>
              <w:jc w:val="center"/>
              <w:rPr>
                <w:sz w:val="21"/>
                <w:szCs w:val="21"/>
              </w:rPr>
            </w:pPr>
            <w:r>
              <w:rPr>
                <w:rFonts w:hint="eastAsia"/>
                <w:sz w:val="21"/>
                <w:szCs w:val="21"/>
              </w:rPr>
              <w:t>EHP-50F/NBM-550</w:t>
            </w:r>
          </w:p>
        </w:tc>
        <w:tc>
          <w:tcPr>
            <w:tcW w:w="755" w:type="pct"/>
            <w:vAlign w:val="center"/>
          </w:tcPr>
          <w:p w14:paraId="68B38E6F">
            <w:pPr>
              <w:spacing w:line="240" w:lineRule="auto"/>
              <w:ind w:firstLine="0" w:firstLineChars="0"/>
              <w:jc w:val="center"/>
              <w:rPr>
                <w:rFonts w:cs="Times New Roman"/>
                <w:sz w:val="21"/>
                <w:szCs w:val="21"/>
              </w:rPr>
            </w:pPr>
            <w:r>
              <w:rPr>
                <w:rFonts w:hint="eastAsia" w:cs="Times New Roman"/>
                <w:sz w:val="21"/>
                <w:szCs w:val="21"/>
              </w:rPr>
              <w:t>ZL-001</w:t>
            </w:r>
          </w:p>
        </w:tc>
        <w:tc>
          <w:tcPr>
            <w:tcW w:w="1724" w:type="pct"/>
            <w:vAlign w:val="center"/>
          </w:tcPr>
          <w:p w14:paraId="28B549C4">
            <w:pPr>
              <w:spacing w:line="240" w:lineRule="auto"/>
              <w:ind w:firstLine="0" w:firstLineChars="0"/>
              <w:jc w:val="center"/>
              <w:rPr>
                <w:rFonts w:hint="eastAsia" w:cs="Times New Roman"/>
                <w:sz w:val="21"/>
                <w:szCs w:val="21"/>
                <w:lang w:val="en-US" w:eastAsia="zh-CN"/>
              </w:rPr>
            </w:pPr>
            <w:r>
              <w:rPr>
                <w:rFonts w:hint="eastAsia" w:cs="Times New Roman"/>
                <w:sz w:val="21"/>
                <w:szCs w:val="21"/>
                <w:lang w:val="en-US" w:eastAsia="zh-CN"/>
              </w:rPr>
              <w:t>2024年9月24日/</w:t>
            </w:r>
          </w:p>
          <w:p w14:paraId="617FB142">
            <w:pPr>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2025年9月24日</w:t>
            </w:r>
          </w:p>
        </w:tc>
      </w:tr>
    </w:tbl>
    <w:p w14:paraId="77EE96AE">
      <w:pPr>
        <w:pStyle w:val="38"/>
      </w:pPr>
      <w:r>
        <w:rPr>
          <w:rFonts w:hint="eastAsia"/>
        </w:rPr>
        <w:t>3.4监测点布置</w:t>
      </w:r>
    </w:p>
    <w:p w14:paraId="28D3DAAB">
      <w:pPr>
        <w:pStyle w:val="38"/>
        <w:rPr>
          <w:color w:val="0000FF"/>
        </w:rPr>
      </w:pPr>
      <w:r>
        <w:rPr>
          <w:rFonts w:hint="eastAsia"/>
          <w:color w:val="0000FF"/>
        </w:rPr>
        <w:t>本项目监测点位布置按《环境影响评价技术导则 输变电》（HJ 24-2020）要求“站址的布点方法以围墙四周均匀布点为主”，在站址围墙四周各布设一个点位，满足导则要求。</w:t>
      </w:r>
    </w:p>
    <w:p w14:paraId="5ADC7896">
      <w:pPr>
        <w:pStyle w:val="38"/>
      </w:pPr>
      <w:r>
        <w:rPr>
          <w:rFonts w:hint="eastAsia"/>
        </w:rPr>
        <w:t>3.5监测结果及评价</w:t>
      </w:r>
    </w:p>
    <w:p w14:paraId="46CA1C59">
      <w:pPr>
        <w:pStyle w:val="4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表4 本工程工频电场强度检测结果一览表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3"/>
        <w:gridCol w:w="2350"/>
        <w:gridCol w:w="3826"/>
      </w:tblGrid>
      <w:tr w14:paraId="44B3F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tblHeader/>
          <w:jc w:val="center"/>
        </w:trPr>
        <w:tc>
          <w:tcPr>
            <w:tcW w:w="1375" w:type="pct"/>
            <w:vMerge w:val="restart"/>
            <w:vAlign w:val="center"/>
          </w:tcPr>
          <w:p w14:paraId="4464B7EC">
            <w:pPr>
              <w:spacing w:line="240" w:lineRule="auto"/>
              <w:ind w:firstLine="0" w:firstLineChars="0"/>
              <w:jc w:val="center"/>
              <w:rPr>
                <w:b/>
                <w:sz w:val="21"/>
                <w:szCs w:val="21"/>
              </w:rPr>
            </w:pPr>
            <w:r>
              <w:rPr>
                <w:b/>
                <w:sz w:val="21"/>
                <w:szCs w:val="21"/>
              </w:rPr>
              <w:t>检测项目</w:t>
            </w:r>
          </w:p>
        </w:tc>
        <w:tc>
          <w:tcPr>
            <w:tcW w:w="1379" w:type="pct"/>
            <w:vAlign w:val="center"/>
          </w:tcPr>
          <w:p w14:paraId="2BB76A3F">
            <w:pPr>
              <w:spacing w:line="240" w:lineRule="auto"/>
              <w:ind w:firstLine="0" w:firstLineChars="0"/>
              <w:jc w:val="center"/>
              <w:rPr>
                <w:b/>
                <w:sz w:val="21"/>
                <w:szCs w:val="21"/>
              </w:rPr>
            </w:pPr>
            <w:r>
              <w:rPr>
                <w:rFonts w:hint="eastAsia"/>
                <w:b/>
                <w:sz w:val="21"/>
                <w:szCs w:val="21"/>
              </w:rPr>
              <w:t>测量位置</w:t>
            </w:r>
          </w:p>
        </w:tc>
        <w:tc>
          <w:tcPr>
            <w:tcW w:w="2245" w:type="pct"/>
            <w:vAlign w:val="center"/>
          </w:tcPr>
          <w:p w14:paraId="4B1446D5">
            <w:pPr>
              <w:spacing w:line="240" w:lineRule="auto"/>
              <w:ind w:firstLine="0" w:firstLineChars="0"/>
              <w:jc w:val="center"/>
              <w:rPr>
                <w:b/>
                <w:sz w:val="21"/>
                <w:szCs w:val="21"/>
              </w:rPr>
            </w:pPr>
            <w:r>
              <w:rPr>
                <w:b/>
                <w:sz w:val="21"/>
                <w:szCs w:val="21"/>
              </w:rPr>
              <w:t>检测结果</w:t>
            </w:r>
            <w:r>
              <w:rPr>
                <w:b/>
                <w:bCs/>
                <w:sz w:val="21"/>
                <w:szCs w:val="21"/>
              </w:rPr>
              <w:t>（V/m）</w:t>
            </w:r>
          </w:p>
        </w:tc>
      </w:tr>
      <w:tr w14:paraId="1E601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375" w:type="pct"/>
            <w:vMerge w:val="restart"/>
            <w:vAlign w:val="center"/>
          </w:tcPr>
          <w:p w14:paraId="68537533">
            <w:pPr>
              <w:spacing w:line="240" w:lineRule="auto"/>
              <w:ind w:firstLine="0" w:firstLineChars="0"/>
              <w:jc w:val="center"/>
              <w:rPr>
                <w:sz w:val="21"/>
                <w:szCs w:val="21"/>
              </w:rPr>
            </w:pPr>
            <w:r>
              <w:rPr>
                <w:rFonts w:hint="eastAsia"/>
                <w:sz w:val="21"/>
                <w:szCs w:val="21"/>
              </w:rPr>
              <w:t>工频</w:t>
            </w:r>
            <w:r>
              <w:rPr>
                <w:sz w:val="21"/>
                <w:szCs w:val="21"/>
              </w:rPr>
              <w:t>电场</w:t>
            </w:r>
          </w:p>
        </w:tc>
        <w:tc>
          <w:tcPr>
            <w:tcW w:w="1379" w:type="pct"/>
            <w:vAlign w:val="center"/>
          </w:tcPr>
          <w:p w14:paraId="5DF3615F">
            <w:pPr>
              <w:spacing w:line="240" w:lineRule="auto"/>
              <w:ind w:firstLine="0" w:firstLineChars="0"/>
              <w:jc w:val="center"/>
              <w:rPr>
                <w:sz w:val="21"/>
                <w:szCs w:val="21"/>
              </w:rPr>
            </w:pPr>
            <w:r>
              <w:rPr>
                <w:rFonts w:hint="eastAsia" w:ascii="Arial" w:cs="Arial"/>
                <w:color w:val="000000"/>
                <w:sz w:val="21"/>
                <w:szCs w:val="21"/>
              </w:rPr>
              <w:t>变电站东侧外5m处</w:t>
            </w:r>
          </w:p>
        </w:tc>
        <w:tc>
          <w:tcPr>
            <w:tcW w:w="2245" w:type="pct"/>
            <w:vAlign w:val="center"/>
          </w:tcPr>
          <w:p w14:paraId="3A922EA2">
            <w:pPr>
              <w:spacing w:line="240" w:lineRule="auto"/>
              <w:ind w:firstLine="0" w:firstLineChars="0"/>
              <w:jc w:val="center"/>
              <w:rPr>
                <w:rFonts w:cs="Times New Roman"/>
                <w:bCs/>
                <w:sz w:val="21"/>
                <w:szCs w:val="21"/>
              </w:rPr>
            </w:pPr>
            <w:r>
              <w:rPr>
                <w:rFonts w:hint="eastAsia" w:cs="Times New Roman"/>
                <w:bCs/>
                <w:sz w:val="21"/>
                <w:szCs w:val="21"/>
              </w:rPr>
              <w:t>5.18</w:t>
            </w:r>
          </w:p>
        </w:tc>
      </w:tr>
      <w:tr w14:paraId="3F5CA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375" w:type="pct"/>
            <w:vMerge w:val="continue"/>
            <w:vAlign w:val="center"/>
          </w:tcPr>
          <w:p w14:paraId="0F3659F9">
            <w:pPr>
              <w:spacing w:line="240" w:lineRule="auto"/>
              <w:ind w:firstLine="0" w:firstLineChars="0"/>
              <w:jc w:val="center"/>
              <w:rPr>
                <w:sz w:val="21"/>
                <w:szCs w:val="21"/>
              </w:rPr>
            </w:pPr>
          </w:p>
        </w:tc>
        <w:tc>
          <w:tcPr>
            <w:tcW w:w="1379" w:type="pct"/>
            <w:vAlign w:val="center"/>
          </w:tcPr>
          <w:p w14:paraId="19B5B39C">
            <w:pPr>
              <w:spacing w:line="240" w:lineRule="auto"/>
              <w:ind w:firstLine="0" w:firstLineChars="0"/>
              <w:jc w:val="center"/>
              <w:rPr>
                <w:rFonts w:ascii="Arial" w:cs="Arial"/>
                <w:color w:val="000000"/>
                <w:sz w:val="21"/>
                <w:szCs w:val="21"/>
              </w:rPr>
            </w:pPr>
            <w:r>
              <w:rPr>
                <w:rFonts w:hint="eastAsia" w:ascii="Arial" w:cs="Arial"/>
                <w:color w:val="000000"/>
                <w:sz w:val="21"/>
                <w:szCs w:val="21"/>
              </w:rPr>
              <w:t>变电站南侧外5m处</w:t>
            </w:r>
          </w:p>
        </w:tc>
        <w:tc>
          <w:tcPr>
            <w:tcW w:w="2245" w:type="pct"/>
            <w:vAlign w:val="center"/>
          </w:tcPr>
          <w:p w14:paraId="5FD44620">
            <w:pPr>
              <w:spacing w:line="240" w:lineRule="auto"/>
              <w:ind w:firstLine="0" w:firstLineChars="0"/>
              <w:jc w:val="center"/>
              <w:rPr>
                <w:rFonts w:cs="Times New Roman"/>
                <w:bCs/>
                <w:sz w:val="21"/>
                <w:szCs w:val="21"/>
              </w:rPr>
            </w:pPr>
            <w:r>
              <w:rPr>
                <w:rFonts w:hint="eastAsia" w:cs="Times New Roman"/>
                <w:bCs/>
                <w:sz w:val="21"/>
                <w:szCs w:val="21"/>
              </w:rPr>
              <w:t>5.07</w:t>
            </w:r>
          </w:p>
        </w:tc>
      </w:tr>
      <w:tr w14:paraId="01843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375" w:type="pct"/>
            <w:vMerge w:val="continue"/>
            <w:vAlign w:val="center"/>
          </w:tcPr>
          <w:p w14:paraId="6C86AB25">
            <w:pPr>
              <w:spacing w:line="240" w:lineRule="auto"/>
              <w:ind w:firstLine="0" w:firstLineChars="0"/>
              <w:jc w:val="center"/>
              <w:rPr>
                <w:sz w:val="21"/>
                <w:szCs w:val="21"/>
              </w:rPr>
            </w:pPr>
          </w:p>
        </w:tc>
        <w:tc>
          <w:tcPr>
            <w:tcW w:w="1379" w:type="pct"/>
            <w:vAlign w:val="center"/>
          </w:tcPr>
          <w:p w14:paraId="1EB9C429">
            <w:pPr>
              <w:spacing w:line="240" w:lineRule="auto"/>
              <w:ind w:firstLine="0" w:firstLineChars="0"/>
              <w:jc w:val="center"/>
              <w:rPr>
                <w:rFonts w:ascii="Arial" w:cs="Arial"/>
                <w:color w:val="000000"/>
                <w:sz w:val="21"/>
                <w:szCs w:val="21"/>
              </w:rPr>
            </w:pPr>
            <w:r>
              <w:rPr>
                <w:rFonts w:hint="eastAsia" w:ascii="Arial" w:cs="Arial"/>
                <w:color w:val="000000"/>
                <w:sz w:val="21"/>
                <w:szCs w:val="21"/>
              </w:rPr>
              <w:t>变电站西侧外5m处</w:t>
            </w:r>
          </w:p>
        </w:tc>
        <w:tc>
          <w:tcPr>
            <w:tcW w:w="2245" w:type="pct"/>
            <w:vAlign w:val="center"/>
          </w:tcPr>
          <w:p w14:paraId="6C541933">
            <w:pPr>
              <w:spacing w:line="240" w:lineRule="auto"/>
              <w:ind w:firstLine="0" w:firstLineChars="0"/>
              <w:jc w:val="center"/>
              <w:rPr>
                <w:rFonts w:cs="Times New Roman"/>
                <w:bCs/>
                <w:sz w:val="21"/>
                <w:szCs w:val="21"/>
              </w:rPr>
            </w:pPr>
            <w:r>
              <w:rPr>
                <w:rFonts w:hint="eastAsia" w:cs="Times New Roman"/>
                <w:bCs/>
                <w:sz w:val="21"/>
                <w:szCs w:val="21"/>
              </w:rPr>
              <w:t>5.07</w:t>
            </w:r>
          </w:p>
        </w:tc>
      </w:tr>
      <w:tr w14:paraId="5734E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375" w:type="pct"/>
            <w:vMerge w:val="continue"/>
            <w:vAlign w:val="center"/>
          </w:tcPr>
          <w:p w14:paraId="7147883C">
            <w:pPr>
              <w:spacing w:line="240" w:lineRule="auto"/>
              <w:ind w:firstLine="0" w:firstLineChars="0"/>
              <w:jc w:val="center"/>
              <w:rPr>
                <w:sz w:val="21"/>
                <w:szCs w:val="21"/>
              </w:rPr>
            </w:pPr>
          </w:p>
        </w:tc>
        <w:tc>
          <w:tcPr>
            <w:tcW w:w="1379" w:type="pct"/>
            <w:vAlign w:val="center"/>
          </w:tcPr>
          <w:p w14:paraId="11B0A738">
            <w:pPr>
              <w:spacing w:line="240" w:lineRule="auto"/>
              <w:ind w:firstLine="0" w:firstLineChars="0"/>
              <w:jc w:val="center"/>
              <w:rPr>
                <w:rFonts w:ascii="Arial" w:cs="Arial"/>
                <w:color w:val="000000"/>
                <w:sz w:val="21"/>
                <w:szCs w:val="21"/>
              </w:rPr>
            </w:pPr>
            <w:r>
              <w:rPr>
                <w:rFonts w:hint="eastAsia" w:ascii="Arial" w:cs="Arial"/>
                <w:color w:val="000000"/>
                <w:sz w:val="21"/>
                <w:szCs w:val="21"/>
              </w:rPr>
              <w:t>变电站北侧外5m处</w:t>
            </w:r>
          </w:p>
        </w:tc>
        <w:tc>
          <w:tcPr>
            <w:tcW w:w="2245" w:type="pct"/>
            <w:vAlign w:val="center"/>
          </w:tcPr>
          <w:p w14:paraId="1A69D345">
            <w:pPr>
              <w:spacing w:line="240" w:lineRule="auto"/>
              <w:ind w:firstLine="0" w:firstLineChars="0"/>
              <w:jc w:val="center"/>
              <w:rPr>
                <w:rFonts w:cs="Times New Roman"/>
                <w:bCs/>
                <w:sz w:val="21"/>
                <w:szCs w:val="21"/>
              </w:rPr>
            </w:pPr>
            <w:r>
              <w:rPr>
                <w:rFonts w:hint="eastAsia" w:cs="Times New Roman"/>
                <w:bCs/>
                <w:sz w:val="21"/>
                <w:szCs w:val="21"/>
              </w:rPr>
              <w:t>5.25</w:t>
            </w:r>
          </w:p>
        </w:tc>
      </w:tr>
    </w:tbl>
    <w:p w14:paraId="23AC621C">
      <w:pPr>
        <w:pStyle w:val="4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表5本工程工频磁感应强度检测结果一览表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50"/>
        <w:gridCol w:w="2352"/>
        <w:gridCol w:w="3817"/>
      </w:tblGrid>
      <w:tr w14:paraId="15A69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tblHeader/>
          <w:jc w:val="center"/>
        </w:trPr>
        <w:tc>
          <w:tcPr>
            <w:tcW w:w="1379" w:type="pct"/>
            <w:vMerge w:val="restart"/>
            <w:vAlign w:val="center"/>
          </w:tcPr>
          <w:p w14:paraId="0C5E4E4C">
            <w:pPr>
              <w:spacing w:line="240" w:lineRule="auto"/>
              <w:ind w:firstLine="0" w:firstLineChars="0"/>
              <w:jc w:val="center"/>
              <w:rPr>
                <w:b/>
                <w:sz w:val="21"/>
                <w:szCs w:val="21"/>
              </w:rPr>
            </w:pPr>
            <w:r>
              <w:rPr>
                <w:b/>
                <w:sz w:val="21"/>
                <w:szCs w:val="21"/>
              </w:rPr>
              <w:t>检测项目</w:t>
            </w:r>
          </w:p>
        </w:tc>
        <w:tc>
          <w:tcPr>
            <w:tcW w:w="1380" w:type="pct"/>
            <w:vAlign w:val="center"/>
          </w:tcPr>
          <w:p w14:paraId="0D59644C">
            <w:pPr>
              <w:spacing w:line="240" w:lineRule="auto"/>
              <w:ind w:firstLine="0" w:firstLineChars="0"/>
              <w:jc w:val="center"/>
              <w:rPr>
                <w:b/>
                <w:sz w:val="21"/>
                <w:szCs w:val="21"/>
              </w:rPr>
            </w:pPr>
            <w:r>
              <w:rPr>
                <w:rFonts w:hint="eastAsia"/>
                <w:b/>
                <w:sz w:val="21"/>
                <w:szCs w:val="21"/>
              </w:rPr>
              <w:t>测量位置</w:t>
            </w:r>
          </w:p>
        </w:tc>
        <w:tc>
          <w:tcPr>
            <w:tcW w:w="2240" w:type="pct"/>
            <w:vAlign w:val="center"/>
          </w:tcPr>
          <w:p w14:paraId="080554A0">
            <w:pPr>
              <w:spacing w:line="240" w:lineRule="auto"/>
              <w:ind w:firstLine="0" w:firstLineChars="0"/>
              <w:jc w:val="center"/>
              <w:rPr>
                <w:b/>
                <w:sz w:val="21"/>
                <w:szCs w:val="21"/>
              </w:rPr>
            </w:pPr>
            <w:r>
              <w:rPr>
                <w:b/>
                <w:sz w:val="21"/>
                <w:szCs w:val="21"/>
              </w:rPr>
              <w:t>检测结果</w:t>
            </w:r>
            <w:r>
              <w:rPr>
                <w:b/>
                <w:bCs/>
                <w:sz w:val="21"/>
                <w:szCs w:val="21"/>
              </w:rPr>
              <w:t>（µ</w:t>
            </w:r>
            <w:r>
              <w:rPr>
                <w:rFonts w:hint="eastAsia"/>
                <w:b/>
                <w:bCs/>
                <w:sz w:val="21"/>
                <w:szCs w:val="21"/>
              </w:rPr>
              <w:t>T</w:t>
            </w:r>
            <w:r>
              <w:rPr>
                <w:b/>
                <w:bCs/>
                <w:sz w:val="21"/>
                <w:szCs w:val="21"/>
              </w:rPr>
              <w:t>）</w:t>
            </w:r>
          </w:p>
        </w:tc>
      </w:tr>
      <w:tr w14:paraId="4EE47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1379" w:type="pct"/>
            <w:vMerge w:val="restart"/>
            <w:vAlign w:val="center"/>
          </w:tcPr>
          <w:p w14:paraId="0072840E">
            <w:pPr>
              <w:spacing w:line="240" w:lineRule="auto"/>
              <w:ind w:firstLine="0" w:firstLineChars="0"/>
              <w:jc w:val="center"/>
              <w:rPr>
                <w:bCs/>
                <w:sz w:val="21"/>
                <w:szCs w:val="21"/>
              </w:rPr>
            </w:pPr>
            <w:r>
              <w:rPr>
                <w:rFonts w:hint="eastAsia" w:ascii="宋体" w:hAnsi="宋体" w:cs="宋体"/>
                <w:sz w:val="21"/>
                <w:szCs w:val="21"/>
              </w:rPr>
              <w:t>工频磁感应强度</w:t>
            </w:r>
          </w:p>
        </w:tc>
        <w:tc>
          <w:tcPr>
            <w:tcW w:w="1380" w:type="pct"/>
            <w:vAlign w:val="center"/>
          </w:tcPr>
          <w:p w14:paraId="5B34ED7D">
            <w:pPr>
              <w:spacing w:line="240" w:lineRule="auto"/>
              <w:ind w:firstLine="0" w:firstLineChars="0"/>
              <w:jc w:val="center"/>
              <w:rPr>
                <w:sz w:val="21"/>
                <w:szCs w:val="21"/>
              </w:rPr>
            </w:pPr>
            <w:r>
              <w:rPr>
                <w:rFonts w:hint="eastAsia" w:ascii="Arial" w:cs="Arial"/>
                <w:color w:val="000000"/>
                <w:sz w:val="21"/>
                <w:szCs w:val="21"/>
              </w:rPr>
              <w:t>变电站东侧外5m处</w:t>
            </w:r>
          </w:p>
        </w:tc>
        <w:tc>
          <w:tcPr>
            <w:tcW w:w="2240" w:type="pct"/>
            <w:vAlign w:val="center"/>
          </w:tcPr>
          <w:p w14:paraId="7A1BE208">
            <w:pPr>
              <w:spacing w:line="240" w:lineRule="auto"/>
              <w:ind w:firstLine="0" w:firstLineChars="0"/>
              <w:jc w:val="center"/>
              <w:rPr>
                <w:b/>
                <w:sz w:val="21"/>
                <w:szCs w:val="21"/>
              </w:rPr>
            </w:pPr>
            <w:r>
              <w:rPr>
                <w:rFonts w:hint="eastAsia"/>
                <w:b/>
                <w:sz w:val="21"/>
                <w:szCs w:val="21"/>
              </w:rPr>
              <w:t>0.6906</w:t>
            </w:r>
          </w:p>
        </w:tc>
      </w:tr>
      <w:tr w14:paraId="5AFE6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1379" w:type="pct"/>
            <w:vMerge w:val="continue"/>
            <w:vAlign w:val="center"/>
          </w:tcPr>
          <w:p w14:paraId="41426336">
            <w:pPr>
              <w:spacing w:line="240" w:lineRule="auto"/>
              <w:ind w:firstLine="0" w:firstLineChars="0"/>
              <w:jc w:val="center"/>
              <w:rPr>
                <w:sz w:val="21"/>
                <w:szCs w:val="21"/>
              </w:rPr>
            </w:pPr>
          </w:p>
        </w:tc>
        <w:tc>
          <w:tcPr>
            <w:tcW w:w="1380" w:type="pct"/>
            <w:vAlign w:val="center"/>
          </w:tcPr>
          <w:p w14:paraId="5F6D6DE3">
            <w:pPr>
              <w:spacing w:line="240" w:lineRule="auto"/>
              <w:ind w:firstLine="0" w:firstLineChars="0"/>
              <w:jc w:val="center"/>
              <w:rPr>
                <w:sz w:val="21"/>
                <w:szCs w:val="21"/>
              </w:rPr>
            </w:pPr>
            <w:r>
              <w:rPr>
                <w:rFonts w:hint="eastAsia" w:ascii="Arial" w:cs="Arial"/>
                <w:color w:val="000000"/>
                <w:sz w:val="21"/>
                <w:szCs w:val="21"/>
              </w:rPr>
              <w:t>变电站南侧外5m处</w:t>
            </w:r>
          </w:p>
        </w:tc>
        <w:tc>
          <w:tcPr>
            <w:tcW w:w="2240" w:type="pct"/>
            <w:vAlign w:val="center"/>
          </w:tcPr>
          <w:p w14:paraId="5823E66C">
            <w:pPr>
              <w:spacing w:line="240" w:lineRule="auto"/>
              <w:ind w:firstLine="0" w:firstLineChars="0"/>
              <w:jc w:val="center"/>
              <w:rPr>
                <w:b/>
                <w:sz w:val="21"/>
                <w:szCs w:val="21"/>
              </w:rPr>
            </w:pPr>
            <w:r>
              <w:rPr>
                <w:rFonts w:hint="eastAsia"/>
                <w:b/>
                <w:sz w:val="21"/>
                <w:szCs w:val="21"/>
              </w:rPr>
              <w:t>0.6797</w:t>
            </w:r>
          </w:p>
        </w:tc>
      </w:tr>
      <w:tr w14:paraId="3703C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1379" w:type="pct"/>
            <w:vMerge w:val="continue"/>
            <w:vAlign w:val="center"/>
          </w:tcPr>
          <w:p w14:paraId="2BF8185F">
            <w:pPr>
              <w:spacing w:line="240" w:lineRule="auto"/>
              <w:ind w:firstLine="0" w:firstLineChars="0"/>
              <w:jc w:val="center"/>
              <w:rPr>
                <w:sz w:val="21"/>
                <w:szCs w:val="21"/>
              </w:rPr>
            </w:pPr>
          </w:p>
        </w:tc>
        <w:tc>
          <w:tcPr>
            <w:tcW w:w="1380" w:type="pct"/>
            <w:vAlign w:val="center"/>
          </w:tcPr>
          <w:p w14:paraId="43D17926">
            <w:pPr>
              <w:spacing w:line="240" w:lineRule="auto"/>
              <w:ind w:firstLine="0" w:firstLineChars="0"/>
              <w:jc w:val="center"/>
              <w:rPr>
                <w:sz w:val="21"/>
                <w:szCs w:val="21"/>
              </w:rPr>
            </w:pPr>
            <w:r>
              <w:rPr>
                <w:rFonts w:hint="eastAsia" w:ascii="Arial" w:cs="Arial"/>
                <w:color w:val="000000"/>
                <w:sz w:val="21"/>
                <w:szCs w:val="21"/>
              </w:rPr>
              <w:t>变电站西侧外5m处</w:t>
            </w:r>
          </w:p>
        </w:tc>
        <w:tc>
          <w:tcPr>
            <w:tcW w:w="2240" w:type="pct"/>
            <w:vAlign w:val="center"/>
          </w:tcPr>
          <w:p w14:paraId="4A1596BA">
            <w:pPr>
              <w:spacing w:line="240" w:lineRule="auto"/>
              <w:ind w:firstLine="0" w:firstLineChars="0"/>
              <w:jc w:val="center"/>
              <w:rPr>
                <w:b/>
                <w:sz w:val="21"/>
                <w:szCs w:val="21"/>
              </w:rPr>
            </w:pPr>
            <w:r>
              <w:rPr>
                <w:rFonts w:hint="eastAsia"/>
                <w:b/>
                <w:sz w:val="21"/>
                <w:szCs w:val="21"/>
              </w:rPr>
              <w:t>0.6836</w:t>
            </w:r>
          </w:p>
        </w:tc>
      </w:tr>
      <w:tr w14:paraId="578AA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379" w:type="pct"/>
            <w:vMerge w:val="continue"/>
            <w:vAlign w:val="center"/>
          </w:tcPr>
          <w:p w14:paraId="7F2F2BFE">
            <w:pPr>
              <w:spacing w:line="240" w:lineRule="auto"/>
              <w:ind w:firstLine="0" w:firstLineChars="0"/>
              <w:jc w:val="center"/>
              <w:rPr>
                <w:bCs/>
                <w:sz w:val="21"/>
                <w:szCs w:val="21"/>
              </w:rPr>
            </w:pPr>
          </w:p>
        </w:tc>
        <w:tc>
          <w:tcPr>
            <w:tcW w:w="1380" w:type="pct"/>
            <w:vAlign w:val="center"/>
          </w:tcPr>
          <w:p w14:paraId="2AC40458">
            <w:pPr>
              <w:spacing w:line="240" w:lineRule="auto"/>
              <w:ind w:firstLine="0" w:firstLineChars="0"/>
              <w:jc w:val="center"/>
              <w:rPr>
                <w:bCs/>
                <w:sz w:val="21"/>
                <w:szCs w:val="21"/>
              </w:rPr>
            </w:pPr>
            <w:r>
              <w:rPr>
                <w:rFonts w:hint="eastAsia" w:ascii="Arial" w:cs="Arial"/>
                <w:color w:val="000000"/>
                <w:sz w:val="21"/>
                <w:szCs w:val="21"/>
              </w:rPr>
              <w:t>变电站北侧外5m处</w:t>
            </w:r>
          </w:p>
        </w:tc>
        <w:tc>
          <w:tcPr>
            <w:tcW w:w="2240" w:type="pct"/>
            <w:vAlign w:val="center"/>
          </w:tcPr>
          <w:p w14:paraId="17B88C54">
            <w:pPr>
              <w:spacing w:line="240" w:lineRule="auto"/>
              <w:ind w:firstLine="0" w:firstLineChars="0"/>
              <w:jc w:val="center"/>
              <w:rPr>
                <w:rFonts w:cs="Times New Roman"/>
                <w:bCs/>
                <w:sz w:val="21"/>
                <w:szCs w:val="21"/>
              </w:rPr>
            </w:pPr>
            <w:r>
              <w:rPr>
                <w:rFonts w:hint="eastAsia" w:cs="Times New Roman"/>
                <w:bCs/>
                <w:sz w:val="21"/>
                <w:szCs w:val="21"/>
              </w:rPr>
              <w:t>0.6833</w:t>
            </w:r>
          </w:p>
        </w:tc>
      </w:tr>
    </w:tbl>
    <w:p w14:paraId="41D1EED5">
      <w:pPr>
        <w:pStyle w:val="38"/>
        <w:rPr>
          <w:rFonts w:hint="eastAsia" w:ascii="宋体" w:hAnsi="宋体" w:cs="宋体"/>
        </w:rPr>
      </w:pPr>
      <w:r>
        <w:rPr>
          <w:rFonts w:hint="eastAsia" w:ascii="宋体" w:hAnsi="宋体" w:cs="宋体"/>
        </w:rPr>
        <w:t>工频电场检测均值5.07-5.25V/m，磁感应强度检测均值0.6797-0.6906μT，均在《电磁环境控制限值》(GB8702-2014)的</w:t>
      </w:r>
      <w:r>
        <w:t>工频电场强度 4000V/m、工频磁感应强度 100μ</w:t>
      </w:r>
      <w:r>
        <w:rPr>
          <w:rFonts w:hint="eastAsia"/>
        </w:rPr>
        <w:t>T</w:t>
      </w:r>
      <w:r>
        <w:t>的标准</w:t>
      </w:r>
      <w:r>
        <w:rPr>
          <w:rFonts w:hint="eastAsia" w:ascii="宋体" w:hAnsi="宋体" w:cs="宋体"/>
        </w:rPr>
        <w:t>范围内。</w:t>
      </w:r>
    </w:p>
    <w:bookmarkEnd w:id="21"/>
    <w:p w14:paraId="134C2F26">
      <w:pPr>
        <w:adjustRightInd w:val="0"/>
        <w:snapToGrid w:val="0"/>
        <w:ind w:firstLine="0" w:firstLineChars="0"/>
        <w:outlineLvl w:val="0"/>
        <w:rPr>
          <w:rFonts w:hint="eastAsia" w:ascii="宋体" w:hAnsi="宋体" w:cs="宋体"/>
          <w:b/>
          <w:color w:val="000000" w:themeColor="text1"/>
          <w:sz w:val="28"/>
          <w:szCs w:val="28"/>
          <w14:textFill>
            <w14:solidFill>
              <w14:schemeClr w14:val="tx1"/>
            </w14:solidFill>
          </w14:textFill>
        </w:rPr>
      </w:pPr>
      <w:bookmarkStart w:id="22" w:name="_Toc11570"/>
      <w:r>
        <w:rPr>
          <w:rFonts w:hint="eastAsia" w:ascii="宋体" w:hAnsi="宋体" w:cs="宋体"/>
          <w:b/>
          <w:color w:val="000000" w:themeColor="text1"/>
          <w:sz w:val="28"/>
          <w:szCs w:val="28"/>
          <w14:textFill>
            <w14:solidFill>
              <w14:schemeClr w14:val="tx1"/>
            </w14:solidFill>
          </w14:textFill>
        </w:rPr>
        <w:t>4电磁环境预测与评价</w:t>
      </w:r>
      <w:bookmarkEnd w:id="22"/>
    </w:p>
    <w:p w14:paraId="190F85FC">
      <w:pPr>
        <w:pStyle w:val="38"/>
      </w:pPr>
      <w:r>
        <w:rPr>
          <w:rFonts w:hint="eastAsia"/>
        </w:rPr>
        <w:t>4</w:t>
      </w:r>
      <w:r>
        <w:t>.</w:t>
      </w:r>
      <w:r>
        <w:rPr>
          <w:rFonts w:hint="eastAsia"/>
        </w:rPr>
        <w:t>1预测方法</w:t>
      </w:r>
    </w:p>
    <w:p w14:paraId="655C4F3E">
      <w:pPr>
        <w:pStyle w:val="38"/>
        <w:rPr>
          <w:lang w:bidi="ar"/>
        </w:rPr>
      </w:pPr>
      <w:bookmarkStart w:id="23" w:name="_Hlk79165171"/>
      <w:r>
        <w:rPr>
          <w:rFonts w:hint="eastAsia"/>
          <w:snapToGrid w:val="0"/>
          <w:color w:val="000000" w:themeColor="text1"/>
          <w14:textFill>
            <w14:solidFill>
              <w14:schemeClr w14:val="tx1"/>
            </w14:solidFill>
          </w14:textFill>
        </w:rPr>
        <w:t>本次预测评价采用类比监测的方法来预测本项目新建110kV变电站建成运行后对其周围的电磁环境影响。</w:t>
      </w:r>
      <w:r>
        <w:rPr>
          <w:rFonts w:hint="eastAsia"/>
          <w:lang w:bidi="ar"/>
        </w:rPr>
        <w:t>本次类比变电站选择了《呼和浩特市金川南区110kV输变电工程》中的章盖营</w:t>
      </w:r>
      <w:r>
        <w:rPr>
          <w:rFonts w:cs="Times New Roman"/>
          <w:lang w:bidi="ar"/>
        </w:rPr>
        <w:t>110kV</w:t>
      </w:r>
      <w:r>
        <w:rPr>
          <w:rFonts w:hint="eastAsia"/>
          <w:lang w:bidi="ar"/>
        </w:rPr>
        <w:t>变电站作为类比对象，通过对该站的类比监测数据来预测分析本项目变电站运行期的电磁环境影响。</w:t>
      </w:r>
      <w:bookmarkEnd w:id="23"/>
      <w:bookmarkStart w:id="24" w:name="_Toc29794"/>
    </w:p>
    <w:p w14:paraId="44A4D3E9">
      <w:pPr>
        <w:pStyle w:val="38"/>
        <w:rPr>
          <w:lang w:bidi="ar"/>
        </w:rPr>
      </w:pPr>
      <w:r>
        <w:rPr>
          <w:rFonts w:hint="eastAsia"/>
          <w:lang w:bidi="ar"/>
        </w:rPr>
        <w:t>4.2类比可行性分析</w:t>
      </w:r>
    </w:p>
    <w:p w14:paraId="5360F1E6">
      <w:pPr>
        <w:pStyle w:val="38"/>
        <w:rPr>
          <w:lang w:bidi="ar"/>
        </w:rPr>
      </w:pPr>
      <w:r>
        <w:rPr>
          <w:rFonts w:hint="eastAsia"/>
          <w:lang w:bidi="ar"/>
        </w:rPr>
        <w:t>章盖营</w:t>
      </w:r>
      <w:r>
        <w:rPr>
          <w:rFonts w:cs="Times New Roman"/>
          <w:lang w:bidi="ar"/>
        </w:rPr>
        <w:t>110kV</w:t>
      </w:r>
      <w:r>
        <w:rPr>
          <w:rFonts w:hint="eastAsia"/>
          <w:lang w:bidi="ar"/>
        </w:rPr>
        <w:t>变电站</w:t>
      </w:r>
      <w:r>
        <w:rPr>
          <w:lang w:bidi="ar"/>
        </w:rPr>
        <w:t>与本项目新建变电站的对比情况见下表</w:t>
      </w:r>
      <w:r>
        <w:rPr>
          <w:rFonts w:hint="eastAsia"/>
          <w:lang w:bidi="ar"/>
        </w:rPr>
        <w:t>。</w:t>
      </w:r>
    </w:p>
    <w:p w14:paraId="201A831B">
      <w:pPr>
        <w:pStyle w:val="38"/>
        <w:jc w:val="center"/>
        <w:rPr>
          <w:b/>
          <w:bCs/>
          <w:sz w:val="21"/>
          <w:szCs w:val="21"/>
          <w:lang w:bidi="ar"/>
        </w:rPr>
      </w:pPr>
      <w:r>
        <w:rPr>
          <w:rFonts w:hint="eastAsia"/>
          <w:b/>
          <w:bCs/>
          <w:sz w:val="21"/>
          <w:szCs w:val="21"/>
          <w:lang w:bidi="ar"/>
        </w:rPr>
        <w:t>表6本项目与类比项目对比</w:t>
      </w:r>
      <w:r>
        <w:rPr>
          <w:rFonts w:hint="eastAsia"/>
          <w:b/>
          <w:bCs/>
          <w:sz w:val="21"/>
          <w:szCs w:val="21"/>
        </w:rPr>
        <w:t>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14:paraId="590CE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30" w:type="dxa"/>
          </w:tcPr>
          <w:p w14:paraId="5060FD74">
            <w:pPr>
              <w:pStyle w:val="38"/>
              <w:spacing w:line="240" w:lineRule="auto"/>
              <w:ind w:firstLine="0"/>
              <w:rPr>
                <w:sz w:val="21"/>
                <w:szCs w:val="21"/>
                <w:lang w:bidi="ar"/>
              </w:rPr>
            </w:pPr>
            <w:r>
              <w:rPr>
                <w:rFonts w:hint="eastAsia"/>
                <w:sz w:val="21"/>
                <w:szCs w:val="21"/>
                <w:lang w:bidi="ar"/>
              </w:rPr>
              <w:t>项目</w:t>
            </w:r>
          </w:p>
        </w:tc>
        <w:tc>
          <w:tcPr>
            <w:tcW w:w="2130" w:type="dxa"/>
          </w:tcPr>
          <w:p w14:paraId="751BC55A">
            <w:pPr>
              <w:pStyle w:val="38"/>
              <w:spacing w:line="240" w:lineRule="auto"/>
              <w:ind w:firstLine="0"/>
              <w:rPr>
                <w:sz w:val="21"/>
                <w:szCs w:val="21"/>
                <w:lang w:bidi="ar"/>
              </w:rPr>
            </w:pPr>
            <w:r>
              <w:rPr>
                <w:rFonts w:hint="eastAsia"/>
                <w:sz w:val="21"/>
                <w:szCs w:val="21"/>
                <w:lang w:bidi="ar"/>
              </w:rPr>
              <w:t>本项目变电站</w:t>
            </w:r>
          </w:p>
        </w:tc>
        <w:tc>
          <w:tcPr>
            <w:tcW w:w="2131" w:type="dxa"/>
          </w:tcPr>
          <w:p w14:paraId="269AFB77">
            <w:pPr>
              <w:pStyle w:val="38"/>
              <w:spacing w:line="240" w:lineRule="auto"/>
              <w:ind w:firstLine="0"/>
              <w:rPr>
                <w:sz w:val="21"/>
                <w:szCs w:val="21"/>
                <w:lang w:bidi="ar"/>
              </w:rPr>
            </w:pPr>
            <w:r>
              <w:rPr>
                <w:rFonts w:hint="eastAsia"/>
                <w:sz w:val="21"/>
                <w:szCs w:val="21"/>
                <w:lang w:bidi="ar"/>
              </w:rPr>
              <w:t>类比项目变电站</w:t>
            </w:r>
          </w:p>
        </w:tc>
        <w:tc>
          <w:tcPr>
            <w:tcW w:w="2131" w:type="dxa"/>
          </w:tcPr>
          <w:p w14:paraId="02CB289D">
            <w:pPr>
              <w:pStyle w:val="38"/>
              <w:spacing w:line="240" w:lineRule="auto"/>
              <w:ind w:firstLine="0"/>
              <w:rPr>
                <w:sz w:val="21"/>
                <w:szCs w:val="21"/>
                <w:lang w:bidi="ar"/>
              </w:rPr>
            </w:pPr>
            <w:r>
              <w:rPr>
                <w:rFonts w:hint="eastAsia"/>
                <w:sz w:val="21"/>
                <w:szCs w:val="21"/>
                <w:lang w:bidi="ar"/>
              </w:rPr>
              <w:t>对比情况</w:t>
            </w:r>
          </w:p>
        </w:tc>
      </w:tr>
      <w:tr w14:paraId="1626E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3ADD895A">
            <w:pPr>
              <w:pStyle w:val="38"/>
              <w:spacing w:line="240" w:lineRule="auto"/>
              <w:ind w:firstLine="0"/>
              <w:rPr>
                <w:sz w:val="21"/>
                <w:szCs w:val="21"/>
                <w:lang w:bidi="ar"/>
              </w:rPr>
            </w:pPr>
            <w:r>
              <w:rPr>
                <w:rFonts w:hint="eastAsia"/>
                <w:sz w:val="21"/>
                <w:szCs w:val="21"/>
                <w:lang w:bidi="ar"/>
              </w:rPr>
              <w:t>变电站类型</w:t>
            </w:r>
          </w:p>
        </w:tc>
        <w:tc>
          <w:tcPr>
            <w:tcW w:w="2130" w:type="dxa"/>
          </w:tcPr>
          <w:p w14:paraId="1A784BE9">
            <w:pPr>
              <w:pStyle w:val="38"/>
              <w:spacing w:line="240" w:lineRule="auto"/>
              <w:ind w:firstLine="0"/>
              <w:rPr>
                <w:sz w:val="21"/>
                <w:szCs w:val="21"/>
                <w:lang w:bidi="ar"/>
              </w:rPr>
            </w:pPr>
            <w:r>
              <w:rPr>
                <w:rFonts w:hint="eastAsia"/>
                <w:sz w:val="21"/>
                <w:szCs w:val="21"/>
                <w:lang w:bidi="ar"/>
              </w:rPr>
              <w:t>户外站</w:t>
            </w:r>
          </w:p>
        </w:tc>
        <w:tc>
          <w:tcPr>
            <w:tcW w:w="2131" w:type="dxa"/>
          </w:tcPr>
          <w:p w14:paraId="5EE83566">
            <w:pPr>
              <w:pStyle w:val="38"/>
              <w:spacing w:line="240" w:lineRule="auto"/>
              <w:ind w:firstLine="0"/>
              <w:rPr>
                <w:sz w:val="21"/>
                <w:szCs w:val="21"/>
                <w:lang w:bidi="ar"/>
              </w:rPr>
            </w:pPr>
            <w:r>
              <w:rPr>
                <w:rFonts w:hint="eastAsia"/>
                <w:sz w:val="21"/>
                <w:szCs w:val="21"/>
                <w:lang w:bidi="ar"/>
              </w:rPr>
              <w:t>户外站</w:t>
            </w:r>
          </w:p>
        </w:tc>
        <w:tc>
          <w:tcPr>
            <w:tcW w:w="2131" w:type="dxa"/>
          </w:tcPr>
          <w:p w14:paraId="73CB5542">
            <w:pPr>
              <w:pStyle w:val="38"/>
              <w:spacing w:line="240" w:lineRule="auto"/>
              <w:ind w:firstLine="0"/>
              <w:rPr>
                <w:sz w:val="21"/>
                <w:szCs w:val="21"/>
                <w:lang w:bidi="ar"/>
              </w:rPr>
            </w:pPr>
            <w:r>
              <w:rPr>
                <w:rFonts w:hint="eastAsia"/>
                <w:sz w:val="21"/>
                <w:szCs w:val="21"/>
                <w:lang w:bidi="ar"/>
              </w:rPr>
              <w:t>相同</w:t>
            </w:r>
          </w:p>
        </w:tc>
      </w:tr>
      <w:tr w14:paraId="40C33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5B1C5E5D">
            <w:pPr>
              <w:pStyle w:val="38"/>
              <w:spacing w:line="240" w:lineRule="auto"/>
              <w:ind w:firstLine="0"/>
              <w:rPr>
                <w:sz w:val="21"/>
                <w:szCs w:val="21"/>
                <w:lang w:bidi="ar"/>
              </w:rPr>
            </w:pPr>
            <w:r>
              <w:rPr>
                <w:rFonts w:hint="eastAsia"/>
                <w:sz w:val="21"/>
                <w:szCs w:val="21"/>
                <w:lang w:bidi="ar"/>
              </w:rPr>
              <w:t>电压等级</w:t>
            </w:r>
          </w:p>
        </w:tc>
        <w:tc>
          <w:tcPr>
            <w:tcW w:w="2130" w:type="dxa"/>
          </w:tcPr>
          <w:p w14:paraId="3218112E">
            <w:pPr>
              <w:pStyle w:val="38"/>
              <w:spacing w:line="240" w:lineRule="auto"/>
              <w:ind w:firstLine="0"/>
              <w:rPr>
                <w:sz w:val="21"/>
                <w:szCs w:val="21"/>
                <w:lang w:bidi="ar"/>
              </w:rPr>
            </w:pPr>
            <w:r>
              <w:rPr>
                <w:sz w:val="21"/>
                <w:szCs w:val="21"/>
                <w:lang w:bidi="ar"/>
              </w:rPr>
              <w:t>110kV</w:t>
            </w:r>
          </w:p>
        </w:tc>
        <w:tc>
          <w:tcPr>
            <w:tcW w:w="2131" w:type="dxa"/>
          </w:tcPr>
          <w:p w14:paraId="100636E1">
            <w:pPr>
              <w:pStyle w:val="38"/>
              <w:spacing w:line="240" w:lineRule="auto"/>
              <w:ind w:firstLine="0"/>
              <w:rPr>
                <w:sz w:val="21"/>
                <w:szCs w:val="21"/>
                <w:lang w:bidi="ar"/>
              </w:rPr>
            </w:pPr>
            <w:r>
              <w:rPr>
                <w:sz w:val="21"/>
                <w:szCs w:val="21"/>
                <w:lang w:bidi="ar"/>
              </w:rPr>
              <w:t>110kV</w:t>
            </w:r>
          </w:p>
        </w:tc>
        <w:tc>
          <w:tcPr>
            <w:tcW w:w="2131" w:type="dxa"/>
          </w:tcPr>
          <w:p w14:paraId="66D6A76D">
            <w:pPr>
              <w:pStyle w:val="38"/>
              <w:spacing w:line="240" w:lineRule="auto"/>
              <w:ind w:firstLine="0"/>
              <w:rPr>
                <w:sz w:val="21"/>
                <w:szCs w:val="21"/>
                <w:lang w:bidi="ar"/>
              </w:rPr>
            </w:pPr>
            <w:r>
              <w:rPr>
                <w:rFonts w:hint="eastAsia"/>
                <w:sz w:val="21"/>
                <w:szCs w:val="21"/>
                <w:lang w:bidi="ar"/>
              </w:rPr>
              <w:t>相同</w:t>
            </w:r>
          </w:p>
        </w:tc>
      </w:tr>
      <w:tr w14:paraId="57E31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2E462781">
            <w:pPr>
              <w:pStyle w:val="38"/>
              <w:spacing w:line="240" w:lineRule="auto"/>
              <w:ind w:firstLine="0"/>
              <w:rPr>
                <w:sz w:val="21"/>
                <w:szCs w:val="21"/>
                <w:lang w:bidi="ar"/>
              </w:rPr>
            </w:pPr>
            <w:r>
              <w:rPr>
                <w:rFonts w:hint="eastAsia"/>
                <w:sz w:val="21"/>
                <w:szCs w:val="21"/>
                <w:lang w:bidi="ar"/>
              </w:rPr>
              <w:t>主变数量及容量</w:t>
            </w:r>
          </w:p>
        </w:tc>
        <w:tc>
          <w:tcPr>
            <w:tcW w:w="2130" w:type="dxa"/>
          </w:tcPr>
          <w:p w14:paraId="34A5FEA5">
            <w:pPr>
              <w:pStyle w:val="38"/>
              <w:spacing w:line="240" w:lineRule="auto"/>
              <w:ind w:firstLine="0"/>
              <w:rPr>
                <w:sz w:val="21"/>
                <w:szCs w:val="21"/>
                <w:lang w:bidi="ar"/>
              </w:rPr>
            </w:pPr>
            <w:r>
              <w:rPr>
                <w:sz w:val="21"/>
                <w:szCs w:val="21"/>
                <w:lang w:bidi="ar"/>
              </w:rPr>
              <w:t xml:space="preserve">本期 </w:t>
            </w:r>
            <w:r>
              <w:rPr>
                <w:rFonts w:hint="eastAsia"/>
                <w:sz w:val="21"/>
                <w:szCs w:val="21"/>
                <w:lang w:bidi="ar"/>
              </w:rPr>
              <w:t>1</w:t>
            </w:r>
            <w:r>
              <w:rPr>
                <w:sz w:val="21"/>
                <w:szCs w:val="21"/>
                <w:lang w:bidi="ar"/>
              </w:rPr>
              <w:t>×63MVA</w:t>
            </w:r>
          </w:p>
        </w:tc>
        <w:tc>
          <w:tcPr>
            <w:tcW w:w="2131" w:type="dxa"/>
          </w:tcPr>
          <w:p w14:paraId="10981110">
            <w:pPr>
              <w:pStyle w:val="38"/>
              <w:spacing w:line="240" w:lineRule="auto"/>
              <w:ind w:firstLine="0"/>
              <w:rPr>
                <w:sz w:val="21"/>
                <w:szCs w:val="21"/>
                <w:lang w:bidi="ar"/>
              </w:rPr>
            </w:pPr>
            <w:r>
              <w:rPr>
                <w:sz w:val="21"/>
                <w:szCs w:val="21"/>
                <w:lang w:bidi="ar"/>
              </w:rPr>
              <w:t>2×63MVA 在运</w:t>
            </w:r>
          </w:p>
        </w:tc>
        <w:tc>
          <w:tcPr>
            <w:tcW w:w="2131" w:type="dxa"/>
          </w:tcPr>
          <w:p w14:paraId="2BC3F290">
            <w:pPr>
              <w:pStyle w:val="38"/>
              <w:spacing w:line="240" w:lineRule="auto"/>
              <w:ind w:firstLine="0"/>
              <w:rPr>
                <w:sz w:val="21"/>
                <w:szCs w:val="21"/>
                <w:lang w:bidi="ar"/>
              </w:rPr>
            </w:pPr>
            <w:r>
              <w:rPr>
                <w:rFonts w:hint="eastAsia"/>
                <w:sz w:val="21"/>
                <w:szCs w:val="21"/>
                <w:lang w:bidi="ar"/>
              </w:rPr>
              <w:t>类比项目影响略大</w:t>
            </w:r>
          </w:p>
        </w:tc>
      </w:tr>
      <w:tr w14:paraId="71970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111BB184">
            <w:pPr>
              <w:pStyle w:val="38"/>
              <w:spacing w:line="240" w:lineRule="auto"/>
              <w:ind w:firstLine="0"/>
              <w:rPr>
                <w:sz w:val="21"/>
                <w:szCs w:val="21"/>
                <w:lang w:bidi="ar"/>
              </w:rPr>
            </w:pPr>
            <w:r>
              <w:rPr>
                <w:rFonts w:hint="eastAsia"/>
                <w:sz w:val="21"/>
                <w:szCs w:val="21"/>
                <w:lang w:bidi="ar"/>
              </w:rPr>
              <w:t>110kV进出线数量和形式</w:t>
            </w:r>
          </w:p>
        </w:tc>
        <w:tc>
          <w:tcPr>
            <w:tcW w:w="2130" w:type="dxa"/>
          </w:tcPr>
          <w:p w14:paraId="7B5C3A46">
            <w:pPr>
              <w:pStyle w:val="38"/>
              <w:spacing w:line="240" w:lineRule="auto"/>
              <w:ind w:firstLine="0"/>
              <w:rPr>
                <w:sz w:val="21"/>
                <w:szCs w:val="21"/>
                <w:lang w:bidi="ar"/>
              </w:rPr>
            </w:pPr>
            <w:r>
              <w:rPr>
                <w:rFonts w:hint="eastAsia"/>
                <w:sz w:val="21"/>
                <w:szCs w:val="21"/>
                <w:lang w:bidi="ar"/>
              </w:rPr>
              <w:t>3回</w:t>
            </w:r>
            <w:r>
              <w:rPr>
                <w:rFonts w:hint="eastAsia"/>
                <w:sz w:val="21"/>
                <w:szCs w:val="21"/>
                <w:lang w:val="en-US" w:eastAsia="zh-CN" w:bidi="ar"/>
              </w:rPr>
              <w:t>电缆井</w:t>
            </w:r>
            <w:r>
              <w:rPr>
                <w:rFonts w:hint="eastAsia"/>
                <w:sz w:val="21"/>
                <w:szCs w:val="21"/>
                <w:lang w:bidi="ar"/>
              </w:rPr>
              <w:t>出线</w:t>
            </w:r>
          </w:p>
        </w:tc>
        <w:tc>
          <w:tcPr>
            <w:tcW w:w="2131" w:type="dxa"/>
          </w:tcPr>
          <w:p w14:paraId="46462BDC">
            <w:pPr>
              <w:pStyle w:val="38"/>
              <w:spacing w:line="240" w:lineRule="auto"/>
              <w:ind w:firstLine="0"/>
              <w:rPr>
                <w:sz w:val="21"/>
                <w:szCs w:val="21"/>
                <w:lang w:bidi="ar"/>
              </w:rPr>
            </w:pPr>
            <w:r>
              <w:rPr>
                <w:rFonts w:hint="eastAsia"/>
                <w:sz w:val="21"/>
                <w:szCs w:val="21"/>
                <w:lang w:bidi="ar"/>
              </w:rPr>
              <w:t>2回架空出线</w:t>
            </w:r>
          </w:p>
        </w:tc>
        <w:tc>
          <w:tcPr>
            <w:tcW w:w="2131" w:type="dxa"/>
          </w:tcPr>
          <w:p w14:paraId="7D3C1B06">
            <w:pPr>
              <w:pStyle w:val="38"/>
              <w:spacing w:line="240" w:lineRule="auto"/>
              <w:ind w:firstLine="0"/>
              <w:rPr>
                <w:sz w:val="21"/>
                <w:szCs w:val="21"/>
                <w:lang w:bidi="ar"/>
              </w:rPr>
            </w:pPr>
            <w:r>
              <w:rPr>
                <w:rFonts w:hint="eastAsia"/>
                <w:sz w:val="21"/>
                <w:szCs w:val="21"/>
                <w:lang w:bidi="ar"/>
              </w:rPr>
              <w:t>类比项目影响略大</w:t>
            </w:r>
          </w:p>
        </w:tc>
      </w:tr>
      <w:tr w14:paraId="5A250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1F1FB979">
            <w:pPr>
              <w:pStyle w:val="38"/>
              <w:spacing w:line="240" w:lineRule="auto"/>
              <w:ind w:firstLine="0"/>
              <w:rPr>
                <w:sz w:val="21"/>
                <w:szCs w:val="21"/>
                <w:lang w:bidi="ar"/>
              </w:rPr>
            </w:pPr>
            <w:r>
              <w:rPr>
                <w:rFonts w:hint="eastAsia"/>
                <w:sz w:val="21"/>
                <w:szCs w:val="21"/>
                <w:lang w:bidi="ar"/>
              </w:rPr>
              <w:t>布置型式</w:t>
            </w:r>
          </w:p>
        </w:tc>
        <w:tc>
          <w:tcPr>
            <w:tcW w:w="2130" w:type="dxa"/>
          </w:tcPr>
          <w:p w14:paraId="32E83A6E">
            <w:pPr>
              <w:pStyle w:val="38"/>
              <w:spacing w:line="240" w:lineRule="auto"/>
              <w:ind w:firstLine="0"/>
              <w:rPr>
                <w:sz w:val="21"/>
                <w:szCs w:val="21"/>
                <w:lang w:bidi="ar"/>
              </w:rPr>
            </w:pPr>
            <w:r>
              <w:rPr>
                <w:rFonts w:hint="eastAsia"/>
                <w:sz w:val="21"/>
                <w:szCs w:val="21"/>
                <w:lang w:bidi="ar"/>
              </w:rPr>
              <w:t>主变户外布置，配电装置户内布置</w:t>
            </w:r>
          </w:p>
        </w:tc>
        <w:tc>
          <w:tcPr>
            <w:tcW w:w="2131" w:type="dxa"/>
          </w:tcPr>
          <w:p w14:paraId="38E789D5">
            <w:pPr>
              <w:pStyle w:val="38"/>
              <w:spacing w:line="240" w:lineRule="auto"/>
              <w:ind w:firstLine="0"/>
              <w:rPr>
                <w:sz w:val="21"/>
                <w:szCs w:val="21"/>
                <w:lang w:bidi="ar"/>
              </w:rPr>
            </w:pPr>
            <w:r>
              <w:rPr>
                <w:rFonts w:hint="eastAsia"/>
                <w:sz w:val="21"/>
                <w:szCs w:val="21"/>
                <w:lang w:bidi="ar"/>
              </w:rPr>
              <w:t>户外布置</w:t>
            </w:r>
          </w:p>
        </w:tc>
        <w:tc>
          <w:tcPr>
            <w:tcW w:w="2131" w:type="dxa"/>
          </w:tcPr>
          <w:p w14:paraId="515AEA89">
            <w:pPr>
              <w:pStyle w:val="38"/>
              <w:spacing w:line="240" w:lineRule="auto"/>
              <w:ind w:firstLine="0"/>
              <w:rPr>
                <w:sz w:val="21"/>
                <w:szCs w:val="21"/>
                <w:lang w:bidi="ar"/>
              </w:rPr>
            </w:pPr>
            <w:r>
              <w:rPr>
                <w:rFonts w:hint="eastAsia"/>
                <w:sz w:val="21"/>
                <w:szCs w:val="21"/>
                <w:lang w:bidi="ar"/>
              </w:rPr>
              <w:t>类比项目影响略大</w:t>
            </w:r>
          </w:p>
        </w:tc>
      </w:tr>
      <w:tr w14:paraId="779CC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D52A85D">
            <w:pPr>
              <w:pStyle w:val="38"/>
              <w:spacing w:line="240" w:lineRule="auto"/>
              <w:ind w:firstLine="0"/>
              <w:rPr>
                <w:sz w:val="21"/>
                <w:szCs w:val="21"/>
                <w:lang w:bidi="ar"/>
              </w:rPr>
            </w:pPr>
            <w:r>
              <w:rPr>
                <w:rFonts w:hint="eastAsia"/>
                <w:sz w:val="21"/>
                <w:szCs w:val="21"/>
                <w:lang w:bidi="ar"/>
              </w:rPr>
              <w:t>占地面积</w:t>
            </w:r>
          </w:p>
        </w:tc>
        <w:tc>
          <w:tcPr>
            <w:tcW w:w="2130" w:type="dxa"/>
          </w:tcPr>
          <w:p w14:paraId="6640AEF6">
            <w:pPr>
              <w:pStyle w:val="38"/>
              <w:spacing w:line="240" w:lineRule="auto"/>
              <w:ind w:firstLine="0"/>
              <w:rPr>
                <w:sz w:val="21"/>
                <w:szCs w:val="21"/>
                <w:lang w:bidi="ar"/>
              </w:rPr>
            </w:pPr>
            <w:r>
              <w:rPr>
                <w:rFonts w:hint="eastAsia"/>
                <w:sz w:val="21"/>
                <w:szCs w:val="21"/>
                <w:lang w:bidi="ar"/>
              </w:rPr>
              <w:t>4200m</w:t>
            </w:r>
            <w:r>
              <w:rPr>
                <w:rFonts w:hint="eastAsia"/>
                <w:sz w:val="21"/>
                <w:szCs w:val="21"/>
                <w:vertAlign w:val="superscript"/>
                <w:lang w:bidi="ar"/>
              </w:rPr>
              <w:t>2</w:t>
            </w:r>
          </w:p>
        </w:tc>
        <w:tc>
          <w:tcPr>
            <w:tcW w:w="2131" w:type="dxa"/>
          </w:tcPr>
          <w:p w14:paraId="1C3AF409">
            <w:pPr>
              <w:pStyle w:val="38"/>
              <w:spacing w:line="240" w:lineRule="auto"/>
              <w:ind w:firstLine="0"/>
              <w:rPr>
                <w:sz w:val="21"/>
                <w:szCs w:val="21"/>
                <w:lang w:bidi="ar"/>
              </w:rPr>
            </w:pPr>
            <w:r>
              <w:rPr>
                <w:rFonts w:hint="eastAsia"/>
                <w:sz w:val="21"/>
                <w:szCs w:val="21"/>
                <w:lang w:bidi="ar"/>
              </w:rPr>
              <w:t>4287.4m</w:t>
            </w:r>
            <w:r>
              <w:rPr>
                <w:rFonts w:hint="eastAsia"/>
                <w:sz w:val="21"/>
                <w:szCs w:val="21"/>
                <w:vertAlign w:val="superscript"/>
                <w:lang w:bidi="ar"/>
              </w:rPr>
              <w:t>2</w:t>
            </w:r>
          </w:p>
        </w:tc>
        <w:tc>
          <w:tcPr>
            <w:tcW w:w="2131" w:type="dxa"/>
          </w:tcPr>
          <w:p w14:paraId="1EFCAA77">
            <w:pPr>
              <w:pStyle w:val="38"/>
              <w:spacing w:line="240" w:lineRule="auto"/>
              <w:ind w:firstLine="0"/>
              <w:rPr>
                <w:sz w:val="21"/>
                <w:szCs w:val="21"/>
                <w:lang w:bidi="ar"/>
              </w:rPr>
            </w:pPr>
            <w:r>
              <w:rPr>
                <w:rFonts w:hint="eastAsia"/>
                <w:sz w:val="21"/>
                <w:szCs w:val="21"/>
                <w:lang w:bidi="ar"/>
              </w:rPr>
              <w:t>相近</w:t>
            </w:r>
          </w:p>
        </w:tc>
      </w:tr>
      <w:tr w14:paraId="5FCF4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62271A59">
            <w:pPr>
              <w:pStyle w:val="38"/>
              <w:spacing w:line="240" w:lineRule="auto"/>
              <w:ind w:firstLine="0"/>
              <w:rPr>
                <w:sz w:val="21"/>
                <w:szCs w:val="21"/>
                <w:lang w:bidi="ar"/>
              </w:rPr>
            </w:pPr>
            <w:r>
              <w:rPr>
                <w:rFonts w:hint="eastAsia"/>
                <w:sz w:val="21"/>
                <w:szCs w:val="21"/>
                <w:lang w:bidi="ar"/>
              </w:rPr>
              <w:t>地理位置</w:t>
            </w:r>
          </w:p>
        </w:tc>
        <w:tc>
          <w:tcPr>
            <w:tcW w:w="2130" w:type="dxa"/>
          </w:tcPr>
          <w:p w14:paraId="0B5A5767">
            <w:pPr>
              <w:pStyle w:val="38"/>
              <w:spacing w:line="240" w:lineRule="auto"/>
              <w:ind w:firstLine="0"/>
              <w:rPr>
                <w:sz w:val="21"/>
                <w:szCs w:val="21"/>
                <w:lang w:bidi="ar"/>
              </w:rPr>
            </w:pPr>
            <w:r>
              <w:rPr>
                <w:rFonts w:hint="eastAsia"/>
                <w:sz w:val="21"/>
                <w:szCs w:val="21"/>
                <w:lang w:bidi="ar"/>
              </w:rPr>
              <w:t>苏尼特右旗朱日和镇，乡村</w:t>
            </w:r>
          </w:p>
        </w:tc>
        <w:tc>
          <w:tcPr>
            <w:tcW w:w="2131" w:type="dxa"/>
          </w:tcPr>
          <w:p w14:paraId="4ED4B25D">
            <w:pPr>
              <w:pStyle w:val="38"/>
              <w:spacing w:line="240" w:lineRule="auto"/>
              <w:ind w:firstLine="0"/>
              <w:rPr>
                <w:sz w:val="21"/>
                <w:szCs w:val="21"/>
                <w:lang w:bidi="ar"/>
              </w:rPr>
            </w:pPr>
            <w:r>
              <w:rPr>
                <w:rFonts w:hint="eastAsia"/>
                <w:sz w:val="21"/>
                <w:szCs w:val="21"/>
                <w:lang w:bidi="ar"/>
              </w:rPr>
              <w:t>呼和浩特市玉泉区，乡村</w:t>
            </w:r>
          </w:p>
        </w:tc>
        <w:tc>
          <w:tcPr>
            <w:tcW w:w="2131" w:type="dxa"/>
          </w:tcPr>
          <w:p w14:paraId="77EC580F">
            <w:pPr>
              <w:pStyle w:val="38"/>
              <w:spacing w:line="240" w:lineRule="auto"/>
              <w:ind w:firstLine="0"/>
              <w:rPr>
                <w:sz w:val="21"/>
                <w:szCs w:val="21"/>
                <w:lang w:bidi="ar"/>
              </w:rPr>
            </w:pPr>
            <w:r>
              <w:rPr>
                <w:rFonts w:hint="eastAsia"/>
                <w:sz w:val="21"/>
                <w:szCs w:val="21"/>
                <w:lang w:bidi="ar"/>
              </w:rPr>
              <w:t>相近</w:t>
            </w:r>
          </w:p>
        </w:tc>
      </w:tr>
    </w:tbl>
    <w:p w14:paraId="18FFD686">
      <w:pPr>
        <w:pStyle w:val="38"/>
        <w:rPr>
          <w:lang w:bidi="ar"/>
        </w:rPr>
      </w:pPr>
      <w:r>
        <w:rPr>
          <w:lang w:bidi="ar"/>
        </w:rPr>
        <w:t>拟建 110kV</w:t>
      </w:r>
      <w:r>
        <w:rPr>
          <w:rFonts w:hint="eastAsia"/>
          <w:lang w:bidi="ar"/>
        </w:rPr>
        <w:t>变电</w:t>
      </w:r>
      <w:r>
        <w:rPr>
          <w:lang w:bidi="ar"/>
        </w:rPr>
        <w:t>站与</w:t>
      </w:r>
      <w:r>
        <w:rPr>
          <w:rFonts w:hint="eastAsia"/>
          <w:lang w:bidi="ar"/>
        </w:rPr>
        <w:t>类比</w:t>
      </w:r>
      <w:r>
        <w:rPr>
          <w:lang w:bidi="ar"/>
        </w:rPr>
        <w:t xml:space="preserve"> 110kV 变电站电压等级</w:t>
      </w:r>
      <w:r>
        <w:rPr>
          <w:rFonts w:hint="eastAsia"/>
          <w:lang w:bidi="ar"/>
        </w:rPr>
        <w:t>相同</w:t>
      </w:r>
      <w:r>
        <w:rPr>
          <w:lang w:bidi="ar"/>
        </w:rPr>
        <w:t>，</w:t>
      </w:r>
      <w:r>
        <w:rPr>
          <w:rFonts w:hint="eastAsia"/>
          <w:lang w:bidi="ar"/>
        </w:rPr>
        <w:t>占地面积接近，地理位置相似，</w:t>
      </w:r>
      <w:r>
        <w:rPr>
          <w:lang w:bidi="ar"/>
        </w:rPr>
        <w:t>但</w:t>
      </w:r>
      <w:r>
        <w:rPr>
          <w:rFonts w:hint="eastAsia"/>
          <w:lang w:bidi="ar"/>
        </w:rPr>
        <w:t>类比</w:t>
      </w:r>
      <w:r>
        <w:rPr>
          <w:lang w:bidi="ar"/>
        </w:rPr>
        <w:t xml:space="preserve"> 110kV 变电站</w:t>
      </w:r>
      <w:r>
        <w:rPr>
          <w:rFonts w:hint="eastAsia"/>
          <w:lang w:bidi="ar"/>
        </w:rPr>
        <w:t>配电装置</w:t>
      </w:r>
      <w:r>
        <w:rPr>
          <w:lang w:bidi="ar"/>
        </w:rPr>
        <w:t>布置在户外，其对外环境的电磁影响会高于拟建110kV</w:t>
      </w:r>
      <w:r>
        <w:rPr>
          <w:rFonts w:hint="eastAsia"/>
          <w:lang w:bidi="ar"/>
        </w:rPr>
        <w:t>变电</w:t>
      </w:r>
      <w:r>
        <w:rPr>
          <w:lang w:bidi="ar"/>
        </w:rPr>
        <w:t>站</w:t>
      </w:r>
      <w:r>
        <w:rPr>
          <w:rFonts w:hint="eastAsia"/>
          <w:lang w:bidi="ar"/>
        </w:rPr>
        <w:t>，类比变电站主变数量大于拟建变电站，本项目出线数量大于类比变电站，</w:t>
      </w:r>
      <w:r>
        <w:rPr>
          <w:lang w:bidi="ar"/>
        </w:rPr>
        <w:t>需要说明的是，变电站产生的工频电场主要受电压等级及变电站布置型式的影响，因此对于工频电场只要电压等级、布置型式一致或接近就具有可比性。而工频磁场主要受主变容量、电流负荷等的影响，根据国内 110kV</w:t>
      </w:r>
      <w:r>
        <w:rPr>
          <w:rFonts w:hint="eastAsia"/>
          <w:lang w:bidi="ar"/>
        </w:rPr>
        <w:t>户外</w:t>
      </w:r>
      <w:r>
        <w:rPr>
          <w:lang w:bidi="ar"/>
        </w:rPr>
        <w:t>变电站工程竣工环境保护验收实测结果表明，各种出线数量和形式的变电站，其竣工环境保护验收监测的工频磁场差异不大且均能满足 100μT 公众曝露控制限值的评价标准，主要差异仅仅是进出线侧厂界的电磁环境影响略大于非进出线侧的影响。</w:t>
      </w:r>
    </w:p>
    <w:p w14:paraId="2AD74470">
      <w:pPr>
        <w:pStyle w:val="38"/>
        <w:rPr>
          <w:lang w:bidi="ar"/>
        </w:rPr>
      </w:pPr>
      <w:r>
        <w:rPr>
          <w:rFonts w:hint="eastAsia"/>
          <w:lang w:bidi="ar"/>
        </w:rPr>
        <w:t>综上类比变电站的电磁环境影响较本项目拟建变电站大，因此从保守角度讲，采用章盖营</w:t>
      </w:r>
      <w:r>
        <w:rPr>
          <w:rFonts w:cs="Times New Roman"/>
          <w:lang w:bidi="ar"/>
        </w:rPr>
        <w:t>110kV</w:t>
      </w:r>
      <w:r>
        <w:rPr>
          <w:rFonts w:hint="eastAsia"/>
          <w:lang w:bidi="ar"/>
        </w:rPr>
        <w:t>变电站作为类比站是可行的，类比监测数据可以反映本项目建成投运后对周围电磁环境的影响程度。</w:t>
      </w:r>
    </w:p>
    <w:p w14:paraId="109BC1A7">
      <w:pPr>
        <w:pStyle w:val="38"/>
      </w:pPr>
      <w:r>
        <w:rPr>
          <w:rFonts w:hint="eastAsia"/>
        </w:rPr>
        <w:t>4.3类比监测</w:t>
      </w:r>
    </w:p>
    <w:bookmarkEnd w:id="24"/>
    <w:p w14:paraId="53E1FE0A">
      <w:pPr>
        <w:widowControl/>
        <w:ind w:firstLine="480"/>
        <w:jc w:val="left"/>
      </w:pPr>
      <w:r>
        <w:rPr>
          <w:rFonts w:hint="eastAsia" w:ascii="宋体" w:hAnsi="宋体" w:cs="宋体"/>
          <w:color w:val="000000"/>
          <w:kern w:val="0"/>
          <w:szCs w:val="24"/>
          <w:lang w:bidi="ar"/>
        </w:rPr>
        <w:t>（</w:t>
      </w:r>
      <w:r>
        <w:rPr>
          <w:rFonts w:cs="Times New Roman"/>
          <w:color w:val="000000"/>
          <w:kern w:val="0"/>
          <w:szCs w:val="24"/>
          <w:lang w:bidi="ar"/>
        </w:rPr>
        <w:t>1</w:t>
      </w:r>
      <w:r>
        <w:rPr>
          <w:rFonts w:hint="eastAsia" w:ascii="宋体" w:hAnsi="宋体" w:cs="宋体"/>
          <w:color w:val="000000"/>
          <w:kern w:val="0"/>
          <w:szCs w:val="24"/>
          <w:lang w:bidi="ar"/>
        </w:rPr>
        <w:t xml:space="preserve">）监测单位 </w:t>
      </w:r>
    </w:p>
    <w:p w14:paraId="048B23EF">
      <w:pPr>
        <w:widowControl/>
        <w:ind w:firstLine="480"/>
        <w:jc w:val="left"/>
      </w:pPr>
      <w:r>
        <w:rPr>
          <w:rFonts w:hint="eastAsia" w:ascii="宋体" w:hAnsi="宋体" w:cs="宋体"/>
          <w:color w:val="000000"/>
          <w:kern w:val="0"/>
          <w:szCs w:val="24"/>
          <w:lang w:bidi="ar"/>
        </w:rPr>
        <w:t xml:space="preserve">内蒙古玮森环境监测有限公司。 </w:t>
      </w:r>
    </w:p>
    <w:p w14:paraId="0FFD3A4B">
      <w:pPr>
        <w:widowControl/>
        <w:ind w:firstLine="480"/>
        <w:jc w:val="left"/>
      </w:pPr>
      <w:r>
        <w:rPr>
          <w:rFonts w:hint="eastAsia" w:ascii="宋体" w:hAnsi="宋体" w:cs="宋体"/>
          <w:color w:val="000000"/>
          <w:kern w:val="0"/>
          <w:szCs w:val="24"/>
          <w:lang w:bidi="ar"/>
        </w:rPr>
        <w:t>（</w:t>
      </w:r>
      <w:r>
        <w:rPr>
          <w:rFonts w:cs="Times New Roman"/>
          <w:color w:val="000000"/>
          <w:kern w:val="0"/>
          <w:szCs w:val="24"/>
          <w:lang w:bidi="ar"/>
        </w:rPr>
        <w:t>2</w:t>
      </w:r>
      <w:r>
        <w:rPr>
          <w:rFonts w:hint="eastAsia" w:ascii="宋体" w:hAnsi="宋体" w:cs="宋体"/>
          <w:color w:val="000000"/>
          <w:kern w:val="0"/>
          <w:szCs w:val="24"/>
          <w:lang w:bidi="ar"/>
        </w:rPr>
        <w:t xml:space="preserve">）监测项目 </w:t>
      </w:r>
    </w:p>
    <w:p w14:paraId="5B6D98C2">
      <w:pPr>
        <w:widowControl/>
        <w:ind w:firstLine="480"/>
        <w:jc w:val="left"/>
      </w:pPr>
      <w:r>
        <w:rPr>
          <w:rFonts w:hint="eastAsia" w:ascii="宋体" w:hAnsi="宋体" w:cs="宋体"/>
          <w:color w:val="000000"/>
          <w:kern w:val="0"/>
          <w:szCs w:val="24"/>
          <w:lang w:bidi="ar"/>
        </w:rPr>
        <w:t xml:space="preserve">工频电场强度、工频磁感应强度。 </w:t>
      </w:r>
    </w:p>
    <w:p w14:paraId="7799C142">
      <w:pPr>
        <w:widowControl/>
        <w:ind w:firstLine="480"/>
        <w:jc w:val="left"/>
      </w:pPr>
      <w:r>
        <w:rPr>
          <w:rFonts w:hint="eastAsia" w:ascii="宋体" w:hAnsi="宋体" w:cs="宋体"/>
          <w:color w:val="000000"/>
          <w:kern w:val="0"/>
          <w:szCs w:val="24"/>
          <w:lang w:bidi="ar"/>
        </w:rPr>
        <w:t>（</w:t>
      </w:r>
      <w:r>
        <w:rPr>
          <w:rFonts w:cs="Times New Roman"/>
          <w:color w:val="000000"/>
          <w:kern w:val="0"/>
          <w:szCs w:val="24"/>
          <w:lang w:bidi="ar"/>
        </w:rPr>
        <w:t>3</w:t>
      </w:r>
      <w:r>
        <w:rPr>
          <w:rFonts w:hint="eastAsia" w:ascii="宋体" w:hAnsi="宋体" w:cs="宋体"/>
          <w:color w:val="000000"/>
          <w:kern w:val="0"/>
          <w:szCs w:val="24"/>
          <w:lang w:bidi="ar"/>
        </w:rPr>
        <w:t xml:space="preserve">）监测方法 </w:t>
      </w:r>
    </w:p>
    <w:p w14:paraId="1AEC8B1C">
      <w:pPr>
        <w:widowControl/>
        <w:ind w:firstLine="480"/>
        <w:jc w:val="left"/>
      </w:pPr>
      <w:r>
        <w:rPr>
          <w:rFonts w:hint="eastAsia" w:ascii="宋体" w:hAnsi="宋体" w:cs="宋体"/>
          <w:color w:val="000000"/>
          <w:kern w:val="0"/>
          <w:szCs w:val="24"/>
          <w:lang w:bidi="ar"/>
        </w:rPr>
        <w:t>按《交流输变电工程电磁环境监测方法》（试行）（</w:t>
      </w:r>
      <w:r>
        <w:rPr>
          <w:rFonts w:cs="Times New Roman"/>
          <w:color w:val="000000"/>
          <w:kern w:val="0"/>
          <w:szCs w:val="24"/>
          <w:lang w:bidi="ar"/>
        </w:rPr>
        <w:t>HJ681-2013</w:t>
      </w:r>
      <w:r>
        <w:rPr>
          <w:rFonts w:hint="eastAsia" w:ascii="宋体" w:hAnsi="宋体" w:cs="宋体"/>
          <w:color w:val="000000"/>
          <w:kern w:val="0"/>
          <w:szCs w:val="24"/>
          <w:lang w:bidi="ar"/>
        </w:rPr>
        <w:t xml:space="preserve">）中的方法 </w:t>
      </w:r>
    </w:p>
    <w:p w14:paraId="735FDA1F">
      <w:pPr>
        <w:widowControl/>
        <w:ind w:firstLine="0" w:firstLineChars="0"/>
        <w:jc w:val="left"/>
      </w:pPr>
      <w:r>
        <w:rPr>
          <w:rFonts w:hint="eastAsia" w:ascii="宋体" w:hAnsi="宋体" w:cs="宋体"/>
          <w:color w:val="000000"/>
          <w:kern w:val="0"/>
          <w:szCs w:val="24"/>
          <w:lang w:bidi="ar"/>
        </w:rPr>
        <w:t xml:space="preserve">进行监测。 </w:t>
      </w:r>
    </w:p>
    <w:p w14:paraId="697FA713">
      <w:pPr>
        <w:widowControl/>
        <w:ind w:firstLine="480"/>
        <w:jc w:val="left"/>
      </w:pPr>
      <w:r>
        <w:rPr>
          <w:rFonts w:hint="eastAsia" w:ascii="宋体" w:hAnsi="宋体" w:cs="宋体"/>
          <w:color w:val="000000"/>
          <w:kern w:val="0"/>
          <w:szCs w:val="24"/>
          <w:lang w:bidi="ar"/>
        </w:rPr>
        <w:t>（</w:t>
      </w:r>
      <w:r>
        <w:rPr>
          <w:rFonts w:cs="Times New Roman"/>
          <w:color w:val="000000"/>
          <w:kern w:val="0"/>
          <w:szCs w:val="24"/>
          <w:lang w:bidi="ar"/>
        </w:rPr>
        <w:t>4</w:t>
      </w:r>
      <w:r>
        <w:rPr>
          <w:rFonts w:hint="eastAsia" w:ascii="宋体" w:hAnsi="宋体" w:cs="宋体"/>
          <w:color w:val="000000"/>
          <w:kern w:val="0"/>
          <w:szCs w:val="24"/>
          <w:lang w:bidi="ar"/>
        </w:rPr>
        <w:t xml:space="preserve">）监测仪器 </w:t>
      </w:r>
    </w:p>
    <w:p w14:paraId="3E99DD4F">
      <w:pPr>
        <w:widowControl/>
        <w:ind w:firstLine="422"/>
        <w:jc w:val="center"/>
        <w:rPr>
          <w:b/>
          <w:bCs/>
          <w:sz w:val="21"/>
          <w:szCs w:val="20"/>
        </w:rPr>
      </w:pPr>
      <w:r>
        <w:rPr>
          <w:rFonts w:hint="eastAsia" w:ascii="宋体" w:hAnsi="宋体" w:cs="宋体"/>
          <w:b/>
          <w:bCs/>
          <w:color w:val="000000"/>
          <w:kern w:val="0"/>
          <w:sz w:val="21"/>
          <w:szCs w:val="21"/>
          <w:lang w:bidi="ar"/>
        </w:rPr>
        <w:t>表7 电磁环境类比监测仪器表</w:t>
      </w:r>
    </w:p>
    <w:tbl>
      <w:tblPr>
        <w:tblStyle w:val="21"/>
        <w:tblW w:w="4998" w:type="pct"/>
        <w:tblInd w:w="0" w:type="dxa"/>
        <w:tblLayout w:type="autofit"/>
        <w:tblCellMar>
          <w:top w:w="0" w:type="dxa"/>
          <w:left w:w="108" w:type="dxa"/>
          <w:bottom w:w="0" w:type="dxa"/>
          <w:right w:w="108" w:type="dxa"/>
        </w:tblCellMar>
      </w:tblPr>
      <w:tblGrid>
        <w:gridCol w:w="1057"/>
        <w:gridCol w:w="1666"/>
        <w:gridCol w:w="1123"/>
        <w:gridCol w:w="2085"/>
        <w:gridCol w:w="1289"/>
        <w:gridCol w:w="1299"/>
      </w:tblGrid>
      <w:tr w14:paraId="3B425C3D">
        <w:tblPrEx>
          <w:tblCellMar>
            <w:top w:w="0" w:type="dxa"/>
            <w:left w:w="108" w:type="dxa"/>
            <w:bottom w:w="0" w:type="dxa"/>
            <w:right w:w="108" w:type="dxa"/>
          </w:tblCellMar>
        </w:tblPrEx>
        <w:trPr>
          <w:trHeight w:val="23" w:hRule="atLeast"/>
        </w:trPr>
        <w:tc>
          <w:tcPr>
            <w:tcW w:w="620" w:type="pct"/>
            <w:tcBorders>
              <w:top w:val="single" w:color="474747" w:sz="8" w:space="0"/>
              <w:left w:val="single" w:color="474747" w:sz="8" w:space="0"/>
              <w:bottom w:val="single" w:color="888E93" w:sz="8" w:space="0"/>
              <w:right w:val="single" w:color="888E93" w:sz="8" w:space="0"/>
            </w:tcBorders>
            <w:shd w:val="clear" w:color="auto" w:fill="FFFFFF"/>
            <w:vAlign w:val="center"/>
          </w:tcPr>
          <w:p w14:paraId="109C83B8">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sz w:val="20"/>
                <w:szCs w:val="20"/>
              </w:rPr>
              <w:t>名称</w:t>
            </w:r>
          </w:p>
        </w:tc>
        <w:tc>
          <w:tcPr>
            <w:tcW w:w="977" w:type="pct"/>
            <w:tcBorders>
              <w:top w:val="single" w:color="474747" w:sz="8" w:space="0"/>
              <w:left w:val="single" w:color="474747" w:sz="8" w:space="0"/>
              <w:bottom w:val="single" w:color="888E93" w:sz="8" w:space="0"/>
              <w:right w:val="single" w:color="888E93" w:sz="8" w:space="0"/>
            </w:tcBorders>
            <w:shd w:val="clear" w:color="auto" w:fill="FFFFFF"/>
            <w:vAlign w:val="center"/>
          </w:tcPr>
          <w:p w14:paraId="0FE262BC">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sz w:val="20"/>
                <w:szCs w:val="20"/>
              </w:rPr>
              <w:t>型号规格</w:t>
            </w:r>
          </w:p>
        </w:tc>
        <w:tc>
          <w:tcPr>
            <w:tcW w:w="659" w:type="pct"/>
            <w:tcBorders>
              <w:top w:val="single" w:color="474747" w:sz="8" w:space="0"/>
              <w:left w:val="single" w:color="888E93" w:sz="8" w:space="0"/>
              <w:bottom w:val="single" w:color="888E93" w:sz="8" w:space="0"/>
              <w:right w:val="single" w:color="888E93" w:sz="8" w:space="0"/>
            </w:tcBorders>
            <w:shd w:val="clear" w:color="auto" w:fill="FFFFFF"/>
            <w:vAlign w:val="center"/>
          </w:tcPr>
          <w:p w14:paraId="0663EC9B">
            <w:pPr>
              <w:widowControl/>
              <w:spacing w:line="240" w:lineRule="auto"/>
              <w:ind w:firstLine="0" w:firstLineChars="0"/>
              <w:jc w:val="left"/>
              <w:textAlignment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编号</w:t>
            </w:r>
          </w:p>
        </w:tc>
        <w:tc>
          <w:tcPr>
            <w:tcW w:w="1223" w:type="pct"/>
            <w:tcBorders>
              <w:top w:val="single" w:color="474747" w:sz="8" w:space="0"/>
              <w:left w:val="single" w:color="888E93" w:sz="8" w:space="0"/>
              <w:bottom w:val="single" w:color="888E93" w:sz="8" w:space="0"/>
              <w:right w:val="single" w:color="888E93" w:sz="8" w:space="0"/>
            </w:tcBorders>
            <w:shd w:val="clear" w:color="auto" w:fill="FFFFFF"/>
            <w:vAlign w:val="center"/>
          </w:tcPr>
          <w:p w14:paraId="69EEF19B">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测量范围</w:t>
            </w:r>
          </w:p>
        </w:tc>
        <w:tc>
          <w:tcPr>
            <w:tcW w:w="756" w:type="pct"/>
            <w:tcBorders>
              <w:top w:val="single" w:color="474747" w:sz="8" w:space="0"/>
              <w:left w:val="single" w:color="888E93" w:sz="8" w:space="0"/>
              <w:bottom w:val="single" w:color="888E93" w:sz="8" w:space="0"/>
              <w:right w:val="single" w:color="888E93" w:sz="8" w:space="0"/>
            </w:tcBorders>
            <w:shd w:val="clear" w:color="auto" w:fill="FFFFFF"/>
            <w:vAlign w:val="center"/>
          </w:tcPr>
          <w:p w14:paraId="686B4C98">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校准单位</w:t>
            </w:r>
          </w:p>
        </w:tc>
        <w:tc>
          <w:tcPr>
            <w:tcW w:w="762" w:type="pct"/>
            <w:tcBorders>
              <w:top w:val="single" w:color="474747" w:sz="8" w:space="0"/>
              <w:left w:val="single" w:color="888E93" w:sz="8" w:space="0"/>
              <w:bottom w:val="single" w:color="888E93" w:sz="8" w:space="0"/>
              <w:right w:val="single" w:color="474747" w:sz="8" w:space="0"/>
            </w:tcBorders>
            <w:shd w:val="clear" w:color="auto" w:fill="FFFFFF"/>
            <w:vAlign w:val="center"/>
          </w:tcPr>
          <w:p w14:paraId="2D6F8DAA">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校准有效期</w:t>
            </w:r>
          </w:p>
        </w:tc>
      </w:tr>
      <w:tr w14:paraId="6B93C654">
        <w:tblPrEx>
          <w:tblCellMar>
            <w:top w:w="0" w:type="dxa"/>
            <w:left w:w="108" w:type="dxa"/>
            <w:bottom w:w="0" w:type="dxa"/>
            <w:right w:w="108" w:type="dxa"/>
          </w:tblCellMar>
        </w:tblPrEx>
        <w:trPr>
          <w:trHeight w:val="23" w:hRule="atLeast"/>
        </w:trPr>
        <w:tc>
          <w:tcPr>
            <w:tcW w:w="620" w:type="pct"/>
            <w:tcBorders>
              <w:top w:val="single" w:color="888E93" w:sz="8" w:space="0"/>
              <w:left w:val="single" w:color="474747" w:sz="8" w:space="0"/>
              <w:right w:val="single" w:color="888E93" w:sz="8" w:space="0"/>
            </w:tcBorders>
            <w:shd w:val="clear" w:color="auto" w:fill="FFFFFF"/>
            <w:vAlign w:val="center"/>
          </w:tcPr>
          <w:p w14:paraId="278E2F74">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sz w:val="20"/>
                <w:szCs w:val="20"/>
              </w:rPr>
              <w:t>电磁辐射分析仪</w:t>
            </w:r>
          </w:p>
        </w:tc>
        <w:tc>
          <w:tcPr>
            <w:tcW w:w="977" w:type="pct"/>
            <w:tcBorders>
              <w:top w:val="single" w:color="888E93" w:sz="8" w:space="0"/>
              <w:left w:val="single" w:color="474747" w:sz="8" w:space="0"/>
              <w:right w:val="single" w:color="888E93" w:sz="8" w:space="0"/>
            </w:tcBorders>
            <w:shd w:val="clear" w:color="auto" w:fill="FFFFFF"/>
            <w:vAlign w:val="center"/>
          </w:tcPr>
          <w:p w14:paraId="07357EA3">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sz w:val="20"/>
                <w:szCs w:val="20"/>
              </w:rPr>
              <w:t>NBM-550/EHP50D</w:t>
            </w:r>
          </w:p>
          <w:p w14:paraId="21148472">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sz w:val="20"/>
                <w:szCs w:val="20"/>
              </w:rPr>
              <w:t>工频场强仪</w:t>
            </w:r>
          </w:p>
        </w:tc>
        <w:tc>
          <w:tcPr>
            <w:tcW w:w="659" w:type="pct"/>
            <w:tcBorders>
              <w:top w:val="single" w:color="888E93" w:sz="8" w:space="0"/>
              <w:left w:val="single" w:color="888E93" w:sz="8" w:space="0"/>
              <w:right w:val="single" w:color="888E93" w:sz="8" w:space="0"/>
            </w:tcBorders>
            <w:shd w:val="clear" w:color="auto" w:fill="FFFFFF"/>
            <w:vAlign w:val="center"/>
          </w:tcPr>
          <w:p w14:paraId="710B16AB">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sz w:val="20"/>
                <w:szCs w:val="20"/>
              </w:rPr>
              <w:t>WS-YQ-001</w:t>
            </w:r>
          </w:p>
          <w:p w14:paraId="48D5C3FC">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sz w:val="20"/>
                <w:szCs w:val="20"/>
              </w:rPr>
              <w:t>WS-YQ-002</w:t>
            </w:r>
          </w:p>
        </w:tc>
        <w:tc>
          <w:tcPr>
            <w:tcW w:w="1223" w:type="pct"/>
            <w:tcBorders>
              <w:top w:val="single" w:color="888E93" w:sz="8" w:space="0"/>
              <w:left w:val="single" w:color="888E93" w:sz="8" w:space="0"/>
              <w:right w:val="single" w:color="888E93" w:sz="8" w:space="0"/>
            </w:tcBorders>
            <w:shd w:val="clear" w:color="auto" w:fill="FFFFFF"/>
            <w:vAlign w:val="center"/>
          </w:tcPr>
          <w:p w14:paraId="6C1F20AF">
            <w:pPr>
              <w:widowControl/>
              <w:spacing w:line="240" w:lineRule="auto"/>
              <w:ind w:firstLine="0" w:firstLineChars="0"/>
              <w:jc w:val="left"/>
              <w:textAlignment w:val="center"/>
              <w:rPr>
                <w:rFonts w:cs="Times New Roman"/>
                <w:color w:val="000000"/>
                <w:kern w:val="0"/>
                <w:sz w:val="20"/>
                <w:szCs w:val="20"/>
                <w:lang w:bidi="ar"/>
              </w:rPr>
            </w:pPr>
            <w:r>
              <w:rPr>
                <w:rFonts w:hint="eastAsia" w:cs="Times New Roman"/>
                <w:color w:val="000000"/>
                <w:kern w:val="0"/>
                <w:sz w:val="20"/>
                <w:szCs w:val="20"/>
                <w:lang w:bidi="ar"/>
              </w:rPr>
              <w:t>电场</w:t>
            </w:r>
            <w:r>
              <w:rPr>
                <w:rFonts w:cs="Times New Roman"/>
                <w:color w:val="000000"/>
                <w:kern w:val="0"/>
                <w:sz w:val="20"/>
                <w:szCs w:val="20"/>
                <w:lang w:bidi="ar"/>
              </w:rPr>
              <w:t>0.5V/m-100kV/m</w:t>
            </w:r>
          </w:p>
          <w:p w14:paraId="0FC1316F">
            <w:pPr>
              <w:widowControl/>
              <w:spacing w:line="240" w:lineRule="auto"/>
              <w:ind w:firstLine="0" w:firstLineChars="0"/>
              <w:jc w:val="left"/>
              <w:textAlignment w:val="center"/>
              <w:rPr>
                <w:rFonts w:cs="Times New Roman"/>
                <w:color w:val="000000"/>
                <w:sz w:val="20"/>
                <w:szCs w:val="20"/>
              </w:rPr>
            </w:pPr>
            <w:r>
              <w:rPr>
                <w:rFonts w:hint="eastAsia" w:cs="Times New Roman"/>
                <w:color w:val="000000"/>
                <w:kern w:val="0"/>
                <w:sz w:val="20"/>
                <w:szCs w:val="20"/>
                <w:lang w:bidi="ar"/>
              </w:rPr>
              <w:t>磁场10</w:t>
            </w:r>
            <w:r>
              <w:rPr>
                <w:rFonts w:cs="Times New Roman"/>
                <w:color w:val="000000"/>
                <w:kern w:val="0"/>
                <w:sz w:val="20"/>
                <w:szCs w:val="20"/>
                <w:lang w:bidi="ar"/>
              </w:rPr>
              <w:t>nT-</w:t>
            </w:r>
            <w:r>
              <w:rPr>
                <w:rFonts w:hint="eastAsia" w:cs="Times New Roman"/>
                <w:color w:val="000000"/>
                <w:kern w:val="0"/>
                <w:sz w:val="20"/>
                <w:szCs w:val="20"/>
                <w:lang w:bidi="ar"/>
              </w:rPr>
              <w:t>3</w:t>
            </w:r>
            <w:r>
              <w:rPr>
                <w:rFonts w:cs="Times New Roman"/>
                <w:color w:val="000000"/>
                <w:kern w:val="0"/>
                <w:sz w:val="20"/>
                <w:szCs w:val="20"/>
                <w:lang w:bidi="ar"/>
              </w:rPr>
              <w:t>mT</w:t>
            </w:r>
          </w:p>
        </w:tc>
        <w:tc>
          <w:tcPr>
            <w:tcW w:w="756" w:type="pct"/>
            <w:tcBorders>
              <w:top w:val="single" w:color="888E93" w:sz="8" w:space="0"/>
              <w:left w:val="single" w:color="888E93" w:sz="8" w:space="0"/>
              <w:right w:val="single" w:color="888E93" w:sz="8" w:space="0"/>
            </w:tcBorders>
            <w:shd w:val="clear" w:color="auto" w:fill="FFFFFF"/>
            <w:vAlign w:val="center"/>
          </w:tcPr>
          <w:p w14:paraId="5D680C55">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中国计量科学研究院</w:t>
            </w:r>
          </w:p>
        </w:tc>
        <w:tc>
          <w:tcPr>
            <w:tcW w:w="762" w:type="pct"/>
            <w:tcBorders>
              <w:top w:val="single" w:color="888E93" w:sz="8" w:space="0"/>
              <w:left w:val="single" w:color="888E93" w:sz="8" w:space="0"/>
              <w:bottom w:val="single" w:color="474747" w:sz="8" w:space="0"/>
              <w:right w:val="single" w:color="474747" w:sz="8" w:space="0"/>
            </w:tcBorders>
            <w:shd w:val="clear" w:color="auto" w:fill="FFFFFF"/>
            <w:vAlign w:val="center"/>
          </w:tcPr>
          <w:p w14:paraId="1E491230">
            <w:pPr>
              <w:widowControl/>
              <w:spacing w:line="240" w:lineRule="auto"/>
              <w:ind w:firstLine="0" w:firstLineChars="0"/>
              <w:jc w:val="left"/>
              <w:textAlignment w:val="center"/>
              <w:rPr>
                <w:rFonts w:cs="Times New Roman"/>
                <w:color w:val="000000"/>
                <w:sz w:val="20"/>
                <w:szCs w:val="20"/>
              </w:rPr>
            </w:pPr>
            <w:r>
              <w:rPr>
                <w:rFonts w:hint="eastAsia" w:cs="Times New Roman"/>
                <w:color w:val="000000"/>
                <w:kern w:val="0"/>
                <w:sz w:val="20"/>
                <w:szCs w:val="20"/>
                <w:lang w:bidi="ar"/>
              </w:rPr>
              <w:t>2019年3月12日</w:t>
            </w:r>
          </w:p>
        </w:tc>
      </w:tr>
    </w:tbl>
    <w:p w14:paraId="1929028E">
      <w:pPr>
        <w:pStyle w:val="38"/>
      </w:pPr>
      <w:r>
        <w:rPr>
          <w:rFonts w:hint="eastAsia"/>
        </w:rPr>
        <w:t>（5）监测时间及监测气象条件</w:t>
      </w:r>
    </w:p>
    <w:p w14:paraId="7295F1D3">
      <w:pPr>
        <w:pStyle w:val="38"/>
        <w:jc w:val="center"/>
        <w:rPr>
          <w:b/>
          <w:bCs/>
          <w:sz w:val="21"/>
          <w:szCs w:val="21"/>
        </w:rPr>
      </w:pPr>
      <w:r>
        <w:rPr>
          <w:rFonts w:hint="eastAsia"/>
          <w:b/>
          <w:bCs/>
          <w:sz w:val="21"/>
          <w:szCs w:val="21"/>
        </w:rPr>
        <w:t>表8 类比监测气象条件表</w:t>
      </w:r>
    </w:p>
    <w:tbl>
      <w:tblPr>
        <w:tblStyle w:val="21"/>
        <w:tblW w:w="4998" w:type="pct"/>
        <w:tblInd w:w="0" w:type="dxa"/>
        <w:tblLayout w:type="autofit"/>
        <w:tblCellMar>
          <w:top w:w="0" w:type="dxa"/>
          <w:left w:w="108" w:type="dxa"/>
          <w:bottom w:w="0" w:type="dxa"/>
          <w:right w:w="108" w:type="dxa"/>
        </w:tblCellMar>
      </w:tblPr>
      <w:tblGrid>
        <w:gridCol w:w="2137"/>
        <w:gridCol w:w="1441"/>
        <w:gridCol w:w="1229"/>
        <w:gridCol w:w="1949"/>
        <w:gridCol w:w="1763"/>
      </w:tblGrid>
      <w:tr w14:paraId="2C1F8ECF">
        <w:tblPrEx>
          <w:tblCellMar>
            <w:top w:w="0" w:type="dxa"/>
            <w:left w:w="108" w:type="dxa"/>
            <w:bottom w:w="0" w:type="dxa"/>
            <w:right w:w="108" w:type="dxa"/>
          </w:tblCellMar>
        </w:tblPrEx>
        <w:trPr>
          <w:trHeight w:val="285" w:hRule="atLeast"/>
        </w:trPr>
        <w:tc>
          <w:tcPr>
            <w:tcW w:w="1254" w:type="pct"/>
            <w:tcBorders>
              <w:top w:val="single" w:color="474747" w:sz="8" w:space="0"/>
              <w:left w:val="single" w:color="474747" w:sz="8" w:space="0"/>
              <w:bottom w:val="single" w:color="888E93" w:sz="8" w:space="0"/>
              <w:right w:val="single" w:color="888E93" w:sz="8" w:space="0"/>
            </w:tcBorders>
            <w:shd w:val="clear" w:color="auto" w:fill="FFFFFF"/>
            <w:vAlign w:val="center"/>
          </w:tcPr>
          <w:p w14:paraId="28715EE6">
            <w:pPr>
              <w:widowControl/>
              <w:spacing w:line="240" w:lineRule="auto"/>
              <w:ind w:firstLine="0" w:firstLineChars="0"/>
              <w:jc w:val="left"/>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日期</w:t>
            </w:r>
          </w:p>
        </w:tc>
        <w:tc>
          <w:tcPr>
            <w:tcW w:w="845" w:type="pct"/>
            <w:tcBorders>
              <w:top w:val="single" w:color="474747" w:sz="8" w:space="0"/>
              <w:left w:val="single" w:color="888E93" w:sz="8" w:space="0"/>
              <w:bottom w:val="single" w:color="888E93" w:sz="8" w:space="0"/>
              <w:right w:val="single" w:color="888E93" w:sz="8" w:space="0"/>
            </w:tcBorders>
            <w:shd w:val="clear" w:color="auto" w:fill="FFFFFF"/>
            <w:vAlign w:val="center"/>
          </w:tcPr>
          <w:p w14:paraId="00624C78">
            <w:pPr>
              <w:widowControl/>
              <w:spacing w:line="240" w:lineRule="auto"/>
              <w:ind w:firstLine="0" w:firstLineChars="0"/>
              <w:jc w:val="left"/>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天气</w:t>
            </w:r>
          </w:p>
        </w:tc>
        <w:tc>
          <w:tcPr>
            <w:tcW w:w="721" w:type="pct"/>
            <w:tcBorders>
              <w:top w:val="single" w:color="474747" w:sz="8" w:space="0"/>
              <w:left w:val="single" w:color="888E93" w:sz="8" w:space="0"/>
              <w:bottom w:val="single" w:color="888E93" w:sz="8" w:space="0"/>
              <w:right w:val="single" w:color="888E93" w:sz="8" w:space="0"/>
            </w:tcBorders>
            <w:shd w:val="clear" w:color="auto" w:fill="FFFFFF"/>
            <w:vAlign w:val="center"/>
          </w:tcPr>
          <w:p w14:paraId="36FC3563">
            <w:pPr>
              <w:widowControl/>
              <w:spacing w:line="240" w:lineRule="auto"/>
              <w:ind w:firstLine="0" w:firstLineChars="0"/>
              <w:jc w:val="left"/>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气温（℃）</w:t>
            </w:r>
          </w:p>
        </w:tc>
        <w:tc>
          <w:tcPr>
            <w:tcW w:w="1143" w:type="pct"/>
            <w:tcBorders>
              <w:top w:val="single" w:color="474747" w:sz="8" w:space="0"/>
              <w:left w:val="single" w:color="888E93" w:sz="8" w:space="0"/>
              <w:bottom w:val="single" w:color="888E93" w:sz="8" w:space="0"/>
              <w:right w:val="single" w:color="474747" w:sz="8" w:space="0"/>
            </w:tcBorders>
            <w:shd w:val="clear" w:color="auto" w:fill="FFFFFF"/>
            <w:vAlign w:val="center"/>
          </w:tcPr>
          <w:p w14:paraId="7065BA8B">
            <w:pPr>
              <w:widowControl/>
              <w:spacing w:line="240" w:lineRule="auto"/>
              <w:ind w:firstLine="0" w:firstLineChars="0"/>
              <w:jc w:val="left"/>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相对湿度（％）</w:t>
            </w:r>
          </w:p>
        </w:tc>
        <w:tc>
          <w:tcPr>
            <w:tcW w:w="1034" w:type="pct"/>
            <w:tcBorders>
              <w:top w:val="single" w:color="474747" w:sz="8" w:space="0"/>
              <w:left w:val="single" w:color="888E93" w:sz="8" w:space="0"/>
              <w:bottom w:val="single" w:color="888E93" w:sz="8" w:space="0"/>
              <w:right w:val="single" w:color="474747" w:sz="8" w:space="0"/>
            </w:tcBorders>
            <w:shd w:val="clear" w:color="auto" w:fill="FFFFFF"/>
            <w:vAlign w:val="center"/>
          </w:tcPr>
          <w:p w14:paraId="64F57BD9">
            <w:pPr>
              <w:widowControl/>
              <w:spacing w:line="240" w:lineRule="auto"/>
              <w:ind w:firstLine="0" w:firstLineChars="0"/>
              <w:jc w:val="left"/>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风速</w:t>
            </w:r>
          </w:p>
        </w:tc>
      </w:tr>
      <w:tr w14:paraId="47535C92">
        <w:tblPrEx>
          <w:tblCellMar>
            <w:top w:w="0" w:type="dxa"/>
            <w:left w:w="108" w:type="dxa"/>
            <w:bottom w:w="0" w:type="dxa"/>
            <w:right w:w="108" w:type="dxa"/>
          </w:tblCellMar>
        </w:tblPrEx>
        <w:trPr>
          <w:trHeight w:val="285" w:hRule="atLeast"/>
        </w:trPr>
        <w:tc>
          <w:tcPr>
            <w:tcW w:w="1254" w:type="pct"/>
            <w:tcBorders>
              <w:top w:val="single" w:color="888E93" w:sz="8" w:space="0"/>
              <w:left w:val="single" w:color="474747" w:sz="8" w:space="0"/>
              <w:bottom w:val="single" w:color="474747" w:sz="8" w:space="0"/>
              <w:right w:val="single" w:color="888E93" w:sz="8" w:space="0"/>
            </w:tcBorders>
            <w:shd w:val="clear" w:color="auto" w:fill="FFFFFF"/>
            <w:vAlign w:val="center"/>
          </w:tcPr>
          <w:p w14:paraId="372BFA1F">
            <w:pPr>
              <w:widowControl/>
              <w:spacing w:line="240" w:lineRule="auto"/>
              <w:ind w:firstLine="0" w:firstLineChars="0"/>
              <w:jc w:val="left"/>
              <w:textAlignment w:val="center"/>
              <w:rPr>
                <w:rFonts w:cs="Times New Roman"/>
                <w:color w:val="000000"/>
                <w:sz w:val="21"/>
                <w:szCs w:val="21"/>
              </w:rPr>
            </w:pPr>
            <w:r>
              <w:rPr>
                <w:rFonts w:cs="Times New Roman"/>
                <w:color w:val="000000"/>
                <w:kern w:val="0"/>
                <w:sz w:val="21"/>
                <w:szCs w:val="21"/>
                <w:lang w:bidi="ar"/>
              </w:rPr>
              <w:t>20</w:t>
            </w:r>
            <w:r>
              <w:rPr>
                <w:rFonts w:hint="eastAsia" w:cs="Times New Roman"/>
                <w:color w:val="000000"/>
                <w:kern w:val="0"/>
                <w:sz w:val="21"/>
                <w:szCs w:val="21"/>
                <w:lang w:bidi="ar"/>
              </w:rPr>
              <w:t>18</w:t>
            </w:r>
            <w:r>
              <w:rPr>
                <w:rFonts w:cs="Times New Roman"/>
                <w:color w:val="000000"/>
                <w:kern w:val="0"/>
                <w:sz w:val="21"/>
                <w:szCs w:val="21"/>
                <w:lang w:bidi="ar"/>
              </w:rPr>
              <w:t>年</w:t>
            </w:r>
            <w:r>
              <w:rPr>
                <w:rFonts w:hint="eastAsia" w:cs="Times New Roman"/>
                <w:color w:val="000000"/>
                <w:kern w:val="0"/>
                <w:sz w:val="21"/>
                <w:szCs w:val="21"/>
                <w:lang w:bidi="ar"/>
              </w:rPr>
              <w:t>12</w:t>
            </w:r>
            <w:r>
              <w:rPr>
                <w:rFonts w:cs="Times New Roman"/>
                <w:color w:val="000000"/>
                <w:kern w:val="0"/>
                <w:sz w:val="21"/>
                <w:szCs w:val="21"/>
                <w:lang w:bidi="ar"/>
              </w:rPr>
              <w:t>月</w:t>
            </w:r>
            <w:r>
              <w:rPr>
                <w:rFonts w:hint="eastAsia" w:cs="Times New Roman"/>
                <w:color w:val="000000"/>
                <w:kern w:val="0"/>
                <w:sz w:val="21"/>
                <w:szCs w:val="21"/>
                <w:lang w:bidi="ar"/>
              </w:rPr>
              <w:t>13</w:t>
            </w:r>
            <w:r>
              <w:rPr>
                <w:rFonts w:cs="Times New Roman"/>
                <w:color w:val="000000"/>
                <w:kern w:val="0"/>
                <w:sz w:val="21"/>
                <w:szCs w:val="21"/>
                <w:lang w:bidi="ar"/>
              </w:rPr>
              <w:t>日</w:t>
            </w:r>
          </w:p>
        </w:tc>
        <w:tc>
          <w:tcPr>
            <w:tcW w:w="845" w:type="pct"/>
            <w:tcBorders>
              <w:top w:val="single" w:color="888E93" w:sz="8" w:space="0"/>
              <w:left w:val="single" w:color="888E93" w:sz="8" w:space="0"/>
              <w:bottom w:val="single" w:color="474747" w:sz="8" w:space="0"/>
              <w:right w:val="single" w:color="888E93" w:sz="8" w:space="0"/>
            </w:tcBorders>
            <w:shd w:val="clear" w:color="auto" w:fill="FFFFFF"/>
            <w:vAlign w:val="center"/>
          </w:tcPr>
          <w:p w14:paraId="2B8DB787">
            <w:pPr>
              <w:widowControl/>
              <w:spacing w:line="240" w:lineRule="auto"/>
              <w:ind w:firstLine="0" w:firstLineChars="0"/>
              <w:jc w:val="left"/>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晴</w:t>
            </w:r>
          </w:p>
        </w:tc>
        <w:tc>
          <w:tcPr>
            <w:tcW w:w="721" w:type="pct"/>
            <w:tcBorders>
              <w:top w:val="single" w:color="888E93" w:sz="8" w:space="0"/>
              <w:left w:val="single" w:color="888E93" w:sz="8" w:space="0"/>
              <w:bottom w:val="single" w:color="474747" w:sz="8" w:space="0"/>
              <w:right w:val="single" w:color="888E93" w:sz="8" w:space="0"/>
            </w:tcBorders>
            <w:shd w:val="clear" w:color="auto" w:fill="FFFFFF"/>
            <w:vAlign w:val="center"/>
          </w:tcPr>
          <w:p w14:paraId="19094AFE">
            <w:pPr>
              <w:widowControl/>
              <w:spacing w:line="240" w:lineRule="auto"/>
              <w:ind w:firstLine="0" w:firstLineChars="0"/>
              <w:jc w:val="left"/>
              <w:textAlignment w:val="center"/>
              <w:rPr>
                <w:rFonts w:cs="Times New Roman"/>
                <w:color w:val="000000"/>
                <w:sz w:val="21"/>
                <w:szCs w:val="21"/>
              </w:rPr>
            </w:pPr>
            <w:r>
              <w:rPr>
                <w:rFonts w:hint="eastAsia" w:cs="Times New Roman"/>
                <w:color w:val="000000"/>
                <w:kern w:val="0"/>
                <w:sz w:val="21"/>
                <w:szCs w:val="21"/>
                <w:lang w:bidi="ar"/>
              </w:rPr>
              <w:t>1.9</w:t>
            </w:r>
          </w:p>
        </w:tc>
        <w:tc>
          <w:tcPr>
            <w:tcW w:w="1143" w:type="pct"/>
            <w:tcBorders>
              <w:top w:val="single" w:color="888E93" w:sz="8" w:space="0"/>
              <w:left w:val="single" w:color="888E93" w:sz="8" w:space="0"/>
              <w:bottom w:val="single" w:color="474747" w:sz="8" w:space="0"/>
              <w:right w:val="single" w:color="474747" w:sz="8" w:space="0"/>
            </w:tcBorders>
            <w:shd w:val="clear" w:color="auto" w:fill="FFFFFF"/>
            <w:vAlign w:val="center"/>
          </w:tcPr>
          <w:p w14:paraId="4307A6B9">
            <w:pPr>
              <w:widowControl/>
              <w:spacing w:line="240" w:lineRule="auto"/>
              <w:ind w:firstLine="0" w:firstLineChars="0"/>
              <w:jc w:val="left"/>
              <w:textAlignment w:val="center"/>
              <w:rPr>
                <w:rFonts w:cs="Times New Roman"/>
                <w:color w:val="000000"/>
                <w:sz w:val="21"/>
                <w:szCs w:val="21"/>
              </w:rPr>
            </w:pPr>
            <w:r>
              <w:rPr>
                <w:rFonts w:hint="eastAsia" w:cs="Times New Roman"/>
                <w:color w:val="000000"/>
                <w:kern w:val="0"/>
                <w:sz w:val="21"/>
                <w:szCs w:val="21"/>
                <w:lang w:bidi="ar"/>
              </w:rPr>
              <w:t>23.1</w:t>
            </w:r>
          </w:p>
        </w:tc>
        <w:tc>
          <w:tcPr>
            <w:tcW w:w="1034" w:type="pct"/>
            <w:tcBorders>
              <w:top w:val="single" w:color="888E93" w:sz="8" w:space="0"/>
              <w:left w:val="single" w:color="888E93" w:sz="8" w:space="0"/>
              <w:bottom w:val="single" w:color="474747" w:sz="8" w:space="0"/>
              <w:right w:val="single" w:color="474747" w:sz="8" w:space="0"/>
            </w:tcBorders>
            <w:shd w:val="clear" w:color="auto" w:fill="FFFFFF"/>
            <w:vAlign w:val="center"/>
          </w:tcPr>
          <w:p w14:paraId="2C57A53C">
            <w:pPr>
              <w:widowControl/>
              <w:spacing w:line="240" w:lineRule="auto"/>
              <w:ind w:firstLine="0" w:firstLineChars="0"/>
              <w:jc w:val="left"/>
              <w:textAlignment w:val="center"/>
              <w:rPr>
                <w:rFonts w:cs="Times New Roman"/>
                <w:color w:val="000000"/>
                <w:kern w:val="0"/>
                <w:sz w:val="21"/>
                <w:szCs w:val="21"/>
                <w:lang w:bidi="ar"/>
              </w:rPr>
            </w:pPr>
            <w:r>
              <w:rPr>
                <w:rFonts w:hint="eastAsia" w:cs="Times New Roman"/>
                <w:color w:val="000000"/>
                <w:kern w:val="0"/>
                <w:sz w:val="21"/>
                <w:szCs w:val="21"/>
                <w:lang w:bidi="ar"/>
              </w:rPr>
              <w:t>1.1m/s</w:t>
            </w:r>
          </w:p>
        </w:tc>
      </w:tr>
    </w:tbl>
    <w:p w14:paraId="3711769C">
      <w:pPr>
        <w:widowControl/>
        <w:ind w:firstLine="480"/>
        <w:jc w:val="left"/>
      </w:pPr>
      <w:r>
        <w:rPr>
          <w:rFonts w:hint="eastAsia" w:ascii="宋体" w:hAnsi="宋体" w:cs="宋体"/>
          <w:color w:val="000000"/>
          <w:kern w:val="0"/>
          <w:szCs w:val="24"/>
          <w:lang w:bidi="ar"/>
        </w:rPr>
        <w:t>（</w:t>
      </w:r>
      <w:r>
        <w:rPr>
          <w:rFonts w:cs="Times New Roman"/>
          <w:color w:val="000000"/>
          <w:kern w:val="0"/>
          <w:szCs w:val="24"/>
          <w:lang w:bidi="ar"/>
        </w:rPr>
        <w:t>6</w:t>
      </w:r>
      <w:r>
        <w:rPr>
          <w:rFonts w:hint="eastAsia" w:ascii="宋体" w:hAnsi="宋体" w:cs="宋体"/>
          <w:color w:val="000000"/>
          <w:kern w:val="0"/>
          <w:szCs w:val="24"/>
          <w:lang w:bidi="ar"/>
        </w:rPr>
        <w:t xml:space="preserve">）运行工况 </w:t>
      </w:r>
    </w:p>
    <w:p w14:paraId="7B0B64DA">
      <w:pPr>
        <w:widowControl/>
        <w:ind w:firstLine="422"/>
        <w:jc w:val="center"/>
        <w:rPr>
          <w:b/>
          <w:bCs/>
          <w:sz w:val="21"/>
          <w:szCs w:val="20"/>
        </w:rPr>
      </w:pPr>
      <w:r>
        <w:rPr>
          <w:rFonts w:hint="eastAsia" w:ascii="宋体" w:hAnsi="宋体" w:cs="宋体"/>
          <w:b/>
          <w:bCs/>
          <w:color w:val="000000"/>
          <w:kern w:val="0"/>
          <w:sz w:val="21"/>
          <w:szCs w:val="21"/>
          <w:lang w:bidi="ar"/>
        </w:rPr>
        <w:t>表9 类比监测期间运行工况表</w:t>
      </w:r>
    </w:p>
    <w:tbl>
      <w:tblPr>
        <w:tblStyle w:val="21"/>
        <w:tblW w:w="4998" w:type="pct"/>
        <w:tblInd w:w="0" w:type="dxa"/>
        <w:tblLayout w:type="autofit"/>
        <w:tblCellMar>
          <w:top w:w="0" w:type="dxa"/>
          <w:left w:w="108" w:type="dxa"/>
          <w:bottom w:w="0" w:type="dxa"/>
          <w:right w:w="108" w:type="dxa"/>
        </w:tblCellMar>
      </w:tblPr>
      <w:tblGrid>
        <w:gridCol w:w="1188"/>
        <w:gridCol w:w="1546"/>
        <w:gridCol w:w="1520"/>
        <w:gridCol w:w="2021"/>
        <w:gridCol w:w="2244"/>
      </w:tblGrid>
      <w:tr w14:paraId="4ACEF4E5">
        <w:tblPrEx>
          <w:tblCellMar>
            <w:top w:w="0" w:type="dxa"/>
            <w:left w:w="108" w:type="dxa"/>
            <w:bottom w:w="0" w:type="dxa"/>
            <w:right w:w="108" w:type="dxa"/>
          </w:tblCellMar>
        </w:tblPrEx>
        <w:trPr>
          <w:trHeight w:val="285" w:hRule="atLeast"/>
        </w:trPr>
        <w:tc>
          <w:tcPr>
            <w:tcW w:w="697" w:type="pct"/>
            <w:tcBorders>
              <w:top w:val="single" w:color="474747" w:sz="8" w:space="0"/>
              <w:left w:val="single" w:color="474747" w:sz="8" w:space="0"/>
              <w:bottom w:val="single" w:color="888E93" w:sz="8" w:space="0"/>
              <w:right w:val="single" w:color="888E93" w:sz="8" w:space="0"/>
            </w:tcBorders>
            <w:shd w:val="clear" w:color="auto" w:fill="FFFFFF"/>
            <w:vAlign w:val="center"/>
          </w:tcPr>
          <w:p w14:paraId="1F4A8D28">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名称</w:t>
            </w:r>
          </w:p>
        </w:tc>
        <w:tc>
          <w:tcPr>
            <w:tcW w:w="907" w:type="pct"/>
            <w:tcBorders>
              <w:top w:val="single" w:color="474747" w:sz="8" w:space="0"/>
              <w:left w:val="single" w:color="888E93" w:sz="8" w:space="0"/>
              <w:bottom w:val="single" w:color="888E93" w:sz="8" w:space="0"/>
              <w:right w:val="single" w:color="888E93" w:sz="8" w:space="0"/>
            </w:tcBorders>
            <w:shd w:val="clear" w:color="auto" w:fill="FFFFFF"/>
            <w:vAlign w:val="center"/>
          </w:tcPr>
          <w:p w14:paraId="1DDFCB73">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电压（kV）</w:t>
            </w:r>
          </w:p>
        </w:tc>
        <w:tc>
          <w:tcPr>
            <w:tcW w:w="892" w:type="pct"/>
            <w:tcBorders>
              <w:top w:val="single" w:color="474747" w:sz="8" w:space="0"/>
              <w:left w:val="single" w:color="888E93" w:sz="8" w:space="0"/>
              <w:bottom w:val="single" w:color="888E93" w:sz="8" w:space="0"/>
              <w:right w:val="single" w:color="888E93" w:sz="8" w:space="0"/>
            </w:tcBorders>
            <w:shd w:val="clear" w:color="auto" w:fill="FFFFFF"/>
            <w:vAlign w:val="center"/>
          </w:tcPr>
          <w:p w14:paraId="0536A0FF">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电流（A）</w:t>
            </w:r>
          </w:p>
        </w:tc>
        <w:tc>
          <w:tcPr>
            <w:tcW w:w="1186" w:type="pct"/>
            <w:tcBorders>
              <w:top w:val="single" w:color="474747" w:sz="8" w:space="0"/>
              <w:left w:val="single" w:color="888E93" w:sz="8" w:space="0"/>
              <w:bottom w:val="single" w:color="888E93" w:sz="8" w:space="0"/>
              <w:right w:val="single" w:color="888E93" w:sz="8" w:space="0"/>
            </w:tcBorders>
            <w:shd w:val="clear" w:color="auto" w:fill="FFFFFF"/>
            <w:vAlign w:val="center"/>
          </w:tcPr>
          <w:p w14:paraId="5502F262">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有功功率（MW）</w:t>
            </w:r>
          </w:p>
        </w:tc>
        <w:tc>
          <w:tcPr>
            <w:tcW w:w="1317" w:type="pct"/>
            <w:tcBorders>
              <w:top w:val="single" w:color="474747" w:sz="8" w:space="0"/>
              <w:left w:val="single" w:color="888E93" w:sz="8" w:space="0"/>
              <w:bottom w:val="single" w:color="888E93" w:sz="8" w:space="0"/>
              <w:right w:val="single" w:color="474747" w:sz="8" w:space="0"/>
            </w:tcBorders>
            <w:shd w:val="clear" w:color="auto" w:fill="FFFFFF"/>
            <w:vAlign w:val="center"/>
          </w:tcPr>
          <w:p w14:paraId="054D5A30">
            <w:pPr>
              <w:widowControl/>
              <w:spacing w:line="240" w:lineRule="auto"/>
              <w:ind w:firstLine="0" w:firstLineChars="0"/>
              <w:jc w:val="left"/>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无功功率（MVar）</w:t>
            </w:r>
          </w:p>
        </w:tc>
      </w:tr>
      <w:tr w14:paraId="1C5F739C">
        <w:tblPrEx>
          <w:tblCellMar>
            <w:top w:w="0" w:type="dxa"/>
            <w:left w:w="108" w:type="dxa"/>
            <w:bottom w:w="0" w:type="dxa"/>
            <w:right w:w="108" w:type="dxa"/>
          </w:tblCellMar>
        </w:tblPrEx>
        <w:trPr>
          <w:trHeight w:val="285" w:hRule="atLeast"/>
        </w:trPr>
        <w:tc>
          <w:tcPr>
            <w:tcW w:w="697" w:type="pct"/>
            <w:tcBorders>
              <w:top w:val="single" w:color="888E93" w:sz="8" w:space="0"/>
              <w:left w:val="single" w:color="474747" w:sz="8" w:space="0"/>
              <w:bottom w:val="single" w:color="888E93" w:sz="8" w:space="0"/>
              <w:right w:val="single" w:color="888E93" w:sz="8" w:space="0"/>
            </w:tcBorders>
            <w:shd w:val="clear" w:color="auto" w:fill="FFFFFF"/>
            <w:vAlign w:val="center"/>
          </w:tcPr>
          <w:p w14:paraId="516C193B">
            <w:pPr>
              <w:widowControl/>
              <w:spacing w:line="240" w:lineRule="auto"/>
              <w:ind w:firstLine="0" w:firstLineChars="0"/>
              <w:jc w:val="left"/>
              <w:textAlignment w:val="center"/>
              <w:rPr>
                <w:rFonts w:cs="Times New Roman"/>
                <w:color w:val="000000"/>
                <w:sz w:val="20"/>
                <w:szCs w:val="20"/>
              </w:rPr>
            </w:pPr>
            <w:r>
              <w:rPr>
                <w:rFonts w:cs="Times New Roman"/>
                <w:color w:val="000000"/>
                <w:kern w:val="0"/>
                <w:sz w:val="20"/>
                <w:szCs w:val="20"/>
                <w:lang w:bidi="ar"/>
              </w:rPr>
              <w:t>1#主变</w:t>
            </w:r>
          </w:p>
        </w:tc>
        <w:tc>
          <w:tcPr>
            <w:tcW w:w="907"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1AD91611">
            <w:pPr>
              <w:widowControl/>
              <w:spacing w:line="240" w:lineRule="auto"/>
              <w:ind w:firstLine="0" w:firstLineChars="0"/>
              <w:jc w:val="left"/>
              <w:textAlignment w:val="center"/>
              <w:rPr>
                <w:rFonts w:cs="Times New Roman"/>
                <w:color w:val="000000"/>
                <w:sz w:val="20"/>
                <w:szCs w:val="20"/>
              </w:rPr>
            </w:pPr>
            <w:r>
              <w:rPr>
                <w:rFonts w:hint="eastAsia" w:cs="Times New Roman"/>
                <w:color w:val="000000"/>
                <w:kern w:val="0"/>
                <w:sz w:val="20"/>
                <w:szCs w:val="20"/>
                <w:lang w:bidi="ar"/>
              </w:rPr>
              <w:t>115.10</w:t>
            </w:r>
          </w:p>
        </w:tc>
        <w:tc>
          <w:tcPr>
            <w:tcW w:w="892"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15F015CE">
            <w:pPr>
              <w:widowControl/>
              <w:spacing w:line="240" w:lineRule="auto"/>
              <w:ind w:firstLine="0" w:firstLineChars="0"/>
              <w:jc w:val="left"/>
              <w:textAlignment w:val="center"/>
              <w:rPr>
                <w:rFonts w:cs="Times New Roman"/>
                <w:color w:val="000000"/>
                <w:sz w:val="20"/>
                <w:szCs w:val="20"/>
              </w:rPr>
            </w:pPr>
            <w:r>
              <w:rPr>
                <w:rFonts w:hint="eastAsia" w:cs="Times New Roman"/>
                <w:color w:val="000000"/>
                <w:sz w:val="20"/>
                <w:szCs w:val="20"/>
              </w:rPr>
              <w:t>883.30</w:t>
            </w:r>
          </w:p>
        </w:tc>
        <w:tc>
          <w:tcPr>
            <w:tcW w:w="1186"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0091F45E">
            <w:pPr>
              <w:widowControl/>
              <w:spacing w:line="240" w:lineRule="auto"/>
              <w:ind w:firstLine="0" w:firstLineChars="0"/>
              <w:jc w:val="left"/>
              <w:textAlignment w:val="center"/>
              <w:rPr>
                <w:rFonts w:cs="Times New Roman"/>
                <w:color w:val="000000"/>
                <w:sz w:val="20"/>
                <w:szCs w:val="20"/>
              </w:rPr>
            </w:pPr>
            <w:r>
              <w:rPr>
                <w:rFonts w:hint="eastAsia" w:cs="Times New Roman"/>
                <w:color w:val="000000"/>
                <w:sz w:val="20"/>
                <w:szCs w:val="20"/>
              </w:rPr>
              <w:t>-14.54</w:t>
            </w:r>
          </w:p>
        </w:tc>
        <w:tc>
          <w:tcPr>
            <w:tcW w:w="1317" w:type="pct"/>
            <w:tcBorders>
              <w:top w:val="single" w:color="888E93" w:sz="8" w:space="0"/>
              <w:left w:val="single" w:color="888E93" w:sz="8" w:space="0"/>
              <w:bottom w:val="single" w:color="888E93" w:sz="8" w:space="0"/>
              <w:right w:val="single" w:color="474747" w:sz="8" w:space="0"/>
            </w:tcBorders>
            <w:shd w:val="clear" w:color="auto" w:fill="FFFFFF"/>
            <w:vAlign w:val="center"/>
          </w:tcPr>
          <w:p w14:paraId="1B15355A">
            <w:pPr>
              <w:widowControl/>
              <w:spacing w:line="240" w:lineRule="auto"/>
              <w:ind w:firstLine="0" w:firstLineChars="0"/>
              <w:jc w:val="left"/>
              <w:textAlignment w:val="center"/>
              <w:rPr>
                <w:rFonts w:cs="Times New Roman"/>
                <w:color w:val="000000"/>
                <w:sz w:val="20"/>
                <w:szCs w:val="20"/>
              </w:rPr>
            </w:pPr>
            <w:r>
              <w:rPr>
                <w:rFonts w:hint="eastAsia" w:cs="Times New Roman"/>
                <w:color w:val="000000"/>
                <w:sz w:val="20"/>
                <w:szCs w:val="20"/>
              </w:rPr>
              <w:t>-4.74</w:t>
            </w:r>
          </w:p>
        </w:tc>
      </w:tr>
      <w:tr w14:paraId="7DBAEC1A">
        <w:tblPrEx>
          <w:tblCellMar>
            <w:top w:w="0" w:type="dxa"/>
            <w:left w:w="108" w:type="dxa"/>
            <w:bottom w:w="0" w:type="dxa"/>
            <w:right w:w="108" w:type="dxa"/>
          </w:tblCellMar>
        </w:tblPrEx>
        <w:trPr>
          <w:trHeight w:val="285" w:hRule="atLeast"/>
        </w:trPr>
        <w:tc>
          <w:tcPr>
            <w:tcW w:w="697" w:type="pct"/>
            <w:tcBorders>
              <w:top w:val="single" w:color="888E93" w:sz="8" w:space="0"/>
              <w:left w:val="single" w:color="474747" w:sz="8" w:space="0"/>
              <w:bottom w:val="single" w:color="474747" w:sz="8" w:space="0"/>
              <w:right w:val="single" w:color="888E93" w:sz="8" w:space="0"/>
            </w:tcBorders>
            <w:shd w:val="clear" w:color="auto" w:fill="FFFFFF"/>
            <w:vAlign w:val="center"/>
          </w:tcPr>
          <w:p w14:paraId="67DDA8E8">
            <w:pPr>
              <w:widowControl/>
              <w:spacing w:line="240" w:lineRule="auto"/>
              <w:ind w:firstLine="0" w:firstLineChars="0"/>
              <w:jc w:val="left"/>
              <w:textAlignment w:val="center"/>
              <w:rPr>
                <w:rFonts w:cs="Times New Roman"/>
                <w:color w:val="000000"/>
                <w:kern w:val="0"/>
                <w:sz w:val="20"/>
                <w:szCs w:val="20"/>
                <w:lang w:bidi="ar"/>
              </w:rPr>
            </w:pPr>
            <w:r>
              <w:rPr>
                <w:rFonts w:hint="eastAsia" w:cs="Times New Roman"/>
                <w:color w:val="000000"/>
                <w:kern w:val="0"/>
                <w:sz w:val="20"/>
                <w:szCs w:val="20"/>
                <w:lang w:bidi="ar"/>
              </w:rPr>
              <w:t>2</w:t>
            </w:r>
            <w:r>
              <w:rPr>
                <w:rFonts w:cs="Times New Roman"/>
                <w:color w:val="000000"/>
                <w:kern w:val="0"/>
                <w:sz w:val="20"/>
                <w:szCs w:val="20"/>
                <w:lang w:bidi="ar"/>
              </w:rPr>
              <w:t>#主变</w:t>
            </w:r>
          </w:p>
        </w:tc>
        <w:tc>
          <w:tcPr>
            <w:tcW w:w="907" w:type="pct"/>
            <w:tcBorders>
              <w:top w:val="single" w:color="888E93" w:sz="8" w:space="0"/>
              <w:left w:val="single" w:color="888E93" w:sz="8" w:space="0"/>
              <w:bottom w:val="single" w:color="474747" w:sz="8" w:space="0"/>
              <w:right w:val="single" w:color="888E93" w:sz="8" w:space="0"/>
            </w:tcBorders>
            <w:shd w:val="clear" w:color="auto" w:fill="FFFFFF"/>
            <w:vAlign w:val="center"/>
          </w:tcPr>
          <w:p w14:paraId="38180B05">
            <w:pPr>
              <w:widowControl/>
              <w:spacing w:line="240" w:lineRule="auto"/>
              <w:ind w:firstLine="0" w:firstLineChars="0"/>
              <w:jc w:val="left"/>
              <w:textAlignment w:val="center"/>
              <w:rPr>
                <w:rFonts w:cs="Times New Roman"/>
                <w:color w:val="000000"/>
                <w:kern w:val="0"/>
                <w:sz w:val="20"/>
                <w:szCs w:val="20"/>
                <w:lang w:bidi="ar"/>
              </w:rPr>
            </w:pPr>
            <w:r>
              <w:rPr>
                <w:rFonts w:hint="eastAsia" w:cs="Times New Roman"/>
                <w:color w:val="000000"/>
                <w:kern w:val="0"/>
                <w:sz w:val="20"/>
                <w:szCs w:val="20"/>
                <w:lang w:bidi="ar"/>
              </w:rPr>
              <w:t>115.22</w:t>
            </w:r>
          </w:p>
        </w:tc>
        <w:tc>
          <w:tcPr>
            <w:tcW w:w="892" w:type="pct"/>
            <w:tcBorders>
              <w:top w:val="single" w:color="888E93" w:sz="8" w:space="0"/>
              <w:left w:val="single" w:color="888E93" w:sz="8" w:space="0"/>
              <w:bottom w:val="single" w:color="474747" w:sz="8" w:space="0"/>
              <w:right w:val="single" w:color="888E93" w:sz="8" w:space="0"/>
            </w:tcBorders>
            <w:shd w:val="clear" w:color="auto" w:fill="FFFFFF"/>
            <w:vAlign w:val="center"/>
          </w:tcPr>
          <w:p w14:paraId="6B779E76">
            <w:pPr>
              <w:widowControl/>
              <w:spacing w:line="240" w:lineRule="auto"/>
              <w:ind w:firstLine="0" w:firstLineChars="0"/>
              <w:jc w:val="left"/>
              <w:textAlignment w:val="center"/>
              <w:rPr>
                <w:rFonts w:cs="Times New Roman"/>
                <w:color w:val="000000"/>
                <w:kern w:val="0"/>
                <w:sz w:val="20"/>
                <w:szCs w:val="20"/>
                <w:lang w:bidi="ar"/>
              </w:rPr>
            </w:pPr>
            <w:r>
              <w:rPr>
                <w:rFonts w:hint="eastAsia" w:cs="Times New Roman"/>
                <w:color w:val="000000"/>
                <w:kern w:val="0"/>
                <w:sz w:val="20"/>
                <w:szCs w:val="20"/>
                <w:lang w:bidi="ar"/>
              </w:rPr>
              <w:t>883.30</w:t>
            </w:r>
          </w:p>
        </w:tc>
        <w:tc>
          <w:tcPr>
            <w:tcW w:w="1186" w:type="pct"/>
            <w:tcBorders>
              <w:top w:val="single" w:color="888E93" w:sz="8" w:space="0"/>
              <w:left w:val="single" w:color="888E93" w:sz="8" w:space="0"/>
              <w:bottom w:val="single" w:color="474747" w:sz="8" w:space="0"/>
              <w:right w:val="single" w:color="888E93" w:sz="8" w:space="0"/>
            </w:tcBorders>
            <w:shd w:val="clear" w:color="auto" w:fill="FFFFFF"/>
            <w:vAlign w:val="center"/>
          </w:tcPr>
          <w:p w14:paraId="140D3854">
            <w:pPr>
              <w:widowControl/>
              <w:spacing w:line="240" w:lineRule="auto"/>
              <w:ind w:firstLine="0" w:firstLineChars="0"/>
              <w:jc w:val="left"/>
              <w:textAlignment w:val="center"/>
              <w:rPr>
                <w:rFonts w:cs="Times New Roman"/>
                <w:color w:val="000000"/>
                <w:kern w:val="0"/>
                <w:sz w:val="20"/>
                <w:szCs w:val="20"/>
                <w:lang w:bidi="ar"/>
              </w:rPr>
            </w:pPr>
            <w:r>
              <w:rPr>
                <w:rFonts w:hint="eastAsia" w:cs="Times New Roman"/>
                <w:color w:val="000000"/>
                <w:kern w:val="0"/>
                <w:sz w:val="20"/>
                <w:szCs w:val="20"/>
                <w:lang w:bidi="ar"/>
              </w:rPr>
              <w:t>-14.89</w:t>
            </w:r>
          </w:p>
        </w:tc>
        <w:tc>
          <w:tcPr>
            <w:tcW w:w="1317" w:type="pct"/>
            <w:tcBorders>
              <w:top w:val="single" w:color="888E93" w:sz="8" w:space="0"/>
              <w:left w:val="single" w:color="888E93" w:sz="8" w:space="0"/>
              <w:bottom w:val="single" w:color="474747" w:sz="8" w:space="0"/>
              <w:right w:val="single" w:color="474747" w:sz="8" w:space="0"/>
            </w:tcBorders>
            <w:shd w:val="clear" w:color="auto" w:fill="FFFFFF"/>
            <w:vAlign w:val="center"/>
          </w:tcPr>
          <w:p w14:paraId="05AA28EA">
            <w:pPr>
              <w:widowControl/>
              <w:spacing w:line="240" w:lineRule="auto"/>
              <w:ind w:firstLine="0" w:firstLineChars="0"/>
              <w:jc w:val="left"/>
              <w:textAlignment w:val="center"/>
              <w:rPr>
                <w:rFonts w:cs="Times New Roman"/>
                <w:color w:val="000000"/>
                <w:kern w:val="0"/>
                <w:sz w:val="20"/>
                <w:szCs w:val="20"/>
                <w:lang w:bidi="ar"/>
              </w:rPr>
            </w:pPr>
            <w:r>
              <w:rPr>
                <w:rFonts w:hint="eastAsia" w:cs="Times New Roman"/>
                <w:color w:val="000000"/>
                <w:kern w:val="0"/>
                <w:sz w:val="20"/>
                <w:szCs w:val="20"/>
                <w:lang w:bidi="ar"/>
              </w:rPr>
              <w:t>-4.97</w:t>
            </w:r>
          </w:p>
        </w:tc>
      </w:tr>
    </w:tbl>
    <w:p w14:paraId="6460271F">
      <w:pPr>
        <w:pStyle w:val="38"/>
      </w:pPr>
      <w:r>
        <w:rPr>
          <w:rFonts w:hint="eastAsia"/>
        </w:rPr>
        <w:t>（7）监测布点</w:t>
      </w:r>
    </w:p>
    <w:p w14:paraId="26DB62A9">
      <w:pPr>
        <w:pStyle w:val="38"/>
        <w:rPr>
          <w:color w:val="000000" w:themeColor="text1"/>
          <w:szCs w:val="36"/>
          <w14:textFill>
            <w14:solidFill>
              <w14:schemeClr w14:val="tx1"/>
            </w14:solidFill>
          </w14:textFill>
        </w:rPr>
      </w:pPr>
      <w:r>
        <w:drawing>
          <wp:inline distT="0" distB="0" distL="114300" distR="114300">
            <wp:extent cx="4791075" cy="3962400"/>
            <wp:effectExtent l="0" t="0" r="9525" b="0"/>
            <wp:docPr id="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
                    <pic:cNvPicPr>
                      <a:picLocks noChangeAspect="1"/>
                    </pic:cNvPicPr>
                  </pic:nvPicPr>
                  <pic:blipFill>
                    <a:blip r:embed="rId20"/>
                    <a:stretch>
                      <a:fillRect/>
                    </a:stretch>
                  </pic:blipFill>
                  <pic:spPr>
                    <a:xfrm>
                      <a:off x="0" y="0"/>
                      <a:ext cx="4791075" cy="3962400"/>
                    </a:xfrm>
                    <a:prstGeom prst="rect">
                      <a:avLst/>
                    </a:prstGeom>
                    <a:noFill/>
                    <a:ln>
                      <a:noFill/>
                    </a:ln>
                  </pic:spPr>
                </pic:pic>
              </a:graphicData>
            </a:graphic>
          </wp:inline>
        </w:drawing>
      </w:r>
    </w:p>
    <w:p w14:paraId="39FF4107">
      <w:pPr>
        <w:widowControl/>
        <w:ind w:firstLine="480"/>
        <w:jc w:val="left"/>
        <w:rPr>
          <w:rFonts w:hint="eastAsia" w:ascii="宋体" w:hAnsi="宋体" w:cs="宋体"/>
          <w:color w:val="000000"/>
          <w:kern w:val="0"/>
          <w:szCs w:val="24"/>
          <w:lang w:bidi="ar"/>
        </w:rPr>
      </w:pPr>
      <w:r>
        <w:rPr>
          <w:rFonts w:hint="eastAsia" w:ascii="宋体" w:hAnsi="宋体" w:cs="宋体"/>
          <w:color w:val="000000"/>
          <w:kern w:val="0"/>
          <w:szCs w:val="24"/>
          <w:lang w:bidi="ar"/>
        </w:rPr>
        <w:t>在东、南、西侧5m处布设一个监测点，北侧110kV青章Ⅰ回、110kV青章Ⅱ回线下各布设一个监测点，共5个监测点</w:t>
      </w:r>
    </w:p>
    <w:p w14:paraId="4195C91D">
      <w:pPr>
        <w:widowControl/>
        <w:ind w:firstLine="480"/>
        <w:jc w:val="left"/>
      </w:pPr>
      <w:r>
        <w:rPr>
          <w:rFonts w:hint="eastAsia" w:ascii="宋体" w:hAnsi="宋体" w:cs="宋体"/>
          <w:color w:val="000000"/>
          <w:kern w:val="0"/>
          <w:szCs w:val="24"/>
          <w:lang w:bidi="ar"/>
        </w:rPr>
        <w:t>（</w:t>
      </w:r>
      <w:r>
        <w:rPr>
          <w:rFonts w:cs="Times New Roman"/>
          <w:color w:val="000000"/>
          <w:kern w:val="0"/>
          <w:szCs w:val="24"/>
          <w:lang w:bidi="ar"/>
        </w:rPr>
        <w:t>8</w:t>
      </w:r>
      <w:r>
        <w:rPr>
          <w:rFonts w:hint="eastAsia" w:ascii="宋体" w:hAnsi="宋体" w:cs="宋体"/>
          <w:color w:val="000000"/>
          <w:kern w:val="0"/>
          <w:szCs w:val="24"/>
          <w:lang w:bidi="ar"/>
        </w:rPr>
        <w:t xml:space="preserve">）监测结果 </w:t>
      </w:r>
    </w:p>
    <w:p w14:paraId="0EAFBCAA">
      <w:pPr>
        <w:widowControl/>
        <w:ind w:firstLine="480"/>
        <w:jc w:val="left"/>
        <w:rPr>
          <w:rFonts w:cs="Times New Roman"/>
          <w:color w:val="000000"/>
          <w:kern w:val="0"/>
          <w:szCs w:val="24"/>
          <w:lang w:bidi="ar"/>
        </w:rPr>
      </w:pPr>
      <w:r>
        <w:rPr>
          <w:rFonts w:hint="eastAsia" w:ascii="宋体" w:hAnsi="宋体" w:cs="宋体"/>
          <w:color w:val="000000"/>
          <w:kern w:val="0"/>
          <w:szCs w:val="24"/>
          <w:lang w:bidi="ar"/>
        </w:rPr>
        <w:t>章盖营110kV变电站四周围墙外工频电场强度、工频磁感应强度监测结果见表 11。</w:t>
      </w:r>
      <w:r>
        <w:rPr>
          <w:rFonts w:cs="Times New Roman"/>
          <w:color w:val="000000"/>
          <w:kern w:val="0"/>
          <w:szCs w:val="24"/>
          <w:lang w:bidi="ar"/>
        </w:rPr>
        <w:t xml:space="preserve"> </w:t>
      </w:r>
    </w:p>
    <w:p w14:paraId="36EF3ABF">
      <w:pPr>
        <w:widowControl/>
        <w:ind w:firstLine="422"/>
        <w:jc w:val="center"/>
        <w:rPr>
          <w:rFonts w:cs="Times New Roman"/>
          <w:b/>
          <w:bCs/>
          <w:color w:val="000000"/>
          <w:kern w:val="0"/>
          <w:sz w:val="21"/>
          <w:szCs w:val="21"/>
          <w:lang w:bidi="ar"/>
        </w:rPr>
      </w:pPr>
      <w:r>
        <w:rPr>
          <w:rFonts w:hint="eastAsia" w:cs="Times New Roman"/>
          <w:b/>
          <w:bCs/>
          <w:color w:val="000000"/>
          <w:kern w:val="0"/>
          <w:sz w:val="21"/>
          <w:szCs w:val="21"/>
          <w:lang w:bidi="ar"/>
        </w:rPr>
        <w:t>表11厂界监测结果</w:t>
      </w:r>
    </w:p>
    <w:tbl>
      <w:tblPr>
        <w:tblStyle w:val="21"/>
        <w:tblW w:w="4998" w:type="pct"/>
        <w:tblInd w:w="0" w:type="dxa"/>
        <w:tblLayout w:type="autofit"/>
        <w:tblCellMar>
          <w:top w:w="0" w:type="dxa"/>
          <w:left w:w="108" w:type="dxa"/>
          <w:bottom w:w="0" w:type="dxa"/>
          <w:right w:w="108" w:type="dxa"/>
        </w:tblCellMar>
      </w:tblPr>
      <w:tblGrid>
        <w:gridCol w:w="600"/>
        <w:gridCol w:w="3709"/>
        <w:gridCol w:w="1860"/>
        <w:gridCol w:w="2350"/>
      </w:tblGrid>
      <w:tr w14:paraId="081F2DC1">
        <w:tblPrEx>
          <w:tblCellMar>
            <w:top w:w="0" w:type="dxa"/>
            <w:left w:w="108" w:type="dxa"/>
            <w:bottom w:w="0" w:type="dxa"/>
            <w:right w:w="108" w:type="dxa"/>
          </w:tblCellMar>
        </w:tblPrEx>
        <w:trPr>
          <w:trHeight w:val="285" w:hRule="atLeast"/>
        </w:trPr>
        <w:tc>
          <w:tcPr>
            <w:tcW w:w="352" w:type="pct"/>
            <w:tcBorders>
              <w:top w:val="single" w:color="474747" w:sz="8" w:space="0"/>
              <w:left w:val="single" w:color="474747" w:sz="8" w:space="0"/>
              <w:bottom w:val="single" w:color="888E93" w:sz="8" w:space="0"/>
              <w:right w:val="single" w:color="888E93" w:sz="8" w:space="0"/>
            </w:tcBorders>
            <w:shd w:val="clear" w:color="auto" w:fill="FFFFFF"/>
            <w:vAlign w:val="center"/>
          </w:tcPr>
          <w:p w14:paraId="00409593">
            <w:pPr>
              <w:widowControl/>
              <w:spacing w:line="240" w:lineRule="auto"/>
              <w:ind w:firstLine="0" w:firstLineChars="0"/>
              <w:jc w:val="left"/>
              <w:textAlignment w:val="center"/>
              <w:rPr>
                <w:rFonts w:cs="Times New Roman"/>
                <w:color w:val="000000"/>
                <w:sz w:val="21"/>
                <w:szCs w:val="21"/>
              </w:rPr>
            </w:pPr>
            <w:r>
              <w:rPr>
                <w:rFonts w:cs="Times New Roman"/>
                <w:color w:val="000000"/>
                <w:kern w:val="0"/>
                <w:sz w:val="21"/>
                <w:szCs w:val="21"/>
                <w:lang w:bidi="ar"/>
              </w:rPr>
              <w:t>序号</w:t>
            </w:r>
          </w:p>
        </w:tc>
        <w:tc>
          <w:tcPr>
            <w:tcW w:w="2176" w:type="pct"/>
            <w:tcBorders>
              <w:top w:val="single" w:color="474747" w:sz="8" w:space="0"/>
              <w:left w:val="single" w:color="888E93" w:sz="8" w:space="0"/>
              <w:bottom w:val="single" w:color="888E93" w:sz="8" w:space="0"/>
              <w:right w:val="single" w:color="888E93" w:sz="8" w:space="0"/>
            </w:tcBorders>
            <w:shd w:val="clear" w:color="auto" w:fill="FFFFFF"/>
            <w:vAlign w:val="center"/>
          </w:tcPr>
          <w:p w14:paraId="077B38FD">
            <w:pPr>
              <w:widowControl/>
              <w:spacing w:line="240" w:lineRule="auto"/>
              <w:ind w:firstLine="0" w:firstLineChars="0"/>
              <w:jc w:val="left"/>
              <w:textAlignment w:val="center"/>
              <w:rPr>
                <w:rFonts w:cs="Times New Roman"/>
                <w:color w:val="000000"/>
                <w:sz w:val="21"/>
                <w:szCs w:val="21"/>
              </w:rPr>
            </w:pPr>
            <w:r>
              <w:rPr>
                <w:rFonts w:cs="Times New Roman"/>
                <w:color w:val="000000"/>
                <w:kern w:val="0"/>
                <w:sz w:val="21"/>
                <w:szCs w:val="21"/>
                <w:lang w:bidi="ar"/>
              </w:rPr>
              <w:t>测点位置(1.5m)</w:t>
            </w:r>
          </w:p>
        </w:tc>
        <w:tc>
          <w:tcPr>
            <w:tcW w:w="1091" w:type="pct"/>
            <w:tcBorders>
              <w:top w:val="single" w:color="474747" w:sz="8" w:space="0"/>
              <w:left w:val="single" w:color="888E93" w:sz="8" w:space="0"/>
              <w:bottom w:val="single" w:color="888E93" w:sz="8" w:space="0"/>
              <w:right w:val="single" w:color="888E93" w:sz="8" w:space="0"/>
            </w:tcBorders>
            <w:shd w:val="clear" w:color="auto" w:fill="FFFFFF"/>
            <w:vAlign w:val="center"/>
          </w:tcPr>
          <w:p w14:paraId="3D812525">
            <w:pPr>
              <w:widowControl/>
              <w:spacing w:line="240" w:lineRule="auto"/>
              <w:ind w:firstLine="0" w:firstLineChars="0"/>
              <w:jc w:val="left"/>
              <w:textAlignment w:val="center"/>
              <w:rPr>
                <w:rFonts w:cs="Times New Roman"/>
                <w:color w:val="000000"/>
                <w:sz w:val="21"/>
                <w:szCs w:val="21"/>
              </w:rPr>
            </w:pPr>
            <w:r>
              <w:rPr>
                <w:rFonts w:cs="Times New Roman"/>
                <w:color w:val="000000"/>
                <w:kern w:val="0"/>
                <w:sz w:val="21"/>
                <w:szCs w:val="21"/>
                <w:lang w:bidi="ar"/>
              </w:rPr>
              <w:t>工频电场强度(V/m)</w:t>
            </w:r>
          </w:p>
        </w:tc>
        <w:tc>
          <w:tcPr>
            <w:tcW w:w="1379" w:type="pct"/>
            <w:tcBorders>
              <w:top w:val="single" w:color="474747" w:sz="8" w:space="0"/>
              <w:left w:val="single" w:color="888E93" w:sz="8" w:space="0"/>
              <w:bottom w:val="single" w:color="888E93" w:sz="8" w:space="0"/>
              <w:right w:val="single" w:color="474747" w:sz="8" w:space="0"/>
            </w:tcBorders>
            <w:shd w:val="clear" w:color="auto" w:fill="FFFFFF"/>
            <w:vAlign w:val="center"/>
          </w:tcPr>
          <w:p w14:paraId="3F316A32">
            <w:pPr>
              <w:widowControl/>
              <w:spacing w:line="240" w:lineRule="auto"/>
              <w:ind w:firstLine="0" w:firstLineChars="0"/>
              <w:jc w:val="left"/>
              <w:textAlignment w:val="center"/>
              <w:rPr>
                <w:rFonts w:cs="Times New Roman"/>
                <w:color w:val="000000"/>
                <w:sz w:val="21"/>
                <w:szCs w:val="21"/>
              </w:rPr>
            </w:pPr>
            <w:r>
              <w:rPr>
                <w:rFonts w:cs="Times New Roman"/>
                <w:color w:val="000000"/>
                <w:kern w:val="0"/>
                <w:sz w:val="21"/>
                <w:szCs w:val="21"/>
                <w:lang w:bidi="ar"/>
              </w:rPr>
              <w:t>工频磁感应强度(μТ)</w:t>
            </w:r>
          </w:p>
        </w:tc>
      </w:tr>
      <w:tr w14:paraId="747448BA">
        <w:tblPrEx>
          <w:tblCellMar>
            <w:top w:w="0" w:type="dxa"/>
            <w:left w:w="108" w:type="dxa"/>
            <w:bottom w:w="0" w:type="dxa"/>
            <w:right w:w="108" w:type="dxa"/>
          </w:tblCellMar>
        </w:tblPrEx>
        <w:trPr>
          <w:trHeight w:val="285" w:hRule="atLeast"/>
        </w:trPr>
        <w:tc>
          <w:tcPr>
            <w:tcW w:w="352" w:type="pct"/>
            <w:tcBorders>
              <w:top w:val="single" w:color="888E93" w:sz="8" w:space="0"/>
              <w:left w:val="single" w:color="474747" w:sz="8" w:space="0"/>
              <w:bottom w:val="single" w:color="888E93" w:sz="8" w:space="0"/>
              <w:right w:val="single" w:color="888E93" w:sz="8" w:space="0"/>
            </w:tcBorders>
            <w:shd w:val="clear" w:color="auto" w:fill="FFFFFF"/>
            <w:vAlign w:val="center"/>
          </w:tcPr>
          <w:p w14:paraId="4E489F4A">
            <w:pPr>
              <w:widowControl/>
              <w:spacing w:line="240" w:lineRule="auto"/>
              <w:ind w:firstLine="0" w:firstLineChars="0"/>
              <w:jc w:val="left"/>
              <w:textAlignment w:val="center"/>
              <w:rPr>
                <w:rFonts w:cs="Times New Roman"/>
                <w:color w:val="000000"/>
                <w:sz w:val="21"/>
                <w:szCs w:val="21"/>
              </w:rPr>
            </w:pPr>
            <w:r>
              <w:rPr>
                <w:rFonts w:cs="Times New Roman"/>
                <w:color w:val="000000"/>
                <w:kern w:val="0"/>
                <w:sz w:val="21"/>
                <w:szCs w:val="21"/>
                <w:lang w:bidi="ar"/>
              </w:rPr>
              <w:t>1</w:t>
            </w:r>
          </w:p>
        </w:tc>
        <w:tc>
          <w:tcPr>
            <w:tcW w:w="2176"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1B868176">
            <w:pPr>
              <w:widowControl/>
              <w:spacing w:line="240" w:lineRule="auto"/>
              <w:ind w:firstLine="0" w:firstLineChars="0"/>
              <w:jc w:val="left"/>
              <w:textAlignment w:val="center"/>
              <w:rPr>
                <w:rFonts w:cs="Times New Roman"/>
                <w:color w:val="000000"/>
                <w:sz w:val="21"/>
                <w:szCs w:val="21"/>
              </w:rPr>
            </w:pPr>
            <w:r>
              <w:rPr>
                <w:rFonts w:cs="Times New Roman"/>
                <w:color w:val="000000"/>
                <w:kern w:val="0"/>
                <w:sz w:val="21"/>
                <w:szCs w:val="21"/>
                <w:lang w:bidi="ar"/>
              </w:rPr>
              <w:t>变电站东侧围墙外5m</w:t>
            </w:r>
          </w:p>
        </w:tc>
        <w:tc>
          <w:tcPr>
            <w:tcW w:w="1091"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07BCBFB8">
            <w:pPr>
              <w:widowControl/>
              <w:spacing w:line="240" w:lineRule="auto"/>
              <w:ind w:firstLine="0" w:firstLineChars="0"/>
              <w:jc w:val="left"/>
              <w:textAlignment w:val="center"/>
              <w:rPr>
                <w:rFonts w:cs="Times New Roman"/>
                <w:color w:val="000000"/>
                <w:sz w:val="21"/>
                <w:szCs w:val="21"/>
              </w:rPr>
            </w:pPr>
            <w:r>
              <w:rPr>
                <w:rFonts w:hint="eastAsia" w:cs="Times New Roman"/>
                <w:color w:val="000000"/>
                <w:sz w:val="21"/>
                <w:szCs w:val="21"/>
              </w:rPr>
              <w:t>33.57</w:t>
            </w:r>
          </w:p>
        </w:tc>
        <w:tc>
          <w:tcPr>
            <w:tcW w:w="1379" w:type="pct"/>
            <w:tcBorders>
              <w:top w:val="single" w:color="888E93" w:sz="8" w:space="0"/>
              <w:left w:val="single" w:color="888E93" w:sz="8" w:space="0"/>
              <w:bottom w:val="single" w:color="888E93" w:sz="8" w:space="0"/>
              <w:right w:val="single" w:color="474747" w:sz="8" w:space="0"/>
            </w:tcBorders>
            <w:shd w:val="clear" w:color="auto" w:fill="FFFFFF"/>
            <w:vAlign w:val="center"/>
          </w:tcPr>
          <w:p w14:paraId="13A781C4">
            <w:pPr>
              <w:widowControl/>
              <w:spacing w:line="240" w:lineRule="auto"/>
              <w:ind w:firstLine="0" w:firstLineChars="0"/>
              <w:jc w:val="left"/>
              <w:textAlignment w:val="center"/>
              <w:rPr>
                <w:rFonts w:cs="Times New Roman"/>
                <w:color w:val="000000"/>
                <w:sz w:val="21"/>
                <w:szCs w:val="21"/>
              </w:rPr>
            </w:pPr>
            <w:r>
              <w:rPr>
                <w:rFonts w:hint="eastAsia" w:cs="Times New Roman"/>
                <w:color w:val="000000"/>
                <w:sz w:val="21"/>
                <w:szCs w:val="21"/>
              </w:rPr>
              <w:t>0.1040</w:t>
            </w:r>
          </w:p>
        </w:tc>
      </w:tr>
      <w:tr w14:paraId="5EA05681">
        <w:tblPrEx>
          <w:tblCellMar>
            <w:top w:w="0" w:type="dxa"/>
            <w:left w:w="108" w:type="dxa"/>
            <w:bottom w:w="0" w:type="dxa"/>
            <w:right w:w="108" w:type="dxa"/>
          </w:tblCellMar>
        </w:tblPrEx>
        <w:trPr>
          <w:trHeight w:val="285" w:hRule="atLeast"/>
        </w:trPr>
        <w:tc>
          <w:tcPr>
            <w:tcW w:w="352" w:type="pct"/>
            <w:tcBorders>
              <w:top w:val="single" w:color="888E93" w:sz="8" w:space="0"/>
              <w:left w:val="single" w:color="474747" w:sz="8" w:space="0"/>
              <w:bottom w:val="single" w:color="888E93" w:sz="8" w:space="0"/>
              <w:right w:val="single" w:color="888E93" w:sz="8" w:space="0"/>
            </w:tcBorders>
            <w:shd w:val="clear" w:color="auto" w:fill="FFFFFF"/>
            <w:vAlign w:val="center"/>
          </w:tcPr>
          <w:p w14:paraId="2714A30C">
            <w:pPr>
              <w:widowControl/>
              <w:spacing w:line="240" w:lineRule="auto"/>
              <w:ind w:firstLine="0" w:firstLineChars="0"/>
              <w:jc w:val="left"/>
              <w:textAlignment w:val="center"/>
              <w:rPr>
                <w:rFonts w:cs="Times New Roman"/>
                <w:color w:val="000000"/>
                <w:sz w:val="21"/>
                <w:szCs w:val="21"/>
              </w:rPr>
            </w:pPr>
            <w:r>
              <w:rPr>
                <w:rFonts w:cs="Times New Roman"/>
                <w:color w:val="000000"/>
                <w:kern w:val="0"/>
                <w:sz w:val="21"/>
                <w:szCs w:val="21"/>
                <w:lang w:bidi="ar"/>
              </w:rPr>
              <w:t>2</w:t>
            </w:r>
          </w:p>
        </w:tc>
        <w:tc>
          <w:tcPr>
            <w:tcW w:w="2176"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2E345C7D">
            <w:pPr>
              <w:widowControl/>
              <w:spacing w:line="240" w:lineRule="auto"/>
              <w:ind w:firstLine="0" w:firstLineChars="0"/>
              <w:jc w:val="left"/>
              <w:textAlignment w:val="center"/>
              <w:rPr>
                <w:rFonts w:cs="Times New Roman"/>
                <w:color w:val="000000"/>
                <w:sz w:val="21"/>
                <w:szCs w:val="21"/>
              </w:rPr>
            </w:pPr>
            <w:r>
              <w:rPr>
                <w:rFonts w:cs="Times New Roman"/>
                <w:color w:val="000000"/>
                <w:kern w:val="0"/>
                <w:sz w:val="21"/>
                <w:szCs w:val="21"/>
                <w:lang w:bidi="ar"/>
              </w:rPr>
              <w:t>变电站南侧围墙外5m</w:t>
            </w:r>
          </w:p>
        </w:tc>
        <w:tc>
          <w:tcPr>
            <w:tcW w:w="1091"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706E7E17">
            <w:pPr>
              <w:widowControl/>
              <w:spacing w:line="240" w:lineRule="auto"/>
              <w:ind w:firstLine="0" w:firstLineChars="0"/>
              <w:jc w:val="left"/>
              <w:textAlignment w:val="center"/>
              <w:rPr>
                <w:rFonts w:cs="Times New Roman"/>
                <w:color w:val="000000"/>
                <w:sz w:val="21"/>
                <w:szCs w:val="21"/>
              </w:rPr>
            </w:pPr>
            <w:r>
              <w:rPr>
                <w:rFonts w:hint="eastAsia" w:cs="Times New Roman"/>
                <w:color w:val="000000"/>
                <w:sz w:val="21"/>
                <w:szCs w:val="21"/>
              </w:rPr>
              <w:t>1.614</w:t>
            </w:r>
          </w:p>
        </w:tc>
        <w:tc>
          <w:tcPr>
            <w:tcW w:w="1379" w:type="pct"/>
            <w:tcBorders>
              <w:top w:val="single" w:color="888E93" w:sz="8" w:space="0"/>
              <w:left w:val="single" w:color="888E93" w:sz="8" w:space="0"/>
              <w:bottom w:val="single" w:color="888E93" w:sz="8" w:space="0"/>
              <w:right w:val="single" w:color="474747" w:sz="8" w:space="0"/>
            </w:tcBorders>
            <w:shd w:val="clear" w:color="auto" w:fill="FFFFFF"/>
            <w:vAlign w:val="center"/>
          </w:tcPr>
          <w:p w14:paraId="689F2CB0">
            <w:pPr>
              <w:widowControl/>
              <w:spacing w:line="240" w:lineRule="auto"/>
              <w:ind w:firstLine="0" w:firstLineChars="0"/>
              <w:jc w:val="left"/>
              <w:textAlignment w:val="center"/>
              <w:rPr>
                <w:rFonts w:cs="Times New Roman"/>
                <w:color w:val="000000"/>
                <w:sz w:val="21"/>
                <w:szCs w:val="21"/>
              </w:rPr>
            </w:pPr>
            <w:r>
              <w:rPr>
                <w:rFonts w:hint="eastAsia" w:cs="Times New Roman"/>
                <w:color w:val="000000"/>
                <w:sz w:val="21"/>
                <w:szCs w:val="21"/>
              </w:rPr>
              <w:t>0.0800</w:t>
            </w:r>
          </w:p>
        </w:tc>
      </w:tr>
      <w:tr w14:paraId="2D380E8C">
        <w:tblPrEx>
          <w:tblCellMar>
            <w:top w:w="0" w:type="dxa"/>
            <w:left w:w="108" w:type="dxa"/>
            <w:bottom w:w="0" w:type="dxa"/>
            <w:right w:w="108" w:type="dxa"/>
          </w:tblCellMar>
        </w:tblPrEx>
        <w:trPr>
          <w:trHeight w:val="285" w:hRule="atLeast"/>
        </w:trPr>
        <w:tc>
          <w:tcPr>
            <w:tcW w:w="352" w:type="pct"/>
            <w:tcBorders>
              <w:top w:val="single" w:color="888E93" w:sz="8" w:space="0"/>
              <w:left w:val="single" w:color="474747" w:sz="8" w:space="0"/>
              <w:bottom w:val="single" w:color="888E93" w:sz="8" w:space="0"/>
              <w:right w:val="single" w:color="888E93" w:sz="8" w:space="0"/>
            </w:tcBorders>
            <w:shd w:val="clear" w:color="auto" w:fill="FFFFFF"/>
            <w:vAlign w:val="center"/>
          </w:tcPr>
          <w:p w14:paraId="73A14D0B">
            <w:pPr>
              <w:widowControl/>
              <w:spacing w:line="240" w:lineRule="auto"/>
              <w:ind w:firstLine="0" w:firstLineChars="0"/>
              <w:jc w:val="left"/>
              <w:textAlignment w:val="center"/>
              <w:rPr>
                <w:rFonts w:cs="Times New Roman"/>
                <w:color w:val="000000"/>
                <w:sz w:val="21"/>
                <w:szCs w:val="21"/>
              </w:rPr>
            </w:pPr>
            <w:r>
              <w:rPr>
                <w:rFonts w:cs="Times New Roman"/>
                <w:color w:val="000000"/>
                <w:kern w:val="0"/>
                <w:sz w:val="21"/>
                <w:szCs w:val="21"/>
                <w:lang w:bidi="ar"/>
              </w:rPr>
              <w:t>3</w:t>
            </w:r>
          </w:p>
        </w:tc>
        <w:tc>
          <w:tcPr>
            <w:tcW w:w="2176"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43C5A869">
            <w:pPr>
              <w:widowControl/>
              <w:spacing w:line="240" w:lineRule="auto"/>
              <w:ind w:firstLine="0" w:firstLineChars="0"/>
              <w:jc w:val="left"/>
              <w:textAlignment w:val="center"/>
              <w:rPr>
                <w:rFonts w:cs="Times New Roman"/>
                <w:color w:val="000000"/>
                <w:sz w:val="21"/>
                <w:szCs w:val="21"/>
              </w:rPr>
            </w:pPr>
            <w:r>
              <w:rPr>
                <w:rFonts w:cs="Times New Roman"/>
                <w:color w:val="000000"/>
                <w:kern w:val="0"/>
                <w:sz w:val="21"/>
                <w:szCs w:val="21"/>
                <w:lang w:bidi="ar"/>
              </w:rPr>
              <w:t>变电站西侧围墙外5m</w:t>
            </w:r>
          </w:p>
        </w:tc>
        <w:tc>
          <w:tcPr>
            <w:tcW w:w="1091"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26E72342">
            <w:pPr>
              <w:widowControl/>
              <w:spacing w:line="240" w:lineRule="auto"/>
              <w:ind w:firstLine="0" w:firstLineChars="0"/>
              <w:jc w:val="left"/>
              <w:textAlignment w:val="center"/>
              <w:rPr>
                <w:rFonts w:cs="Times New Roman"/>
                <w:color w:val="000000"/>
                <w:sz w:val="21"/>
                <w:szCs w:val="21"/>
              </w:rPr>
            </w:pPr>
            <w:r>
              <w:rPr>
                <w:rFonts w:hint="eastAsia" w:cs="Times New Roman"/>
                <w:color w:val="000000"/>
                <w:sz w:val="21"/>
                <w:szCs w:val="21"/>
              </w:rPr>
              <w:t>3.817</w:t>
            </w:r>
          </w:p>
        </w:tc>
        <w:tc>
          <w:tcPr>
            <w:tcW w:w="1379" w:type="pct"/>
            <w:tcBorders>
              <w:top w:val="single" w:color="888E93" w:sz="8" w:space="0"/>
              <w:left w:val="single" w:color="888E93" w:sz="8" w:space="0"/>
              <w:bottom w:val="single" w:color="888E93" w:sz="8" w:space="0"/>
              <w:right w:val="single" w:color="474747" w:sz="8" w:space="0"/>
            </w:tcBorders>
            <w:shd w:val="clear" w:color="auto" w:fill="FFFFFF"/>
            <w:vAlign w:val="center"/>
          </w:tcPr>
          <w:p w14:paraId="51DDB98B">
            <w:pPr>
              <w:widowControl/>
              <w:spacing w:line="240" w:lineRule="auto"/>
              <w:ind w:firstLine="0" w:firstLineChars="0"/>
              <w:jc w:val="left"/>
              <w:textAlignment w:val="center"/>
              <w:rPr>
                <w:rFonts w:cs="Times New Roman"/>
                <w:color w:val="000000"/>
                <w:sz w:val="21"/>
                <w:szCs w:val="21"/>
              </w:rPr>
            </w:pPr>
            <w:r>
              <w:rPr>
                <w:rFonts w:hint="eastAsia" w:cs="Times New Roman"/>
                <w:color w:val="000000"/>
                <w:sz w:val="21"/>
                <w:szCs w:val="21"/>
              </w:rPr>
              <w:t>0.0863</w:t>
            </w:r>
          </w:p>
        </w:tc>
      </w:tr>
      <w:tr w14:paraId="3B0FC002">
        <w:tblPrEx>
          <w:tblCellMar>
            <w:top w:w="0" w:type="dxa"/>
            <w:left w:w="108" w:type="dxa"/>
            <w:bottom w:w="0" w:type="dxa"/>
            <w:right w:w="108" w:type="dxa"/>
          </w:tblCellMar>
        </w:tblPrEx>
        <w:trPr>
          <w:trHeight w:val="285" w:hRule="atLeast"/>
        </w:trPr>
        <w:tc>
          <w:tcPr>
            <w:tcW w:w="352" w:type="pct"/>
            <w:tcBorders>
              <w:top w:val="single" w:color="888E93" w:sz="8" w:space="0"/>
              <w:left w:val="single" w:color="474747" w:sz="8" w:space="0"/>
              <w:bottom w:val="single" w:color="888E93" w:sz="8" w:space="0"/>
              <w:right w:val="single" w:color="888E93" w:sz="8" w:space="0"/>
            </w:tcBorders>
            <w:shd w:val="clear" w:color="auto" w:fill="FFFFFF"/>
            <w:vAlign w:val="center"/>
          </w:tcPr>
          <w:p w14:paraId="4ECF2DC1">
            <w:pPr>
              <w:widowControl/>
              <w:spacing w:line="240" w:lineRule="auto"/>
              <w:ind w:firstLine="0" w:firstLineChars="0"/>
              <w:jc w:val="left"/>
              <w:textAlignment w:val="center"/>
              <w:rPr>
                <w:rFonts w:cs="Times New Roman"/>
                <w:color w:val="000000"/>
                <w:sz w:val="21"/>
                <w:szCs w:val="21"/>
              </w:rPr>
            </w:pPr>
            <w:r>
              <w:rPr>
                <w:rFonts w:cs="Times New Roman"/>
                <w:color w:val="000000"/>
                <w:kern w:val="0"/>
                <w:sz w:val="21"/>
                <w:szCs w:val="21"/>
                <w:lang w:bidi="ar"/>
              </w:rPr>
              <w:t>4</w:t>
            </w:r>
          </w:p>
        </w:tc>
        <w:tc>
          <w:tcPr>
            <w:tcW w:w="2176"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6EE97F1A">
            <w:pPr>
              <w:widowControl/>
              <w:spacing w:line="240" w:lineRule="auto"/>
              <w:ind w:firstLine="0" w:firstLineChars="0"/>
              <w:jc w:val="left"/>
              <w:textAlignment w:val="center"/>
              <w:rPr>
                <w:rFonts w:cs="Times New Roman"/>
                <w:color w:val="000000"/>
                <w:sz w:val="21"/>
                <w:szCs w:val="21"/>
              </w:rPr>
            </w:pPr>
            <w:r>
              <w:rPr>
                <w:rFonts w:cs="Times New Roman"/>
                <w:color w:val="000000"/>
                <w:kern w:val="0"/>
                <w:sz w:val="21"/>
                <w:szCs w:val="21"/>
                <w:lang w:bidi="ar"/>
              </w:rPr>
              <w:t>变电站北侧围墙外5m</w:t>
            </w:r>
            <w:r>
              <w:rPr>
                <w:rFonts w:hint="eastAsia" w:cs="Times New Roman"/>
                <w:color w:val="000000"/>
                <w:kern w:val="0"/>
                <w:sz w:val="21"/>
                <w:szCs w:val="21"/>
                <w:lang w:bidi="ar"/>
              </w:rPr>
              <w:t>(110kV青章Ⅰ回)</w:t>
            </w:r>
          </w:p>
        </w:tc>
        <w:tc>
          <w:tcPr>
            <w:tcW w:w="1091"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1C3BFA99">
            <w:pPr>
              <w:widowControl/>
              <w:spacing w:line="240" w:lineRule="auto"/>
              <w:ind w:firstLine="0" w:firstLineChars="0"/>
              <w:jc w:val="left"/>
              <w:textAlignment w:val="center"/>
              <w:rPr>
                <w:rFonts w:cs="Times New Roman"/>
                <w:color w:val="000000"/>
                <w:sz w:val="21"/>
                <w:szCs w:val="21"/>
              </w:rPr>
            </w:pPr>
            <w:r>
              <w:rPr>
                <w:rFonts w:hint="eastAsia" w:cs="Times New Roman"/>
                <w:color w:val="000000"/>
                <w:sz w:val="21"/>
                <w:szCs w:val="21"/>
              </w:rPr>
              <w:t>359.0</w:t>
            </w:r>
          </w:p>
        </w:tc>
        <w:tc>
          <w:tcPr>
            <w:tcW w:w="1379" w:type="pct"/>
            <w:tcBorders>
              <w:top w:val="single" w:color="888E93" w:sz="8" w:space="0"/>
              <w:left w:val="single" w:color="888E93" w:sz="8" w:space="0"/>
              <w:bottom w:val="single" w:color="888E93" w:sz="8" w:space="0"/>
              <w:right w:val="single" w:color="474747" w:sz="8" w:space="0"/>
            </w:tcBorders>
            <w:shd w:val="clear" w:color="auto" w:fill="FFFFFF"/>
            <w:vAlign w:val="center"/>
          </w:tcPr>
          <w:p w14:paraId="1F5F07E8">
            <w:pPr>
              <w:widowControl/>
              <w:spacing w:line="240" w:lineRule="auto"/>
              <w:ind w:firstLine="0" w:firstLineChars="0"/>
              <w:jc w:val="left"/>
              <w:textAlignment w:val="center"/>
              <w:rPr>
                <w:rFonts w:cs="Times New Roman"/>
                <w:color w:val="000000"/>
                <w:sz w:val="21"/>
                <w:szCs w:val="21"/>
              </w:rPr>
            </w:pPr>
            <w:r>
              <w:rPr>
                <w:rFonts w:hint="eastAsia" w:cs="Times New Roman"/>
                <w:color w:val="000000"/>
                <w:sz w:val="21"/>
                <w:szCs w:val="21"/>
              </w:rPr>
              <w:t>0.8497</w:t>
            </w:r>
          </w:p>
        </w:tc>
      </w:tr>
      <w:tr w14:paraId="668A597E">
        <w:trPr>
          <w:trHeight w:val="285" w:hRule="atLeast"/>
        </w:trPr>
        <w:tc>
          <w:tcPr>
            <w:tcW w:w="352" w:type="pct"/>
            <w:tcBorders>
              <w:top w:val="single" w:color="888E93" w:sz="8" w:space="0"/>
              <w:left w:val="single" w:color="474747" w:sz="8" w:space="0"/>
              <w:bottom w:val="single" w:color="888E93" w:sz="8" w:space="0"/>
              <w:right w:val="single" w:color="888E93" w:sz="8" w:space="0"/>
            </w:tcBorders>
            <w:shd w:val="clear" w:color="auto" w:fill="FFFFFF"/>
            <w:vAlign w:val="center"/>
          </w:tcPr>
          <w:p w14:paraId="09DF6A42">
            <w:pPr>
              <w:widowControl/>
              <w:spacing w:line="240" w:lineRule="auto"/>
              <w:ind w:firstLine="0" w:firstLineChars="0"/>
              <w:jc w:val="left"/>
              <w:textAlignment w:val="center"/>
              <w:rPr>
                <w:rFonts w:cs="Times New Roman"/>
                <w:color w:val="000000"/>
                <w:kern w:val="0"/>
                <w:sz w:val="21"/>
                <w:szCs w:val="21"/>
                <w:lang w:bidi="ar"/>
              </w:rPr>
            </w:pPr>
            <w:r>
              <w:rPr>
                <w:rFonts w:hint="eastAsia" w:cs="Times New Roman"/>
                <w:color w:val="000000"/>
                <w:kern w:val="0"/>
                <w:sz w:val="21"/>
                <w:szCs w:val="21"/>
                <w:lang w:bidi="ar"/>
              </w:rPr>
              <w:t>5</w:t>
            </w:r>
          </w:p>
        </w:tc>
        <w:tc>
          <w:tcPr>
            <w:tcW w:w="2176"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1F67CF4B">
            <w:pPr>
              <w:widowControl/>
              <w:spacing w:line="240" w:lineRule="auto"/>
              <w:ind w:firstLine="0" w:firstLineChars="0"/>
              <w:jc w:val="left"/>
              <w:textAlignment w:val="center"/>
              <w:rPr>
                <w:rFonts w:cs="Times New Roman"/>
                <w:color w:val="000000"/>
                <w:kern w:val="0"/>
                <w:sz w:val="21"/>
                <w:szCs w:val="21"/>
                <w:lang w:bidi="ar"/>
              </w:rPr>
            </w:pPr>
            <w:r>
              <w:rPr>
                <w:rFonts w:cs="Times New Roman"/>
                <w:color w:val="000000"/>
                <w:kern w:val="0"/>
                <w:sz w:val="21"/>
                <w:szCs w:val="21"/>
                <w:lang w:bidi="ar"/>
              </w:rPr>
              <w:t>变电站北侧围墙外5m</w:t>
            </w:r>
            <w:r>
              <w:rPr>
                <w:rFonts w:hint="eastAsia" w:cs="Times New Roman"/>
                <w:color w:val="000000"/>
                <w:kern w:val="0"/>
                <w:sz w:val="21"/>
                <w:szCs w:val="21"/>
                <w:lang w:bidi="ar"/>
              </w:rPr>
              <w:t>(</w:t>
            </w:r>
            <w:r>
              <w:rPr>
                <w:rFonts w:hint="eastAsia" w:ascii="宋体" w:hAnsi="宋体" w:cs="宋体"/>
                <w:color w:val="000000"/>
                <w:kern w:val="0"/>
                <w:sz w:val="21"/>
                <w:szCs w:val="21"/>
                <w:lang w:bidi="ar"/>
              </w:rPr>
              <w:t>110kV青章Ⅱ回</w:t>
            </w:r>
            <w:r>
              <w:rPr>
                <w:rFonts w:hint="eastAsia" w:cs="Times New Roman"/>
                <w:color w:val="000000"/>
                <w:kern w:val="0"/>
                <w:sz w:val="21"/>
                <w:szCs w:val="21"/>
                <w:lang w:bidi="ar"/>
              </w:rPr>
              <w:t>)</w:t>
            </w:r>
          </w:p>
        </w:tc>
        <w:tc>
          <w:tcPr>
            <w:tcW w:w="1091" w:type="pct"/>
            <w:tcBorders>
              <w:top w:val="single" w:color="888E93" w:sz="8" w:space="0"/>
              <w:left w:val="single" w:color="888E93" w:sz="8" w:space="0"/>
              <w:bottom w:val="single" w:color="888E93" w:sz="8" w:space="0"/>
              <w:right w:val="single" w:color="888E93" w:sz="8" w:space="0"/>
            </w:tcBorders>
            <w:shd w:val="clear" w:color="auto" w:fill="FFFFFF"/>
            <w:vAlign w:val="center"/>
          </w:tcPr>
          <w:p w14:paraId="7044A92C">
            <w:pPr>
              <w:widowControl/>
              <w:spacing w:line="240" w:lineRule="auto"/>
              <w:ind w:firstLine="0" w:firstLineChars="0"/>
              <w:jc w:val="left"/>
              <w:textAlignment w:val="center"/>
              <w:rPr>
                <w:rFonts w:cs="Times New Roman"/>
                <w:color w:val="000000"/>
                <w:kern w:val="0"/>
                <w:sz w:val="21"/>
                <w:szCs w:val="21"/>
                <w:lang w:bidi="ar"/>
              </w:rPr>
            </w:pPr>
            <w:r>
              <w:rPr>
                <w:rFonts w:hint="eastAsia" w:cs="Times New Roman"/>
                <w:color w:val="000000"/>
                <w:kern w:val="0"/>
                <w:sz w:val="21"/>
                <w:szCs w:val="21"/>
                <w:lang w:bidi="ar"/>
              </w:rPr>
              <w:t>349.2</w:t>
            </w:r>
          </w:p>
        </w:tc>
        <w:tc>
          <w:tcPr>
            <w:tcW w:w="1379" w:type="pct"/>
            <w:tcBorders>
              <w:top w:val="single" w:color="888E93" w:sz="8" w:space="0"/>
              <w:left w:val="single" w:color="888E93" w:sz="8" w:space="0"/>
              <w:bottom w:val="single" w:color="888E93" w:sz="8" w:space="0"/>
              <w:right w:val="single" w:color="474747" w:sz="8" w:space="0"/>
            </w:tcBorders>
            <w:shd w:val="clear" w:color="auto" w:fill="FFFFFF"/>
            <w:vAlign w:val="center"/>
          </w:tcPr>
          <w:p w14:paraId="690EE9ED">
            <w:pPr>
              <w:widowControl/>
              <w:spacing w:line="240" w:lineRule="auto"/>
              <w:ind w:firstLine="0" w:firstLineChars="0"/>
              <w:jc w:val="left"/>
              <w:textAlignment w:val="center"/>
              <w:rPr>
                <w:rFonts w:cs="Times New Roman"/>
                <w:color w:val="000000"/>
                <w:kern w:val="0"/>
                <w:sz w:val="21"/>
                <w:szCs w:val="21"/>
                <w:lang w:bidi="ar"/>
              </w:rPr>
            </w:pPr>
            <w:r>
              <w:rPr>
                <w:rFonts w:hint="eastAsia" w:cs="Times New Roman"/>
                <w:color w:val="000000"/>
                <w:kern w:val="0"/>
                <w:sz w:val="21"/>
                <w:szCs w:val="21"/>
                <w:lang w:bidi="ar"/>
              </w:rPr>
              <w:t>0.7709</w:t>
            </w:r>
          </w:p>
        </w:tc>
      </w:tr>
      <w:tr w14:paraId="55E973DC">
        <w:tblPrEx>
          <w:tblCellMar>
            <w:top w:w="0" w:type="dxa"/>
            <w:left w:w="108" w:type="dxa"/>
            <w:bottom w:w="0" w:type="dxa"/>
            <w:right w:w="108" w:type="dxa"/>
          </w:tblCellMar>
        </w:tblPrEx>
        <w:trPr>
          <w:trHeight w:val="285" w:hRule="atLeast"/>
        </w:trPr>
        <w:tc>
          <w:tcPr>
            <w:tcW w:w="2528" w:type="pct"/>
            <w:gridSpan w:val="2"/>
            <w:tcBorders>
              <w:top w:val="single" w:color="888E93" w:sz="8" w:space="0"/>
              <w:left w:val="single" w:color="474747" w:sz="8" w:space="0"/>
              <w:bottom w:val="single" w:color="474747" w:sz="8" w:space="0"/>
              <w:right w:val="single" w:color="888E93" w:sz="8" w:space="0"/>
            </w:tcBorders>
            <w:shd w:val="clear" w:color="auto" w:fill="FFFFFF"/>
            <w:vAlign w:val="center"/>
          </w:tcPr>
          <w:p w14:paraId="500E8725">
            <w:pPr>
              <w:widowControl/>
              <w:spacing w:line="240" w:lineRule="auto"/>
              <w:ind w:firstLine="0" w:firstLineChars="0"/>
              <w:jc w:val="left"/>
              <w:textAlignment w:val="center"/>
              <w:rPr>
                <w:rFonts w:cs="Times New Roman"/>
                <w:color w:val="000000"/>
                <w:sz w:val="21"/>
                <w:szCs w:val="21"/>
              </w:rPr>
            </w:pPr>
            <w:r>
              <w:rPr>
                <w:rFonts w:cs="Times New Roman"/>
                <w:color w:val="000000"/>
                <w:kern w:val="0"/>
                <w:sz w:val="21"/>
                <w:szCs w:val="21"/>
                <w:lang w:bidi="ar"/>
              </w:rPr>
              <w:t>《电磁环境控制限值》（GB8702-2014）</w:t>
            </w:r>
          </w:p>
        </w:tc>
        <w:tc>
          <w:tcPr>
            <w:tcW w:w="1091" w:type="pct"/>
            <w:tcBorders>
              <w:top w:val="single" w:color="888E93" w:sz="8" w:space="0"/>
              <w:left w:val="single" w:color="888E93" w:sz="8" w:space="0"/>
              <w:bottom w:val="single" w:color="474747" w:sz="8" w:space="0"/>
              <w:right w:val="single" w:color="888E93" w:sz="8" w:space="0"/>
            </w:tcBorders>
            <w:shd w:val="clear" w:color="auto" w:fill="FFFFFF"/>
            <w:vAlign w:val="center"/>
          </w:tcPr>
          <w:p w14:paraId="16262D66">
            <w:pPr>
              <w:widowControl/>
              <w:spacing w:line="240" w:lineRule="auto"/>
              <w:ind w:firstLine="0" w:firstLineChars="0"/>
              <w:jc w:val="left"/>
              <w:textAlignment w:val="center"/>
              <w:rPr>
                <w:rFonts w:eastAsia="TimesNewRomanPS-BoldMT" w:cs="Times New Roman"/>
                <w:b/>
                <w:bCs/>
                <w:color w:val="000000"/>
                <w:sz w:val="21"/>
                <w:szCs w:val="21"/>
              </w:rPr>
            </w:pPr>
            <w:r>
              <w:rPr>
                <w:rFonts w:eastAsia="TimesNewRomanPS-BoldMT" w:cs="Times New Roman"/>
                <w:b/>
                <w:bCs/>
                <w:color w:val="000000"/>
                <w:kern w:val="0"/>
                <w:sz w:val="21"/>
                <w:szCs w:val="21"/>
                <w:lang w:bidi="ar"/>
              </w:rPr>
              <w:t>4000</w:t>
            </w:r>
          </w:p>
        </w:tc>
        <w:tc>
          <w:tcPr>
            <w:tcW w:w="1379" w:type="pct"/>
            <w:tcBorders>
              <w:top w:val="single" w:color="888E93" w:sz="8" w:space="0"/>
              <w:left w:val="single" w:color="888E93" w:sz="8" w:space="0"/>
              <w:bottom w:val="single" w:color="474747" w:sz="8" w:space="0"/>
              <w:right w:val="single" w:color="474747" w:sz="8" w:space="0"/>
            </w:tcBorders>
            <w:shd w:val="clear" w:color="auto" w:fill="FFFFFF"/>
            <w:vAlign w:val="center"/>
          </w:tcPr>
          <w:p w14:paraId="499A0807">
            <w:pPr>
              <w:widowControl/>
              <w:spacing w:line="240" w:lineRule="auto"/>
              <w:ind w:firstLine="0" w:firstLineChars="0"/>
              <w:jc w:val="left"/>
              <w:textAlignment w:val="center"/>
              <w:rPr>
                <w:rFonts w:eastAsia="TimesNewRomanPS-BoldMT" w:cs="Times New Roman"/>
                <w:b/>
                <w:bCs/>
                <w:color w:val="000000"/>
                <w:sz w:val="21"/>
                <w:szCs w:val="21"/>
              </w:rPr>
            </w:pPr>
            <w:r>
              <w:rPr>
                <w:rFonts w:eastAsia="TimesNewRomanPS-BoldMT" w:cs="Times New Roman"/>
                <w:b/>
                <w:bCs/>
                <w:color w:val="000000"/>
                <w:kern w:val="0"/>
                <w:sz w:val="21"/>
                <w:szCs w:val="21"/>
                <w:lang w:bidi="ar"/>
              </w:rPr>
              <w:t>100</w:t>
            </w:r>
          </w:p>
        </w:tc>
      </w:tr>
    </w:tbl>
    <w:p w14:paraId="658F506E">
      <w:pPr>
        <w:pStyle w:val="38"/>
      </w:pPr>
      <w:r>
        <w:t>（9）监测结果分析</w:t>
      </w:r>
    </w:p>
    <w:p w14:paraId="22967A4A">
      <w:pPr>
        <w:pStyle w:val="38"/>
      </w:pPr>
      <w:r>
        <w:t>由以上监测结果可以看出，</w:t>
      </w:r>
      <w:r>
        <w:rPr>
          <w:rFonts w:hint="eastAsia"/>
        </w:rPr>
        <w:t>类比</w:t>
      </w:r>
      <w:r>
        <w:t>变电站</w:t>
      </w:r>
      <w:r>
        <w:rPr>
          <w:rFonts w:hint="eastAsia" w:ascii="宋体" w:hAnsi="宋体" w:cs="宋体"/>
          <w:color w:val="000000"/>
          <w:lang w:bidi="ar"/>
        </w:rPr>
        <w:t>章盖营110kV变电站</w:t>
      </w:r>
      <w:r>
        <w:t>四周围墙外 5m 处工频电场强度为</w:t>
      </w:r>
      <w:r>
        <w:rPr>
          <w:rFonts w:hint="eastAsia"/>
        </w:rPr>
        <w:t>1.614-359.0</w:t>
      </w:r>
      <w:r>
        <w:t>V/m，工频磁感应强度为</w:t>
      </w:r>
      <w:r>
        <w:rPr>
          <w:rFonts w:hint="eastAsia"/>
        </w:rPr>
        <w:t>0.0800-0.8497</w:t>
      </w:r>
      <w:r>
        <w:t>μT，均远小于工频电场强度 4000V/m、工频磁感应强度 100μ</w:t>
      </w:r>
      <w:r>
        <w:rPr>
          <w:rFonts w:hint="eastAsia"/>
        </w:rPr>
        <w:t>T</w:t>
      </w:r>
      <w:r>
        <w:t>的标准限值。</w:t>
      </w:r>
    </w:p>
    <w:p w14:paraId="7A640BC4">
      <w:pPr>
        <w:pStyle w:val="38"/>
      </w:pPr>
      <w:r>
        <w:t>（10）类比预测结论</w:t>
      </w:r>
    </w:p>
    <w:p w14:paraId="2D0249E0">
      <w:pPr>
        <w:pStyle w:val="38"/>
      </w:pPr>
      <w:r>
        <w:t>根据监测结果，</w:t>
      </w:r>
      <w:r>
        <w:rPr>
          <w:rFonts w:hint="eastAsia"/>
        </w:rPr>
        <w:t>类比</w:t>
      </w:r>
      <w:r>
        <w:t>变电站</w:t>
      </w:r>
      <w:r>
        <w:rPr>
          <w:rFonts w:hint="eastAsia" w:ascii="宋体" w:hAnsi="宋体" w:cs="宋体"/>
          <w:color w:val="000000"/>
          <w:lang w:bidi="ar"/>
        </w:rPr>
        <w:t>章盖营110kV变电站</w:t>
      </w:r>
      <w:r>
        <w:t xml:space="preserve">站界外四周各监测点处的工频电场强度、工频磁感应强度监测值均满足《电磁环境控制限值》（GB8702-2014）中的标准限值要求。由此可以预测：拟建110kV </w:t>
      </w:r>
      <w:r>
        <w:rPr>
          <w:rFonts w:hint="eastAsia"/>
        </w:rPr>
        <w:t>变电</w:t>
      </w:r>
      <w:r>
        <w:t>站投入运营后，其围墙外四周工频电场强度、工频磁感应强度均可满足《电磁环境控制限值》（GB8702-2014）中的标准限值要求。</w:t>
      </w:r>
    </w:p>
    <w:p w14:paraId="48D04536">
      <w:pPr>
        <w:pStyle w:val="38"/>
      </w:pPr>
      <w:r>
        <w:rPr>
          <w:rFonts w:hint="eastAsia"/>
        </w:rPr>
        <w:t>4.4电磁环境防治措施</w:t>
      </w:r>
    </w:p>
    <w:p w14:paraId="07827282">
      <w:pPr>
        <w:pStyle w:val="38"/>
      </w:pPr>
      <w:r>
        <w:t>（1）变电站采用户</w:t>
      </w:r>
      <w:r>
        <w:rPr>
          <w:rFonts w:hint="eastAsia"/>
        </w:rPr>
        <w:t>外</w:t>
      </w:r>
      <w:r>
        <w:t>形式建设，变电站内电气设备采取集中布置方式，在设计中按有关规程采取一系列的控制过电压、电磁感应场强水平的措施，如保证导体和电气设备之间的电气安全距离，选用具有低辐射、抗干扰能力的设备，设置防雷接地保护装置，选用带屏蔽层的电缆、屏蔽层接地等，将可以有效的降低电磁环境影响。</w:t>
      </w:r>
    </w:p>
    <w:p w14:paraId="7A5C93CC">
      <w:pPr>
        <w:pStyle w:val="38"/>
      </w:pPr>
      <w:r>
        <w:t>（2）在安装高压设备时，应保证所有的固定螺栓都可靠拧紧，导电元件尽</w:t>
      </w:r>
    </w:p>
    <w:p w14:paraId="70E828F8">
      <w:pPr>
        <w:pStyle w:val="38"/>
        <w:ind w:firstLine="0"/>
      </w:pPr>
      <w:r>
        <w:t>可能接地、或连接导线电位，提高屏蔽效果。</w:t>
      </w:r>
    </w:p>
    <w:p w14:paraId="3C0DDF2B">
      <w:pPr>
        <w:pStyle w:val="38"/>
      </w:pPr>
      <w:bookmarkStart w:id="25" w:name="_Toc12332"/>
      <w:r>
        <w:rPr>
          <w:rFonts w:hint="eastAsia"/>
        </w:rPr>
        <w:t>5电磁环境影响评价结论</w:t>
      </w:r>
      <w:bookmarkEnd w:id="25"/>
    </w:p>
    <w:p w14:paraId="3A880F25">
      <w:pPr>
        <w:pStyle w:val="38"/>
        <w:sectPr>
          <w:headerReference r:id="rId10" w:type="default"/>
          <w:footerReference r:id="rId11" w:type="default"/>
          <w:pgSz w:w="11906" w:h="16838"/>
          <w:pgMar w:top="1440" w:right="1800" w:bottom="1440" w:left="1800" w:header="851" w:footer="992" w:gutter="0"/>
          <w:cols w:space="425" w:num="1"/>
          <w:docGrid w:type="lines" w:linePitch="326" w:charSpace="0"/>
        </w:sectPr>
      </w:pPr>
      <w:r>
        <w:rPr>
          <w:rFonts w:hint="eastAsia"/>
        </w:rPr>
        <w:t>在采取上述措施以后，本工程产生的电磁环境影响均可满足《电磁环境控制限值》（GB8702-2014）相应控制限值的要求。</w:t>
      </w:r>
    </w:p>
    <w:bookmarkEnd w:id="1"/>
    <w:p w14:paraId="721A888D">
      <w:pPr>
        <w:ind w:firstLine="0" w:firstLineChars="0"/>
      </w:pPr>
    </w:p>
    <w:p w14:paraId="0B4B508A">
      <w:pPr>
        <w:pStyle w:val="31"/>
      </w:pPr>
      <w:r>
        <w:rPr>
          <w:rFonts w:hint="eastAsia"/>
        </w:rPr>
        <w:t>附件1备案文件</w:t>
      </w:r>
    </w:p>
    <w:p w14:paraId="40673313">
      <w:pPr>
        <w:pStyle w:val="31"/>
      </w:pPr>
      <w:r>
        <w:drawing>
          <wp:inline distT="0" distB="0" distL="114300" distR="114300">
            <wp:extent cx="5264150" cy="7521575"/>
            <wp:effectExtent l="0" t="0" r="12700" b="3175"/>
            <wp:docPr id="19" name="图片 19" descr="c9e3562cb1444715d627512dad3dc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9e3562cb1444715d627512dad3dc36"/>
                    <pic:cNvPicPr>
                      <a:picLocks noChangeAspect="1"/>
                    </pic:cNvPicPr>
                  </pic:nvPicPr>
                  <pic:blipFill>
                    <a:blip r:embed="rId21"/>
                    <a:stretch>
                      <a:fillRect/>
                    </a:stretch>
                  </pic:blipFill>
                  <pic:spPr>
                    <a:xfrm>
                      <a:off x="0" y="0"/>
                      <a:ext cx="5264150" cy="7521575"/>
                    </a:xfrm>
                    <a:prstGeom prst="rect">
                      <a:avLst/>
                    </a:prstGeom>
                  </pic:spPr>
                </pic:pic>
              </a:graphicData>
            </a:graphic>
          </wp:inline>
        </w:drawing>
      </w:r>
    </w:p>
    <w:p w14:paraId="301E686F">
      <w:pPr>
        <w:pStyle w:val="31"/>
      </w:pPr>
      <w:r>
        <w:rPr>
          <w:rFonts w:hint="eastAsia"/>
        </w:rPr>
        <w:t>附件2现状检测报告</w:t>
      </w:r>
      <w:r>
        <w:drawing>
          <wp:inline distT="0" distB="0" distL="114300" distR="114300">
            <wp:extent cx="5269865" cy="7393305"/>
            <wp:effectExtent l="0" t="0" r="6985" b="1714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22"/>
                    <a:stretch>
                      <a:fillRect/>
                    </a:stretch>
                  </pic:blipFill>
                  <pic:spPr>
                    <a:xfrm>
                      <a:off x="0" y="0"/>
                      <a:ext cx="5269865" cy="7393305"/>
                    </a:xfrm>
                    <a:prstGeom prst="rect">
                      <a:avLst/>
                    </a:prstGeom>
                    <a:noFill/>
                    <a:ln>
                      <a:noFill/>
                    </a:ln>
                  </pic:spPr>
                </pic:pic>
              </a:graphicData>
            </a:graphic>
          </wp:inline>
        </w:drawing>
      </w:r>
      <w:r>
        <w:drawing>
          <wp:inline distT="0" distB="0" distL="114300" distR="114300">
            <wp:extent cx="5267325" cy="7420610"/>
            <wp:effectExtent l="0" t="0" r="9525" b="889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23"/>
                    <a:stretch>
                      <a:fillRect/>
                    </a:stretch>
                  </pic:blipFill>
                  <pic:spPr>
                    <a:xfrm>
                      <a:off x="0" y="0"/>
                      <a:ext cx="5267325" cy="7420610"/>
                    </a:xfrm>
                    <a:prstGeom prst="rect">
                      <a:avLst/>
                    </a:prstGeom>
                    <a:noFill/>
                    <a:ln>
                      <a:noFill/>
                    </a:ln>
                  </pic:spPr>
                </pic:pic>
              </a:graphicData>
            </a:graphic>
          </wp:inline>
        </w:drawing>
      </w:r>
      <w:r>
        <w:drawing>
          <wp:inline distT="0" distB="0" distL="114300" distR="114300">
            <wp:extent cx="5269865" cy="7435215"/>
            <wp:effectExtent l="0" t="0" r="6985" b="13335"/>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24"/>
                    <a:stretch>
                      <a:fillRect/>
                    </a:stretch>
                  </pic:blipFill>
                  <pic:spPr>
                    <a:xfrm>
                      <a:off x="0" y="0"/>
                      <a:ext cx="5269865" cy="7435215"/>
                    </a:xfrm>
                    <a:prstGeom prst="rect">
                      <a:avLst/>
                    </a:prstGeom>
                    <a:noFill/>
                    <a:ln>
                      <a:noFill/>
                    </a:ln>
                  </pic:spPr>
                </pic:pic>
              </a:graphicData>
            </a:graphic>
          </wp:inline>
        </w:drawing>
      </w:r>
      <w:r>
        <w:drawing>
          <wp:inline distT="0" distB="0" distL="114300" distR="114300">
            <wp:extent cx="5267325" cy="7453630"/>
            <wp:effectExtent l="0" t="0" r="9525" b="1397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25"/>
                    <a:stretch>
                      <a:fillRect/>
                    </a:stretch>
                  </pic:blipFill>
                  <pic:spPr>
                    <a:xfrm>
                      <a:off x="0" y="0"/>
                      <a:ext cx="5267325" cy="7453630"/>
                    </a:xfrm>
                    <a:prstGeom prst="rect">
                      <a:avLst/>
                    </a:prstGeom>
                    <a:noFill/>
                    <a:ln>
                      <a:noFill/>
                    </a:ln>
                  </pic:spPr>
                </pic:pic>
              </a:graphicData>
            </a:graphic>
          </wp:inline>
        </w:drawing>
      </w:r>
      <w:r>
        <w:drawing>
          <wp:inline distT="0" distB="0" distL="114300" distR="114300">
            <wp:extent cx="5269230" cy="7449820"/>
            <wp:effectExtent l="0" t="0" r="7620" b="17780"/>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26"/>
                    <a:stretch>
                      <a:fillRect/>
                    </a:stretch>
                  </pic:blipFill>
                  <pic:spPr>
                    <a:xfrm>
                      <a:off x="0" y="0"/>
                      <a:ext cx="5269230" cy="7449820"/>
                    </a:xfrm>
                    <a:prstGeom prst="rect">
                      <a:avLst/>
                    </a:prstGeom>
                    <a:noFill/>
                    <a:ln>
                      <a:noFill/>
                    </a:ln>
                  </pic:spPr>
                </pic:pic>
              </a:graphicData>
            </a:graphic>
          </wp:inline>
        </w:drawing>
      </w:r>
      <w:r>
        <w:drawing>
          <wp:inline distT="0" distB="0" distL="114300" distR="114300">
            <wp:extent cx="5269865" cy="7447280"/>
            <wp:effectExtent l="0" t="0" r="6985" b="1270"/>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27"/>
                    <a:stretch>
                      <a:fillRect/>
                    </a:stretch>
                  </pic:blipFill>
                  <pic:spPr>
                    <a:xfrm>
                      <a:off x="0" y="0"/>
                      <a:ext cx="5269865" cy="7447280"/>
                    </a:xfrm>
                    <a:prstGeom prst="rect">
                      <a:avLst/>
                    </a:prstGeom>
                    <a:noFill/>
                    <a:ln>
                      <a:noFill/>
                    </a:ln>
                  </pic:spPr>
                </pic:pic>
              </a:graphicData>
            </a:graphic>
          </wp:inline>
        </w:drawing>
      </w:r>
      <w:r>
        <w:drawing>
          <wp:inline distT="0" distB="0" distL="114300" distR="114300">
            <wp:extent cx="5267325" cy="7419340"/>
            <wp:effectExtent l="0" t="0" r="9525" b="10160"/>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28"/>
                    <a:stretch>
                      <a:fillRect/>
                    </a:stretch>
                  </pic:blipFill>
                  <pic:spPr>
                    <a:xfrm>
                      <a:off x="0" y="0"/>
                      <a:ext cx="5267325" cy="7419340"/>
                    </a:xfrm>
                    <a:prstGeom prst="rect">
                      <a:avLst/>
                    </a:prstGeom>
                    <a:noFill/>
                    <a:ln>
                      <a:noFill/>
                    </a:ln>
                  </pic:spPr>
                </pic:pic>
              </a:graphicData>
            </a:graphic>
          </wp:inline>
        </w:drawing>
      </w:r>
      <w:r>
        <w:drawing>
          <wp:inline distT="0" distB="0" distL="114300" distR="114300">
            <wp:extent cx="5269865" cy="7407275"/>
            <wp:effectExtent l="0" t="0" r="6985" b="3175"/>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29"/>
                    <a:stretch>
                      <a:fillRect/>
                    </a:stretch>
                  </pic:blipFill>
                  <pic:spPr>
                    <a:xfrm>
                      <a:off x="0" y="0"/>
                      <a:ext cx="5269865" cy="7407275"/>
                    </a:xfrm>
                    <a:prstGeom prst="rect">
                      <a:avLst/>
                    </a:prstGeom>
                    <a:noFill/>
                    <a:ln>
                      <a:noFill/>
                    </a:ln>
                  </pic:spPr>
                </pic:pic>
              </a:graphicData>
            </a:graphic>
          </wp:inline>
        </w:drawing>
      </w:r>
    </w:p>
    <w:p w14:paraId="260AC02E">
      <w:pPr>
        <w:pStyle w:val="31"/>
        <w:jc w:val="both"/>
      </w:pPr>
    </w:p>
    <w:p w14:paraId="01E231A5">
      <w:pPr>
        <w:pStyle w:val="31"/>
        <w:jc w:val="both"/>
      </w:pPr>
    </w:p>
    <w:p w14:paraId="789E4B58">
      <w:pPr>
        <w:pStyle w:val="31"/>
        <w:jc w:val="both"/>
      </w:pPr>
    </w:p>
    <w:p w14:paraId="0A88038F">
      <w:pPr>
        <w:pStyle w:val="31"/>
      </w:pPr>
      <w:r>
        <w:rPr>
          <w:rFonts w:hint="eastAsia"/>
        </w:rPr>
        <w:t>附件3类比检测报告</w:t>
      </w:r>
      <w:r>
        <w:drawing>
          <wp:inline distT="0" distB="0" distL="114300" distR="114300">
            <wp:extent cx="4810125" cy="6758940"/>
            <wp:effectExtent l="0" t="0" r="9525" b="3810"/>
            <wp:docPr id="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
                    <pic:cNvPicPr>
                      <a:picLocks noChangeAspect="1"/>
                    </pic:cNvPicPr>
                  </pic:nvPicPr>
                  <pic:blipFill>
                    <a:blip r:embed="rId30"/>
                    <a:srcRect b="3978"/>
                    <a:stretch>
                      <a:fillRect/>
                    </a:stretch>
                  </pic:blipFill>
                  <pic:spPr>
                    <a:xfrm>
                      <a:off x="0" y="0"/>
                      <a:ext cx="4810125" cy="6758940"/>
                    </a:xfrm>
                    <a:prstGeom prst="rect">
                      <a:avLst/>
                    </a:prstGeom>
                    <a:noFill/>
                    <a:ln>
                      <a:noFill/>
                    </a:ln>
                  </pic:spPr>
                </pic:pic>
              </a:graphicData>
            </a:graphic>
          </wp:inline>
        </w:drawing>
      </w:r>
      <w:r>
        <w:drawing>
          <wp:inline distT="0" distB="0" distL="114300" distR="114300">
            <wp:extent cx="5269865" cy="6979920"/>
            <wp:effectExtent l="0" t="0" r="6985" b="11430"/>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31"/>
                    <a:stretch>
                      <a:fillRect/>
                    </a:stretch>
                  </pic:blipFill>
                  <pic:spPr>
                    <a:xfrm>
                      <a:off x="0" y="0"/>
                      <a:ext cx="5269865" cy="6979920"/>
                    </a:xfrm>
                    <a:prstGeom prst="rect">
                      <a:avLst/>
                    </a:prstGeom>
                    <a:noFill/>
                    <a:ln>
                      <a:noFill/>
                    </a:ln>
                  </pic:spPr>
                </pic:pic>
              </a:graphicData>
            </a:graphic>
          </wp:inline>
        </w:drawing>
      </w:r>
      <w:r>
        <w:drawing>
          <wp:inline distT="0" distB="0" distL="114300" distR="114300">
            <wp:extent cx="5265420" cy="7209790"/>
            <wp:effectExtent l="0" t="0" r="11430" b="10160"/>
            <wp:docPr id="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
                    <pic:cNvPicPr>
                      <a:picLocks noChangeAspect="1"/>
                    </pic:cNvPicPr>
                  </pic:nvPicPr>
                  <pic:blipFill>
                    <a:blip r:embed="rId32"/>
                    <a:stretch>
                      <a:fillRect/>
                    </a:stretch>
                  </pic:blipFill>
                  <pic:spPr>
                    <a:xfrm>
                      <a:off x="0" y="0"/>
                      <a:ext cx="5265420" cy="7209790"/>
                    </a:xfrm>
                    <a:prstGeom prst="rect">
                      <a:avLst/>
                    </a:prstGeom>
                    <a:noFill/>
                    <a:ln>
                      <a:noFill/>
                    </a:ln>
                  </pic:spPr>
                </pic:pic>
              </a:graphicData>
            </a:graphic>
          </wp:inline>
        </w:drawing>
      </w:r>
      <w:r>
        <w:drawing>
          <wp:inline distT="0" distB="0" distL="114300" distR="114300">
            <wp:extent cx="5200650" cy="7296150"/>
            <wp:effectExtent l="0" t="0" r="0" b="0"/>
            <wp:docPr id="2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
                    <pic:cNvPicPr>
                      <a:picLocks noChangeAspect="1"/>
                    </pic:cNvPicPr>
                  </pic:nvPicPr>
                  <pic:blipFill>
                    <a:blip r:embed="rId33"/>
                    <a:stretch>
                      <a:fillRect/>
                    </a:stretch>
                  </pic:blipFill>
                  <pic:spPr>
                    <a:xfrm>
                      <a:off x="0" y="0"/>
                      <a:ext cx="5200650" cy="7296150"/>
                    </a:xfrm>
                    <a:prstGeom prst="rect">
                      <a:avLst/>
                    </a:prstGeom>
                    <a:noFill/>
                    <a:ln>
                      <a:noFill/>
                    </a:ln>
                  </pic:spPr>
                </pic:pic>
              </a:graphicData>
            </a:graphic>
          </wp:inline>
        </w:drawing>
      </w:r>
      <w:r>
        <w:drawing>
          <wp:inline distT="0" distB="0" distL="114300" distR="114300">
            <wp:extent cx="5266055" cy="7071360"/>
            <wp:effectExtent l="0" t="0" r="10795" b="15240"/>
            <wp:docPr id="2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7"/>
                    <pic:cNvPicPr>
                      <a:picLocks noChangeAspect="1"/>
                    </pic:cNvPicPr>
                  </pic:nvPicPr>
                  <pic:blipFill>
                    <a:blip r:embed="rId34"/>
                    <a:stretch>
                      <a:fillRect/>
                    </a:stretch>
                  </pic:blipFill>
                  <pic:spPr>
                    <a:xfrm>
                      <a:off x="0" y="0"/>
                      <a:ext cx="5266055" cy="7071360"/>
                    </a:xfrm>
                    <a:prstGeom prst="rect">
                      <a:avLst/>
                    </a:prstGeom>
                    <a:noFill/>
                    <a:ln>
                      <a:noFill/>
                    </a:ln>
                  </pic:spPr>
                </pic:pic>
              </a:graphicData>
            </a:graphic>
          </wp:inline>
        </w:drawing>
      </w:r>
      <w:r>
        <w:drawing>
          <wp:inline distT="0" distB="0" distL="114300" distR="114300">
            <wp:extent cx="5086350" cy="6934200"/>
            <wp:effectExtent l="0" t="0" r="0" b="0"/>
            <wp:docPr id="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8"/>
                    <pic:cNvPicPr>
                      <a:picLocks noChangeAspect="1"/>
                    </pic:cNvPicPr>
                  </pic:nvPicPr>
                  <pic:blipFill>
                    <a:blip r:embed="rId35"/>
                    <a:stretch>
                      <a:fillRect/>
                    </a:stretch>
                  </pic:blipFill>
                  <pic:spPr>
                    <a:xfrm>
                      <a:off x="0" y="0"/>
                      <a:ext cx="5086350" cy="6934200"/>
                    </a:xfrm>
                    <a:prstGeom prst="rect">
                      <a:avLst/>
                    </a:prstGeom>
                    <a:noFill/>
                    <a:ln>
                      <a:noFill/>
                    </a:ln>
                  </pic:spPr>
                </pic:pic>
              </a:graphicData>
            </a:graphic>
          </wp:inline>
        </w:drawing>
      </w:r>
      <w:r>
        <w:drawing>
          <wp:inline distT="0" distB="0" distL="114300" distR="114300">
            <wp:extent cx="5268595" cy="6910070"/>
            <wp:effectExtent l="0" t="0" r="8255" b="5080"/>
            <wp:docPr id="3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9"/>
                    <pic:cNvPicPr>
                      <a:picLocks noChangeAspect="1"/>
                    </pic:cNvPicPr>
                  </pic:nvPicPr>
                  <pic:blipFill>
                    <a:blip r:embed="rId36"/>
                    <a:stretch>
                      <a:fillRect/>
                    </a:stretch>
                  </pic:blipFill>
                  <pic:spPr>
                    <a:xfrm>
                      <a:off x="0" y="0"/>
                      <a:ext cx="5268595" cy="6910070"/>
                    </a:xfrm>
                    <a:prstGeom prst="rect">
                      <a:avLst/>
                    </a:prstGeom>
                    <a:noFill/>
                    <a:ln>
                      <a:noFill/>
                    </a:ln>
                  </pic:spPr>
                </pic:pic>
              </a:graphicData>
            </a:graphic>
          </wp:inline>
        </w:drawing>
      </w:r>
      <w:r>
        <w:drawing>
          <wp:inline distT="0" distB="0" distL="114300" distR="114300">
            <wp:extent cx="5266055" cy="6806565"/>
            <wp:effectExtent l="0" t="0" r="10795" b="13335"/>
            <wp:docPr id="3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0"/>
                    <pic:cNvPicPr>
                      <a:picLocks noChangeAspect="1"/>
                    </pic:cNvPicPr>
                  </pic:nvPicPr>
                  <pic:blipFill>
                    <a:blip r:embed="rId37"/>
                    <a:stretch>
                      <a:fillRect/>
                    </a:stretch>
                  </pic:blipFill>
                  <pic:spPr>
                    <a:xfrm>
                      <a:off x="0" y="0"/>
                      <a:ext cx="5266055" cy="6806565"/>
                    </a:xfrm>
                    <a:prstGeom prst="rect">
                      <a:avLst/>
                    </a:prstGeom>
                    <a:noFill/>
                    <a:ln>
                      <a:noFill/>
                    </a:ln>
                  </pic:spPr>
                </pic:pic>
              </a:graphicData>
            </a:graphic>
          </wp:inline>
        </w:drawing>
      </w:r>
      <w:r>
        <w:drawing>
          <wp:inline distT="0" distB="0" distL="114300" distR="114300">
            <wp:extent cx="5057775" cy="7172325"/>
            <wp:effectExtent l="0" t="0" r="9525" b="9525"/>
            <wp:docPr id="3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1"/>
                    <pic:cNvPicPr>
                      <a:picLocks noChangeAspect="1"/>
                    </pic:cNvPicPr>
                  </pic:nvPicPr>
                  <pic:blipFill>
                    <a:blip r:embed="rId38"/>
                    <a:stretch>
                      <a:fillRect/>
                    </a:stretch>
                  </pic:blipFill>
                  <pic:spPr>
                    <a:xfrm>
                      <a:off x="0" y="0"/>
                      <a:ext cx="5057775" cy="7172325"/>
                    </a:xfrm>
                    <a:prstGeom prst="rect">
                      <a:avLst/>
                    </a:prstGeom>
                    <a:noFill/>
                    <a:ln>
                      <a:noFill/>
                    </a:ln>
                  </pic:spPr>
                </pic:pic>
              </a:graphicData>
            </a:graphic>
          </wp:inline>
        </w:drawing>
      </w:r>
      <w:r>
        <w:drawing>
          <wp:inline distT="0" distB="0" distL="114300" distR="114300">
            <wp:extent cx="5143500" cy="7115175"/>
            <wp:effectExtent l="0" t="0" r="0" b="9525"/>
            <wp:docPr id="3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2"/>
                    <pic:cNvPicPr>
                      <a:picLocks noChangeAspect="1"/>
                    </pic:cNvPicPr>
                  </pic:nvPicPr>
                  <pic:blipFill>
                    <a:blip r:embed="rId39"/>
                    <a:stretch>
                      <a:fillRect/>
                    </a:stretch>
                  </pic:blipFill>
                  <pic:spPr>
                    <a:xfrm>
                      <a:off x="0" y="0"/>
                      <a:ext cx="5143500" cy="7115175"/>
                    </a:xfrm>
                    <a:prstGeom prst="rect">
                      <a:avLst/>
                    </a:prstGeom>
                    <a:noFill/>
                    <a:ln>
                      <a:noFill/>
                    </a:ln>
                  </pic:spPr>
                </pic:pic>
              </a:graphicData>
            </a:graphic>
          </wp:inline>
        </w:drawing>
      </w:r>
      <w:r>
        <w:drawing>
          <wp:inline distT="0" distB="0" distL="114300" distR="114300">
            <wp:extent cx="5172075" cy="7048500"/>
            <wp:effectExtent l="0" t="0" r="9525" b="0"/>
            <wp:docPr id="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3"/>
                    <pic:cNvPicPr>
                      <a:picLocks noChangeAspect="1"/>
                    </pic:cNvPicPr>
                  </pic:nvPicPr>
                  <pic:blipFill>
                    <a:blip r:embed="rId40"/>
                    <a:stretch>
                      <a:fillRect/>
                    </a:stretch>
                  </pic:blipFill>
                  <pic:spPr>
                    <a:xfrm>
                      <a:off x="0" y="0"/>
                      <a:ext cx="5172075" cy="7048500"/>
                    </a:xfrm>
                    <a:prstGeom prst="rect">
                      <a:avLst/>
                    </a:prstGeom>
                    <a:noFill/>
                    <a:ln>
                      <a:noFill/>
                    </a:ln>
                  </pic:spPr>
                </pic:pic>
              </a:graphicData>
            </a:graphic>
          </wp:inline>
        </w:drawing>
      </w:r>
      <w:r>
        <w:drawing>
          <wp:inline distT="0" distB="0" distL="114300" distR="114300">
            <wp:extent cx="5029200" cy="7200900"/>
            <wp:effectExtent l="0" t="0" r="0" b="0"/>
            <wp:docPr id="3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4"/>
                    <pic:cNvPicPr>
                      <a:picLocks noChangeAspect="1"/>
                    </pic:cNvPicPr>
                  </pic:nvPicPr>
                  <pic:blipFill>
                    <a:blip r:embed="rId41"/>
                    <a:stretch>
                      <a:fillRect/>
                    </a:stretch>
                  </pic:blipFill>
                  <pic:spPr>
                    <a:xfrm>
                      <a:off x="0" y="0"/>
                      <a:ext cx="5029200" cy="7200900"/>
                    </a:xfrm>
                    <a:prstGeom prst="rect">
                      <a:avLst/>
                    </a:prstGeom>
                    <a:noFill/>
                    <a:ln>
                      <a:noFill/>
                    </a:ln>
                  </pic:spPr>
                </pic:pic>
              </a:graphicData>
            </a:graphic>
          </wp:inline>
        </w:drawing>
      </w:r>
    </w:p>
    <w:p w14:paraId="3CCC7F0A">
      <w:pPr>
        <w:pStyle w:val="31"/>
        <w:sectPr>
          <w:pgSz w:w="11906" w:h="16838"/>
          <w:pgMar w:top="1440" w:right="1803" w:bottom="1440" w:left="1803" w:header="851" w:footer="992" w:gutter="0"/>
          <w:cols w:space="0" w:num="1"/>
          <w:docGrid w:type="lines" w:linePitch="332" w:charSpace="0"/>
        </w:sectPr>
      </w:pPr>
    </w:p>
    <w:p w14:paraId="5AC29438">
      <w:pPr>
        <w:pStyle w:val="31"/>
      </w:pPr>
      <w:r>
        <w:rPr>
          <w:rFonts w:hint="eastAsia"/>
        </w:rPr>
        <w:t>附件4现有厂区及项目环保手续</w:t>
      </w:r>
    </w:p>
    <w:p w14:paraId="183977A7">
      <w:pPr>
        <w:pStyle w:val="31"/>
      </w:pPr>
      <w:r>
        <w:rPr>
          <w:rFonts w:hint="eastAsia"/>
        </w:rPr>
        <w:t>（1）苏尼特右旗新蒙新材料有限公司12万吨硅锰合金项目批复</w:t>
      </w:r>
    </w:p>
    <w:p w14:paraId="3D3DCCEC">
      <w:pPr>
        <w:ind w:firstLine="0" w:firstLineChars="0"/>
      </w:pPr>
      <w:r>
        <w:drawing>
          <wp:inline distT="0" distB="0" distL="114300" distR="114300">
            <wp:extent cx="5273040" cy="7480935"/>
            <wp:effectExtent l="0" t="0" r="3810" b="5715"/>
            <wp:docPr id="9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8"/>
                    <pic:cNvPicPr>
                      <a:picLocks noChangeAspect="1"/>
                    </pic:cNvPicPr>
                  </pic:nvPicPr>
                  <pic:blipFill>
                    <a:blip r:embed="rId42"/>
                    <a:stretch>
                      <a:fillRect/>
                    </a:stretch>
                  </pic:blipFill>
                  <pic:spPr>
                    <a:xfrm>
                      <a:off x="0" y="0"/>
                      <a:ext cx="5273040" cy="7480935"/>
                    </a:xfrm>
                    <a:prstGeom prst="rect">
                      <a:avLst/>
                    </a:prstGeom>
                    <a:noFill/>
                    <a:ln>
                      <a:noFill/>
                    </a:ln>
                  </pic:spPr>
                </pic:pic>
              </a:graphicData>
            </a:graphic>
          </wp:inline>
        </w:drawing>
      </w:r>
      <w:r>
        <w:drawing>
          <wp:inline distT="0" distB="0" distL="114300" distR="114300">
            <wp:extent cx="5272405" cy="7439660"/>
            <wp:effectExtent l="0" t="0" r="4445" b="8890"/>
            <wp:docPr id="9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9"/>
                    <pic:cNvPicPr>
                      <a:picLocks noChangeAspect="1"/>
                    </pic:cNvPicPr>
                  </pic:nvPicPr>
                  <pic:blipFill>
                    <a:blip r:embed="rId43"/>
                    <a:stretch>
                      <a:fillRect/>
                    </a:stretch>
                  </pic:blipFill>
                  <pic:spPr>
                    <a:xfrm>
                      <a:off x="0" y="0"/>
                      <a:ext cx="5272405" cy="7439660"/>
                    </a:xfrm>
                    <a:prstGeom prst="rect">
                      <a:avLst/>
                    </a:prstGeom>
                    <a:noFill/>
                    <a:ln>
                      <a:noFill/>
                    </a:ln>
                  </pic:spPr>
                </pic:pic>
              </a:graphicData>
            </a:graphic>
          </wp:inline>
        </w:drawing>
      </w:r>
      <w:r>
        <w:drawing>
          <wp:inline distT="0" distB="0" distL="114300" distR="114300">
            <wp:extent cx="5272405" cy="7482205"/>
            <wp:effectExtent l="0" t="0" r="4445" b="4445"/>
            <wp:docPr id="9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0"/>
                    <pic:cNvPicPr>
                      <a:picLocks noChangeAspect="1"/>
                    </pic:cNvPicPr>
                  </pic:nvPicPr>
                  <pic:blipFill>
                    <a:blip r:embed="rId44"/>
                    <a:stretch>
                      <a:fillRect/>
                    </a:stretch>
                  </pic:blipFill>
                  <pic:spPr>
                    <a:xfrm>
                      <a:off x="0" y="0"/>
                      <a:ext cx="5272405" cy="7482205"/>
                    </a:xfrm>
                    <a:prstGeom prst="rect">
                      <a:avLst/>
                    </a:prstGeom>
                    <a:noFill/>
                    <a:ln>
                      <a:noFill/>
                    </a:ln>
                  </pic:spPr>
                </pic:pic>
              </a:graphicData>
            </a:graphic>
          </wp:inline>
        </w:drawing>
      </w:r>
      <w:r>
        <w:drawing>
          <wp:inline distT="0" distB="0" distL="114300" distR="114300">
            <wp:extent cx="5273040" cy="7521575"/>
            <wp:effectExtent l="0" t="0" r="3810" b="3175"/>
            <wp:docPr id="9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1"/>
                    <pic:cNvPicPr>
                      <a:picLocks noChangeAspect="1"/>
                    </pic:cNvPicPr>
                  </pic:nvPicPr>
                  <pic:blipFill>
                    <a:blip r:embed="rId45"/>
                    <a:stretch>
                      <a:fillRect/>
                    </a:stretch>
                  </pic:blipFill>
                  <pic:spPr>
                    <a:xfrm>
                      <a:off x="0" y="0"/>
                      <a:ext cx="5273040" cy="7521575"/>
                    </a:xfrm>
                    <a:prstGeom prst="rect">
                      <a:avLst/>
                    </a:prstGeom>
                    <a:noFill/>
                    <a:ln>
                      <a:noFill/>
                    </a:ln>
                  </pic:spPr>
                </pic:pic>
              </a:graphicData>
            </a:graphic>
          </wp:inline>
        </w:drawing>
      </w:r>
    </w:p>
    <w:p w14:paraId="08E39C9E">
      <w:pPr>
        <w:ind w:firstLine="0" w:firstLineChars="0"/>
      </w:pPr>
    </w:p>
    <w:p w14:paraId="5EEA107B">
      <w:pPr>
        <w:ind w:firstLine="0" w:firstLineChars="0"/>
      </w:pPr>
    </w:p>
    <w:p w14:paraId="33622230">
      <w:pPr>
        <w:ind w:firstLine="0" w:firstLineChars="0"/>
      </w:pPr>
    </w:p>
    <w:p w14:paraId="0259BCFE">
      <w:pPr>
        <w:pStyle w:val="31"/>
      </w:pPr>
      <w:r>
        <w:rPr>
          <w:rFonts w:hint="eastAsia"/>
        </w:rPr>
        <w:t>（2）苏尼特右旗新蒙新材料有限公司12万吨硅锰合金项目验收意见</w:t>
      </w:r>
    </w:p>
    <w:p w14:paraId="6BDBF725">
      <w:pPr>
        <w:ind w:firstLine="0" w:firstLineChars="0"/>
      </w:pPr>
      <w:r>
        <w:drawing>
          <wp:inline distT="0" distB="0" distL="114300" distR="114300">
            <wp:extent cx="5219700" cy="7131685"/>
            <wp:effectExtent l="0" t="0" r="0" b="12065"/>
            <wp:docPr id="11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2"/>
                    <pic:cNvPicPr>
                      <a:picLocks noChangeAspect="1"/>
                    </pic:cNvPicPr>
                  </pic:nvPicPr>
                  <pic:blipFill>
                    <a:blip r:embed="rId46"/>
                    <a:stretch>
                      <a:fillRect/>
                    </a:stretch>
                  </pic:blipFill>
                  <pic:spPr>
                    <a:xfrm>
                      <a:off x="0" y="0"/>
                      <a:ext cx="5219700" cy="7131685"/>
                    </a:xfrm>
                    <a:prstGeom prst="rect">
                      <a:avLst/>
                    </a:prstGeom>
                    <a:noFill/>
                    <a:ln>
                      <a:noFill/>
                    </a:ln>
                  </pic:spPr>
                </pic:pic>
              </a:graphicData>
            </a:graphic>
          </wp:inline>
        </w:drawing>
      </w:r>
      <w:r>
        <w:drawing>
          <wp:inline distT="0" distB="0" distL="114300" distR="114300">
            <wp:extent cx="5274310" cy="6989445"/>
            <wp:effectExtent l="0" t="0" r="2540" b="1905"/>
            <wp:docPr id="11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3"/>
                    <pic:cNvPicPr>
                      <a:picLocks noChangeAspect="1"/>
                    </pic:cNvPicPr>
                  </pic:nvPicPr>
                  <pic:blipFill>
                    <a:blip r:embed="rId47"/>
                    <a:stretch>
                      <a:fillRect/>
                    </a:stretch>
                  </pic:blipFill>
                  <pic:spPr>
                    <a:xfrm>
                      <a:off x="0" y="0"/>
                      <a:ext cx="5274310" cy="6989445"/>
                    </a:xfrm>
                    <a:prstGeom prst="rect">
                      <a:avLst/>
                    </a:prstGeom>
                    <a:noFill/>
                    <a:ln>
                      <a:noFill/>
                    </a:ln>
                  </pic:spPr>
                </pic:pic>
              </a:graphicData>
            </a:graphic>
          </wp:inline>
        </w:drawing>
      </w:r>
      <w:r>
        <w:drawing>
          <wp:inline distT="0" distB="0" distL="114300" distR="114300">
            <wp:extent cx="5269865" cy="7368540"/>
            <wp:effectExtent l="0" t="0" r="6985" b="3810"/>
            <wp:docPr id="13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4"/>
                    <pic:cNvPicPr>
                      <a:picLocks noChangeAspect="1"/>
                    </pic:cNvPicPr>
                  </pic:nvPicPr>
                  <pic:blipFill>
                    <a:blip r:embed="rId48"/>
                    <a:stretch>
                      <a:fillRect/>
                    </a:stretch>
                  </pic:blipFill>
                  <pic:spPr>
                    <a:xfrm>
                      <a:off x="0" y="0"/>
                      <a:ext cx="5269865" cy="7368540"/>
                    </a:xfrm>
                    <a:prstGeom prst="rect">
                      <a:avLst/>
                    </a:prstGeom>
                    <a:noFill/>
                    <a:ln>
                      <a:noFill/>
                    </a:ln>
                  </pic:spPr>
                </pic:pic>
              </a:graphicData>
            </a:graphic>
          </wp:inline>
        </w:drawing>
      </w:r>
      <w:r>
        <w:drawing>
          <wp:inline distT="0" distB="0" distL="114300" distR="114300">
            <wp:extent cx="5269865" cy="7669530"/>
            <wp:effectExtent l="0" t="0" r="6985" b="7620"/>
            <wp:docPr id="13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5"/>
                    <pic:cNvPicPr>
                      <a:picLocks noChangeAspect="1"/>
                    </pic:cNvPicPr>
                  </pic:nvPicPr>
                  <pic:blipFill>
                    <a:blip r:embed="rId49"/>
                    <a:stretch>
                      <a:fillRect/>
                    </a:stretch>
                  </pic:blipFill>
                  <pic:spPr>
                    <a:xfrm>
                      <a:off x="0" y="0"/>
                      <a:ext cx="5269865" cy="7669530"/>
                    </a:xfrm>
                    <a:prstGeom prst="rect">
                      <a:avLst/>
                    </a:prstGeom>
                    <a:noFill/>
                    <a:ln>
                      <a:noFill/>
                    </a:ln>
                  </pic:spPr>
                </pic:pic>
              </a:graphicData>
            </a:graphic>
          </wp:inline>
        </w:drawing>
      </w:r>
    </w:p>
    <w:p w14:paraId="79837E90">
      <w:pPr>
        <w:pStyle w:val="31"/>
      </w:pPr>
      <w:r>
        <w:drawing>
          <wp:inline distT="0" distB="0" distL="114300" distR="114300">
            <wp:extent cx="5270500" cy="7739380"/>
            <wp:effectExtent l="0" t="0" r="6350" b="13970"/>
            <wp:docPr id="14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7"/>
                    <pic:cNvPicPr>
                      <a:picLocks noChangeAspect="1"/>
                    </pic:cNvPicPr>
                  </pic:nvPicPr>
                  <pic:blipFill>
                    <a:blip r:embed="rId50"/>
                    <a:stretch>
                      <a:fillRect/>
                    </a:stretch>
                  </pic:blipFill>
                  <pic:spPr>
                    <a:xfrm>
                      <a:off x="0" y="0"/>
                      <a:ext cx="5270500" cy="7739380"/>
                    </a:xfrm>
                    <a:prstGeom prst="rect">
                      <a:avLst/>
                    </a:prstGeom>
                    <a:noFill/>
                    <a:ln>
                      <a:noFill/>
                    </a:ln>
                  </pic:spPr>
                </pic:pic>
              </a:graphicData>
            </a:graphic>
          </wp:inline>
        </w:drawing>
      </w:r>
      <w:r>
        <w:drawing>
          <wp:inline distT="0" distB="0" distL="114300" distR="114300">
            <wp:extent cx="5271135" cy="6986905"/>
            <wp:effectExtent l="0" t="0" r="5715" b="4445"/>
            <wp:docPr id="14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8"/>
                    <pic:cNvPicPr>
                      <a:picLocks noChangeAspect="1"/>
                    </pic:cNvPicPr>
                  </pic:nvPicPr>
                  <pic:blipFill>
                    <a:blip r:embed="rId51"/>
                    <a:stretch>
                      <a:fillRect/>
                    </a:stretch>
                  </pic:blipFill>
                  <pic:spPr>
                    <a:xfrm>
                      <a:off x="0" y="0"/>
                      <a:ext cx="5271135" cy="6986905"/>
                    </a:xfrm>
                    <a:prstGeom prst="rect">
                      <a:avLst/>
                    </a:prstGeom>
                    <a:noFill/>
                    <a:ln>
                      <a:noFill/>
                    </a:ln>
                  </pic:spPr>
                </pic:pic>
              </a:graphicData>
            </a:graphic>
          </wp:inline>
        </w:drawing>
      </w:r>
      <w:r>
        <w:drawing>
          <wp:inline distT="0" distB="0" distL="114300" distR="114300">
            <wp:extent cx="5248275" cy="7219950"/>
            <wp:effectExtent l="0" t="0" r="9525" b="0"/>
            <wp:docPr id="14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9"/>
                    <pic:cNvPicPr>
                      <a:picLocks noChangeAspect="1"/>
                    </pic:cNvPicPr>
                  </pic:nvPicPr>
                  <pic:blipFill>
                    <a:blip r:embed="rId52"/>
                    <a:stretch>
                      <a:fillRect/>
                    </a:stretch>
                  </pic:blipFill>
                  <pic:spPr>
                    <a:xfrm>
                      <a:off x="0" y="0"/>
                      <a:ext cx="5248275" cy="7219950"/>
                    </a:xfrm>
                    <a:prstGeom prst="rect">
                      <a:avLst/>
                    </a:prstGeom>
                    <a:noFill/>
                    <a:ln>
                      <a:noFill/>
                    </a:ln>
                  </pic:spPr>
                </pic:pic>
              </a:graphicData>
            </a:graphic>
          </wp:inline>
        </w:drawing>
      </w:r>
    </w:p>
    <w:p w14:paraId="643DC323">
      <w:pPr>
        <w:pStyle w:val="31"/>
      </w:pPr>
    </w:p>
    <w:p w14:paraId="2AF9FED5">
      <w:pPr>
        <w:pStyle w:val="31"/>
      </w:pPr>
    </w:p>
    <w:p w14:paraId="14296C11">
      <w:pPr>
        <w:pStyle w:val="31"/>
      </w:pPr>
    </w:p>
    <w:p w14:paraId="3ACBDB9F">
      <w:pPr>
        <w:pStyle w:val="31"/>
      </w:pPr>
    </w:p>
    <w:p w14:paraId="56B214B6">
      <w:pPr>
        <w:pStyle w:val="31"/>
      </w:pPr>
      <w:r>
        <w:rPr>
          <w:rFonts w:hint="eastAsia"/>
        </w:rPr>
        <w:t>（3）依托污水站项目苏尼特右旗新蒙新材料有限公司48万吨硅锰合金项目验收意见</w:t>
      </w:r>
      <w:r>
        <w:drawing>
          <wp:inline distT="0" distB="0" distL="114300" distR="114300">
            <wp:extent cx="5269865" cy="7297420"/>
            <wp:effectExtent l="0" t="0" r="6985" b="17780"/>
            <wp:docPr id="14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5"/>
                    <pic:cNvPicPr>
                      <a:picLocks noChangeAspect="1"/>
                    </pic:cNvPicPr>
                  </pic:nvPicPr>
                  <pic:blipFill>
                    <a:blip r:embed="rId53"/>
                    <a:stretch>
                      <a:fillRect/>
                    </a:stretch>
                  </pic:blipFill>
                  <pic:spPr>
                    <a:xfrm>
                      <a:off x="0" y="0"/>
                      <a:ext cx="5269865" cy="7297420"/>
                    </a:xfrm>
                    <a:prstGeom prst="rect">
                      <a:avLst/>
                    </a:prstGeom>
                    <a:noFill/>
                    <a:ln>
                      <a:noFill/>
                    </a:ln>
                  </pic:spPr>
                </pic:pic>
              </a:graphicData>
            </a:graphic>
          </wp:inline>
        </w:drawing>
      </w:r>
      <w:r>
        <w:drawing>
          <wp:inline distT="0" distB="0" distL="114300" distR="114300">
            <wp:extent cx="5272405" cy="7130415"/>
            <wp:effectExtent l="0" t="0" r="4445" b="13335"/>
            <wp:docPr id="14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56"/>
                    <pic:cNvPicPr>
                      <a:picLocks noChangeAspect="1"/>
                    </pic:cNvPicPr>
                  </pic:nvPicPr>
                  <pic:blipFill>
                    <a:blip r:embed="rId54"/>
                    <a:stretch>
                      <a:fillRect/>
                    </a:stretch>
                  </pic:blipFill>
                  <pic:spPr>
                    <a:xfrm>
                      <a:off x="0" y="0"/>
                      <a:ext cx="5272405" cy="7130415"/>
                    </a:xfrm>
                    <a:prstGeom prst="rect">
                      <a:avLst/>
                    </a:prstGeom>
                    <a:noFill/>
                    <a:ln>
                      <a:noFill/>
                    </a:ln>
                  </pic:spPr>
                </pic:pic>
              </a:graphicData>
            </a:graphic>
          </wp:inline>
        </w:drawing>
      </w:r>
      <w:r>
        <w:drawing>
          <wp:inline distT="0" distB="0" distL="114300" distR="114300">
            <wp:extent cx="5269230" cy="7932420"/>
            <wp:effectExtent l="0" t="0" r="7620" b="11430"/>
            <wp:docPr id="15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7"/>
                    <pic:cNvPicPr>
                      <a:picLocks noChangeAspect="1"/>
                    </pic:cNvPicPr>
                  </pic:nvPicPr>
                  <pic:blipFill>
                    <a:blip r:embed="rId55"/>
                    <a:stretch>
                      <a:fillRect/>
                    </a:stretch>
                  </pic:blipFill>
                  <pic:spPr>
                    <a:xfrm>
                      <a:off x="0" y="0"/>
                      <a:ext cx="5269230" cy="7932420"/>
                    </a:xfrm>
                    <a:prstGeom prst="rect">
                      <a:avLst/>
                    </a:prstGeom>
                    <a:noFill/>
                    <a:ln>
                      <a:noFill/>
                    </a:ln>
                  </pic:spPr>
                </pic:pic>
              </a:graphicData>
            </a:graphic>
          </wp:inline>
        </w:drawing>
      </w:r>
      <w:r>
        <w:drawing>
          <wp:inline distT="0" distB="0" distL="114300" distR="114300">
            <wp:extent cx="5269865" cy="7642860"/>
            <wp:effectExtent l="0" t="0" r="6985" b="15240"/>
            <wp:docPr id="15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8"/>
                    <pic:cNvPicPr>
                      <a:picLocks noChangeAspect="1"/>
                    </pic:cNvPicPr>
                  </pic:nvPicPr>
                  <pic:blipFill>
                    <a:blip r:embed="rId56"/>
                    <a:stretch>
                      <a:fillRect/>
                    </a:stretch>
                  </pic:blipFill>
                  <pic:spPr>
                    <a:xfrm>
                      <a:off x="0" y="0"/>
                      <a:ext cx="5269865" cy="7642860"/>
                    </a:xfrm>
                    <a:prstGeom prst="rect">
                      <a:avLst/>
                    </a:prstGeom>
                    <a:noFill/>
                    <a:ln>
                      <a:noFill/>
                    </a:ln>
                  </pic:spPr>
                </pic:pic>
              </a:graphicData>
            </a:graphic>
          </wp:inline>
        </w:drawing>
      </w:r>
    </w:p>
    <w:p w14:paraId="145D805E">
      <w:pPr>
        <w:ind w:firstLine="0" w:firstLineChars="0"/>
      </w:pPr>
    </w:p>
    <w:p w14:paraId="347E5D83">
      <w:pPr>
        <w:pStyle w:val="31"/>
      </w:pPr>
      <w:r>
        <w:rPr>
          <w:rFonts w:hint="eastAsia"/>
        </w:rPr>
        <w:t>（4）厂区租赁协议</w:t>
      </w:r>
    </w:p>
    <w:p w14:paraId="7310AABE">
      <w:pPr>
        <w:ind w:firstLine="0" w:firstLineChars="0"/>
        <w:rPr>
          <w:b/>
          <w:bCs/>
          <w:sz w:val="28"/>
          <w:szCs w:val="28"/>
        </w:rPr>
      </w:pPr>
      <w:r>
        <w:drawing>
          <wp:inline distT="0" distB="0" distL="114300" distR="114300">
            <wp:extent cx="5271770" cy="8001000"/>
            <wp:effectExtent l="0" t="0" r="5080" b="0"/>
            <wp:docPr id="66" name="图片 66" descr="50d1e67143e54db112782c8b3e06e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50d1e67143e54db112782c8b3e06eab"/>
                    <pic:cNvPicPr>
                      <a:picLocks noChangeAspect="1"/>
                    </pic:cNvPicPr>
                  </pic:nvPicPr>
                  <pic:blipFill>
                    <a:blip r:embed="rId57"/>
                    <a:stretch>
                      <a:fillRect/>
                    </a:stretch>
                  </pic:blipFill>
                  <pic:spPr>
                    <a:xfrm>
                      <a:off x="0" y="0"/>
                      <a:ext cx="5271770" cy="8001000"/>
                    </a:xfrm>
                    <a:prstGeom prst="rect">
                      <a:avLst/>
                    </a:prstGeom>
                  </pic:spPr>
                </pic:pic>
              </a:graphicData>
            </a:graphic>
          </wp:inline>
        </w:drawing>
      </w:r>
    </w:p>
    <w:p w14:paraId="296D8B21">
      <w:pPr>
        <w:pStyle w:val="31"/>
      </w:pPr>
      <w:r>
        <w:rPr>
          <w:rFonts w:hint="eastAsia"/>
        </w:rPr>
        <w:t>（5）土地证</w:t>
      </w:r>
      <w:r>
        <w:drawing>
          <wp:inline distT="0" distB="0" distL="114300" distR="114300">
            <wp:extent cx="5095875" cy="7172325"/>
            <wp:effectExtent l="0" t="0" r="9525" b="9525"/>
            <wp:docPr id="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pic:cNvPicPr>
                      <a:picLocks noChangeAspect="1"/>
                    </pic:cNvPicPr>
                  </pic:nvPicPr>
                  <pic:blipFill>
                    <a:blip r:embed="rId58"/>
                    <a:stretch>
                      <a:fillRect/>
                    </a:stretch>
                  </pic:blipFill>
                  <pic:spPr>
                    <a:xfrm>
                      <a:off x="0" y="0"/>
                      <a:ext cx="5095875" cy="7172325"/>
                    </a:xfrm>
                    <a:prstGeom prst="rect">
                      <a:avLst/>
                    </a:prstGeom>
                    <a:noFill/>
                    <a:ln>
                      <a:noFill/>
                    </a:ln>
                  </pic:spPr>
                </pic:pic>
              </a:graphicData>
            </a:graphic>
          </wp:inline>
        </w:drawing>
      </w:r>
      <w:r>
        <w:drawing>
          <wp:inline distT="0" distB="0" distL="114300" distR="114300">
            <wp:extent cx="5076825" cy="7153275"/>
            <wp:effectExtent l="0" t="0" r="9525" b="9525"/>
            <wp:docPr id="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1"/>
                    </pic:cNvPicPr>
                  </pic:nvPicPr>
                  <pic:blipFill>
                    <a:blip r:embed="rId59"/>
                    <a:stretch>
                      <a:fillRect/>
                    </a:stretch>
                  </pic:blipFill>
                  <pic:spPr>
                    <a:xfrm>
                      <a:off x="0" y="0"/>
                      <a:ext cx="5076825" cy="7153275"/>
                    </a:xfrm>
                    <a:prstGeom prst="rect">
                      <a:avLst/>
                    </a:prstGeom>
                    <a:noFill/>
                    <a:ln>
                      <a:noFill/>
                    </a:ln>
                  </pic:spPr>
                </pic:pic>
              </a:graphicData>
            </a:graphic>
          </wp:inline>
        </w:drawing>
      </w:r>
      <w:r>
        <w:drawing>
          <wp:inline distT="0" distB="0" distL="114300" distR="114300">
            <wp:extent cx="5264150" cy="3721100"/>
            <wp:effectExtent l="0" t="0" r="12700" b="12700"/>
            <wp:docPr id="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
                    <pic:cNvPicPr>
                      <a:picLocks noChangeAspect="1"/>
                    </pic:cNvPicPr>
                  </pic:nvPicPr>
                  <pic:blipFill>
                    <a:blip r:embed="rId60"/>
                    <a:stretch>
                      <a:fillRect/>
                    </a:stretch>
                  </pic:blipFill>
                  <pic:spPr>
                    <a:xfrm>
                      <a:off x="0" y="0"/>
                      <a:ext cx="5264150" cy="3721100"/>
                    </a:xfrm>
                    <a:prstGeom prst="rect">
                      <a:avLst/>
                    </a:prstGeom>
                    <a:noFill/>
                    <a:ln>
                      <a:noFill/>
                    </a:ln>
                  </pic:spPr>
                </pic:pic>
              </a:graphicData>
            </a:graphic>
          </wp:inline>
        </w:drawing>
      </w:r>
      <w:r>
        <w:drawing>
          <wp:inline distT="0" distB="0" distL="114300" distR="114300">
            <wp:extent cx="5086350" cy="7210425"/>
            <wp:effectExtent l="0" t="0" r="0" b="9525"/>
            <wp:docPr id="6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8"/>
                    <pic:cNvPicPr>
                      <a:picLocks noChangeAspect="1"/>
                    </pic:cNvPicPr>
                  </pic:nvPicPr>
                  <pic:blipFill>
                    <a:blip r:embed="rId61"/>
                    <a:stretch>
                      <a:fillRect/>
                    </a:stretch>
                  </pic:blipFill>
                  <pic:spPr>
                    <a:xfrm>
                      <a:off x="0" y="0"/>
                      <a:ext cx="5086350" cy="7210425"/>
                    </a:xfrm>
                    <a:prstGeom prst="rect">
                      <a:avLst/>
                    </a:prstGeom>
                    <a:noFill/>
                    <a:ln>
                      <a:noFill/>
                    </a:ln>
                  </pic:spPr>
                </pic:pic>
              </a:graphicData>
            </a:graphic>
          </wp:inline>
        </w:drawing>
      </w:r>
    </w:p>
    <w:p w14:paraId="561266DD">
      <w:pPr>
        <w:pStyle w:val="31"/>
      </w:pPr>
    </w:p>
    <w:p w14:paraId="0F43BEE1">
      <w:pPr>
        <w:pStyle w:val="31"/>
      </w:pPr>
    </w:p>
    <w:p w14:paraId="6ED8C373">
      <w:pPr>
        <w:pStyle w:val="31"/>
      </w:pPr>
    </w:p>
    <w:p w14:paraId="629C58E8">
      <w:pPr>
        <w:pStyle w:val="31"/>
      </w:pPr>
    </w:p>
    <w:p w14:paraId="494FC756">
      <w:pPr>
        <w:pStyle w:val="31"/>
      </w:pPr>
      <w:r>
        <w:rPr>
          <w:rFonts w:hint="eastAsia"/>
        </w:rPr>
        <w:t>（6）内蒙古新蒙新科技有限公司10万吨负极材料项目环评批复</w:t>
      </w:r>
      <w:r>
        <w:drawing>
          <wp:inline distT="0" distB="0" distL="114300" distR="114300">
            <wp:extent cx="5268595" cy="7390765"/>
            <wp:effectExtent l="0" t="0" r="8255" b="635"/>
            <wp:docPr id="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9"/>
                    <pic:cNvPicPr>
                      <a:picLocks noChangeAspect="1"/>
                    </pic:cNvPicPr>
                  </pic:nvPicPr>
                  <pic:blipFill>
                    <a:blip r:embed="rId62"/>
                    <a:stretch>
                      <a:fillRect/>
                    </a:stretch>
                  </pic:blipFill>
                  <pic:spPr>
                    <a:xfrm>
                      <a:off x="0" y="0"/>
                      <a:ext cx="5268595" cy="7390765"/>
                    </a:xfrm>
                    <a:prstGeom prst="rect">
                      <a:avLst/>
                    </a:prstGeom>
                    <a:noFill/>
                    <a:ln>
                      <a:noFill/>
                    </a:ln>
                  </pic:spPr>
                </pic:pic>
              </a:graphicData>
            </a:graphic>
          </wp:inline>
        </w:drawing>
      </w:r>
      <w:r>
        <w:drawing>
          <wp:inline distT="0" distB="0" distL="114300" distR="114300">
            <wp:extent cx="5265420" cy="7152005"/>
            <wp:effectExtent l="0" t="0" r="11430" b="10795"/>
            <wp:docPr id="6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0"/>
                    <pic:cNvPicPr>
                      <a:picLocks noChangeAspect="1"/>
                    </pic:cNvPicPr>
                  </pic:nvPicPr>
                  <pic:blipFill>
                    <a:blip r:embed="rId63"/>
                    <a:stretch>
                      <a:fillRect/>
                    </a:stretch>
                  </pic:blipFill>
                  <pic:spPr>
                    <a:xfrm>
                      <a:off x="0" y="0"/>
                      <a:ext cx="5265420" cy="7152005"/>
                    </a:xfrm>
                    <a:prstGeom prst="rect">
                      <a:avLst/>
                    </a:prstGeom>
                    <a:noFill/>
                    <a:ln>
                      <a:noFill/>
                    </a:ln>
                  </pic:spPr>
                </pic:pic>
              </a:graphicData>
            </a:graphic>
          </wp:inline>
        </w:drawing>
      </w:r>
      <w:r>
        <w:drawing>
          <wp:inline distT="0" distB="0" distL="114300" distR="114300">
            <wp:extent cx="5267960" cy="7272655"/>
            <wp:effectExtent l="0" t="0" r="8890" b="4445"/>
            <wp:docPr id="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pic:cNvPicPr>
                      <a:picLocks noChangeAspect="1"/>
                    </pic:cNvPicPr>
                  </pic:nvPicPr>
                  <pic:blipFill>
                    <a:blip r:embed="rId64"/>
                    <a:stretch>
                      <a:fillRect/>
                    </a:stretch>
                  </pic:blipFill>
                  <pic:spPr>
                    <a:xfrm>
                      <a:off x="0" y="0"/>
                      <a:ext cx="5267960" cy="7272655"/>
                    </a:xfrm>
                    <a:prstGeom prst="rect">
                      <a:avLst/>
                    </a:prstGeom>
                    <a:noFill/>
                    <a:ln>
                      <a:noFill/>
                    </a:ln>
                  </pic:spPr>
                </pic:pic>
              </a:graphicData>
            </a:graphic>
          </wp:inline>
        </w:drawing>
      </w:r>
      <w:r>
        <w:drawing>
          <wp:inline distT="0" distB="0" distL="114300" distR="114300">
            <wp:extent cx="5269230" cy="7424420"/>
            <wp:effectExtent l="0" t="0" r="7620" b="5080"/>
            <wp:docPr id="6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2"/>
                    <pic:cNvPicPr>
                      <a:picLocks noChangeAspect="1"/>
                    </pic:cNvPicPr>
                  </pic:nvPicPr>
                  <pic:blipFill>
                    <a:blip r:embed="rId65"/>
                    <a:stretch>
                      <a:fillRect/>
                    </a:stretch>
                  </pic:blipFill>
                  <pic:spPr>
                    <a:xfrm>
                      <a:off x="0" y="0"/>
                      <a:ext cx="5269230" cy="7424420"/>
                    </a:xfrm>
                    <a:prstGeom prst="rect">
                      <a:avLst/>
                    </a:prstGeom>
                    <a:noFill/>
                    <a:ln>
                      <a:noFill/>
                    </a:ln>
                  </pic:spPr>
                </pic:pic>
              </a:graphicData>
            </a:graphic>
          </wp:inline>
        </w:drawing>
      </w:r>
      <w:r>
        <w:drawing>
          <wp:inline distT="0" distB="0" distL="114300" distR="114300">
            <wp:extent cx="5266055" cy="7492365"/>
            <wp:effectExtent l="0" t="0" r="10795" b="13335"/>
            <wp:docPr id="6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3"/>
                    <pic:cNvPicPr>
                      <a:picLocks noChangeAspect="1"/>
                    </pic:cNvPicPr>
                  </pic:nvPicPr>
                  <pic:blipFill>
                    <a:blip r:embed="rId66"/>
                    <a:stretch>
                      <a:fillRect/>
                    </a:stretch>
                  </pic:blipFill>
                  <pic:spPr>
                    <a:xfrm>
                      <a:off x="0" y="0"/>
                      <a:ext cx="5266055" cy="7492365"/>
                    </a:xfrm>
                    <a:prstGeom prst="rect">
                      <a:avLst/>
                    </a:prstGeom>
                    <a:noFill/>
                    <a:ln>
                      <a:noFill/>
                    </a:ln>
                  </pic:spPr>
                </pic:pic>
              </a:graphicData>
            </a:graphic>
          </wp:inline>
        </w:drawing>
      </w:r>
      <w:r>
        <w:drawing>
          <wp:inline distT="0" distB="0" distL="114300" distR="114300">
            <wp:extent cx="5268595" cy="7425055"/>
            <wp:effectExtent l="0" t="0" r="8255" b="4445"/>
            <wp:docPr id="6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4"/>
                    <pic:cNvPicPr>
                      <a:picLocks noChangeAspect="1"/>
                    </pic:cNvPicPr>
                  </pic:nvPicPr>
                  <pic:blipFill>
                    <a:blip r:embed="rId67"/>
                    <a:stretch>
                      <a:fillRect/>
                    </a:stretch>
                  </pic:blipFill>
                  <pic:spPr>
                    <a:xfrm>
                      <a:off x="0" y="0"/>
                      <a:ext cx="5268595" cy="7425055"/>
                    </a:xfrm>
                    <a:prstGeom prst="rect">
                      <a:avLst/>
                    </a:prstGeom>
                    <a:noFill/>
                    <a:ln>
                      <a:noFill/>
                    </a:ln>
                  </pic:spPr>
                </pic:pic>
              </a:graphicData>
            </a:graphic>
          </wp:inline>
        </w:drawing>
      </w:r>
    </w:p>
    <w:p w14:paraId="78275C59">
      <w:pPr>
        <w:pStyle w:val="31"/>
        <w:jc w:val="both"/>
      </w:pPr>
    </w:p>
    <w:p w14:paraId="4BF00E7F">
      <w:pPr>
        <w:pStyle w:val="31"/>
        <w:jc w:val="both"/>
      </w:pPr>
    </w:p>
    <w:p w14:paraId="498001DB">
      <w:pPr>
        <w:pStyle w:val="31"/>
        <w:jc w:val="both"/>
      </w:pPr>
    </w:p>
    <w:p w14:paraId="653EFA5D">
      <w:pPr>
        <w:pStyle w:val="31"/>
        <w:jc w:val="both"/>
      </w:pPr>
      <w:r>
        <w:rPr>
          <w:rFonts w:hint="eastAsia"/>
        </w:rPr>
        <w:t>附图1地理位置图</w:t>
      </w:r>
    </w:p>
    <w:p w14:paraId="4FF3EA3F">
      <w:pPr>
        <w:pStyle w:val="31"/>
        <w:jc w:val="both"/>
        <w:sectPr>
          <w:pgSz w:w="11906" w:h="16838"/>
          <w:pgMar w:top="1440" w:right="1803" w:bottom="1440" w:left="1803" w:header="851" w:footer="992" w:gutter="0"/>
          <w:cols w:space="0" w:num="1"/>
          <w:docGrid w:type="lines" w:linePitch="332" w:charSpace="0"/>
        </w:sectPr>
      </w:pPr>
      <w:r>
        <mc:AlternateContent>
          <mc:Choice Requires="wps">
            <w:drawing>
              <wp:anchor distT="0" distB="0" distL="114300" distR="114300" simplePos="0" relativeHeight="251675648" behindDoc="0" locked="0" layoutInCell="1" allowOverlap="1">
                <wp:simplePos x="0" y="0"/>
                <wp:positionH relativeFrom="column">
                  <wp:posOffset>1905000</wp:posOffset>
                </wp:positionH>
                <wp:positionV relativeFrom="paragraph">
                  <wp:posOffset>1852930</wp:posOffset>
                </wp:positionV>
                <wp:extent cx="1056005" cy="402590"/>
                <wp:effectExtent l="6350" t="6350" r="23495" b="429260"/>
                <wp:wrapNone/>
                <wp:docPr id="23" name="矩形标注 23"/>
                <wp:cNvGraphicFramePr/>
                <a:graphic xmlns:a="http://schemas.openxmlformats.org/drawingml/2006/main">
                  <a:graphicData uri="http://schemas.microsoft.com/office/word/2010/wordprocessingShape">
                    <wps:wsp>
                      <wps:cNvSpPr/>
                      <wps:spPr>
                        <a:xfrm>
                          <a:off x="3049905" y="3108960"/>
                          <a:ext cx="1056005" cy="402590"/>
                        </a:xfrm>
                        <a:prstGeom prst="wedgeRectCallout">
                          <a:avLst>
                            <a:gd name="adj1" fmla="val 46572"/>
                            <a:gd name="adj2" fmla="val 149684"/>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3A391619">
                            <w:pPr>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50pt;margin-top:145.9pt;height:31.7pt;width:83.15pt;z-index:251675648;v-text-anchor:middle;mso-width-relative:page;mso-height-relative:page;" filled="f" stroked="t" coordsize="21600,21600" o:gfxdata="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mp9O29oAAAAL&#10;AQAADwAAAAAAAAABACAAAAAiAAAAZHJzL2Rvd25yZXYueG1sUEsBAhQAFAAAAAgAh07iQJ0cN1vF&#10;AgAAagUAAA4AAAAAAAAAAQAgAAAAKQEAAGRycy9lMm9Eb2MueG1sUEsFBgAAAAAGAAYAWQEAAGAG&#10;AAAAAA==&#10;" adj="20860,43132">
                <v:fill on="f" focussize="0,0"/>
                <v:stroke weight="1pt" color="#2F5597 [2404]" miterlimit="8" joinstyle="miter"/>
                <v:imagedata o:title=""/>
                <o:lock v:ext="edit" aspectratio="f"/>
                <v:textbox>
                  <w:txbxContent>
                    <w:p w14:paraId="3A391619">
                      <w:pPr>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本项目位置</w:t>
                      </w:r>
                    </w:p>
                  </w:txbxContent>
                </v:textbox>
              </v:shape>
            </w:pict>
          </mc:Fallback>
        </mc:AlternateContent>
      </w:r>
      <w:r>
        <w:rPr>
          <w:rFonts w:ascii="宋体" w:hAnsi="宋体" w:cs="宋体"/>
          <w:szCs w:val="24"/>
        </w:rPr>
        <w:drawing>
          <wp:inline distT="0" distB="0" distL="114300" distR="114300">
            <wp:extent cx="5259705" cy="3719830"/>
            <wp:effectExtent l="0" t="0" r="17145" b="13970"/>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68"/>
                    <a:stretch>
                      <a:fillRect/>
                    </a:stretch>
                  </pic:blipFill>
                  <pic:spPr>
                    <a:xfrm>
                      <a:off x="0" y="0"/>
                      <a:ext cx="5259705" cy="3719830"/>
                    </a:xfrm>
                    <a:prstGeom prst="rect">
                      <a:avLst/>
                    </a:prstGeom>
                    <a:noFill/>
                    <a:ln w="9525">
                      <a:noFill/>
                    </a:ln>
                  </pic:spPr>
                </pic:pic>
              </a:graphicData>
            </a:graphic>
          </wp:inline>
        </w:drawing>
      </w:r>
    </w:p>
    <w:p w14:paraId="4022309B">
      <w:pPr>
        <w:pStyle w:val="31"/>
        <w:jc w:val="both"/>
      </w:pPr>
      <w:r>
        <mc:AlternateContent>
          <mc:Choice Requires="wps">
            <w:drawing>
              <wp:anchor distT="0" distB="0" distL="114300" distR="114300" simplePos="0" relativeHeight="251667456" behindDoc="0" locked="0" layoutInCell="1" allowOverlap="1">
                <wp:simplePos x="0" y="0"/>
                <wp:positionH relativeFrom="column">
                  <wp:posOffset>4598035</wp:posOffset>
                </wp:positionH>
                <wp:positionV relativeFrom="paragraph">
                  <wp:posOffset>2528570</wp:posOffset>
                </wp:positionV>
                <wp:extent cx="922655" cy="502285"/>
                <wp:effectExtent l="0" t="0" r="0" b="0"/>
                <wp:wrapNone/>
                <wp:docPr id="38" name="文本框 38"/>
                <wp:cNvGraphicFramePr/>
                <a:graphic xmlns:a="http://schemas.openxmlformats.org/drawingml/2006/main">
                  <a:graphicData uri="http://schemas.microsoft.com/office/word/2010/wordprocessingShape">
                    <wps:wsp>
                      <wps:cNvSpPr txBox="1"/>
                      <wps:spPr>
                        <a:xfrm>
                          <a:off x="5654675" y="4098290"/>
                          <a:ext cx="922655" cy="502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72A0DE">
                            <w:pPr>
                              <w:ind w:firstLine="480"/>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2.05pt;margin-top:199.1pt;height:39.55pt;width:72.65pt;z-index:251667456;mso-width-relative:page;mso-height-relative:page;" filled="f" stroked="f" coordsize="21600,21600" o:gfxdata="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ozKJvdAAAACwEAAA8AAAAA&#10;AAAAAQAgAAAAIgAAAGRycy9kb3ducmV2LnhtbFBLAQIUABQAAAAIAIdO4kDrPhGUSAIAAHMEAAAO&#10;AAAAAAAAAAEAIAAAACwBAABkcnMvZTJvRG9jLnhtbFBLBQYAAAAABgAGAFkBAADmBQAAAAA=&#10;">
                <v:fill on="f" focussize="0,0"/>
                <v:stroke on="f" weight="0.5pt"/>
                <v:imagedata o:title=""/>
                <o:lock v:ext="edit" aspectratio="f"/>
                <v:textbox>
                  <w:txbxContent>
                    <w:p w14:paraId="7272A0DE">
                      <w:pPr>
                        <w:ind w:firstLine="480"/>
                      </w:pPr>
                    </w:p>
                  </w:txbxContent>
                </v:textbox>
              </v:shape>
            </w:pict>
          </mc:Fallback>
        </mc:AlternateContent>
      </w:r>
      <w:r>
        <w:drawing>
          <wp:anchor distT="0" distB="0" distL="114300" distR="114300" simplePos="0" relativeHeight="251663360" behindDoc="0" locked="0" layoutInCell="1" allowOverlap="1">
            <wp:simplePos x="0" y="0"/>
            <wp:positionH relativeFrom="column">
              <wp:posOffset>66675</wp:posOffset>
            </wp:positionH>
            <wp:positionV relativeFrom="paragraph">
              <wp:posOffset>4115435</wp:posOffset>
            </wp:positionV>
            <wp:extent cx="546100" cy="610235"/>
            <wp:effectExtent l="0" t="0" r="6350" b="18415"/>
            <wp:wrapNone/>
            <wp:docPr id="96" name="图片 2" descr="beac27ef7829a14d1e9311211187d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 descr="beac27ef7829a14d1e9311211187d50"/>
                    <pic:cNvPicPr>
                      <a:picLocks noChangeAspect="1"/>
                    </pic:cNvPicPr>
                  </pic:nvPicPr>
                  <pic:blipFill>
                    <a:blip r:embed="rId69"/>
                    <a:stretch>
                      <a:fillRect/>
                    </a:stretch>
                  </pic:blipFill>
                  <pic:spPr>
                    <a:xfrm>
                      <a:off x="0" y="0"/>
                      <a:ext cx="546100" cy="610235"/>
                    </a:xfrm>
                    <a:prstGeom prst="rect">
                      <a:avLst/>
                    </a:prstGeom>
                    <a:noFill/>
                    <a:ln>
                      <a:noFill/>
                    </a:ln>
                  </pic:spPr>
                </pic:pic>
              </a:graphicData>
            </a:graphic>
          </wp:anchor>
        </w:drawing>
      </w:r>
      <w:r>
        <w:rPr>
          <w:rFonts w:hint="eastAsia"/>
        </w:rPr>
        <w:t>附图2周边关系和监测点位图</w:t>
      </w:r>
    </w:p>
    <w:p w14:paraId="3C9626D0">
      <w:pPr>
        <w:pStyle w:val="31"/>
      </w:pPr>
      <w:r>
        <w:drawing>
          <wp:anchor distT="0" distB="0" distL="114300" distR="114300" simplePos="0" relativeHeight="251682816" behindDoc="0" locked="0" layoutInCell="1" allowOverlap="1">
            <wp:simplePos x="0" y="0"/>
            <wp:positionH relativeFrom="column">
              <wp:posOffset>6866255</wp:posOffset>
            </wp:positionH>
            <wp:positionV relativeFrom="paragraph">
              <wp:posOffset>1509395</wp:posOffset>
            </wp:positionV>
            <wp:extent cx="111125" cy="164465"/>
            <wp:effectExtent l="0" t="0" r="3175" b="6985"/>
            <wp:wrapNone/>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70"/>
                    <a:stretch>
                      <a:fillRect/>
                    </a:stretch>
                  </pic:blipFill>
                  <pic:spPr>
                    <a:xfrm>
                      <a:off x="0" y="0"/>
                      <a:ext cx="111125" cy="164465"/>
                    </a:xfrm>
                    <a:prstGeom prst="rect">
                      <a:avLst/>
                    </a:prstGeom>
                    <a:noFill/>
                    <a:ln>
                      <a:noFill/>
                    </a:ln>
                  </pic:spPr>
                </pic:pic>
              </a:graphicData>
            </a:graphic>
          </wp:anchor>
        </w:drawing>
      </w:r>
      <w:r>
        <w:drawing>
          <wp:anchor distT="0" distB="0" distL="114300" distR="114300" simplePos="0" relativeHeight="251670528" behindDoc="0" locked="0" layoutInCell="1" allowOverlap="1">
            <wp:simplePos x="0" y="0"/>
            <wp:positionH relativeFrom="column">
              <wp:posOffset>6860540</wp:posOffset>
            </wp:positionH>
            <wp:positionV relativeFrom="paragraph">
              <wp:posOffset>1167765</wp:posOffset>
            </wp:positionV>
            <wp:extent cx="114935" cy="176530"/>
            <wp:effectExtent l="0" t="0" r="18415" b="13970"/>
            <wp:wrapNone/>
            <wp:docPr id="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pic:cNvPicPr>
                      <a:picLocks noChangeAspect="1"/>
                    </pic:cNvPicPr>
                  </pic:nvPicPr>
                  <pic:blipFill>
                    <a:blip r:embed="rId71"/>
                    <a:stretch>
                      <a:fillRect/>
                    </a:stretch>
                  </pic:blipFill>
                  <pic:spPr>
                    <a:xfrm>
                      <a:off x="0" y="0"/>
                      <a:ext cx="114935" cy="176530"/>
                    </a:xfrm>
                    <a:prstGeom prst="rect">
                      <a:avLst/>
                    </a:prstGeom>
                    <a:noFill/>
                    <a:ln>
                      <a:noFill/>
                    </a:ln>
                  </pic:spPr>
                </pic:pic>
              </a:graphicData>
            </a:graphic>
          </wp:anchor>
        </w:drawing>
      </w:r>
      <w:r>
        <mc:AlternateContent>
          <mc:Choice Requires="wps">
            <w:drawing>
              <wp:anchor distT="0" distB="0" distL="114300" distR="114300" simplePos="0" relativeHeight="251669504" behindDoc="0" locked="0" layoutInCell="1" allowOverlap="1">
                <wp:simplePos x="0" y="0"/>
                <wp:positionH relativeFrom="column">
                  <wp:posOffset>6764020</wp:posOffset>
                </wp:positionH>
                <wp:positionV relativeFrom="paragraph">
                  <wp:posOffset>852170</wp:posOffset>
                </wp:positionV>
                <wp:extent cx="304800" cy="152400"/>
                <wp:effectExtent l="6350" t="6350" r="12700" b="12700"/>
                <wp:wrapNone/>
                <wp:docPr id="41" name="矩形 41"/>
                <wp:cNvGraphicFramePr/>
                <a:graphic xmlns:a="http://schemas.openxmlformats.org/drawingml/2006/main">
                  <a:graphicData uri="http://schemas.microsoft.com/office/word/2010/wordprocessingShape">
                    <wps:wsp>
                      <wps:cNvSpPr/>
                      <wps:spPr>
                        <a:xfrm>
                          <a:off x="0" y="0"/>
                          <a:ext cx="304800" cy="15240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2.6pt;margin-top:67.1pt;height:12pt;width:24pt;z-index:251669504;v-text-anchor:middle;mso-width-relative:page;mso-height-relative:page;" filled="f" stroked="t" coordsize="21600,21600" o:gfxdata="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eeupm1wAAAA0BAAAPAAAAAAAAAAEAIAAAACIAAABkcnMvZG93bnJldi54bWxQSwEC&#10;FAAUAAAACACHTuJAk8sDyGcCAADMBAAADgAAAAAAAAABACAAAAAmAQAAZHJzL2Uyb0RvYy54bWxQ&#10;SwUGAAAAAAYABgBZAQAA/wUAAAAA&#10;">
                <v:fill on="f" focussize="0,0"/>
                <v:stroke weight="1pt" color="#FF0000 [2404]" miterlimit="8" joinstyle="miter"/>
                <v:imagedata o:title=""/>
                <o:lock v:ext="edit" aspectratio="f"/>
              </v:rect>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6773545</wp:posOffset>
                </wp:positionH>
                <wp:positionV relativeFrom="paragraph">
                  <wp:posOffset>526415</wp:posOffset>
                </wp:positionV>
                <wp:extent cx="304800" cy="152400"/>
                <wp:effectExtent l="6350" t="6350" r="12700" b="12700"/>
                <wp:wrapNone/>
                <wp:docPr id="40" name="矩形 40"/>
                <wp:cNvGraphicFramePr/>
                <a:graphic xmlns:a="http://schemas.openxmlformats.org/drawingml/2006/main">
                  <a:graphicData uri="http://schemas.microsoft.com/office/word/2010/wordprocessingShape">
                    <wps:wsp>
                      <wps:cNvSpPr/>
                      <wps:spPr>
                        <a:xfrm>
                          <a:off x="0" y="0"/>
                          <a:ext cx="304800" cy="152400"/>
                        </a:xfrm>
                        <a:prstGeom prst="rect">
                          <a:avLst/>
                        </a:prstGeom>
                        <a:noFill/>
                        <a:ln>
                          <a:solidFill>
                            <a:srgbClr val="322CAC"/>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3.35pt;margin-top:41.45pt;height:12pt;width:24pt;z-index:251668480;v-text-anchor:middle;mso-width-relative:page;mso-height-relative:page;" filled="f" stroked="t" coordsize="21600,21600" o:gfxdata="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pJ5JC2AAAAAwBAAAPAAAAAAAAAAEAIAAAACIAAABkcnMvZG93bnJldi54bWxQ&#10;SwECFAAUAAAACACHTuJAm5eKhWkCAADMBAAADgAAAAAAAAABACAAAAAnAQAAZHJzL2Uyb0RvYy54&#10;bWxQSwUGAAAAAAYABgBZAQAAAgYAAAAA&#10;">
                <v:fill on="f" focussize="0,0"/>
                <v:stroke weight="1pt" color="#322CAC [2404]" miterlimit="8" joinstyle="miter"/>
                <v:imagedata o:title=""/>
                <o:lock v:ext="edit" aspectratio="f"/>
              </v:rect>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6684645</wp:posOffset>
                </wp:positionH>
                <wp:positionV relativeFrom="paragraph">
                  <wp:posOffset>76835</wp:posOffset>
                </wp:positionV>
                <wp:extent cx="1584325" cy="1678940"/>
                <wp:effectExtent l="6350" t="6350" r="9525" b="10160"/>
                <wp:wrapNone/>
                <wp:docPr id="10" name="矩形 10"/>
                <wp:cNvGraphicFramePr/>
                <a:graphic xmlns:a="http://schemas.openxmlformats.org/drawingml/2006/main">
                  <a:graphicData uri="http://schemas.microsoft.com/office/word/2010/wordprocessingShape">
                    <wps:wsp>
                      <wps:cNvSpPr/>
                      <wps:spPr>
                        <a:xfrm>
                          <a:off x="0" y="0"/>
                          <a:ext cx="1584325" cy="167894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970F11D">
                            <w:pPr>
                              <w:ind w:firstLine="720" w:firstLineChars="300"/>
                              <w:rPr>
                                <w:color w:val="000000" w:themeColor="text1"/>
                                <w14:textFill>
                                  <w14:solidFill>
                                    <w14:schemeClr w14:val="tx1"/>
                                  </w14:solidFill>
                                </w14:textFill>
                              </w:rPr>
                            </w:pPr>
                            <w:r>
                              <w:rPr>
                                <w:rFonts w:hint="eastAsia"/>
                                <w:color w:val="000000" w:themeColor="text1"/>
                                <w14:textFill>
                                  <w14:solidFill>
                                    <w14:schemeClr w14:val="tx1"/>
                                  </w14:solidFill>
                                </w14:textFill>
                              </w:rPr>
                              <w:t>图例</w:t>
                            </w:r>
                          </w:p>
                          <w:p w14:paraId="23D35EE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厂区范围</w:t>
                            </w:r>
                          </w:p>
                          <w:p w14:paraId="5BADB6E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变电站范围</w:t>
                            </w:r>
                          </w:p>
                          <w:p w14:paraId="07909168">
                            <w:pPr>
                              <w:ind w:left="480" w:leftChars="200"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声环境监测点</w:t>
                            </w:r>
                          </w:p>
                          <w:p w14:paraId="4362E0F4">
                            <w:pPr>
                              <w:ind w:firstLine="0" w:firstLineChars="0"/>
                            </w:pPr>
                            <w:r>
                              <w:rPr>
                                <w:rFonts w:hint="eastAsia"/>
                              </w:rPr>
                              <w:t xml:space="preserve">    </w:t>
                            </w:r>
                            <w:r>
                              <w:rPr>
                                <w:rFonts w:hint="eastAsia"/>
                                <w:color w:val="000000" w:themeColor="text1"/>
                                <w14:textFill>
                                  <w14:solidFill>
                                    <w14:schemeClr w14:val="tx1"/>
                                  </w14:solidFill>
                                </w14:textFill>
                              </w:rPr>
                              <w:t>电磁环境监测点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6.35pt;margin-top:6.05pt;height:132.2pt;width:124.75pt;z-index:251666432;v-text-anchor:middle;mso-width-relative:page;mso-height-relative:page;" filled="f" stroked="t" coordsize="21600,21600" o:gfxdata="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NV90CHZAAAADAEAAA8AAAAAAAAAAQAgAAAAIgAAAGRycy9kb3du&#10;cmV2LnhtbFBLAQIUABQAAAAIAIdO4kAWmD1rcAIAANkEAAAOAAAAAAAAAAEAIAAAACgBAABkcnMv&#10;ZTJvRG9jLnhtbFBLBQYAAAAABgAGAFkBAAAKBgAAAAA=&#10;">
                <v:fill on="f" focussize="0,0"/>
                <v:stroke weight="1pt" color="#000000 [3213]" miterlimit="8" joinstyle="miter"/>
                <v:imagedata o:title=""/>
                <o:lock v:ext="edit" aspectratio="f"/>
                <v:textbox>
                  <w:txbxContent>
                    <w:p w14:paraId="4970F11D">
                      <w:pPr>
                        <w:ind w:firstLine="720" w:firstLineChars="300"/>
                        <w:rPr>
                          <w:color w:val="000000" w:themeColor="text1"/>
                          <w14:textFill>
                            <w14:solidFill>
                              <w14:schemeClr w14:val="tx1"/>
                            </w14:solidFill>
                          </w14:textFill>
                        </w:rPr>
                      </w:pPr>
                      <w:r>
                        <w:rPr>
                          <w:rFonts w:hint="eastAsia"/>
                          <w:color w:val="000000" w:themeColor="text1"/>
                          <w14:textFill>
                            <w14:solidFill>
                              <w14:schemeClr w14:val="tx1"/>
                            </w14:solidFill>
                          </w14:textFill>
                        </w:rPr>
                        <w:t>图例</w:t>
                      </w:r>
                    </w:p>
                    <w:p w14:paraId="23D35EE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厂区范围</w:t>
                      </w:r>
                    </w:p>
                    <w:p w14:paraId="5BADB6E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变电站范围</w:t>
                      </w:r>
                    </w:p>
                    <w:p w14:paraId="07909168">
                      <w:pPr>
                        <w:ind w:left="480" w:leftChars="200"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声环境监测点</w:t>
                      </w:r>
                    </w:p>
                    <w:p w14:paraId="4362E0F4">
                      <w:pPr>
                        <w:ind w:firstLine="0" w:firstLineChars="0"/>
                      </w:pPr>
                      <w:r>
                        <w:rPr>
                          <w:rFonts w:hint="eastAsia"/>
                        </w:rPr>
                        <w:t xml:space="preserve">    </w:t>
                      </w:r>
                      <w:r>
                        <w:rPr>
                          <w:rFonts w:hint="eastAsia"/>
                          <w:color w:val="000000" w:themeColor="text1"/>
                          <w14:textFill>
                            <w14:solidFill>
                              <w14:schemeClr w14:val="tx1"/>
                            </w14:solidFill>
                          </w14:textFill>
                        </w:rPr>
                        <w:t>电磁环境监测点</w:t>
                      </w:r>
                    </w:p>
                  </w:txbxContent>
                </v:textbox>
              </v:rect>
            </w:pict>
          </mc:Fallback>
        </mc:AlternateContent>
      </w:r>
      <w:r>
        <w:drawing>
          <wp:inline distT="0" distB="0" distL="114300" distR="114300">
            <wp:extent cx="8438515" cy="4701540"/>
            <wp:effectExtent l="0" t="0" r="635" b="3810"/>
            <wp:docPr id="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pic:cNvPicPr>
                      <a:picLocks noChangeAspect="1"/>
                    </pic:cNvPicPr>
                  </pic:nvPicPr>
                  <pic:blipFill>
                    <a:blip r:embed="rId72"/>
                    <a:stretch>
                      <a:fillRect/>
                    </a:stretch>
                  </pic:blipFill>
                  <pic:spPr>
                    <a:xfrm>
                      <a:off x="0" y="0"/>
                      <a:ext cx="8438515" cy="4701540"/>
                    </a:xfrm>
                    <a:prstGeom prst="rect">
                      <a:avLst/>
                    </a:prstGeom>
                    <a:noFill/>
                    <a:ln>
                      <a:noFill/>
                    </a:ln>
                  </pic:spPr>
                </pic:pic>
              </a:graphicData>
            </a:graphic>
          </wp:inline>
        </w:drawing>
      </w:r>
    </w:p>
    <w:p w14:paraId="22C8F107">
      <w:pPr>
        <w:pStyle w:val="31"/>
      </w:pPr>
      <w:r>
        <mc:AlternateContent>
          <mc:Choice Requires="wps">
            <w:drawing>
              <wp:anchor distT="0" distB="0" distL="114300" distR="114300" simplePos="0" relativeHeight="251662336" behindDoc="0" locked="0" layoutInCell="1" allowOverlap="1">
                <wp:simplePos x="0" y="0"/>
                <wp:positionH relativeFrom="column">
                  <wp:posOffset>6433820</wp:posOffset>
                </wp:positionH>
                <wp:positionV relativeFrom="paragraph">
                  <wp:posOffset>1416050</wp:posOffset>
                </wp:positionV>
                <wp:extent cx="304800" cy="152400"/>
                <wp:effectExtent l="6350" t="6350" r="12700" b="12700"/>
                <wp:wrapNone/>
                <wp:docPr id="80" name="矩形 80"/>
                <wp:cNvGraphicFramePr/>
                <a:graphic xmlns:a="http://schemas.openxmlformats.org/drawingml/2006/main">
                  <a:graphicData uri="http://schemas.microsoft.com/office/word/2010/wordprocessingShape">
                    <wps:wsp>
                      <wps:cNvSpPr/>
                      <wps:spPr>
                        <a:xfrm>
                          <a:off x="0" y="0"/>
                          <a:ext cx="304800" cy="152400"/>
                        </a:xfrm>
                        <a:prstGeom prst="rect">
                          <a:avLst/>
                        </a:prstGeom>
                        <a:noFill/>
                        <a:ln>
                          <a:solidFill>
                            <a:srgbClr val="F312F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6.6pt;margin-top:111.5pt;height:12pt;width:24pt;z-index:251662336;v-text-anchor:middle;mso-width-relative:page;mso-height-relative:page;" filled="f" stroked="t" coordsize="21600,21600" o:gfxdata="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JwY3RbXAAAADQEAAA8AAAAAAAAAAQAgAAAAIgAAAGRycy9kb3ducmV2LnhtbFBL&#10;AQIUABQAAAAIAIdO4kC7NlDcaQIAAMwEAAAOAAAAAAAAAAEAIAAAACYBAABkcnMvZTJvRG9jLnht&#10;bFBLBQYAAAAABgAGAFkBAAABBgAAAAA=&#10;">
                <v:fill on="f" focussize="0,0"/>
                <v:stroke weight="1pt" color="#F312F1 [2404]" miterlimit="8" joinstyle="miter"/>
                <v:imagedata o:title=""/>
                <o:lock v:ext="edit" aspectratio="f"/>
              </v:rect>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6433820</wp:posOffset>
                </wp:positionH>
                <wp:positionV relativeFrom="paragraph">
                  <wp:posOffset>1111250</wp:posOffset>
                </wp:positionV>
                <wp:extent cx="304800" cy="152400"/>
                <wp:effectExtent l="6350" t="6350" r="12700" b="12700"/>
                <wp:wrapNone/>
                <wp:docPr id="79" name="矩形 79"/>
                <wp:cNvGraphicFramePr/>
                <a:graphic xmlns:a="http://schemas.openxmlformats.org/drawingml/2006/main">
                  <a:graphicData uri="http://schemas.microsoft.com/office/word/2010/wordprocessingShape">
                    <wps:wsp>
                      <wps:cNvSpPr/>
                      <wps:spPr>
                        <a:xfrm>
                          <a:off x="0" y="0"/>
                          <a:ext cx="304800" cy="15240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6.6pt;margin-top:87.5pt;height:12pt;width:24pt;z-index:251661312;v-text-anchor:middle;mso-width-relative:page;mso-height-relative:page;" filled="f" stroked="t" coordsize="21600,21600" o:gfxdata="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Fp1701gAAAA0BAAAPAAAAAAAAAAEAIAAAACIAAABkcnMvZG93bnJldi54bWxQSwEC&#10;FAAUAAAACACHTuJAG0gbA2gCAADMBAAADgAAAAAAAAABACAAAAAlAQAAZHJzL2Uyb0RvYy54bWxQ&#10;SwUGAAAAAAYABgBZAQAA/wUAAAAA&#10;">
                <v:fill on="f" focussize="0,0"/>
                <v:stroke weight="1pt" color="#FF0000 [2404]" miterlimit="8" joinstyle="miter"/>
                <v:imagedata o:title=""/>
                <o:lock v:ext="edit" aspectratio="f"/>
              </v:rect>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6443345</wp:posOffset>
                </wp:positionH>
                <wp:positionV relativeFrom="paragraph">
                  <wp:posOffset>815975</wp:posOffset>
                </wp:positionV>
                <wp:extent cx="304800" cy="152400"/>
                <wp:effectExtent l="6350" t="6350" r="12700" b="12700"/>
                <wp:wrapNone/>
                <wp:docPr id="78" name="矩形 78"/>
                <wp:cNvGraphicFramePr/>
                <a:graphic xmlns:a="http://schemas.openxmlformats.org/drawingml/2006/main">
                  <a:graphicData uri="http://schemas.microsoft.com/office/word/2010/wordprocessingShape">
                    <wps:wsp>
                      <wps:cNvSpPr/>
                      <wps:spPr>
                        <a:xfrm>
                          <a:off x="7357745" y="1960880"/>
                          <a:ext cx="304800" cy="152400"/>
                        </a:xfrm>
                        <a:prstGeom prst="rect">
                          <a:avLst/>
                        </a:prstGeom>
                        <a:noFill/>
                        <a:ln>
                          <a:solidFill>
                            <a:srgbClr val="322CAC"/>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7.35pt;margin-top:64.25pt;height:12pt;width:24pt;z-index:251660288;v-text-anchor:middle;mso-width-relative:page;mso-height-relative:page;" filled="f" stroked="t" coordsize="21600,21600" o:gfxdata="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OvMcj2QAAAA0BAAAPAAAAAAAAAAEAIAAAACIAAABk&#10;cnMvZG93bnJldi54bWxQSwECFAAUAAAACACHTuJAjqm0KncCAADYBAAADgAAAAAAAAABACAAAAAo&#10;AQAAZHJzL2Uyb0RvYy54bWxQSwUGAAAAAAYABgBZAQAAEQYAAAAA&#10;">
                <v:fill on="f" focussize="0,0"/>
                <v:stroke weight="1pt" color="#322CAC [2404]" miterlimit="8" joinstyle="miter"/>
                <v:imagedata o:title=""/>
                <o:lock v:ext="edit" aspectratio="f"/>
              </v:rect>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6377305</wp:posOffset>
                </wp:positionH>
                <wp:positionV relativeFrom="paragraph">
                  <wp:posOffset>358775</wp:posOffset>
                </wp:positionV>
                <wp:extent cx="1456690" cy="2016125"/>
                <wp:effectExtent l="6350" t="6350" r="22860" b="15875"/>
                <wp:wrapNone/>
                <wp:docPr id="77" name="矩形 77"/>
                <wp:cNvGraphicFramePr/>
                <a:graphic xmlns:a="http://schemas.openxmlformats.org/drawingml/2006/main">
                  <a:graphicData uri="http://schemas.microsoft.com/office/word/2010/wordprocessingShape">
                    <wps:wsp>
                      <wps:cNvSpPr/>
                      <wps:spPr>
                        <a:xfrm>
                          <a:off x="7433945" y="1503680"/>
                          <a:ext cx="1456690" cy="201612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2B2DE96">
                            <w:pPr>
                              <w:ind w:firstLine="720" w:firstLineChars="300"/>
                            </w:pPr>
                            <w:r>
                              <w:rPr>
                                <w:rFonts w:hint="eastAsia"/>
                              </w:rPr>
                              <w:t>图例</w:t>
                            </w:r>
                          </w:p>
                          <w:p w14:paraId="0E30B04F">
                            <w:pPr>
                              <w:ind w:firstLine="480"/>
                            </w:pPr>
                            <w:r>
                              <w:rPr>
                                <w:rFonts w:hint="eastAsia"/>
                              </w:rPr>
                              <w:t>厂区范围</w:t>
                            </w:r>
                          </w:p>
                          <w:p w14:paraId="508EE4B2">
                            <w:pPr>
                              <w:ind w:firstLine="480"/>
                            </w:pPr>
                            <w:r>
                              <w:rPr>
                                <w:rFonts w:hint="eastAsia"/>
                              </w:rPr>
                              <w:t>变电站范围</w:t>
                            </w:r>
                          </w:p>
                          <w:p w14:paraId="12AFE378">
                            <w:pPr>
                              <w:ind w:firstLine="480"/>
                            </w:pPr>
                            <w:r>
                              <w:rPr>
                                <w:rFonts w:hint="eastAsia"/>
                              </w:rPr>
                              <w:t>声评价范围</w:t>
                            </w:r>
                          </w:p>
                          <w:p w14:paraId="747A02A0">
                            <w:pPr>
                              <w:ind w:firstLine="480"/>
                            </w:pPr>
                            <w:r>
                              <w:rPr>
                                <w:rFonts w:hint="eastAsia"/>
                              </w:rPr>
                              <w:t>电磁评价范围</w:t>
                            </w:r>
                          </w:p>
                          <w:p w14:paraId="30DD242B">
                            <w:pPr>
                              <w:ind w:firstLine="480"/>
                            </w:pPr>
                            <w:r>
                              <w:rPr>
                                <w:rFonts w:hint="eastAsia"/>
                              </w:rPr>
                              <w:t>生态评价范围</w:t>
                            </w:r>
                          </w:p>
                          <w:p w14:paraId="0B4D56F7">
                            <w:pPr>
                              <w:ind w:firstLine="480"/>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2.15pt;margin-top:28.25pt;height:158.75pt;width:114.7pt;z-index:251659264;v-text-anchor:middle;mso-width-relative:page;mso-height-relative:page;" filled="f" stroked="t" coordsize="21600,21600" o:gfxdata="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aGO9xdkAAAAMAQAADwAAAAAAAAABACAAAAAi&#10;AAAAZHJzL2Rvd25yZXYueG1sUEsBAhQAFAAAAAgAh07iQBm96RB7AgAA5QQAAA4AAAAAAAAAAQAg&#10;AAAAKAEAAGRycy9lMm9Eb2MueG1sUEsFBgAAAAAGAAYAWQEAABUGAAAAAA==&#10;">
                <v:fill on="f" focussize="0,0"/>
                <v:stroke weight="1pt" color="#000000 [3213]" miterlimit="8" joinstyle="miter"/>
                <v:imagedata o:title=""/>
                <o:lock v:ext="edit" aspectratio="f"/>
                <v:textbox>
                  <w:txbxContent>
                    <w:p w14:paraId="62B2DE96">
                      <w:pPr>
                        <w:ind w:firstLine="720" w:firstLineChars="300"/>
                      </w:pPr>
                      <w:r>
                        <w:rPr>
                          <w:rFonts w:hint="eastAsia"/>
                        </w:rPr>
                        <w:t>图例</w:t>
                      </w:r>
                    </w:p>
                    <w:p w14:paraId="0E30B04F">
                      <w:pPr>
                        <w:ind w:firstLine="480"/>
                      </w:pPr>
                      <w:r>
                        <w:rPr>
                          <w:rFonts w:hint="eastAsia"/>
                        </w:rPr>
                        <w:t>厂区范围</w:t>
                      </w:r>
                    </w:p>
                    <w:p w14:paraId="508EE4B2">
                      <w:pPr>
                        <w:ind w:firstLine="480"/>
                      </w:pPr>
                      <w:r>
                        <w:rPr>
                          <w:rFonts w:hint="eastAsia"/>
                        </w:rPr>
                        <w:t>变电站范围</w:t>
                      </w:r>
                    </w:p>
                    <w:p w14:paraId="12AFE378">
                      <w:pPr>
                        <w:ind w:firstLine="480"/>
                      </w:pPr>
                      <w:r>
                        <w:rPr>
                          <w:rFonts w:hint="eastAsia"/>
                        </w:rPr>
                        <w:t>声评价范围</w:t>
                      </w:r>
                    </w:p>
                    <w:p w14:paraId="747A02A0">
                      <w:pPr>
                        <w:ind w:firstLine="480"/>
                      </w:pPr>
                      <w:r>
                        <w:rPr>
                          <w:rFonts w:hint="eastAsia"/>
                        </w:rPr>
                        <w:t>电磁评价范围</w:t>
                      </w:r>
                    </w:p>
                    <w:p w14:paraId="30DD242B">
                      <w:pPr>
                        <w:ind w:firstLine="480"/>
                      </w:pPr>
                      <w:r>
                        <w:rPr>
                          <w:rFonts w:hint="eastAsia"/>
                        </w:rPr>
                        <w:t>生态评价范围</w:t>
                      </w:r>
                    </w:p>
                    <w:p w14:paraId="0B4D56F7">
                      <w:pPr>
                        <w:ind w:firstLine="480"/>
                      </w:pPr>
                    </w:p>
                  </w:txbxContent>
                </v:textbox>
              </v:rect>
            </w:pict>
          </mc:Fallback>
        </mc:AlternateContent>
      </w:r>
      <w:r>
        <w:rPr>
          <w:rFonts w:hint="eastAsia"/>
        </w:rPr>
        <w:t>附图3 变电站和厂区位置关系及评价范围图</w:t>
      </w:r>
    </w:p>
    <w:p w14:paraId="248667CF">
      <w:pPr>
        <w:pStyle w:val="31"/>
        <w:sectPr>
          <w:pgSz w:w="16838" w:h="11906" w:orient="landscape"/>
          <w:pgMar w:top="1803" w:right="1440" w:bottom="1803" w:left="1440" w:header="851" w:footer="992" w:gutter="0"/>
          <w:cols w:space="0" w:num="1"/>
          <w:docGrid w:type="lines" w:linePitch="332" w:charSpace="0"/>
        </w:sectPr>
      </w:pPr>
      <w:r>
        <mc:AlternateContent>
          <mc:Choice Requires="wps">
            <w:drawing>
              <wp:anchor distT="0" distB="0" distL="114300" distR="114300" simplePos="0" relativeHeight="251671552" behindDoc="0" locked="0" layoutInCell="1" allowOverlap="1">
                <wp:simplePos x="0" y="0"/>
                <wp:positionH relativeFrom="column">
                  <wp:posOffset>6445250</wp:posOffset>
                </wp:positionH>
                <wp:positionV relativeFrom="paragraph">
                  <wp:posOffset>1739900</wp:posOffset>
                </wp:positionV>
                <wp:extent cx="304800" cy="152400"/>
                <wp:effectExtent l="6350" t="6350" r="12700" b="12700"/>
                <wp:wrapNone/>
                <wp:docPr id="45" name="矩形 45"/>
                <wp:cNvGraphicFramePr/>
                <a:graphic xmlns:a="http://schemas.openxmlformats.org/drawingml/2006/main">
                  <a:graphicData uri="http://schemas.microsoft.com/office/word/2010/wordprocessingShape">
                    <wps:wsp>
                      <wps:cNvSpPr/>
                      <wps:spPr>
                        <a:xfrm>
                          <a:off x="0" y="0"/>
                          <a:ext cx="304800" cy="152400"/>
                        </a:xfrm>
                        <a:prstGeom prst="rect">
                          <a:avLst/>
                        </a:prstGeom>
                        <a:noFill/>
                        <a:ln>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7.5pt;margin-top:137pt;height:12pt;width:24pt;z-index:251671552;v-text-anchor:middle;mso-width-relative:page;mso-height-relative:page;" filled="f" stroked="t" coordsize="21600,21600" o:gfxdata="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8VIgU2AAAAA0BAAAPAAAAAAAAAAEAIAAAACIAAABkcnMvZG93bnJldi54bWxQ&#10;SwECFAAUAAAACACHTuJAjOWX8GkCAADMBAAADgAAAAAAAAABACAAAAAnAQAAZHJzL2Uyb0RvYy54&#10;bWxQSwUGAAAAAAYABgBZAQAAAgYAAAAA&#10;">
                <v:fill on="f" focussize="0,0"/>
                <v:stroke weight="1pt" color="#92D050 [2404]" miterlimit="8" joinstyle="miter"/>
                <v:imagedata o:title=""/>
                <o:lock v:ext="edit" aspectratio="f"/>
              </v:rect>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6459855</wp:posOffset>
                </wp:positionH>
                <wp:positionV relativeFrom="paragraph">
                  <wp:posOffset>1395095</wp:posOffset>
                </wp:positionV>
                <wp:extent cx="304800" cy="152400"/>
                <wp:effectExtent l="6350" t="6350" r="12700" b="12700"/>
                <wp:wrapNone/>
                <wp:docPr id="102" name="矩形 102"/>
                <wp:cNvGraphicFramePr/>
                <a:graphic xmlns:a="http://schemas.openxmlformats.org/drawingml/2006/main">
                  <a:graphicData uri="http://schemas.microsoft.com/office/word/2010/wordprocessingShape">
                    <wps:wsp>
                      <wps:cNvSpPr/>
                      <wps:spPr>
                        <a:xfrm>
                          <a:off x="0" y="0"/>
                          <a:ext cx="304800" cy="152400"/>
                        </a:xfrm>
                        <a:prstGeom prst="rect">
                          <a:avLst/>
                        </a:prstGeom>
                        <a:noFill/>
                        <a:ln>
                          <a:solidFill>
                            <a:srgbClr val="CECC1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8.65pt;margin-top:109.85pt;height:12pt;width:24pt;z-index:251665408;v-text-anchor:middle;mso-width-relative:page;mso-height-relative:page;" filled="f" stroked="t" coordsize="21600,21600" o:gfxdata="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E+X7N2gAAAA0BAAAPAAAAAAAAAAEAIAAAACIAAABkcnMvZG93bnJldi54&#10;bWxQSwECFAAUAAAACACHTuJAgsBy5GoCAADOBAAADgAAAAAAAAABACAAAAApAQAAZHJzL2Uyb0Rv&#10;Yy54bWxQSwUGAAAAAAYABgBZAQAABQYAAAAA&#10;">
                <v:fill on="f" focussize="0,0"/>
                <v:stroke weight="1pt" color="#CECC14 [2404]" miterlimit="8" joinstyle="miter"/>
                <v:imagedata o:title=""/>
                <o:lock v:ext="edit" aspectratio="f"/>
              </v:rect>
            </w:pict>
          </mc:Fallback>
        </mc:AlternateContent>
      </w:r>
      <w:r>
        <w:drawing>
          <wp:anchor distT="0" distB="0" distL="114300" distR="114300" simplePos="0" relativeHeight="251664384" behindDoc="0" locked="0" layoutInCell="1" allowOverlap="1">
            <wp:simplePos x="0" y="0"/>
            <wp:positionH relativeFrom="column">
              <wp:posOffset>97790</wp:posOffset>
            </wp:positionH>
            <wp:positionV relativeFrom="paragraph">
              <wp:posOffset>3880485</wp:posOffset>
            </wp:positionV>
            <wp:extent cx="546100" cy="610235"/>
            <wp:effectExtent l="0" t="0" r="6350" b="18415"/>
            <wp:wrapNone/>
            <wp:docPr id="99" name="图片 5" descr="beac27ef7829a14d1e9311211187d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 descr="beac27ef7829a14d1e9311211187d50"/>
                    <pic:cNvPicPr>
                      <a:picLocks noChangeAspect="1"/>
                    </pic:cNvPicPr>
                  </pic:nvPicPr>
                  <pic:blipFill>
                    <a:blip r:embed="rId69"/>
                    <a:stretch>
                      <a:fillRect/>
                    </a:stretch>
                  </pic:blipFill>
                  <pic:spPr>
                    <a:xfrm>
                      <a:off x="0" y="0"/>
                      <a:ext cx="546100" cy="610235"/>
                    </a:xfrm>
                    <a:prstGeom prst="rect">
                      <a:avLst/>
                    </a:prstGeom>
                    <a:noFill/>
                    <a:ln>
                      <a:noFill/>
                    </a:ln>
                  </pic:spPr>
                </pic:pic>
              </a:graphicData>
            </a:graphic>
          </wp:anchor>
        </w:drawing>
      </w:r>
      <w:r>
        <w:drawing>
          <wp:inline distT="0" distB="0" distL="114300" distR="114300">
            <wp:extent cx="7866380" cy="4812030"/>
            <wp:effectExtent l="0" t="0" r="1270" b="762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73"/>
                    <a:stretch>
                      <a:fillRect/>
                    </a:stretch>
                  </pic:blipFill>
                  <pic:spPr>
                    <a:xfrm>
                      <a:off x="0" y="0"/>
                      <a:ext cx="7866380" cy="4812030"/>
                    </a:xfrm>
                    <a:prstGeom prst="rect">
                      <a:avLst/>
                    </a:prstGeom>
                    <a:noFill/>
                    <a:ln>
                      <a:noFill/>
                    </a:ln>
                  </pic:spPr>
                </pic:pic>
              </a:graphicData>
            </a:graphic>
          </wp:inline>
        </w:drawing>
      </w:r>
    </w:p>
    <w:p w14:paraId="4FB8102E">
      <w:pPr>
        <w:pStyle w:val="31"/>
        <w:jc w:val="both"/>
        <w:rPr>
          <w:rStyle w:val="24"/>
          <w:rFonts w:cstheme="minorBidi"/>
          <w:b w:val="0"/>
        </w:rPr>
      </w:pPr>
      <w:r>
        <w:rPr>
          <w:rFonts w:hint="eastAsia"/>
        </w:rPr>
        <w:t>附图4 平面布置图</w:t>
      </w:r>
    </w:p>
    <w:p w14:paraId="0B6517EC">
      <w:pPr>
        <w:pStyle w:val="31"/>
        <w:jc w:val="both"/>
        <w:sectPr>
          <w:pgSz w:w="11906" w:h="16838"/>
          <w:pgMar w:top="1440" w:right="1803" w:bottom="1440" w:left="1803" w:header="851" w:footer="992" w:gutter="0"/>
          <w:cols w:space="0" w:num="1"/>
          <w:rtlGutter w:val="0"/>
          <w:docGrid w:type="lines" w:linePitch="332" w:charSpace="0"/>
        </w:sectPr>
      </w:pPr>
      <w:r>
        <w:rPr>
          <w:sz w:val="24"/>
        </w:rPr>
        <mc:AlternateContent>
          <mc:Choice Requires="wps">
            <w:drawing>
              <wp:anchor distT="0" distB="0" distL="114300" distR="114300" simplePos="0" relativeHeight="251685888" behindDoc="0" locked="0" layoutInCell="1" allowOverlap="1">
                <wp:simplePos x="0" y="0"/>
                <wp:positionH relativeFrom="column">
                  <wp:posOffset>4052570</wp:posOffset>
                </wp:positionH>
                <wp:positionV relativeFrom="paragraph">
                  <wp:posOffset>3411855</wp:posOffset>
                </wp:positionV>
                <wp:extent cx="1024255" cy="1532255"/>
                <wp:effectExtent l="9525" t="9525" r="13970" b="20320"/>
                <wp:wrapNone/>
                <wp:docPr id="48" name="矩形 48"/>
                <wp:cNvGraphicFramePr/>
                <a:graphic xmlns:a="http://schemas.openxmlformats.org/drawingml/2006/main">
                  <a:graphicData uri="http://schemas.microsoft.com/office/word/2010/wordprocessingShape">
                    <wps:wsp>
                      <wps:cNvSpPr/>
                      <wps:spPr>
                        <a:xfrm>
                          <a:off x="5197475" y="4667885"/>
                          <a:ext cx="1024255" cy="1532255"/>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0C66C0A">
                            <w:pPr>
                              <w:ind w:left="0" w:leftChars="0" w:firstLine="0" w:firstLineChars="0"/>
                              <w:jc w:val="both"/>
                              <w:rPr>
                                <w:rFonts w:hint="eastAsia" w:eastAsia="宋体"/>
                                <w:color w:val="FF0000"/>
                                <w:sz w:val="28"/>
                                <w:szCs w:val="24"/>
                                <w:lang w:val="en-US" w:eastAsia="zh-CN"/>
                              </w:rPr>
                            </w:pPr>
                            <w:r>
                              <w:rPr>
                                <w:rFonts w:hint="eastAsia"/>
                                <w:color w:val="FF0000"/>
                                <w:sz w:val="28"/>
                                <w:szCs w:val="24"/>
                                <w:lang w:val="en-US" w:eastAsia="zh-CN"/>
                              </w:rPr>
                              <w:t>出线间隔</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9.1pt;margin-top:268.65pt;height:120.65pt;width:80.65pt;z-index:251685888;v-text-anchor:middle;mso-width-relative:page;mso-height-relative:page;" filled="f" stroked="t" coordsize="21600,21600" o:gfxdata="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LeOd2doAAAALAQAADwAAAAAAAAAB&#10;ACAAAAAiAAAAZHJzL2Rvd25yZXYueG1sUEsBAhQAFAAAAAgAh07iQFSip2GAAgAA5QQAAA4AAAAA&#10;AAAAAQAgAAAAKQEAAGRycy9lMm9Eb2MueG1sUEsFBgAAAAAGAAYAWQEAABsGAAAAAA==&#10;">
                <v:fill on="f" focussize="0,0"/>
                <v:stroke weight="1.5pt" color="#FF0000 [2404]" miterlimit="8" joinstyle="miter"/>
                <v:imagedata o:title=""/>
                <o:lock v:ext="edit" aspectratio="f"/>
                <v:textbox>
                  <w:txbxContent>
                    <w:p w14:paraId="50C66C0A">
                      <w:pPr>
                        <w:ind w:left="0" w:leftChars="0" w:firstLine="0" w:firstLineChars="0"/>
                        <w:jc w:val="both"/>
                        <w:rPr>
                          <w:rFonts w:hint="eastAsia" w:eastAsia="宋体"/>
                          <w:color w:val="FF0000"/>
                          <w:sz w:val="28"/>
                          <w:szCs w:val="24"/>
                          <w:lang w:val="en-US" w:eastAsia="zh-CN"/>
                        </w:rPr>
                      </w:pPr>
                      <w:r>
                        <w:rPr>
                          <w:rFonts w:hint="eastAsia"/>
                          <w:color w:val="FF0000"/>
                          <w:sz w:val="28"/>
                          <w:szCs w:val="24"/>
                          <w:lang w:val="en-US" w:eastAsia="zh-CN"/>
                        </w:rPr>
                        <w:t>出线间隔</w:t>
                      </w:r>
                    </w:p>
                  </w:txbxContent>
                </v:textbox>
              </v:rect>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2187575</wp:posOffset>
                </wp:positionH>
                <wp:positionV relativeFrom="paragraph">
                  <wp:posOffset>5146040</wp:posOffset>
                </wp:positionV>
                <wp:extent cx="412750" cy="190500"/>
                <wp:effectExtent l="9525" t="9525" r="15875" b="9525"/>
                <wp:wrapNone/>
                <wp:docPr id="47" name="矩形 47"/>
                <wp:cNvGraphicFramePr/>
                <a:graphic xmlns:a="http://schemas.openxmlformats.org/drawingml/2006/main">
                  <a:graphicData uri="http://schemas.microsoft.com/office/word/2010/wordprocessingShape">
                    <wps:wsp>
                      <wps:cNvSpPr/>
                      <wps:spPr>
                        <a:xfrm>
                          <a:off x="3332480" y="6402070"/>
                          <a:ext cx="412750" cy="190500"/>
                        </a:xfrm>
                        <a:prstGeom prst="rect">
                          <a:avLst/>
                        </a:prstGeom>
                        <a:noFill/>
                        <a:ln w="19050">
                          <a:solidFill>
                            <a:srgbClr val="7030A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2.25pt;margin-top:405.2pt;height:15pt;width:32.5pt;z-index:251684864;v-text-anchor:middle;mso-width-relative:page;mso-height-relative:page;" filled="f" stroked="t" coordsize="21600,21600" o:gfxdata="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FicDGTXAAAACwEAAA8AAAAAAAAAAQAgAAAAIgAAAGRycy9k&#10;b3ducmV2LnhtbFBLAQIUABQAAAAIAIdO4kBuGv/ndQIAANgEAAAOAAAAAAAAAAEAIAAAACYBAABk&#10;cnMvZTJvRG9jLnhtbFBLBQYAAAAABgAGAFkBAAANBgAAAAA=&#10;">
                <v:fill on="f" focussize="0,0"/>
                <v:stroke weight="1.5pt" color="#7030A0 [2404]" miterlimit="8" joinstyle="miter"/>
                <v:imagedata o:title=""/>
                <o:lock v:ext="edit" aspectratio="f"/>
              </v:rect>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2219325</wp:posOffset>
                </wp:positionH>
                <wp:positionV relativeFrom="paragraph">
                  <wp:posOffset>4170045</wp:posOffset>
                </wp:positionV>
                <wp:extent cx="555625" cy="666750"/>
                <wp:effectExtent l="9525" t="9525" r="25400" b="9525"/>
                <wp:wrapNone/>
                <wp:docPr id="22" name="矩形 22"/>
                <wp:cNvGraphicFramePr/>
                <a:graphic xmlns:a="http://schemas.openxmlformats.org/drawingml/2006/main">
                  <a:graphicData uri="http://schemas.microsoft.com/office/word/2010/wordprocessingShape">
                    <wps:wsp>
                      <wps:cNvSpPr/>
                      <wps:spPr>
                        <a:xfrm>
                          <a:off x="3364230" y="5426075"/>
                          <a:ext cx="555625" cy="666750"/>
                        </a:xfrm>
                        <a:prstGeom prst="rect">
                          <a:avLst/>
                        </a:prstGeom>
                        <a:noFill/>
                        <a:ln w="19050">
                          <a:solidFill>
                            <a:schemeClr val="accent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44129DD">
                            <w:pPr>
                              <w:ind w:left="0" w:leftChars="0" w:firstLine="0" w:firstLineChars="0"/>
                              <w:jc w:val="both"/>
                              <w:rPr>
                                <w:rFonts w:hint="eastAsia" w:eastAsia="宋体"/>
                                <w:color w:val="FF0000"/>
                                <w:sz w:val="24"/>
                                <w:szCs w:val="22"/>
                                <w:lang w:val="en-US" w:eastAsia="zh-CN"/>
                              </w:rPr>
                            </w:pPr>
                            <w:r>
                              <w:rPr>
                                <w:rFonts w:hint="eastAsia"/>
                                <w:color w:val="FF0000"/>
                                <w:sz w:val="24"/>
                                <w:szCs w:val="22"/>
                                <w:lang w:val="en-US" w:eastAsia="zh-CN"/>
                              </w:rPr>
                              <w:t>主变</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4.75pt;margin-top:328.35pt;height:52.5pt;width:43.75pt;z-index:251683840;v-text-anchor:middle;mso-width-relative:page;mso-height-relative:page;" filled="f" stroked="t" coordsize="21600,21600" o:gfxdata="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RiJz22gAAAAsBAAAPAAAAAAAA&#10;AAEAIAAAACIAAABkcnMvZG93bnJldi54bWxQSwECFAAUAAAACACHTuJADcQjG4ICAADjBAAADgAA&#10;AAAAAAABACAAAAApAQAAZHJzL2Uyb0RvYy54bWxQSwUGAAAAAAYABgBZAQAAHQYAAAAA&#10;">
                <v:fill on="f" focussize="0,0"/>
                <v:stroke weight="1.5pt" color="#4472C4 [3204]" miterlimit="8" joinstyle="miter"/>
                <v:imagedata o:title=""/>
                <o:lock v:ext="edit" aspectratio="f"/>
                <v:textbox>
                  <w:txbxContent>
                    <w:p w14:paraId="344129DD">
                      <w:pPr>
                        <w:ind w:left="0" w:leftChars="0" w:firstLine="0" w:firstLineChars="0"/>
                        <w:jc w:val="both"/>
                        <w:rPr>
                          <w:rFonts w:hint="eastAsia" w:eastAsia="宋体"/>
                          <w:color w:val="FF0000"/>
                          <w:sz w:val="24"/>
                          <w:szCs w:val="22"/>
                          <w:lang w:val="en-US" w:eastAsia="zh-CN"/>
                        </w:rPr>
                      </w:pPr>
                      <w:r>
                        <w:rPr>
                          <w:rFonts w:hint="eastAsia"/>
                          <w:color w:val="FF0000"/>
                          <w:sz w:val="24"/>
                          <w:szCs w:val="22"/>
                          <w:lang w:val="en-US" w:eastAsia="zh-CN"/>
                        </w:rPr>
                        <w:t>主变</w:t>
                      </w:r>
                    </w:p>
                  </w:txbxContent>
                </v:textbox>
              </v:rect>
            </w:pict>
          </mc:Fallback>
        </mc:AlternateContent>
      </w:r>
      <w:r>
        <w:drawing>
          <wp:inline distT="0" distB="0" distL="114300" distR="114300">
            <wp:extent cx="5233670" cy="6375400"/>
            <wp:effectExtent l="0" t="0" r="5080" b="635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74"/>
                    <a:stretch>
                      <a:fillRect/>
                    </a:stretch>
                  </pic:blipFill>
                  <pic:spPr>
                    <a:xfrm>
                      <a:off x="0" y="0"/>
                      <a:ext cx="5233670" cy="6375400"/>
                    </a:xfrm>
                    <a:prstGeom prst="rect">
                      <a:avLst/>
                    </a:prstGeom>
                    <a:noFill/>
                    <a:ln>
                      <a:noFill/>
                    </a:ln>
                  </pic:spPr>
                </pic:pic>
              </a:graphicData>
            </a:graphic>
          </wp:inline>
        </w:drawing>
      </w:r>
    </w:p>
    <w:p w14:paraId="0295CA3E">
      <w:pPr>
        <w:pStyle w:val="31"/>
        <w:jc w:val="both"/>
        <w:rPr>
          <w:rFonts w:hint="eastAsia" w:ascii="宋体" w:hAnsi="宋体" w:cs="宋体"/>
          <w:szCs w:val="24"/>
        </w:rPr>
      </w:pPr>
      <w:r>
        <w:rPr>
          <w:rFonts w:hint="eastAsia"/>
        </w:rPr>
        <w:t>附图5 项目在</w:t>
      </w:r>
      <w:r>
        <w:rPr>
          <w:rFonts w:ascii="宋体" w:hAnsi="宋体" w:cs="宋体"/>
          <w:szCs w:val="24"/>
        </w:rPr>
        <w:t>内蒙古自治区主体功能区规划图中</w:t>
      </w:r>
      <w:r>
        <w:rPr>
          <w:rFonts w:hint="eastAsia" w:ascii="宋体" w:hAnsi="宋体" w:cs="宋体"/>
          <w:szCs w:val="24"/>
        </w:rPr>
        <w:t>位置</w:t>
      </w:r>
    </w:p>
    <w:p w14:paraId="7FA8425E">
      <w:pPr>
        <w:pStyle w:val="31"/>
        <w:jc w:val="both"/>
        <w:rPr>
          <w:rFonts w:hint="eastAsia" w:ascii="宋体" w:hAnsi="宋体" w:cs="宋体"/>
          <w:szCs w:val="24"/>
        </w:rPr>
      </w:pPr>
      <w:r>
        <mc:AlternateContent>
          <mc:Choice Requires="wps">
            <w:drawing>
              <wp:anchor distT="0" distB="0" distL="114300" distR="114300" simplePos="0" relativeHeight="251679744" behindDoc="0" locked="0" layoutInCell="1" allowOverlap="1">
                <wp:simplePos x="0" y="0"/>
                <wp:positionH relativeFrom="column">
                  <wp:posOffset>3735705</wp:posOffset>
                </wp:positionH>
                <wp:positionV relativeFrom="paragraph">
                  <wp:posOffset>3542030</wp:posOffset>
                </wp:positionV>
                <wp:extent cx="1010920" cy="367030"/>
                <wp:effectExtent l="306070" t="343535" r="16510" b="13335"/>
                <wp:wrapNone/>
                <wp:docPr id="52" name="矩形标注 52"/>
                <wp:cNvGraphicFramePr/>
                <a:graphic xmlns:a="http://schemas.openxmlformats.org/drawingml/2006/main">
                  <a:graphicData uri="http://schemas.microsoft.com/office/word/2010/wordprocessingShape">
                    <wps:wsp>
                      <wps:cNvSpPr/>
                      <wps:spPr>
                        <a:xfrm>
                          <a:off x="0" y="0"/>
                          <a:ext cx="1010920" cy="367030"/>
                        </a:xfrm>
                        <a:prstGeom prst="wedgeRectCallout">
                          <a:avLst>
                            <a:gd name="adj1" fmla="val -75879"/>
                            <a:gd name="adj2" fmla="val -136332"/>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175B2C40">
                            <w:pPr>
                              <w:ind w:firstLine="0" w:firstLineChars="0"/>
                              <w:rPr>
                                <w:color w:val="FF0000"/>
                              </w:rPr>
                            </w:pPr>
                            <w:r>
                              <w:rPr>
                                <w:rFonts w:hint="eastAsia"/>
                                <w:color w:val="FF0000"/>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4.15pt;margin-top:278.9pt;height:28.9pt;width:79.6pt;z-index:251679744;v-text-anchor:middle;mso-width-relative:page;mso-height-relative:page;" filled="f" stroked="t" coordsize="21600,21600" o:gfxdata="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JlLp2LbAAAACwEAAA8AAAAA&#10;AAAAAQAgAAAAIgAAAGRycy9kb3ducmV2LnhtbFBLAQIUABQAAAAIAIdO4kCG1VhrvAIAAGAFAAAO&#10;AAAAAAAAAAEAIAAAACoBAABkcnMvZTJvRG9jLnhtbFBLBQYAAAAABgAGAFkBAABYBgAAAAA=&#10;" adj="-5590,-18648">
                <v:fill on="f" focussize="0,0"/>
                <v:stroke weight="1pt" color="#2F5597 [2404]" miterlimit="8" joinstyle="miter"/>
                <v:imagedata o:title=""/>
                <o:lock v:ext="edit" aspectratio="f"/>
                <v:textbox>
                  <w:txbxContent>
                    <w:p w14:paraId="175B2C40">
                      <w:pPr>
                        <w:ind w:firstLine="0" w:firstLineChars="0"/>
                        <w:rPr>
                          <w:color w:val="FF0000"/>
                        </w:rPr>
                      </w:pPr>
                      <w:r>
                        <w:rPr>
                          <w:rFonts w:hint="eastAsia"/>
                          <w:color w:val="FF0000"/>
                        </w:rPr>
                        <w:t>本项目位置</w:t>
                      </w:r>
                    </w:p>
                  </w:txbxContent>
                </v:textbox>
              </v:shape>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3391535</wp:posOffset>
                </wp:positionH>
                <wp:positionV relativeFrom="paragraph">
                  <wp:posOffset>3152775</wp:posOffset>
                </wp:positionV>
                <wp:extent cx="75565" cy="75565"/>
                <wp:effectExtent l="10160" t="13970" r="28575" b="24765"/>
                <wp:wrapNone/>
                <wp:docPr id="46" name="等腰三角形 46"/>
                <wp:cNvGraphicFramePr/>
                <a:graphic xmlns:a="http://schemas.openxmlformats.org/drawingml/2006/main">
                  <a:graphicData uri="http://schemas.microsoft.com/office/word/2010/wordprocessingShape">
                    <wps:wsp>
                      <wps:cNvSpPr/>
                      <wps:spPr>
                        <a:xfrm>
                          <a:off x="0" y="0"/>
                          <a:ext cx="75565" cy="75565"/>
                        </a:xfrm>
                        <a:prstGeom prst="triangl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67.05pt;margin-top:248.25pt;height:5.95pt;width:5.95pt;z-index:251678720;v-text-anchor:middle;mso-width-relative:page;mso-height-relative:page;" fillcolor="#FF0000" filled="t" stroked="t" coordsize="21600,21600" o:gfxdata="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AWxQ57cAAAACwEAAA8AAAAAAAAAAQAg&#10;AAAAIgAAAGRycy9kb3ducmV2LnhtbFBLAQIUABQAAAAIAIdO4kCztFREfAIAAAAFAAAOAAAAAAAA&#10;AAEAIAAAACsBAABkcnMvZTJvRG9jLnhtbFBLBQYAAAAABgAGAFkBAAAZBgAAAAA=&#10;" adj="10800">
                <v:fill on="t" focussize="0,0"/>
                <v:stroke weight="1pt" color="#FF0000 [2404]" miterlimit="8" joinstyle="miter"/>
                <v:imagedata o:title=""/>
                <o:lock v:ext="edit" aspectratio="f"/>
              </v:shape>
            </w:pict>
          </mc:Fallback>
        </mc:AlternateContent>
      </w:r>
      <w:r>
        <w:drawing>
          <wp:inline distT="0" distB="0" distL="114300" distR="114300">
            <wp:extent cx="6148705" cy="4789170"/>
            <wp:effectExtent l="0" t="0" r="4445" b="1143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75"/>
                    <a:stretch>
                      <a:fillRect/>
                    </a:stretch>
                  </pic:blipFill>
                  <pic:spPr>
                    <a:xfrm>
                      <a:off x="0" y="0"/>
                      <a:ext cx="6148705" cy="4789170"/>
                    </a:xfrm>
                    <a:prstGeom prst="rect">
                      <a:avLst/>
                    </a:prstGeom>
                    <a:noFill/>
                    <a:ln>
                      <a:noFill/>
                    </a:ln>
                  </pic:spPr>
                </pic:pic>
              </a:graphicData>
            </a:graphic>
          </wp:inline>
        </w:drawing>
      </w:r>
    </w:p>
    <w:p w14:paraId="777FA028">
      <w:pPr>
        <w:pStyle w:val="31"/>
        <w:jc w:val="both"/>
      </w:pPr>
      <w:r>
        <w:rPr>
          <w:rFonts w:hint="eastAsia"/>
        </w:rPr>
        <w:t>附图6 项目与全国生态功能区划位置关系图</w:t>
      </w:r>
    </w:p>
    <w:p w14:paraId="334C77D3">
      <w:pPr>
        <w:pStyle w:val="31"/>
        <w:jc w:val="both"/>
        <w:rPr>
          <w:rFonts w:cs="Times New Roman"/>
        </w:rPr>
      </w:pPr>
      <w:r>
        <mc:AlternateContent>
          <mc:Choice Requires="wps">
            <w:drawing>
              <wp:anchor distT="0" distB="0" distL="114300" distR="114300" simplePos="0" relativeHeight="251677696" behindDoc="0" locked="0" layoutInCell="1" allowOverlap="1">
                <wp:simplePos x="0" y="0"/>
                <wp:positionH relativeFrom="column">
                  <wp:posOffset>4629785</wp:posOffset>
                </wp:positionH>
                <wp:positionV relativeFrom="paragraph">
                  <wp:posOffset>2011045</wp:posOffset>
                </wp:positionV>
                <wp:extent cx="1010920" cy="367030"/>
                <wp:effectExtent l="306070" t="343535" r="16510" b="13335"/>
                <wp:wrapNone/>
                <wp:docPr id="39" name="矩形标注 39"/>
                <wp:cNvGraphicFramePr/>
                <a:graphic xmlns:a="http://schemas.openxmlformats.org/drawingml/2006/main">
                  <a:graphicData uri="http://schemas.microsoft.com/office/word/2010/wordprocessingShape">
                    <wps:wsp>
                      <wps:cNvSpPr/>
                      <wps:spPr>
                        <a:xfrm>
                          <a:off x="5544185" y="3497580"/>
                          <a:ext cx="1010920" cy="367030"/>
                        </a:xfrm>
                        <a:prstGeom prst="wedgeRectCallout">
                          <a:avLst>
                            <a:gd name="adj1" fmla="val -75879"/>
                            <a:gd name="adj2" fmla="val -136332"/>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17E6E6E2">
                            <w:pPr>
                              <w:ind w:firstLine="0" w:firstLineChars="0"/>
                              <w:rPr>
                                <w:color w:val="FF0000"/>
                              </w:rPr>
                            </w:pPr>
                            <w:r>
                              <w:rPr>
                                <w:rFonts w:hint="eastAsia"/>
                                <w:color w:val="FF0000"/>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64.55pt;margin-top:158.35pt;height:28.9pt;width:79.6pt;z-index:251677696;v-text-anchor:middle;mso-width-relative:page;mso-height-relative:page;" filled="f" stroked="t" coordsize="21600,21600" o:gfxdata="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DQl3xnb&#10;AAAACwEAAA8AAAAAAAAAAQAgAAAAIgAAAGRycy9kb3ducmV2LnhtbFBLAQIUABQAAAAIAIdO4kCE&#10;1TLMyAIAAGwFAAAOAAAAAAAAAAEAIAAAACoBAABkcnMvZTJvRG9jLnhtbFBLBQYAAAAABgAGAFkB&#10;AABkBgAAAAA=&#10;" adj="-5590,-18648">
                <v:fill on="f" focussize="0,0"/>
                <v:stroke weight="1pt" color="#2F5597 [2404]" miterlimit="8" joinstyle="miter"/>
                <v:imagedata o:title=""/>
                <o:lock v:ext="edit" aspectratio="f"/>
                <v:textbox>
                  <w:txbxContent>
                    <w:p w14:paraId="17E6E6E2">
                      <w:pPr>
                        <w:ind w:firstLine="0" w:firstLineChars="0"/>
                        <w:rPr>
                          <w:color w:val="FF0000"/>
                        </w:rPr>
                      </w:pPr>
                      <w:r>
                        <w:rPr>
                          <w:rFonts w:hint="eastAsia"/>
                          <w:color w:val="FF0000"/>
                        </w:rPr>
                        <w:t>本项目位置</w:t>
                      </w:r>
                    </w:p>
                  </w:txbxContent>
                </v:textbox>
              </v:shap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4285615</wp:posOffset>
                </wp:positionH>
                <wp:positionV relativeFrom="paragraph">
                  <wp:posOffset>1628775</wp:posOffset>
                </wp:positionV>
                <wp:extent cx="75565" cy="75565"/>
                <wp:effectExtent l="10160" t="13970" r="28575" b="24765"/>
                <wp:wrapNone/>
                <wp:docPr id="37" name="等腰三角形 37"/>
                <wp:cNvGraphicFramePr/>
                <a:graphic xmlns:a="http://schemas.openxmlformats.org/drawingml/2006/main">
                  <a:graphicData uri="http://schemas.microsoft.com/office/word/2010/wordprocessingShape">
                    <wps:wsp>
                      <wps:cNvSpPr/>
                      <wps:spPr>
                        <a:xfrm>
                          <a:off x="5213985" y="3094355"/>
                          <a:ext cx="75565" cy="75565"/>
                        </a:xfrm>
                        <a:prstGeom prst="triangl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37.45pt;margin-top:128.25pt;height:5.95pt;width:5.95pt;z-index:251676672;v-text-anchor:middle;mso-width-relative:page;mso-height-relative:page;" fillcolor="#FF0000" filled="t" stroked="t" coordsize="21600,21600" o:gfxdata="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Zw9KD2wAAAAsB&#10;AAAPAAAAAAAAAAEAIAAAACIAAABkcnMvZG93bnJldi54bWxQSwECFAAUAAAACACHTuJAnsKKPIoC&#10;AAAMBQAADgAAAAAAAAABACAAAAAqAQAAZHJzL2Uyb0RvYy54bWxQSwUGAAAAAAYABgBZAQAAJgYA&#10;AAAA&#10;" adj="10800">
                <v:fill on="t" focussize="0,0"/>
                <v:stroke weight="1pt" color="#FF0000 [2404]" miterlimit="8" joinstyle="miter"/>
                <v:imagedata o:title=""/>
                <o:lock v:ext="edit" aspectratio="f"/>
              </v:shape>
            </w:pict>
          </mc:Fallback>
        </mc:AlternateContent>
      </w:r>
      <w:r>
        <w:rPr>
          <w:rFonts w:cs="Times New Roman"/>
        </w:rPr>
        <w:drawing>
          <wp:inline distT="0" distB="0" distL="0" distR="0">
            <wp:extent cx="6805930" cy="4815840"/>
            <wp:effectExtent l="0" t="0" r="13970" b="381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805930" cy="4815840"/>
                    </a:xfrm>
                    <a:prstGeom prst="rect">
                      <a:avLst/>
                    </a:prstGeom>
                  </pic:spPr>
                </pic:pic>
              </a:graphicData>
            </a:graphic>
          </wp:inline>
        </w:drawing>
      </w:r>
    </w:p>
    <w:p w14:paraId="5DF94D76">
      <w:pPr>
        <w:pStyle w:val="31"/>
        <w:jc w:val="both"/>
        <w:rPr>
          <w:rFonts w:cs="Times New Roman"/>
        </w:rPr>
      </w:pPr>
      <w:r>
        <w:rPr>
          <w:szCs w:val="24"/>
        </w:rPr>
        <w:drawing>
          <wp:anchor distT="0" distB="0" distL="114300" distR="114300" simplePos="0" relativeHeight="251680768" behindDoc="0" locked="0" layoutInCell="1" allowOverlap="1">
            <wp:simplePos x="0" y="0"/>
            <wp:positionH relativeFrom="page">
              <wp:posOffset>897890</wp:posOffset>
            </wp:positionH>
            <wp:positionV relativeFrom="page">
              <wp:posOffset>1395095</wp:posOffset>
            </wp:positionV>
            <wp:extent cx="7323455" cy="4966335"/>
            <wp:effectExtent l="0" t="0" r="10795" b="5715"/>
            <wp:wrapNone/>
            <wp:docPr id="54" name="Picture 1" descr="内蒙古功能区三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 descr="内蒙古功能区三级"/>
                    <pic:cNvPicPr>
                      <a:picLocks noChangeAspect="1"/>
                    </pic:cNvPicPr>
                  </pic:nvPicPr>
                  <pic:blipFill>
                    <a:blip r:embed="rId77"/>
                    <a:srcRect t="3358"/>
                    <a:stretch>
                      <a:fillRect/>
                    </a:stretch>
                  </pic:blipFill>
                  <pic:spPr>
                    <a:xfrm>
                      <a:off x="0" y="0"/>
                      <a:ext cx="7323455" cy="4966335"/>
                    </a:xfrm>
                    <a:prstGeom prst="rect">
                      <a:avLst/>
                    </a:prstGeom>
                    <a:noFill/>
                    <a:ln>
                      <a:noFill/>
                    </a:ln>
                  </pic:spPr>
                </pic:pic>
              </a:graphicData>
            </a:graphic>
          </wp:anchor>
        </w:drawing>
      </w:r>
      <w:r>
        <w:rPr>
          <w:rFonts w:hint="eastAsia" w:cs="Times New Roman"/>
        </w:rPr>
        <w:t>附图7本项目与内蒙古自治区生态功能区划位置关系图</w:t>
      </w:r>
    </w:p>
    <w:p w14:paraId="7B7E4CAD">
      <w:pPr>
        <w:pStyle w:val="31"/>
        <w:jc w:val="both"/>
        <w:rPr>
          <w:rFonts w:cs="Times New Roman"/>
        </w:rPr>
      </w:pPr>
    </w:p>
    <w:p w14:paraId="2B597F17">
      <w:pPr>
        <w:pStyle w:val="31"/>
        <w:jc w:val="both"/>
        <w:rPr>
          <w:rFonts w:cs="Times New Roman"/>
        </w:rPr>
      </w:pPr>
    </w:p>
    <w:p w14:paraId="6F142E6F">
      <w:pPr>
        <w:pStyle w:val="31"/>
        <w:jc w:val="both"/>
        <w:rPr>
          <w:rFonts w:cs="Times New Roman"/>
        </w:rPr>
      </w:pPr>
    </w:p>
    <w:p w14:paraId="721AFB24">
      <w:pPr>
        <w:pStyle w:val="31"/>
        <w:jc w:val="both"/>
        <w:rPr>
          <w:rFonts w:cs="Times New Roman"/>
        </w:rPr>
      </w:pPr>
    </w:p>
    <w:p w14:paraId="3FA84E80">
      <w:pPr>
        <w:pStyle w:val="31"/>
        <w:jc w:val="both"/>
        <w:rPr>
          <w:rFonts w:cs="Times New Roman"/>
        </w:rPr>
      </w:pPr>
    </w:p>
    <w:p w14:paraId="485287C5">
      <w:pPr>
        <w:pStyle w:val="31"/>
        <w:jc w:val="both"/>
        <w:rPr>
          <w:rFonts w:cs="Times New Roman"/>
        </w:rPr>
      </w:pPr>
    </w:p>
    <w:p w14:paraId="3F9EE85E">
      <w:pPr>
        <w:pStyle w:val="31"/>
        <w:jc w:val="both"/>
        <w:rPr>
          <w:rFonts w:cs="Times New Roman"/>
        </w:rPr>
      </w:pPr>
    </w:p>
    <w:p w14:paraId="69A47FA8">
      <w:pPr>
        <w:pStyle w:val="31"/>
        <w:jc w:val="both"/>
        <w:rPr>
          <w:rFonts w:cs="Times New Roman"/>
        </w:rPr>
      </w:pPr>
    </w:p>
    <w:p w14:paraId="0CA6E8D7">
      <w:pPr>
        <w:pStyle w:val="31"/>
        <w:jc w:val="both"/>
        <w:rPr>
          <w:rFonts w:cs="Times New Roman"/>
        </w:rPr>
      </w:pPr>
    </w:p>
    <w:p w14:paraId="6B4A5101">
      <w:pPr>
        <w:pStyle w:val="31"/>
        <w:jc w:val="both"/>
        <w:rPr>
          <w:rFonts w:cs="Times New Roman"/>
        </w:rPr>
      </w:pPr>
    </w:p>
    <w:p w14:paraId="52816592">
      <w:pPr>
        <w:pStyle w:val="31"/>
        <w:jc w:val="both"/>
        <w:rPr>
          <w:rFonts w:cs="Times New Roman"/>
        </w:rPr>
      </w:pPr>
      <w:r>
        <mc:AlternateContent>
          <mc:Choice Requires="wps">
            <w:drawing>
              <wp:anchor distT="0" distB="0" distL="114300" distR="114300" simplePos="0" relativeHeight="251681792" behindDoc="0" locked="0" layoutInCell="1" allowOverlap="1">
                <wp:simplePos x="0" y="0"/>
                <wp:positionH relativeFrom="column">
                  <wp:posOffset>4351655</wp:posOffset>
                </wp:positionH>
                <wp:positionV relativeFrom="paragraph">
                  <wp:posOffset>219710</wp:posOffset>
                </wp:positionV>
                <wp:extent cx="1010920" cy="367030"/>
                <wp:effectExtent l="306070" t="343535" r="16510" b="13335"/>
                <wp:wrapNone/>
                <wp:docPr id="55" name="矩形标注 55"/>
                <wp:cNvGraphicFramePr/>
                <a:graphic xmlns:a="http://schemas.openxmlformats.org/drawingml/2006/main">
                  <a:graphicData uri="http://schemas.microsoft.com/office/word/2010/wordprocessingShape">
                    <wps:wsp>
                      <wps:cNvSpPr/>
                      <wps:spPr>
                        <a:xfrm>
                          <a:off x="0" y="0"/>
                          <a:ext cx="1010920" cy="367030"/>
                        </a:xfrm>
                        <a:prstGeom prst="wedgeRectCallout">
                          <a:avLst>
                            <a:gd name="adj1" fmla="val -75879"/>
                            <a:gd name="adj2" fmla="val -136332"/>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53937B53">
                            <w:pPr>
                              <w:ind w:firstLine="0" w:firstLineChars="0"/>
                              <w:rPr>
                                <w:color w:val="FF0000"/>
                              </w:rPr>
                            </w:pPr>
                            <w:r>
                              <w:rPr>
                                <w:rFonts w:hint="eastAsia"/>
                                <w:color w:val="FF0000"/>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2.65pt;margin-top:17.3pt;height:28.9pt;width:79.6pt;z-index:251681792;v-text-anchor:middle;mso-width-relative:page;mso-height-relative:page;" filled="f" stroked="t" coordsize="21600,21600" o:gfxdata="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C93DttoAAAAJAQAADwAAAAAA&#10;AAABACAAAAAiAAAAZHJzL2Rvd25yZXYueG1sUEsBAhQAFAAAAAgAh07iQAE5hwa8AgAAYAUAAA4A&#10;AAAAAAAAAQAgAAAAKQEAAGRycy9lMm9Eb2MueG1sUEsFBgAAAAAGAAYAWQEAAFcGAAAAAA==&#10;" adj="-5590,-18648">
                <v:fill on="f" focussize="0,0"/>
                <v:stroke weight="1pt" color="#2F5597 [2404]" miterlimit="8" joinstyle="miter"/>
                <v:imagedata o:title=""/>
                <o:lock v:ext="edit" aspectratio="f"/>
                <v:textbox>
                  <w:txbxContent>
                    <w:p w14:paraId="53937B53">
                      <w:pPr>
                        <w:ind w:firstLine="0" w:firstLineChars="0"/>
                        <w:rPr>
                          <w:color w:val="FF0000"/>
                        </w:rPr>
                      </w:pPr>
                      <w:r>
                        <w:rPr>
                          <w:rFonts w:hint="eastAsia"/>
                          <w:color w:val="FF0000"/>
                        </w:rPr>
                        <w:t>本项目位置</w:t>
                      </w:r>
                    </w:p>
                  </w:txbxContent>
                </v:textbox>
              </v:shape>
            </w:pict>
          </mc:Fallback>
        </mc:AlternateContent>
      </w:r>
    </w:p>
    <w:p w14:paraId="4C320621">
      <w:pPr>
        <w:pStyle w:val="31"/>
        <w:jc w:val="both"/>
        <w:rPr>
          <w:rFonts w:cs="Times New Roman"/>
        </w:rPr>
      </w:pPr>
    </w:p>
    <w:p w14:paraId="35B9AEC2">
      <w:pPr>
        <w:pStyle w:val="31"/>
        <w:jc w:val="both"/>
        <w:rPr>
          <w:rFonts w:cs="Times New Roman"/>
        </w:rPr>
      </w:pPr>
    </w:p>
    <w:p w14:paraId="2AD6A486">
      <w:pPr>
        <w:pStyle w:val="31"/>
        <w:jc w:val="both"/>
        <w:rPr>
          <w:rFonts w:cs="Times New Roman"/>
        </w:rPr>
      </w:pPr>
    </w:p>
    <w:p w14:paraId="7E0FA36D">
      <w:pPr>
        <w:pStyle w:val="31"/>
        <w:spacing w:line="240" w:lineRule="auto"/>
        <w:jc w:val="both"/>
        <w:rPr>
          <w:rFonts w:cs="Times New Roman"/>
        </w:rPr>
      </w:pPr>
      <w:r>
        <w:rPr>
          <w:rFonts w:hint="eastAsia" w:cs="Times New Roman"/>
        </w:rPr>
        <w:t>附图8 项目四邻图</w:t>
      </w:r>
    </w:p>
    <w:p w14:paraId="6DA187A0">
      <w:pPr>
        <w:pStyle w:val="38"/>
        <w:spacing w:line="240" w:lineRule="auto"/>
        <w:ind w:firstLine="0"/>
      </w:pPr>
      <w:r>
        <w:rPr>
          <w:rFonts w:hint="eastAsia"/>
        </w:rPr>
        <w:drawing>
          <wp:inline distT="0" distB="0" distL="114300" distR="114300">
            <wp:extent cx="2799715" cy="2099310"/>
            <wp:effectExtent l="0" t="0" r="635" b="15240"/>
            <wp:docPr id="3" name="图片 3" descr="微信图片_20250611151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506111511582"/>
                    <pic:cNvPicPr>
                      <a:picLocks noChangeAspect="1"/>
                    </pic:cNvPicPr>
                  </pic:nvPicPr>
                  <pic:blipFill>
                    <a:blip r:embed="rId78"/>
                    <a:stretch>
                      <a:fillRect/>
                    </a:stretch>
                  </pic:blipFill>
                  <pic:spPr>
                    <a:xfrm>
                      <a:off x="0" y="0"/>
                      <a:ext cx="2799715" cy="2099310"/>
                    </a:xfrm>
                    <a:prstGeom prst="rect">
                      <a:avLst/>
                    </a:prstGeom>
                  </pic:spPr>
                </pic:pic>
              </a:graphicData>
            </a:graphic>
          </wp:inline>
        </w:drawing>
      </w:r>
      <w:r>
        <w:rPr>
          <w:rFonts w:hint="eastAsia"/>
        </w:rPr>
        <w:drawing>
          <wp:inline distT="0" distB="0" distL="114300" distR="114300">
            <wp:extent cx="2804160" cy="2102485"/>
            <wp:effectExtent l="0" t="0" r="15240" b="12065"/>
            <wp:docPr id="5" name="图片 5" descr="微信图片_20250611151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506111511583"/>
                    <pic:cNvPicPr>
                      <a:picLocks noChangeAspect="1"/>
                    </pic:cNvPicPr>
                  </pic:nvPicPr>
                  <pic:blipFill>
                    <a:blip r:embed="rId79"/>
                    <a:stretch>
                      <a:fillRect/>
                    </a:stretch>
                  </pic:blipFill>
                  <pic:spPr>
                    <a:xfrm>
                      <a:off x="0" y="0"/>
                      <a:ext cx="2804160" cy="2102485"/>
                    </a:xfrm>
                    <a:prstGeom prst="rect">
                      <a:avLst/>
                    </a:prstGeom>
                  </pic:spPr>
                </pic:pic>
              </a:graphicData>
            </a:graphic>
          </wp:inline>
        </w:drawing>
      </w:r>
    </w:p>
    <w:p w14:paraId="2A5D08C2">
      <w:pPr>
        <w:pStyle w:val="38"/>
        <w:spacing w:line="240" w:lineRule="auto"/>
        <w:ind w:firstLine="0"/>
      </w:pPr>
      <w:r>
        <w:rPr>
          <w:rFonts w:hint="eastAsia"/>
        </w:rPr>
        <w:t>拟建变电站东南                          拟建变电站西南</w:t>
      </w:r>
    </w:p>
    <w:p w14:paraId="1E1B656F">
      <w:pPr>
        <w:pStyle w:val="38"/>
        <w:spacing w:line="240" w:lineRule="auto"/>
        <w:ind w:firstLine="0"/>
      </w:pPr>
      <w:r>
        <w:rPr>
          <w:rFonts w:hint="eastAsia"/>
        </w:rPr>
        <w:drawing>
          <wp:inline distT="0" distB="0" distL="114300" distR="114300">
            <wp:extent cx="2904490" cy="2038350"/>
            <wp:effectExtent l="0" t="0" r="10160" b="0"/>
            <wp:docPr id="8" name="图片 8" descr="微信图片_20250611151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506111511584"/>
                    <pic:cNvPicPr>
                      <a:picLocks noChangeAspect="1"/>
                    </pic:cNvPicPr>
                  </pic:nvPicPr>
                  <pic:blipFill>
                    <a:blip r:embed="rId80"/>
                    <a:stretch>
                      <a:fillRect/>
                    </a:stretch>
                  </pic:blipFill>
                  <pic:spPr>
                    <a:xfrm>
                      <a:off x="0" y="0"/>
                      <a:ext cx="2904490" cy="2038350"/>
                    </a:xfrm>
                    <a:prstGeom prst="rect">
                      <a:avLst/>
                    </a:prstGeom>
                  </pic:spPr>
                </pic:pic>
              </a:graphicData>
            </a:graphic>
          </wp:inline>
        </w:drawing>
      </w:r>
      <w:r>
        <w:rPr>
          <w:rFonts w:hint="eastAsia"/>
        </w:rPr>
        <w:drawing>
          <wp:inline distT="0" distB="0" distL="114300" distR="114300">
            <wp:extent cx="2830195" cy="2055495"/>
            <wp:effectExtent l="0" t="0" r="8255" b="1905"/>
            <wp:docPr id="11" name="图片 11" descr="微信图片_2025061115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250611151159"/>
                    <pic:cNvPicPr>
                      <a:picLocks noChangeAspect="1"/>
                    </pic:cNvPicPr>
                  </pic:nvPicPr>
                  <pic:blipFill>
                    <a:blip r:embed="rId81"/>
                    <a:stretch>
                      <a:fillRect/>
                    </a:stretch>
                  </pic:blipFill>
                  <pic:spPr>
                    <a:xfrm>
                      <a:off x="0" y="0"/>
                      <a:ext cx="2830195" cy="2055495"/>
                    </a:xfrm>
                    <a:prstGeom prst="rect">
                      <a:avLst/>
                    </a:prstGeom>
                  </pic:spPr>
                </pic:pic>
              </a:graphicData>
            </a:graphic>
          </wp:inline>
        </w:drawing>
      </w:r>
    </w:p>
    <w:p w14:paraId="189ED39A">
      <w:pPr>
        <w:pStyle w:val="31"/>
        <w:spacing w:before="0" w:after="0" w:line="240" w:lineRule="auto"/>
        <w:jc w:val="both"/>
        <w:rPr>
          <w:rFonts w:cs="Times New Roman"/>
        </w:rPr>
      </w:pPr>
      <w:r>
        <w:rPr>
          <w:rFonts w:hint="eastAsia"/>
        </w:rPr>
        <w:t>拟建变电站西北                          拟建变电站东北</w:t>
      </w:r>
    </w:p>
    <w:sectPr>
      <w:pgSz w:w="16838" w:h="11906" w:orient="landscape"/>
      <w:pgMar w:top="1803" w:right="1440" w:bottom="1803" w:left="1440" w:header="851" w:footer="992" w:gutter="0"/>
      <w:cols w:space="0" w:num="1"/>
      <w:rtlGutter w:val="0"/>
      <w:docGrid w:type="lines" w:linePitch="33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Times">
    <w:altName w:val="Times New Roman"/>
    <w:panose1 w:val="02020603050405020304"/>
    <w:charset w:val="00"/>
    <w:family w:val="roman"/>
    <w:pitch w:val="default"/>
    <w:sig w:usb0="00000000" w:usb1="00000000" w:usb2="00000009" w:usb3="00000000" w:csb0="0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ArialUnicodeMS">
    <w:altName w:val="Arial"/>
    <w:panose1 w:val="00000000000000000000"/>
    <w:charset w:val="00"/>
    <w:family w:val="roman"/>
    <w:pitch w:val="default"/>
    <w:sig w:usb0="00000000" w:usb1="00000000" w:usb2="00000000" w:usb3="00000000" w:csb0="00000000" w:csb1="00000000"/>
  </w:font>
  <w:font w:name="ˎ̥">
    <w:altName w:val="Times New Roman"/>
    <w:panose1 w:val="00000000000000000000"/>
    <w:charset w:val="00"/>
    <w:family w:val="roman"/>
    <w:pitch w:val="default"/>
    <w:sig w:usb0="00000000" w:usb1="00000000" w:usb2="00000000" w:usb3="00000000" w:csb0="00040001" w:csb1="00000000"/>
  </w:font>
  <w:font w:name="Tahoma">
    <w:panose1 w:val="020B0604030504040204"/>
    <w:charset w:val="00"/>
    <w:family w:val="swiss"/>
    <w:pitch w:val="default"/>
    <w:sig w:usb0="E1002EFF" w:usb1="C000605B" w:usb2="00000029" w:usb3="00000000" w:csb0="200101FF" w:csb1="20280000"/>
  </w:font>
  <w:font w:name="仿宋_GB2312">
    <w:altName w:val="仿宋"/>
    <w:panose1 w:val="02010609030101010101"/>
    <w:charset w:val="86"/>
    <w:family w:val="modern"/>
    <w:pitch w:val="default"/>
    <w:sig w:usb0="00000000" w:usb1="00000000" w:usb2="00000000" w:usb3="00000000" w:csb0="00040000" w:csb1="00000000"/>
  </w:font>
  <w:font w:name="Wingdings 2">
    <w:altName w:val="Wingdings"/>
    <w:panose1 w:val="05020102010507070707"/>
    <w:charset w:val="02"/>
    <w:family w:val="roman"/>
    <w:pitch w:val="default"/>
    <w:sig w:usb0="00000000" w:usb1="00000000" w:usb2="00000000" w:usb3="00000000" w:csb0="80000000" w:csb1="00000000"/>
  </w:font>
  <w:font w:name="MS Gothic">
    <w:panose1 w:val="020B0609070205080204"/>
    <w:charset w:val="80"/>
    <w:family w:val="modern"/>
    <w:pitch w:val="default"/>
    <w:sig w:usb0="E00002FF" w:usb1="6AC7FDFB" w:usb2="08000012" w:usb3="00000000" w:csb0="4002009F" w:csb1="DFD70000"/>
  </w:font>
  <w:font w:name="TimesNewRomanPS-BoldM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Wingdings">
    <w:panose1 w:val="05000000000000000000"/>
    <w:charset w:val="00"/>
    <w:family w:val="auto"/>
    <w:pitch w:val="default"/>
    <w:sig w:usb0="00000000" w:usb1="00000000" w:usb2="00000000" w:usb3="00000000" w:csb0="80000000" w:csb1="00000000"/>
  </w:font>
  <w:font w:name="Kingsoft UE">
    <w:panose1 w:val="02000100010000000000"/>
    <w:charset w:val="00"/>
    <w:family w:val="auto"/>
    <w:pitch w:val="default"/>
    <w:sig w:usb0="00000001" w:usb1="00004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D872F1">
    <w:pPr>
      <w:pStyle w:val="16"/>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60465A">
    <w:pPr>
      <w:pStyle w:val="1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41837959"/>
    </w:sdtPr>
    <w:sdtContent>
      <w:p w14:paraId="1AC25140">
        <w:pPr>
          <w:pStyle w:val="16"/>
          <w:ind w:firstLine="360"/>
          <w:jc w:val="center"/>
        </w:pPr>
        <w:r>
          <w:fldChar w:fldCharType="begin"/>
        </w:r>
        <w:r>
          <w:instrText xml:space="preserve">PAGE   \* MERGEFORMAT</w:instrText>
        </w:r>
        <w:r>
          <w:fldChar w:fldCharType="separate"/>
        </w:r>
        <w:r>
          <w:rPr>
            <w:lang w:val="zh-CN"/>
          </w:rPr>
          <w:t>-</w:t>
        </w:r>
        <w:r>
          <w:t xml:space="preserve"> 18 -</w:t>
        </w:r>
        <w:r>
          <w:fldChar w:fldCharType="end"/>
        </w:r>
      </w:p>
    </w:sdtContent>
  </w:sdt>
  <w:p w14:paraId="7AA598CE">
    <w:pPr>
      <w:pStyle w:val="16"/>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790DF1">
    <w:pPr>
      <w:pStyle w:val="16"/>
      <w:ind w:firstLine="360"/>
      <w:jc w:val="center"/>
    </w:pPr>
    <w: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C08537">
                          <w:pPr>
                            <w:pStyle w:val="16"/>
                            <w:ind w:firstLine="360"/>
                          </w:pPr>
                          <w:r>
                            <w:fldChar w:fldCharType="begin"/>
                          </w:r>
                          <w:r>
                            <w:instrText xml:space="preserve"> PAGE  \* MERGEFORMAT </w:instrText>
                          </w:r>
                          <w:r>
                            <w:fldChar w:fldCharType="separate"/>
                          </w:r>
                          <w:r>
                            <w:t>- 45 -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zl9RstAgAAVwQAAA4AAAAAAAAAAQAgAAAAHwEAAGRycy9lMm9Eb2MueG1sUEsFBgAAAAAG&#10;AAYAWQEAAL4FAAAAAA==&#10;">
              <v:fill on="f" focussize="0,0"/>
              <v:stroke on="f" weight="0.5pt"/>
              <v:imagedata o:title=""/>
              <o:lock v:ext="edit" aspectratio="f"/>
              <v:textbox inset="0mm,0mm,0mm,0mm" style="mso-fit-shape-to-text:t;">
                <w:txbxContent>
                  <w:p w14:paraId="77C08537">
                    <w:pPr>
                      <w:pStyle w:val="16"/>
                      <w:ind w:firstLine="360"/>
                    </w:pPr>
                    <w:r>
                      <w:fldChar w:fldCharType="begin"/>
                    </w:r>
                    <w:r>
                      <w:instrText xml:space="preserve"> PAGE  \* MERGEFORMAT </w:instrText>
                    </w:r>
                    <w:r>
                      <w:fldChar w:fldCharType="separate"/>
                    </w:r>
                    <w:r>
                      <w:t>- 45 -</w:t>
                    </w:r>
                    <w:r>
                      <w:fldChar w:fldCharType="end"/>
                    </w:r>
                  </w:p>
                </w:txbxContent>
              </v:textbox>
            </v:shape>
          </w:pict>
        </mc:Fallback>
      </mc:AlternateContent>
    </w:r>
    <w: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20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DA915B7">
                          <w:pPr>
                            <w:snapToGrid w:val="0"/>
                            <w:ind w:firstLine="360"/>
                            <w:rPr>
                              <w:sz w:val="18"/>
                            </w:rPr>
                          </w:pPr>
                        </w:p>
                      </w:txbxContent>
                    </wps:txbx>
                    <wps:bodyPr wrap="none" lIns="0" tIns="0" rIns="0" bIns="0">
                      <a:spAutoFit/>
                    </wps:bodyPr>
                  </wps:wsp>
                </a:graphicData>
              </a:graphic>
            </wp:anchor>
          </w:drawing>
        </mc:Choice>
        <mc:Fallback>
          <w:pict>
            <v:shape id="文本框 2055"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zql5uc8AAAAFAQAADwAAAAAAAAABACAAAAAiAAAAZHJzL2Rvd25yZXYueG1sUEsB&#10;AhQAFAAAAAgAh07iQDiJ6C/FAQAAkAMAAA4AAAAAAAAAAQAgAAAAHgEAAGRycy9lMm9Eb2MueG1s&#10;UEsFBgAAAAAGAAYAWQEAAFUFAAAAAA==&#10;">
              <v:fill on="f" focussize="0,0"/>
              <v:stroke on="f"/>
              <v:imagedata o:title=""/>
              <o:lock v:ext="edit" aspectratio="f"/>
              <v:textbox inset="0mm,0mm,0mm,0mm" style="mso-fit-shape-to-text:t;">
                <w:txbxContent>
                  <w:p w14:paraId="5DA915B7">
                    <w:pPr>
                      <w:snapToGrid w:val="0"/>
                      <w:ind w:firstLine="360"/>
                      <w:rPr>
                        <w:sz w:val="18"/>
                      </w:rPr>
                    </w:pPr>
                  </w:p>
                </w:txbxContent>
              </v:textbox>
            </v:shape>
          </w:pict>
        </mc:Fallback>
      </mc:AlternateContent>
    </w:r>
    <w: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195705" cy="1828800"/>
              <wp:effectExtent l="0" t="0" r="0" b="0"/>
              <wp:wrapNone/>
              <wp:docPr id="7" name="文本框 2056"/>
              <wp:cNvGraphicFramePr/>
              <a:graphic xmlns:a="http://schemas.openxmlformats.org/drawingml/2006/main">
                <a:graphicData uri="http://schemas.microsoft.com/office/word/2010/wordprocessingShape">
                  <wps:wsp>
                    <wps:cNvSpPr txBox="1"/>
                    <wps:spPr>
                      <a:xfrm>
                        <a:off x="0" y="0"/>
                        <a:ext cx="1195705" cy="1828800"/>
                      </a:xfrm>
                      <a:prstGeom prst="rect">
                        <a:avLst/>
                      </a:prstGeom>
                      <a:noFill/>
                      <a:ln>
                        <a:noFill/>
                      </a:ln>
                    </wps:spPr>
                    <wps:txbx>
                      <w:txbxContent>
                        <w:p w14:paraId="3ADE43A2">
                          <w:pPr>
                            <w:snapToGrid w:val="0"/>
                            <w:ind w:firstLine="360"/>
                            <w:rPr>
                              <w:sz w:val="18"/>
                            </w:rPr>
                          </w:pPr>
                        </w:p>
                      </w:txbxContent>
                    </wps:txbx>
                    <wps:bodyPr wrap="square" lIns="0" tIns="0" rIns="0" bIns="0">
                      <a:spAutoFit/>
                    </wps:bodyPr>
                  </wps:wsp>
                </a:graphicData>
              </a:graphic>
            </wp:anchor>
          </w:drawing>
        </mc:Choice>
        <mc:Fallback>
          <w:pict>
            <v:shape id="文本框 2056" o:spid="_x0000_s1026" o:spt="202" type="#_x0000_t202" style="position:absolute;left:0pt;margin-top:0pt;height:144pt;width:94.15pt;mso-position-horizontal:center;mso-position-horizontal-relative:margin;z-index:251672576;mso-width-relative:page;mso-height-relative:page;" filled="f" stroked="f" coordsize="21600,21600" o:gfxdata="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N3pfODTAAAABQEAAA8AAAAAAAAAAQAgAAAAIgAAAGRycy9k&#10;b3ducmV2LnhtbFBLAQIUABQAAAAIAIdO4kDAcCrqzgEAAJIDAAAOAAAAAAAAAAEAIAAAACIBAABk&#10;cnMvZTJvRG9jLnhtbFBLBQYAAAAABgAGAFkBAABiBQAAAAA=&#10;">
              <v:fill on="f" focussize="0,0"/>
              <v:stroke on="f"/>
              <v:imagedata o:title=""/>
              <o:lock v:ext="edit" aspectratio="f"/>
              <v:textbox inset="0mm,0mm,0mm,0mm" style="mso-fit-shape-to-text:t;">
                <w:txbxContent>
                  <w:p w14:paraId="3ADE43A2">
                    <w:pPr>
                      <w:snapToGrid w:val="0"/>
                      <w:ind w:firstLine="360"/>
                      <w:rPr>
                        <w:sz w:val="18"/>
                      </w:rPr>
                    </w:pPr>
                  </w:p>
                </w:txbxContent>
              </v:textbox>
            </v:shape>
          </w:pict>
        </mc:Fallback>
      </mc:AlternateContent>
    </w:r>
  </w:p>
  <w:p w14:paraId="4EAC7B56">
    <w:pPr>
      <w:pStyle w:val="16"/>
      <w:wordWrap w:val="0"/>
      <w:ind w:firstLine="361"/>
      <w:jc w:val="right"/>
    </w:pPr>
    <w:r>
      <w:rPr>
        <w:rFonts w:hint="eastAsia"/>
        <w:b/>
      </w:rPr>
      <w:t xml:space="preserve">            </w:t>
    </w:r>
  </w:p>
  <w:p w14:paraId="3B649D61">
    <w:pPr>
      <w:pStyle w:val="16"/>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7F52F6">
    <w:pPr>
      <w:pStyle w:val="17"/>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01CF2A">
    <w:pPr>
      <w:pStyle w:val="17"/>
      <w:pBdr>
        <w:bottom w:val="none" w:color="auto" w:sz="0" w:space="0"/>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D2E98B">
    <w:pPr>
      <w:ind w:firstLine="7941" w:firstLineChars="3309"/>
      <w:jc w:val="right"/>
    </w:pPr>
    <w:r>
      <mc:AlternateContent>
        <mc:Choice Requires="wps">
          <w:drawing>
            <wp:anchor distT="0" distB="0" distL="114300" distR="114300" simplePos="0" relativeHeight="251674624" behindDoc="0" locked="0" layoutInCell="1" allowOverlap="1">
              <wp:simplePos x="0" y="0"/>
              <wp:positionH relativeFrom="margin">
                <wp:posOffset>36195</wp:posOffset>
              </wp:positionH>
              <wp:positionV relativeFrom="paragraph">
                <wp:posOffset>0</wp:posOffset>
              </wp:positionV>
              <wp:extent cx="2204085" cy="164465"/>
              <wp:effectExtent l="0" t="0" r="0" b="0"/>
              <wp:wrapNone/>
              <wp:docPr id="4" name="文本框 2060"/>
              <wp:cNvGraphicFramePr/>
              <a:graphic xmlns:a="http://schemas.openxmlformats.org/drawingml/2006/main">
                <a:graphicData uri="http://schemas.microsoft.com/office/word/2010/wordprocessingShape">
                  <wps:wsp>
                    <wps:cNvSpPr txBox="1"/>
                    <wps:spPr>
                      <a:xfrm>
                        <a:off x="0" y="0"/>
                        <a:ext cx="2204085" cy="164465"/>
                      </a:xfrm>
                      <a:prstGeom prst="rect">
                        <a:avLst/>
                      </a:prstGeom>
                      <a:noFill/>
                      <a:ln>
                        <a:noFill/>
                      </a:ln>
                    </wps:spPr>
                    <wps:txbx>
                      <w:txbxContent>
                        <w:p w14:paraId="5BC406B6">
                          <w:pPr>
                            <w:pStyle w:val="17"/>
                            <w:ind w:firstLine="422"/>
                            <w:jc w:val="both"/>
                            <w:rPr>
                              <w:b/>
                              <w:bCs/>
                              <w:sz w:val="21"/>
                              <w:szCs w:val="21"/>
                            </w:rPr>
                          </w:pPr>
                        </w:p>
                      </w:txbxContent>
                    </wps:txbx>
                    <wps:bodyPr wrap="square" lIns="0" tIns="0" rIns="0" bIns="0"/>
                  </wps:wsp>
                </a:graphicData>
              </a:graphic>
            </wp:anchor>
          </w:drawing>
        </mc:Choice>
        <mc:Fallback>
          <w:pict>
            <v:shape id="文本框 2060" o:spid="_x0000_s1026" o:spt="202" type="#_x0000_t202" style="position:absolute;left:0pt;margin-left:2.85pt;margin-top:0pt;height:12.95pt;width:173.55pt;mso-position-horizontal-relative:margin;z-index:251674624;mso-width-relative:page;mso-height-relative:page;" filled="f" stroked="f" coordsize="21600,21600" o:gfxdata="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En6CojVAAAABQEAAA8AAAAAAAAAAQAgAAAAIgAAAGRycy9kb3ducmV2LnhtbFBL&#10;AQIUABQAAAAIAIdO4kAa4owJwAEAAHcDAAAOAAAAAAAAAAEAIAAAACQBAABkcnMvZTJvRG9jLnht&#10;bFBLBQYAAAAABgAGAFkBAABWBQAAAAA=&#10;">
              <v:fill on="f" focussize="0,0"/>
              <v:stroke on="f"/>
              <v:imagedata o:title=""/>
              <o:lock v:ext="edit" aspectratio="f"/>
              <v:textbox inset="0mm,0mm,0mm,0mm">
                <w:txbxContent>
                  <w:p w14:paraId="5BC406B6">
                    <w:pPr>
                      <w:pStyle w:val="17"/>
                      <w:ind w:firstLine="422"/>
                      <w:jc w:val="both"/>
                      <w:rPr>
                        <w:b/>
                        <w:bCs/>
                        <w:sz w:val="21"/>
                        <w:szCs w:val="21"/>
                      </w:rPr>
                    </w:pP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6FCF56"/>
    <w:multiLevelType w:val="multilevel"/>
    <w:tmpl w:val="846FCF56"/>
    <w:lvl w:ilvl="0" w:tentative="0">
      <w:start w:val="1"/>
      <w:numFmt w:val="chineseCountingThousand"/>
      <w:suff w:val="space"/>
      <w:lvlText w:val="第 %1 章"/>
      <w:lvlJc w:val="left"/>
      <w:pPr>
        <w:ind w:left="198" w:firstLine="0"/>
      </w:pPr>
      <w:rPr>
        <w:rFonts w:hint="eastAsia" w:ascii="Times" w:hAnsi="Times" w:eastAsia="宋体"/>
        <w:b/>
        <w:i w:val="0"/>
        <w:spacing w:val="0"/>
        <w:sz w:val="32"/>
        <w:szCs w:val="32"/>
      </w:rPr>
    </w:lvl>
    <w:lvl w:ilvl="1" w:tentative="0">
      <w:start w:val="1"/>
      <w:numFmt w:val="decimal"/>
      <w:isLgl/>
      <w:suff w:val="space"/>
      <w:lvlText w:val="%1.%2"/>
      <w:lvlJc w:val="left"/>
      <w:pPr>
        <w:ind w:left="198" w:firstLine="454"/>
      </w:pPr>
      <w:rPr>
        <w:rFonts w:hint="eastAsia" w:ascii="Times New Roman" w:hAnsi="Times New Roman" w:eastAsia="宋体"/>
        <w:b w:val="0"/>
        <w:i w:val="0"/>
        <w:spacing w:val="0"/>
        <w:sz w:val="28"/>
        <w:szCs w:val="28"/>
      </w:rPr>
    </w:lvl>
    <w:lvl w:ilvl="2" w:tentative="0">
      <w:start w:val="1"/>
      <w:numFmt w:val="chineseCountingThousand"/>
      <w:isLgl/>
      <w:suff w:val="space"/>
      <w:lvlText w:val="%1.%2.%3"/>
      <w:lvlJc w:val="left"/>
      <w:pPr>
        <w:ind w:left="652" w:firstLine="0"/>
      </w:pPr>
      <w:rPr>
        <w:rFonts w:hint="eastAsia" w:ascii="Times New Roman" w:hAnsi="Times New Roman" w:eastAsia="宋体"/>
        <w:b/>
        <w:i w:val="0"/>
        <w:spacing w:val="0"/>
        <w:sz w:val="24"/>
        <w:szCs w:val="24"/>
      </w:rPr>
    </w:lvl>
    <w:lvl w:ilvl="3" w:tentative="0">
      <w:start w:val="1"/>
      <w:numFmt w:val="decimal"/>
      <w:pStyle w:val="5"/>
      <w:isLgl/>
      <w:suff w:val="space"/>
      <w:lvlText w:val="%1.%2.%3.%4"/>
      <w:lvlJc w:val="left"/>
      <w:pPr>
        <w:ind w:left="840" w:firstLine="0"/>
      </w:pPr>
      <w:rPr>
        <w:rFonts w:hint="eastAsia" w:ascii="Times" w:hAnsi="Times" w:eastAsia="宋体"/>
        <w:b w:val="0"/>
        <w:i w:val="0"/>
        <w:spacing w:val="0"/>
        <w:sz w:val="24"/>
        <w:szCs w:val="24"/>
      </w:rPr>
    </w:lvl>
    <w:lvl w:ilvl="4" w:tentative="0">
      <w:start w:val="1"/>
      <w:numFmt w:val="decimal"/>
      <w:isLgl/>
      <w:suff w:val="space"/>
      <w:lvlText w:val="%1.%2.%3.%4.%5"/>
      <w:lvlJc w:val="left"/>
      <w:pPr>
        <w:ind w:left="652" w:firstLine="0"/>
      </w:pPr>
      <w:rPr>
        <w:rFonts w:hint="eastAsia" w:ascii="Times" w:hAnsi="Times" w:eastAsia="宋体"/>
        <w:b w:val="0"/>
        <w:i w:val="0"/>
        <w:sz w:val="24"/>
      </w:rPr>
    </w:lvl>
    <w:lvl w:ilvl="5" w:tentative="0">
      <w:start w:val="0"/>
      <w:numFmt w:val="none"/>
      <w:lvlText w:val=""/>
      <w:lvlJc w:val="left"/>
      <w:pPr>
        <w:tabs>
          <w:tab w:val="left" w:pos="360"/>
        </w:tabs>
      </w:pPr>
      <w:rPr>
        <w:rFonts w:hint="eastAsia"/>
      </w:rPr>
    </w:lvl>
    <w:lvl w:ilvl="6" w:tentative="0">
      <w:start w:val="1"/>
      <w:numFmt w:val="none"/>
      <w:isLgl/>
      <w:suff w:val="nothing"/>
      <w:lvlText w:val=""/>
      <w:lvlJc w:val="left"/>
      <w:pPr>
        <w:ind w:left="91" w:firstLine="0"/>
      </w:pPr>
      <w:rPr>
        <w:rFonts w:hint="eastAsia" w:ascii="Times" w:hAnsi="Times" w:eastAsia="宋体"/>
        <w:b w:val="0"/>
        <w:i w:val="0"/>
        <w:sz w:val="24"/>
      </w:rPr>
    </w:lvl>
    <w:lvl w:ilvl="7" w:tentative="0">
      <w:start w:val="1"/>
      <w:numFmt w:val="decimal"/>
      <w:lvlRestart w:val="1"/>
      <w:isLgl/>
      <w:suff w:val="space"/>
      <w:lvlText w:val="图%1-%8  "/>
      <w:lvlJc w:val="left"/>
      <w:pPr>
        <w:ind w:left="0" w:firstLine="0"/>
      </w:pPr>
      <w:rPr>
        <w:rFonts w:hint="eastAsia"/>
      </w:rPr>
    </w:lvl>
    <w:lvl w:ilvl="8" w:tentative="0">
      <w:start w:val="1"/>
      <w:numFmt w:val="decimal"/>
      <w:lvlRestart w:val="1"/>
      <w:isLgl/>
      <w:lvlText w:val="表%1-%9 "/>
      <w:lvlJc w:val="left"/>
      <w:pPr>
        <w:tabs>
          <w:tab w:val="left" w:pos="104"/>
        </w:tabs>
        <w:ind w:left="104" w:firstLine="454"/>
      </w:pPr>
      <w:rPr>
        <w:rFonts w:hint="eastAsia"/>
      </w:rPr>
    </w:lvl>
  </w:abstractNum>
  <w:abstractNum w:abstractNumId="1">
    <w:nsid w:val="2A5E0F78"/>
    <w:multiLevelType w:val="multilevel"/>
    <w:tmpl w:val="2A5E0F78"/>
    <w:lvl w:ilvl="0" w:tentative="0">
      <w:start w:val="1"/>
      <w:numFmt w:val="decimal"/>
      <w:lvlText w:val="%1"/>
      <w:lvlJc w:val="left"/>
      <w:pPr>
        <w:ind w:left="558" w:hanging="360"/>
      </w:pPr>
      <w:rPr>
        <w:rFonts w:hint="default"/>
      </w:rPr>
    </w:lvl>
    <w:lvl w:ilvl="1" w:tentative="0">
      <w:start w:val="1"/>
      <w:numFmt w:val="lowerLetter"/>
      <w:lvlText w:val="%2)"/>
      <w:lvlJc w:val="left"/>
      <w:pPr>
        <w:ind w:left="1038" w:hanging="420"/>
      </w:pPr>
    </w:lvl>
    <w:lvl w:ilvl="2" w:tentative="0">
      <w:start w:val="1"/>
      <w:numFmt w:val="lowerRoman"/>
      <w:lvlText w:val="%3."/>
      <w:lvlJc w:val="right"/>
      <w:pPr>
        <w:ind w:left="1458" w:hanging="420"/>
      </w:pPr>
    </w:lvl>
    <w:lvl w:ilvl="3" w:tentative="0">
      <w:start w:val="1"/>
      <w:numFmt w:val="decimal"/>
      <w:lvlText w:val="%4."/>
      <w:lvlJc w:val="left"/>
      <w:pPr>
        <w:ind w:left="1878" w:hanging="420"/>
      </w:pPr>
    </w:lvl>
    <w:lvl w:ilvl="4" w:tentative="0">
      <w:start w:val="1"/>
      <w:numFmt w:val="lowerLetter"/>
      <w:lvlText w:val="%5)"/>
      <w:lvlJc w:val="left"/>
      <w:pPr>
        <w:ind w:left="2298" w:hanging="420"/>
      </w:pPr>
    </w:lvl>
    <w:lvl w:ilvl="5" w:tentative="0">
      <w:start w:val="1"/>
      <w:numFmt w:val="lowerRoman"/>
      <w:lvlText w:val="%6."/>
      <w:lvlJc w:val="right"/>
      <w:pPr>
        <w:ind w:left="2718" w:hanging="420"/>
      </w:pPr>
    </w:lvl>
    <w:lvl w:ilvl="6" w:tentative="0">
      <w:start w:val="1"/>
      <w:numFmt w:val="decimal"/>
      <w:lvlText w:val="%7."/>
      <w:lvlJc w:val="left"/>
      <w:pPr>
        <w:ind w:left="3138" w:hanging="420"/>
      </w:pPr>
    </w:lvl>
    <w:lvl w:ilvl="7" w:tentative="0">
      <w:start w:val="1"/>
      <w:numFmt w:val="lowerLetter"/>
      <w:lvlText w:val="%8)"/>
      <w:lvlJc w:val="left"/>
      <w:pPr>
        <w:ind w:left="3558" w:hanging="420"/>
      </w:pPr>
    </w:lvl>
    <w:lvl w:ilvl="8" w:tentative="0">
      <w:start w:val="1"/>
      <w:numFmt w:val="lowerRoman"/>
      <w:lvlText w:val="%9."/>
      <w:lvlJc w:val="right"/>
      <w:pPr>
        <w:ind w:left="3978" w:hanging="420"/>
      </w:pPr>
    </w:lvl>
  </w:abstractNum>
  <w:abstractNum w:abstractNumId="2">
    <w:nsid w:val="38D1722C"/>
    <w:multiLevelType w:val="multilevel"/>
    <w:tmpl w:val="38D1722C"/>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cumentProtection w:enforcement="0"/>
  <w:defaultTabStop w:val="420"/>
  <w:drawingGridHorizontalSpacing w:val="120"/>
  <w:drawingGridVerticalSpacing w:val="166"/>
  <w:displayVertic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hhNjY1NzU3ZWZmMjMzMjQ4YzgxYTg4NjQ3Y2RhZGEifQ=="/>
    <w:docVar w:name="KSO_WPS_MARK_KEY" w:val="3ae619a0-7f94-4abc-89c4-ab81125bab22"/>
  </w:docVars>
  <w:rsids>
    <w:rsidRoot w:val="00172A27"/>
    <w:rsid w:val="00005925"/>
    <w:rsid w:val="00007628"/>
    <w:rsid w:val="000115B1"/>
    <w:rsid w:val="000121AF"/>
    <w:rsid w:val="00012990"/>
    <w:rsid w:val="00013655"/>
    <w:rsid w:val="0001387A"/>
    <w:rsid w:val="0002305D"/>
    <w:rsid w:val="0003219E"/>
    <w:rsid w:val="00035553"/>
    <w:rsid w:val="000359DF"/>
    <w:rsid w:val="00037B40"/>
    <w:rsid w:val="000426D5"/>
    <w:rsid w:val="00042E3A"/>
    <w:rsid w:val="0004597F"/>
    <w:rsid w:val="00050B04"/>
    <w:rsid w:val="0006088E"/>
    <w:rsid w:val="0006244C"/>
    <w:rsid w:val="00066AF2"/>
    <w:rsid w:val="00071018"/>
    <w:rsid w:val="00074E6C"/>
    <w:rsid w:val="00074E73"/>
    <w:rsid w:val="000762B5"/>
    <w:rsid w:val="00082B0A"/>
    <w:rsid w:val="00086294"/>
    <w:rsid w:val="00090D7A"/>
    <w:rsid w:val="00092835"/>
    <w:rsid w:val="000942B7"/>
    <w:rsid w:val="00097E17"/>
    <w:rsid w:val="000A212D"/>
    <w:rsid w:val="000A29BE"/>
    <w:rsid w:val="000A6AB0"/>
    <w:rsid w:val="000B1366"/>
    <w:rsid w:val="000B45EC"/>
    <w:rsid w:val="000B5C5F"/>
    <w:rsid w:val="000B7434"/>
    <w:rsid w:val="000B7BD2"/>
    <w:rsid w:val="000C22F3"/>
    <w:rsid w:val="000C524A"/>
    <w:rsid w:val="000D0DED"/>
    <w:rsid w:val="000D77C7"/>
    <w:rsid w:val="000E31FF"/>
    <w:rsid w:val="000E3553"/>
    <w:rsid w:val="000E3873"/>
    <w:rsid w:val="000E6FB4"/>
    <w:rsid w:val="000F1698"/>
    <w:rsid w:val="000F498B"/>
    <w:rsid w:val="0010627D"/>
    <w:rsid w:val="0011224F"/>
    <w:rsid w:val="00114C6A"/>
    <w:rsid w:val="00120128"/>
    <w:rsid w:val="00120BD1"/>
    <w:rsid w:val="00123FBC"/>
    <w:rsid w:val="00126881"/>
    <w:rsid w:val="001337EA"/>
    <w:rsid w:val="0013453B"/>
    <w:rsid w:val="001428A5"/>
    <w:rsid w:val="001467DB"/>
    <w:rsid w:val="00155F65"/>
    <w:rsid w:val="00161737"/>
    <w:rsid w:val="00172A27"/>
    <w:rsid w:val="001745B0"/>
    <w:rsid w:val="0017570F"/>
    <w:rsid w:val="001765A3"/>
    <w:rsid w:val="00176A00"/>
    <w:rsid w:val="00176D98"/>
    <w:rsid w:val="00177340"/>
    <w:rsid w:val="00184EC1"/>
    <w:rsid w:val="00186DA5"/>
    <w:rsid w:val="00194C86"/>
    <w:rsid w:val="001951B8"/>
    <w:rsid w:val="001A0D2A"/>
    <w:rsid w:val="001B3135"/>
    <w:rsid w:val="001B6C8B"/>
    <w:rsid w:val="001B7420"/>
    <w:rsid w:val="001C0864"/>
    <w:rsid w:val="001C09CC"/>
    <w:rsid w:val="001C5C50"/>
    <w:rsid w:val="001D0374"/>
    <w:rsid w:val="001D46AE"/>
    <w:rsid w:val="001D6534"/>
    <w:rsid w:val="001E3848"/>
    <w:rsid w:val="001E63A1"/>
    <w:rsid w:val="001F19CB"/>
    <w:rsid w:val="001F361A"/>
    <w:rsid w:val="001F3D64"/>
    <w:rsid w:val="001F431D"/>
    <w:rsid w:val="00200F97"/>
    <w:rsid w:val="002010FD"/>
    <w:rsid w:val="00204F06"/>
    <w:rsid w:val="002055CE"/>
    <w:rsid w:val="00207E50"/>
    <w:rsid w:val="002128BB"/>
    <w:rsid w:val="002217E6"/>
    <w:rsid w:val="00222412"/>
    <w:rsid w:val="002228EF"/>
    <w:rsid w:val="00223687"/>
    <w:rsid w:val="0023117E"/>
    <w:rsid w:val="00236985"/>
    <w:rsid w:val="0023763A"/>
    <w:rsid w:val="00237FA0"/>
    <w:rsid w:val="00244D1E"/>
    <w:rsid w:val="00247FE0"/>
    <w:rsid w:val="0025263E"/>
    <w:rsid w:val="00255618"/>
    <w:rsid w:val="00255EDA"/>
    <w:rsid w:val="0025625A"/>
    <w:rsid w:val="0026025F"/>
    <w:rsid w:val="002602B6"/>
    <w:rsid w:val="00260D44"/>
    <w:rsid w:val="002648AB"/>
    <w:rsid w:val="00264D58"/>
    <w:rsid w:val="002679CD"/>
    <w:rsid w:val="00272D6D"/>
    <w:rsid w:val="002829E2"/>
    <w:rsid w:val="00285E15"/>
    <w:rsid w:val="002924AA"/>
    <w:rsid w:val="00296173"/>
    <w:rsid w:val="00297DE7"/>
    <w:rsid w:val="002A38AE"/>
    <w:rsid w:val="002A675A"/>
    <w:rsid w:val="002A6863"/>
    <w:rsid w:val="002A686F"/>
    <w:rsid w:val="002B60F4"/>
    <w:rsid w:val="002C041A"/>
    <w:rsid w:val="002E06B7"/>
    <w:rsid w:val="002E3517"/>
    <w:rsid w:val="002E651C"/>
    <w:rsid w:val="002E7E15"/>
    <w:rsid w:val="002F0363"/>
    <w:rsid w:val="002F3E35"/>
    <w:rsid w:val="00304BE1"/>
    <w:rsid w:val="003130BB"/>
    <w:rsid w:val="00315DB8"/>
    <w:rsid w:val="0032325B"/>
    <w:rsid w:val="00323F36"/>
    <w:rsid w:val="003249E4"/>
    <w:rsid w:val="00327D9C"/>
    <w:rsid w:val="00335BE4"/>
    <w:rsid w:val="00336995"/>
    <w:rsid w:val="0034437A"/>
    <w:rsid w:val="00345517"/>
    <w:rsid w:val="00351373"/>
    <w:rsid w:val="00351DDA"/>
    <w:rsid w:val="00354674"/>
    <w:rsid w:val="00370B79"/>
    <w:rsid w:val="00373AAF"/>
    <w:rsid w:val="00373C76"/>
    <w:rsid w:val="0037608B"/>
    <w:rsid w:val="00377EC4"/>
    <w:rsid w:val="003804F1"/>
    <w:rsid w:val="00391E45"/>
    <w:rsid w:val="00392799"/>
    <w:rsid w:val="00392A85"/>
    <w:rsid w:val="003938F4"/>
    <w:rsid w:val="003962E0"/>
    <w:rsid w:val="003A0C88"/>
    <w:rsid w:val="003A19AC"/>
    <w:rsid w:val="003A2EE2"/>
    <w:rsid w:val="003A49DF"/>
    <w:rsid w:val="003B0CE5"/>
    <w:rsid w:val="003B575A"/>
    <w:rsid w:val="003B66FC"/>
    <w:rsid w:val="003B7063"/>
    <w:rsid w:val="003B713B"/>
    <w:rsid w:val="003D264A"/>
    <w:rsid w:val="003D3E1E"/>
    <w:rsid w:val="003D7C4D"/>
    <w:rsid w:val="003F26D5"/>
    <w:rsid w:val="003F2D49"/>
    <w:rsid w:val="003F3702"/>
    <w:rsid w:val="003F5A04"/>
    <w:rsid w:val="003F69AD"/>
    <w:rsid w:val="0040408A"/>
    <w:rsid w:val="00407118"/>
    <w:rsid w:val="00416289"/>
    <w:rsid w:val="004207E4"/>
    <w:rsid w:val="0042251B"/>
    <w:rsid w:val="0043010C"/>
    <w:rsid w:val="0043508B"/>
    <w:rsid w:val="004400DB"/>
    <w:rsid w:val="00447ADD"/>
    <w:rsid w:val="00455229"/>
    <w:rsid w:val="00461E03"/>
    <w:rsid w:val="00462D95"/>
    <w:rsid w:val="00463A99"/>
    <w:rsid w:val="004645C5"/>
    <w:rsid w:val="004647AB"/>
    <w:rsid w:val="00477980"/>
    <w:rsid w:val="00481541"/>
    <w:rsid w:val="00481B7D"/>
    <w:rsid w:val="004821DC"/>
    <w:rsid w:val="004868CB"/>
    <w:rsid w:val="00491261"/>
    <w:rsid w:val="00492DC5"/>
    <w:rsid w:val="004A002A"/>
    <w:rsid w:val="004A0E82"/>
    <w:rsid w:val="004A2994"/>
    <w:rsid w:val="004C02A6"/>
    <w:rsid w:val="004C0358"/>
    <w:rsid w:val="004C0647"/>
    <w:rsid w:val="004C2409"/>
    <w:rsid w:val="004C4BF9"/>
    <w:rsid w:val="004D23A2"/>
    <w:rsid w:val="004D3218"/>
    <w:rsid w:val="004E0FCF"/>
    <w:rsid w:val="004E5453"/>
    <w:rsid w:val="004F1213"/>
    <w:rsid w:val="004F161F"/>
    <w:rsid w:val="004F2EED"/>
    <w:rsid w:val="00503D51"/>
    <w:rsid w:val="0050618D"/>
    <w:rsid w:val="00512238"/>
    <w:rsid w:val="0051272F"/>
    <w:rsid w:val="00513BB1"/>
    <w:rsid w:val="00516B47"/>
    <w:rsid w:val="005201E1"/>
    <w:rsid w:val="00521018"/>
    <w:rsid w:val="005228B0"/>
    <w:rsid w:val="00530114"/>
    <w:rsid w:val="00530B74"/>
    <w:rsid w:val="0053115E"/>
    <w:rsid w:val="005366DE"/>
    <w:rsid w:val="00544D6F"/>
    <w:rsid w:val="00545759"/>
    <w:rsid w:val="005537ED"/>
    <w:rsid w:val="0055498B"/>
    <w:rsid w:val="00564C93"/>
    <w:rsid w:val="00567639"/>
    <w:rsid w:val="00570079"/>
    <w:rsid w:val="00576361"/>
    <w:rsid w:val="00581B0B"/>
    <w:rsid w:val="0058254D"/>
    <w:rsid w:val="00584E55"/>
    <w:rsid w:val="0058675E"/>
    <w:rsid w:val="005918FE"/>
    <w:rsid w:val="00594A47"/>
    <w:rsid w:val="00595E3A"/>
    <w:rsid w:val="0059755C"/>
    <w:rsid w:val="005A1361"/>
    <w:rsid w:val="005B0615"/>
    <w:rsid w:val="005B4F84"/>
    <w:rsid w:val="005B5312"/>
    <w:rsid w:val="005C1B4C"/>
    <w:rsid w:val="005C516E"/>
    <w:rsid w:val="005C5E57"/>
    <w:rsid w:val="005C5EF8"/>
    <w:rsid w:val="005D19E3"/>
    <w:rsid w:val="005D2117"/>
    <w:rsid w:val="005D61FB"/>
    <w:rsid w:val="005E5295"/>
    <w:rsid w:val="005E7ED3"/>
    <w:rsid w:val="005F2AF2"/>
    <w:rsid w:val="005F3496"/>
    <w:rsid w:val="005F5C25"/>
    <w:rsid w:val="005F7152"/>
    <w:rsid w:val="005F7AE2"/>
    <w:rsid w:val="00600E84"/>
    <w:rsid w:val="006104D4"/>
    <w:rsid w:val="0061281F"/>
    <w:rsid w:val="006202B9"/>
    <w:rsid w:val="00630CD8"/>
    <w:rsid w:val="0063569B"/>
    <w:rsid w:val="00635CFF"/>
    <w:rsid w:val="006464D5"/>
    <w:rsid w:val="0064705B"/>
    <w:rsid w:val="00647D2F"/>
    <w:rsid w:val="006531DE"/>
    <w:rsid w:val="00657210"/>
    <w:rsid w:val="0066098C"/>
    <w:rsid w:val="00660B14"/>
    <w:rsid w:val="00661A65"/>
    <w:rsid w:val="00670E13"/>
    <w:rsid w:val="00671C9E"/>
    <w:rsid w:val="0068665F"/>
    <w:rsid w:val="006930EE"/>
    <w:rsid w:val="006A5B7C"/>
    <w:rsid w:val="006B02D4"/>
    <w:rsid w:val="006B3F2D"/>
    <w:rsid w:val="006C0CDD"/>
    <w:rsid w:val="006C5E65"/>
    <w:rsid w:val="006C6035"/>
    <w:rsid w:val="006C669C"/>
    <w:rsid w:val="006D0E11"/>
    <w:rsid w:val="006E11F1"/>
    <w:rsid w:val="006E361A"/>
    <w:rsid w:val="006F362F"/>
    <w:rsid w:val="006F6E87"/>
    <w:rsid w:val="0070574B"/>
    <w:rsid w:val="0070635B"/>
    <w:rsid w:val="007117D7"/>
    <w:rsid w:val="00712269"/>
    <w:rsid w:val="0071760A"/>
    <w:rsid w:val="00723EA4"/>
    <w:rsid w:val="00724D00"/>
    <w:rsid w:val="00740F73"/>
    <w:rsid w:val="007441D6"/>
    <w:rsid w:val="00747BCE"/>
    <w:rsid w:val="00747BDF"/>
    <w:rsid w:val="00752553"/>
    <w:rsid w:val="00770888"/>
    <w:rsid w:val="007719A8"/>
    <w:rsid w:val="007746A5"/>
    <w:rsid w:val="00781460"/>
    <w:rsid w:val="00783398"/>
    <w:rsid w:val="007905CF"/>
    <w:rsid w:val="0079166E"/>
    <w:rsid w:val="007A39AB"/>
    <w:rsid w:val="007A6134"/>
    <w:rsid w:val="007B3378"/>
    <w:rsid w:val="007B47C4"/>
    <w:rsid w:val="007B676D"/>
    <w:rsid w:val="007C0617"/>
    <w:rsid w:val="007C7728"/>
    <w:rsid w:val="007D0317"/>
    <w:rsid w:val="007D42EA"/>
    <w:rsid w:val="007D71B8"/>
    <w:rsid w:val="007E777E"/>
    <w:rsid w:val="007F3046"/>
    <w:rsid w:val="007F42B9"/>
    <w:rsid w:val="007F4903"/>
    <w:rsid w:val="007F643A"/>
    <w:rsid w:val="00801DCB"/>
    <w:rsid w:val="00805122"/>
    <w:rsid w:val="008107D8"/>
    <w:rsid w:val="00811907"/>
    <w:rsid w:val="00811CD0"/>
    <w:rsid w:val="00816231"/>
    <w:rsid w:val="0082173A"/>
    <w:rsid w:val="0082442F"/>
    <w:rsid w:val="00825B29"/>
    <w:rsid w:val="0082671F"/>
    <w:rsid w:val="00834951"/>
    <w:rsid w:val="008359F2"/>
    <w:rsid w:val="00842DD8"/>
    <w:rsid w:val="00842F4F"/>
    <w:rsid w:val="00846A39"/>
    <w:rsid w:val="00850AAF"/>
    <w:rsid w:val="00853101"/>
    <w:rsid w:val="008568C3"/>
    <w:rsid w:val="00857A92"/>
    <w:rsid w:val="00861657"/>
    <w:rsid w:val="00863412"/>
    <w:rsid w:val="0086378B"/>
    <w:rsid w:val="008646CA"/>
    <w:rsid w:val="00865CD4"/>
    <w:rsid w:val="008663C4"/>
    <w:rsid w:val="00871F8E"/>
    <w:rsid w:val="00874C31"/>
    <w:rsid w:val="008776A1"/>
    <w:rsid w:val="00880D10"/>
    <w:rsid w:val="00881088"/>
    <w:rsid w:val="00883502"/>
    <w:rsid w:val="00891F34"/>
    <w:rsid w:val="00897A4E"/>
    <w:rsid w:val="008A3F6D"/>
    <w:rsid w:val="008A4B59"/>
    <w:rsid w:val="008C1A83"/>
    <w:rsid w:val="008C1CB7"/>
    <w:rsid w:val="008D238A"/>
    <w:rsid w:val="008D285A"/>
    <w:rsid w:val="008D3FB9"/>
    <w:rsid w:val="008D749A"/>
    <w:rsid w:val="008E0DC0"/>
    <w:rsid w:val="008E31A8"/>
    <w:rsid w:val="008E77A8"/>
    <w:rsid w:val="008E7BBA"/>
    <w:rsid w:val="008F4A87"/>
    <w:rsid w:val="0092168D"/>
    <w:rsid w:val="00926090"/>
    <w:rsid w:val="009337CE"/>
    <w:rsid w:val="00937755"/>
    <w:rsid w:val="00943D91"/>
    <w:rsid w:val="00945FD6"/>
    <w:rsid w:val="009530A2"/>
    <w:rsid w:val="00953311"/>
    <w:rsid w:val="00954CA8"/>
    <w:rsid w:val="0096242E"/>
    <w:rsid w:val="00964577"/>
    <w:rsid w:val="0096758D"/>
    <w:rsid w:val="00970467"/>
    <w:rsid w:val="00971364"/>
    <w:rsid w:val="009778E0"/>
    <w:rsid w:val="00983C84"/>
    <w:rsid w:val="00984C28"/>
    <w:rsid w:val="00993786"/>
    <w:rsid w:val="00993CA1"/>
    <w:rsid w:val="009A209C"/>
    <w:rsid w:val="009A70A5"/>
    <w:rsid w:val="009B206C"/>
    <w:rsid w:val="009C4AD6"/>
    <w:rsid w:val="009D05FB"/>
    <w:rsid w:val="009D2A6A"/>
    <w:rsid w:val="009D2BBE"/>
    <w:rsid w:val="009D4BC5"/>
    <w:rsid w:val="009D4F61"/>
    <w:rsid w:val="009D54A6"/>
    <w:rsid w:val="009E2572"/>
    <w:rsid w:val="009E28C3"/>
    <w:rsid w:val="009E6870"/>
    <w:rsid w:val="009F1EBD"/>
    <w:rsid w:val="009F3680"/>
    <w:rsid w:val="00A01231"/>
    <w:rsid w:val="00A05FD6"/>
    <w:rsid w:val="00A06C49"/>
    <w:rsid w:val="00A123B1"/>
    <w:rsid w:val="00A16990"/>
    <w:rsid w:val="00A204CF"/>
    <w:rsid w:val="00A22BBD"/>
    <w:rsid w:val="00A3088A"/>
    <w:rsid w:val="00A30D44"/>
    <w:rsid w:val="00A310FD"/>
    <w:rsid w:val="00A31895"/>
    <w:rsid w:val="00A37591"/>
    <w:rsid w:val="00A40F4D"/>
    <w:rsid w:val="00A45578"/>
    <w:rsid w:val="00A547F4"/>
    <w:rsid w:val="00A5480F"/>
    <w:rsid w:val="00A553A2"/>
    <w:rsid w:val="00A56184"/>
    <w:rsid w:val="00A66A85"/>
    <w:rsid w:val="00A71880"/>
    <w:rsid w:val="00A80121"/>
    <w:rsid w:val="00A81A31"/>
    <w:rsid w:val="00A830F1"/>
    <w:rsid w:val="00A86412"/>
    <w:rsid w:val="00A90455"/>
    <w:rsid w:val="00A907F8"/>
    <w:rsid w:val="00AA7927"/>
    <w:rsid w:val="00AA7A52"/>
    <w:rsid w:val="00AB6203"/>
    <w:rsid w:val="00AB7A64"/>
    <w:rsid w:val="00AC4989"/>
    <w:rsid w:val="00AD004A"/>
    <w:rsid w:val="00AD34D9"/>
    <w:rsid w:val="00AD3FCF"/>
    <w:rsid w:val="00AE00AC"/>
    <w:rsid w:val="00AE4BC3"/>
    <w:rsid w:val="00AF1DAA"/>
    <w:rsid w:val="00AF63E2"/>
    <w:rsid w:val="00AF7270"/>
    <w:rsid w:val="00B02EC5"/>
    <w:rsid w:val="00B03D57"/>
    <w:rsid w:val="00B0528E"/>
    <w:rsid w:val="00B11D0B"/>
    <w:rsid w:val="00B17C9B"/>
    <w:rsid w:val="00B27620"/>
    <w:rsid w:val="00B40101"/>
    <w:rsid w:val="00B41FA3"/>
    <w:rsid w:val="00B420F1"/>
    <w:rsid w:val="00B4324C"/>
    <w:rsid w:val="00B43479"/>
    <w:rsid w:val="00B46F59"/>
    <w:rsid w:val="00B506FC"/>
    <w:rsid w:val="00B6189E"/>
    <w:rsid w:val="00B66742"/>
    <w:rsid w:val="00B72BD4"/>
    <w:rsid w:val="00B72C63"/>
    <w:rsid w:val="00B745DE"/>
    <w:rsid w:val="00B75683"/>
    <w:rsid w:val="00B80BE7"/>
    <w:rsid w:val="00B826F1"/>
    <w:rsid w:val="00B848EA"/>
    <w:rsid w:val="00B868AE"/>
    <w:rsid w:val="00BA07A1"/>
    <w:rsid w:val="00BA2C16"/>
    <w:rsid w:val="00BB23C8"/>
    <w:rsid w:val="00BB7027"/>
    <w:rsid w:val="00BC012D"/>
    <w:rsid w:val="00BC1F40"/>
    <w:rsid w:val="00BC4DD8"/>
    <w:rsid w:val="00BD1015"/>
    <w:rsid w:val="00BD1641"/>
    <w:rsid w:val="00BD26C9"/>
    <w:rsid w:val="00BD4622"/>
    <w:rsid w:val="00BD70F0"/>
    <w:rsid w:val="00BD7F27"/>
    <w:rsid w:val="00BE1FDD"/>
    <w:rsid w:val="00BE3FC2"/>
    <w:rsid w:val="00BE6EB3"/>
    <w:rsid w:val="00BF3885"/>
    <w:rsid w:val="00BF5FE8"/>
    <w:rsid w:val="00BF7762"/>
    <w:rsid w:val="00BF78C1"/>
    <w:rsid w:val="00C007E3"/>
    <w:rsid w:val="00C05A58"/>
    <w:rsid w:val="00C06E51"/>
    <w:rsid w:val="00C11B5E"/>
    <w:rsid w:val="00C12796"/>
    <w:rsid w:val="00C15319"/>
    <w:rsid w:val="00C214FA"/>
    <w:rsid w:val="00C2287F"/>
    <w:rsid w:val="00C26952"/>
    <w:rsid w:val="00C31250"/>
    <w:rsid w:val="00C31956"/>
    <w:rsid w:val="00C3351E"/>
    <w:rsid w:val="00C33523"/>
    <w:rsid w:val="00C35C92"/>
    <w:rsid w:val="00C3662C"/>
    <w:rsid w:val="00C37A32"/>
    <w:rsid w:val="00C60836"/>
    <w:rsid w:val="00C61E59"/>
    <w:rsid w:val="00C62D6D"/>
    <w:rsid w:val="00C63E52"/>
    <w:rsid w:val="00C70964"/>
    <w:rsid w:val="00C70F68"/>
    <w:rsid w:val="00C7771B"/>
    <w:rsid w:val="00C806E1"/>
    <w:rsid w:val="00C85848"/>
    <w:rsid w:val="00C933AC"/>
    <w:rsid w:val="00C97E69"/>
    <w:rsid w:val="00CA1726"/>
    <w:rsid w:val="00CB2B4D"/>
    <w:rsid w:val="00CB4C45"/>
    <w:rsid w:val="00CC3F3E"/>
    <w:rsid w:val="00CE0B00"/>
    <w:rsid w:val="00CE1222"/>
    <w:rsid w:val="00CE2CB9"/>
    <w:rsid w:val="00CE7742"/>
    <w:rsid w:val="00CF2D6D"/>
    <w:rsid w:val="00CF32E2"/>
    <w:rsid w:val="00CF35BF"/>
    <w:rsid w:val="00CF7BF2"/>
    <w:rsid w:val="00D0091F"/>
    <w:rsid w:val="00D02BE8"/>
    <w:rsid w:val="00D05BE2"/>
    <w:rsid w:val="00D16CDE"/>
    <w:rsid w:val="00D216A8"/>
    <w:rsid w:val="00D22E2A"/>
    <w:rsid w:val="00D33DE9"/>
    <w:rsid w:val="00D448D1"/>
    <w:rsid w:val="00D453FA"/>
    <w:rsid w:val="00D45AE0"/>
    <w:rsid w:val="00D45CDD"/>
    <w:rsid w:val="00D50BA7"/>
    <w:rsid w:val="00D61E4C"/>
    <w:rsid w:val="00D62809"/>
    <w:rsid w:val="00D64222"/>
    <w:rsid w:val="00D8087E"/>
    <w:rsid w:val="00D81703"/>
    <w:rsid w:val="00D82428"/>
    <w:rsid w:val="00D94FC9"/>
    <w:rsid w:val="00D95B89"/>
    <w:rsid w:val="00DA2460"/>
    <w:rsid w:val="00DA789D"/>
    <w:rsid w:val="00DB0139"/>
    <w:rsid w:val="00DC08EF"/>
    <w:rsid w:val="00DC1803"/>
    <w:rsid w:val="00DC19C0"/>
    <w:rsid w:val="00DC261F"/>
    <w:rsid w:val="00DC3996"/>
    <w:rsid w:val="00DC4DE2"/>
    <w:rsid w:val="00DC6855"/>
    <w:rsid w:val="00DD5C4E"/>
    <w:rsid w:val="00DD6879"/>
    <w:rsid w:val="00DD7094"/>
    <w:rsid w:val="00DE33DA"/>
    <w:rsid w:val="00DE409E"/>
    <w:rsid w:val="00DE6161"/>
    <w:rsid w:val="00DF16AD"/>
    <w:rsid w:val="00DF392A"/>
    <w:rsid w:val="00DF7F9F"/>
    <w:rsid w:val="00E01D55"/>
    <w:rsid w:val="00E07908"/>
    <w:rsid w:val="00E12D80"/>
    <w:rsid w:val="00E2094F"/>
    <w:rsid w:val="00E34571"/>
    <w:rsid w:val="00E37054"/>
    <w:rsid w:val="00E40DE9"/>
    <w:rsid w:val="00E41B45"/>
    <w:rsid w:val="00E43DDA"/>
    <w:rsid w:val="00E47544"/>
    <w:rsid w:val="00E5446D"/>
    <w:rsid w:val="00E6196D"/>
    <w:rsid w:val="00E630A1"/>
    <w:rsid w:val="00E630FD"/>
    <w:rsid w:val="00E66BA2"/>
    <w:rsid w:val="00E67E9F"/>
    <w:rsid w:val="00E71A64"/>
    <w:rsid w:val="00E71BD6"/>
    <w:rsid w:val="00E737B8"/>
    <w:rsid w:val="00E7535C"/>
    <w:rsid w:val="00E80C63"/>
    <w:rsid w:val="00E84621"/>
    <w:rsid w:val="00E92011"/>
    <w:rsid w:val="00EA021B"/>
    <w:rsid w:val="00EA09CF"/>
    <w:rsid w:val="00EA14AB"/>
    <w:rsid w:val="00EA154D"/>
    <w:rsid w:val="00EA27FE"/>
    <w:rsid w:val="00EA422A"/>
    <w:rsid w:val="00EA6FB8"/>
    <w:rsid w:val="00EA70F1"/>
    <w:rsid w:val="00EB7623"/>
    <w:rsid w:val="00EB7D6F"/>
    <w:rsid w:val="00EC21C8"/>
    <w:rsid w:val="00EC3E13"/>
    <w:rsid w:val="00EC7000"/>
    <w:rsid w:val="00ED0370"/>
    <w:rsid w:val="00ED1D68"/>
    <w:rsid w:val="00EE5844"/>
    <w:rsid w:val="00EF403F"/>
    <w:rsid w:val="00EF59EB"/>
    <w:rsid w:val="00EF5A12"/>
    <w:rsid w:val="00EF619E"/>
    <w:rsid w:val="00F01DDD"/>
    <w:rsid w:val="00F02A11"/>
    <w:rsid w:val="00F0350D"/>
    <w:rsid w:val="00F040BF"/>
    <w:rsid w:val="00F05A3A"/>
    <w:rsid w:val="00F06DAC"/>
    <w:rsid w:val="00F11D2D"/>
    <w:rsid w:val="00F213FB"/>
    <w:rsid w:val="00F22F25"/>
    <w:rsid w:val="00F37EDF"/>
    <w:rsid w:val="00F4175A"/>
    <w:rsid w:val="00F43959"/>
    <w:rsid w:val="00F45504"/>
    <w:rsid w:val="00F514FA"/>
    <w:rsid w:val="00F53F93"/>
    <w:rsid w:val="00F5754A"/>
    <w:rsid w:val="00F6323B"/>
    <w:rsid w:val="00F64F8D"/>
    <w:rsid w:val="00F65DCE"/>
    <w:rsid w:val="00F7237B"/>
    <w:rsid w:val="00F821D8"/>
    <w:rsid w:val="00F929C0"/>
    <w:rsid w:val="00F938C4"/>
    <w:rsid w:val="00FA5D93"/>
    <w:rsid w:val="00FA6452"/>
    <w:rsid w:val="00FB4E5D"/>
    <w:rsid w:val="00FB7C9E"/>
    <w:rsid w:val="00FC32B4"/>
    <w:rsid w:val="00FD3BD8"/>
    <w:rsid w:val="00FE08CB"/>
    <w:rsid w:val="00FE2855"/>
    <w:rsid w:val="00FE6799"/>
    <w:rsid w:val="00FF5A3F"/>
    <w:rsid w:val="011D1E4F"/>
    <w:rsid w:val="01293E9A"/>
    <w:rsid w:val="014F6641"/>
    <w:rsid w:val="016F283F"/>
    <w:rsid w:val="01754119"/>
    <w:rsid w:val="01995B0E"/>
    <w:rsid w:val="01A84249"/>
    <w:rsid w:val="01BF5575"/>
    <w:rsid w:val="020411DA"/>
    <w:rsid w:val="02190DA3"/>
    <w:rsid w:val="02512F75"/>
    <w:rsid w:val="029A7D90"/>
    <w:rsid w:val="0393501D"/>
    <w:rsid w:val="039667A9"/>
    <w:rsid w:val="039F48FD"/>
    <w:rsid w:val="03D472D2"/>
    <w:rsid w:val="03E665AA"/>
    <w:rsid w:val="040270D7"/>
    <w:rsid w:val="04096CEE"/>
    <w:rsid w:val="047C1236"/>
    <w:rsid w:val="047F3CB9"/>
    <w:rsid w:val="04814D63"/>
    <w:rsid w:val="04870752"/>
    <w:rsid w:val="04947481"/>
    <w:rsid w:val="049F3C40"/>
    <w:rsid w:val="04CD6842"/>
    <w:rsid w:val="04E72F31"/>
    <w:rsid w:val="0579482F"/>
    <w:rsid w:val="057C377D"/>
    <w:rsid w:val="05815E40"/>
    <w:rsid w:val="05852631"/>
    <w:rsid w:val="05DE7F94"/>
    <w:rsid w:val="060D7C05"/>
    <w:rsid w:val="061C5A5B"/>
    <w:rsid w:val="06287461"/>
    <w:rsid w:val="0644429B"/>
    <w:rsid w:val="064918B1"/>
    <w:rsid w:val="06F54BFC"/>
    <w:rsid w:val="070928F5"/>
    <w:rsid w:val="07162ADF"/>
    <w:rsid w:val="072B1057"/>
    <w:rsid w:val="07F67442"/>
    <w:rsid w:val="08311EA7"/>
    <w:rsid w:val="084C450A"/>
    <w:rsid w:val="08591B53"/>
    <w:rsid w:val="08755C57"/>
    <w:rsid w:val="088C5A31"/>
    <w:rsid w:val="08A54D99"/>
    <w:rsid w:val="090C6F76"/>
    <w:rsid w:val="09150170"/>
    <w:rsid w:val="092A3069"/>
    <w:rsid w:val="093A0BEC"/>
    <w:rsid w:val="09615F1B"/>
    <w:rsid w:val="09AC1BE6"/>
    <w:rsid w:val="09D957F0"/>
    <w:rsid w:val="0A12645E"/>
    <w:rsid w:val="0A1D552E"/>
    <w:rsid w:val="0A40121D"/>
    <w:rsid w:val="0AF1081F"/>
    <w:rsid w:val="0B375978"/>
    <w:rsid w:val="0B411A66"/>
    <w:rsid w:val="0BF278A1"/>
    <w:rsid w:val="0C2547D7"/>
    <w:rsid w:val="0C472C89"/>
    <w:rsid w:val="0C4F5747"/>
    <w:rsid w:val="0C5676AC"/>
    <w:rsid w:val="0C692CAD"/>
    <w:rsid w:val="0CAE6912"/>
    <w:rsid w:val="0CF23CC3"/>
    <w:rsid w:val="0D1B1ACD"/>
    <w:rsid w:val="0D782A7C"/>
    <w:rsid w:val="0DA92A9B"/>
    <w:rsid w:val="0DC65EDD"/>
    <w:rsid w:val="0DC97922"/>
    <w:rsid w:val="0DCC6E69"/>
    <w:rsid w:val="0DD25601"/>
    <w:rsid w:val="0DD57ECE"/>
    <w:rsid w:val="0E044A9E"/>
    <w:rsid w:val="0E214EC1"/>
    <w:rsid w:val="0E373204"/>
    <w:rsid w:val="0E3F193D"/>
    <w:rsid w:val="0E4868F2"/>
    <w:rsid w:val="0E67183A"/>
    <w:rsid w:val="0E671BAA"/>
    <w:rsid w:val="0E820056"/>
    <w:rsid w:val="0F124B55"/>
    <w:rsid w:val="0F135152"/>
    <w:rsid w:val="0F881F6E"/>
    <w:rsid w:val="0FAE0E93"/>
    <w:rsid w:val="0FB07977"/>
    <w:rsid w:val="0FE458B7"/>
    <w:rsid w:val="10134CDE"/>
    <w:rsid w:val="10180CA5"/>
    <w:rsid w:val="103532A6"/>
    <w:rsid w:val="10760609"/>
    <w:rsid w:val="10855A57"/>
    <w:rsid w:val="108A1444"/>
    <w:rsid w:val="10A06571"/>
    <w:rsid w:val="110872B6"/>
    <w:rsid w:val="113061B1"/>
    <w:rsid w:val="11755C50"/>
    <w:rsid w:val="11C049F1"/>
    <w:rsid w:val="11C72224"/>
    <w:rsid w:val="11D5379F"/>
    <w:rsid w:val="11D87F8D"/>
    <w:rsid w:val="11E821FA"/>
    <w:rsid w:val="12004C91"/>
    <w:rsid w:val="1204514D"/>
    <w:rsid w:val="13280AA0"/>
    <w:rsid w:val="13697A7B"/>
    <w:rsid w:val="13763F01"/>
    <w:rsid w:val="13954BFD"/>
    <w:rsid w:val="13CE7899"/>
    <w:rsid w:val="14054D6A"/>
    <w:rsid w:val="14116735"/>
    <w:rsid w:val="141A48B1"/>
    <w:rsid w:val="1446797A"/>
    <w:rsid w:val="144E2788"/>
    <w:rsid w:val="14681A9C"/>
    <w:rsid w:val="147E306D"/>
    <w:rsid w:val="14A12681"/>
    <w:rsid w:val="150A5086"/>
    <w:rsid w:val="155250C1"/>
    <w:rsid w:val="156E2E6E"/>
    <w:rsid w:val="15BF021E"/>
    <w:rsid w:val="15D3766B"/>
    <w:rsid w:val="15D96E81"/>
    <w:rsid w:val="161A5018"/>
    <w:rsid w:val="168573C0"/>
    <w:rsid w:val="16BA4105"/>
    <w:rsid w:val="16C157EA"/>
    <w:rsid w:val="16EC501D"/>
    <w:rsid w:val="171F21BA"/>
    <w:rsid w:val="172F68A1"/>
    <w:rsid w:val="173E6AE4"/>
    <w:rsid w:val="17451D60"/>
    <w:rsid w:val="174720F8"/>
    <w:rsid w:val="17536A81"/>
    <w:rsid w:val="17CC3EC6"/>
    <w:rsid w:val="17F26A2B"/>
    <w:rsid w:val="1820670A"/>
    <w:rsid w:val="18905255"/>
    <w:rsid w:val="18980476"/>
    <w:rsid w:val="18A87D58"/>
    <w:rsid w:val="18AB63FB"/>
    <w:rsid w:val="19220D8D"/>
    <w:rsid w:val="19341F4D"/>
    <w:rsid w:val="19767855"/>
    <w:rsid w:val="198C189C"/>
    <w:rsid w:val="19A367DE"/>
    <w:rsid w:val="19D11E91"/>
    <w:rsid w:val="19FE07AD"/>
    <w:rsid w:val="1A283D75"/>
    <w:rsid w:val="1A406F07"/>
    <w:rsid w:val="1A54758C"/>
    <w:rsid w:val="1A6B5E42"/>
    <w:rsid w:val="1AA12B08"/>
    <w:rsid w:val="1AB51732"/>
    <w:rsid w:val="1ABB2922"/>
    <w:rsid w:val="1ACF1474"/>
    <w:rsid w:val="1B027E29"/>
    <w:rsid w:val="1B232DEF"/>
    <w:rsid w:val="1B4D553A"/>
    <w:rsid w:val="1B7101CA"/>
    <w:rsid w:val="1BAB03F2"/>
    <w:rsid w:val="1BDB1F5B"/>
    <w:rsid w:val="1C0C0F5F"/>
    <w:rsid w:val="1C0C5403"/>
    <w:rsid w:val="1C11675A"/>
    <w:rsid w:val="1C443638"/>
    <w:rsid w:val="1C4B7356"/>
    <w:rsid w:val="1C663807"/>
    <w:rsid w:val="1C9F68BF"/>
    <w:rsid w:val="1CA55812"/>
    <w:rsid w:val="1CE87887"/>
    <w:rsid w:val="1CF44300"/>
    <w:rsid w:val="1D472A99"/>
    <w:rsid w:val="1D6F5C49"/>
    <w:rsid w:val="1D813BCE"/>
    <w:rsid w:val="1D835251"/>
    <w:rsid w:val="1D8F0099"/>
    <w:rsid w:val="1D916222"/>
    <w:rsid w:val="1D9B4C90"/>
    <w:rsid w:val="1DC037EE"/>
    <w:rsid w:val="1DCD0BC2"/>
    <w:rsid w:val="1E53247E"/>
    <w:rsid w:val="1E8E1852"/>
    <w:rsid w:val="1E967542"/>
    <w:rsid w:val="1EA97840"/>
    <w:rsid w:val="1ED3045A"/>
    <w:rsid w:val="1F101DA4"/>
    <w:rsid w:val="1F43738D"/>
    <w:rsid w:val="1F674C10"/>
    <w:rsid w:val="1F861028"/>
    <w:rsid w:val="1F95324E"/>
    <w:rsid w:val="20123193"/>
    <w:rsid w:val="204F0E63"/>
    <w:rsid w:val="20552623"/>
    <w:rsid w:val="21316569"/>
    <w:rsid w:val="21333432"/>
    <w:rsid w:val="216E446A"/>
    <w:rsid w:val="22084414"/>
    <w:rsid w:val="220A2567"/>
    <w:rsid w:val="22325EAF"/>
    <w:rsid w:val="22345996"/>
    <w:rsid w:val="223B09D7"/>
    <w:rsid w:val="223D2751"/>
    <w:rsid w:val="22A07A2E"/>
    <w:rsid w:val="22A42E37"/>
    <w:rsid w:val="22C62244"/>
    <w:rsid w:val="22E61283"/>
    <w:rsid w:val="231433D5"/>
    <w:rsid w:val="2331574F"/>
    <w:rsid w:val="23367BA5"/>
    <w:rsid w:val="2342170A"/>
    <w:rsid w:val="23491542"/>
    <w:rsid w:val="234C4318"/>
    <w:rsid w:val="235560C5"/>
    <w:rsid w:val="235651B5"/>
    <w:rsid w:val="236C5237"/>
    <w:rsid w:val="2373688C"/>
    <w:rsid w:val="23A93537"/>
    <w:rsid w:val="23DA787A"/>
    <w:rsid w:val="23F208DD"/>
    <w:rsid w:val="24306CCB"/>
    <w:rsid w:val="2470573C"/>
    <w:rsid w:val="24AC2AA2"/>
    <w:rsid w:val="24DE098C"/>
    <w:rsid w:val="24DE1906"/>
    <w:rsid w:val="24E35B5E"/>
    <w:rsid w:val="24F30CEE"/>
    <w:rsid w:val="25273966"/>
    <w:rsid w:val="253E56D4"/>
    <w:rsid w:val="25641E0C"/>
    <w:rsid w:val="25C428AA"/>
    <w:rsid w:val="25E1345C"/>
    <w:rsid w:val="26025181"/>
    <w:rsid w:val="263E08AF"/>
    <w:rsid w:val="26437C73"/>
    <w:rsid w:val="26603B44"/>
    <w:rsid w:val="26A93C39"/>
    <w:rsid w:val="26DE0C75"/>
    <w:rsid w:val="271953A0"/>
    <w:rsid w:val="27595274"/>
    <w:rsid w:val="2760505B"/>
    <w:rsid w:val="27685A5A"/>
    <w:rsid w:val="27A552C6"/>
    <w:rsid w:val="28336292"/>
    <w:rsid w:val="284108FA"/>
    <w:rsid w:val="285862BF"/>
    <w:rsid w:val="28817F7C"/>
    <w:rsid w:val="288B7E3F"/>
    <w:rsid w:val="28F90ABD"/>
    <w:rsid w:val="291E5CCD"/>
    <w:rsid w:val="29534671"/>
    <w:rsid w:val="299E592A"/>
    <w:rsid w:val="29D503E8"/>
    <w:rsid w:val="2A221D03"/>
    <w:rsid w:val="2A2C1C45"/>
    <w:rsid w:val="2A3C2DB6"/>
    <w:rsid w:val="2A4D7312"/>
    <w:rsid w:val="2A5030AB"/>
    <w:rsid w:val="2A7E6C63"/>
    <w:rsid w:val="2A8857F5"/>
    <w:rsid w:val="2A900FAD"/>
    <w:rsid w:val="2AB345F2"/>
    <w:rsid w:val="2AB45431"/>
    <w:rsid w:val="2AB871D0"/>
    <w:rsid w:val="2AFA28CA"/>
    <w:rsid w:val="2AFB0D5A"/>
    <w:rsid w:val="2B113AB1"/>
    <w:rsid w:val="2B2B7226"/>
    <w:rsid w:val="2B552B3D"/>
    <w:rsid w:val="2B5C5333"/>
    <w:rsid w:val="2B73049F"/>
    <w:rsid w:val="2B774B23"/>
    <w:rsid w:val="2B881BAB"/>
    <w:rsid w:val="2B8F395A"/>
    <w:rsid w:val="2BAF7C84"/>
    <w:rsid w:val="2BE74CDD"/>
    <w:rsid w:val="2C6F1198"/>
    <w:rsid w:val="2C73502A"/>
    <w:rsid w:val="2C8A3AD6"/>
    <w:rsid w:val="2CB573F1"/>
    <w:rsid w:val="2DB56F2E"/>
    <w:rsid w:val="2DD33C71"/>
    <w:rsid w:val="2DE06B06"/>
    <w:rsid w:val="2DF8024C"/>
    <w:rsid w:val="2E1875DB"/>
    <w:rsid w:val="2E1B3283"/>
    <w:rsid w:val="2E8C6FF7"/>
    <w:rsid w:val="2E954DE4"/>
    <w:rsid w:val="2E9B6172"/>
    <w:rsid w:val="2EAC62DF"/>
    <w:rsid w:val="2EC543AB"/>
    <w:rsid w:val="2ED139E0"/>
    <w:rsid w:val="2F126434"/>
    <w:rsid w:val="2F26001A"/>
    <w:rsid w:val="2F412CBE"/>
    <w:rsid w:val="2F994DA8"/>
    <w:rsid w:val="2FB66B65"/>
    <w:rsid w:val="2FF10740"/>
    <w:rsid w:val="30161F54"/>
    <w:rsid w:val="30416BE0"/>
    <w:rsid w:val="304E16EE"/>
    <w:rsid w:val="305D0CE9"/>
    <w:rsid w:val="306E1D90"/>
    <w:rsid w:val="307709E3"/>
    <w:rsid w:val="30895363"/>
    <w:rsid w:val="309E0766"/>
    <w:rsid w:val="30B9196F"/>
    <w:rsid w:val="30F41F0B"/>
    <w:rsid w:val="31857392"/>
    <w:rsid w:val="31B179A8"/>
    <w:rsid w:val="31FC19CB"/>
    <w:rsid w:val="320A5AE9"/>
    <w:rsid w:val="32246E47"/>
    <w:rsid w:val="324667B0"/>
    <w:rsid w:val="32805DAB"/>
    <w:rsid w:val="328149D1"/>
    <w:rsid w:val="32836BDF"/>
    <w:rsid w:val="32AD31AB"/>
    <w:rsid w:val="32DB47FF"/>
    <w:rsid w:val="32F82E31"/>
    <w:rsid w:val="32FB4CED"/>
    <w:rsid w:val="333077D1"/>
    <w:rsid w:val="333D24FF"/>
    <w:rsid w:val="336254B1"/>
    <w:rsid w:val="3371728B"/>
    <w:rsid w:val="33912A78"/>
    <w:rsid w:val="339657C3"/>
    <w:rsid w:val="33B43F5E"/>
    <w:rsid w:val="33E2684E"/>
    <w:rsid w:val="33FE7868"/>
    <w:rsid w:val="34050C5E"/>
    <w:rsid w:val="340B70F0"/>
    <w:rsid w:val="34EF1011"/>
    <w:rsid w:val="34F605A6"/>
    <w:rsid w:val="352845F4"/>
    <w:rsid w:val="35303AB8"/>
    <w:rsid w:val="353C420B"/>
    <w:rsid w:val="35956011"/>
    <w:rsid w:val="35D246A2"/>
    <w:rsid w:val="35EF127D"/>
    <w:rsid w:val="36146F36"/>
    <w:rsid w:val="36266C69"/>
    <w:rsid w:val="362E1310"/>
    <w:rsid w:val="36413AA3"/>
    <w:rsid w:val="364A29C7"/>
    <w:rsid w:val="366B727E"/>
    <w:rsid w:val="36911F18"/>
    <w:rsid w:val="36DF1324"/>
    <w:rsid w:val="36E40618"/>
    <w:rsid w:val="36EF4FE8"/>
    <w:rsid w:val="36F5758D"/>
    <w:rsid w:val="375B7757"/>
    <w:rsid w:val="376333BF"/>
    <w:rsid w:val="379B6C43"/>
    <w:rsid w:val="37C60704"/>
    <w:rsid w:val="37DC30BC"/>
    <w:rsid w:val="37FC2378"/>
    <w:rsid w:val="38574F6C"/>
    <w:rsid w:val="38674021"/>
    <w:rsid w:val="38956AEA"/>
    <w:rsid w:val="389E342F"/>
    <w:rsid w:val="38BF4BE6"/>
    <w:rsid w:val="391A6BCE"/>
    <w:rsid w:val="3943336F"/>
    <w:rsid w:val="394B3EA5"/>
    <w:rsid w:val="394B64EB"/>
    <w:rsid w:val="39686EDE"/>
    <w:rsid w:val="3A1E0383"/>
    <w:rsid w:val="3A223AB1"/>
    <w:rsid w:val="3A2B2AA0"/>
    <w:rsid w:val="3AED7D56"/>
    <w:rsid w:val="3AF04774"/>
    <w:rsid w:val="3B2E6F5C"/>
    <w:rsid w:val="3B501BCE"/>
    <w:rsid w:val="3B535FC9"/>
    <w:rsid w:val="3B7B1805"/>
    <w:rsid w:val="3B9D177C"/>
    <w:rsid w:val="3BA269CE"/>
    <w:rsid w:val="3BB371F1"/>
    <w:rsid w:val="3BBF5B96"/>
    <w:rsid w:val="3C02463D"/>
    <w:rsid w:val="3C247A59"/>
    <w:rsid w:val="3C2D5098"/>
    <w:rsid w:val="3C622B2A"/>
    <w:rsid w:val="3C65673D"/>
    <w:rsid w:val="3C756255"/>
    <w:rsid w:val="3CB055B8"/>
    <w:rsid w:val="3CF27919"/>
    <w:rsid w:val="3D0126D3"/>
    <w:rsid w:val="3D3D4FC4"/>
    <w:rsid w:val="3D521369"/>
    <w:rsid w:val="3DAC58DF"/>
    <w:rsid w:val="3DC33051"/>
    <w:rsid w:val="3DD82CEA"/>
    <w:rsid w:val="3DF1339D"/>
    <w:rsid w:val="3E0143DD"/>
    <w:rsid w:val="3E071667"/>
    <w:rsid w:val="3E224C7C"/>
    <w:rsid w:val="3E2E0DB1"/>
    <w:rsid w:val="3E8E0DED"/>
    <w:rsid w:val="3EB23790"/>
    <w:rsid w:val="3EBC63BD"/>
    <w:rsid w:val="3EC27E3F"/>
    <w:rsid w:val="3F5D194E"/>
    <w:rsid w:val="3F650B28"/>
    <w:rsid w:val="3F6E18B4"/>
    <w:rsid w:val="3F790097"/>
    <w:rsid w:val="3FD2320B"/>
    <w:rsid w:val="40024E56"/>
    <w:rsid w:val="402103E3"/>
    <w:rsid w:val="40821829"/>
    <w:rsid w:val="408B1DF5"/>
    <w:rsid w:val="40ED66BF"/>
    <w:rsid w:val="41174CB1"/>
    <w:rsid w:val="41521BF0"/>
    <w:rsid w:val="41DC051B"/>
    <w:rsid w:val="41FC497C"/>
    <w:rsid w:val="420C3206"/>
    <w:rsid w:val="426C28AC"/>
    <w:rsid w:val="426D30EB"/>
    <w:rsid w:val="42FF3A5B"/>
    <w:rsid w:val="430A1DED"/>
    <w:rsid w:val="431B354B"/>
    <w:rsid w:val="431F5119"/>
    <w:rsid w:val="432E6CAB"/>
    <w:rsid w:val="434075BC"/>
    <w:rsid w:val="43566DE0"/>
    <w:rsid w:val="4385460F"/>
    <w:rsid w:val="43B72EBD"/>
    <w:rsid w:val="43B960FD"/>
    <w:rsid w:val="43C7531C"/>
    <w:rsid w:val="43CD2C42"/>
    <w:rsid w:val="44444E8A"/>
    <w:rsid w:val="44511355"/>
    <w:rsid w:val="4469476E"/>
    <w:rsid w:val="44A543E4"/>
    <w:rsid w:val="44E24980"/>
    <w:rsid w:val="44F95984"/>
    <w:rsid w:val="453E7B2C"/>
    <w:rsid w:val="454809AA"/>
    <w:rsid w:val="45724C83"/>
    <w:rsid w:val="45C20B56"/>
    <w:rsid w:val="45F7590D"/>
    <w:rsid w:val="463E7CFA"/>
    <w:rsid w:val="464F7B16"/>
    <w:rsid w:val="468123C6"/>
    <w:rsid w:val="46FD0129"/>
    <w:rsid w:val="47372A84"/>
    <w:rsid w:val="4746716B"/>
    <w:rsid w:val="47723BB7"/>
    <w:rsid w:val="47794E4B"/>
    <w:rsid w:val="47811F51"/>
    <w:rsid w:val="479E5988"/>
    <w:rsid w:val="47F90063"/>
    <w:rsid w:val="4800556C"/>
    <w:rsid w:val="4819662E"/>
    <w:rsid w:val="48484A16"/>
    <w:rsid w:val="489832A1"/>
    <w:rsid w:val="489932CB"/>
    <w:rsid w:val="48A4706C"/>
    <w:rsid w:val="48C15389"/>
    <w:rsid w:val="49567A86"/>
    <w:rsid w:val="49AB7375"/>
    <w:rsid w:val="49E10028"/>
    <w:rsid w:val="49EC224C"/>
    <w:rsid w:val="49FC6A30"/>
    <w:rsid w:val="4A050C18"/>
    <w:rsid w:val="4A0C2336"/>
    <w:rsid w:val="4A384C8F"/>
    <w:rsid w:val="4A4A24A9"/>
    <w:rsid w:val="4A5E47CC"/>
    <w:rsid w:val="4A8F451D"/>
    <w:rsid w:val="4AAD6607"/>
    <w:rsid w:val="4B3703E3"/>
    <w:rsid w:val="4B4340EE"/>
    <w:rsid w:val="4B555AB4"/>
    <w:rsid w:val="4B5A7CEE"/>
    <w:rsid w:val="4B906C07"/>
    <w:rsid w:val="4BD44D46"/>
    <w:rsid w:val="4C7B78B7"/>
    <w:rsid w:val="4CF312F0"/>
    <w:rsid w:val="4D4E2860"/>
    <w:rsid w:val="4D8367A4"/>
    <w:rsid w:val="4DB14A9C"/>
    <w:rsid w:val="4E0D5CBD"/>
    <w:rsid w:val="4E0E1369"/>
    <w:rsid w:val="4E151645"/>
    <w:rsid w:val="4E332A62"/>
    <w:rsid w:val="4E6A1991"/>
    <w:rsid w:val="4EB90223"/>
    <w:rsid w:val="4F084DF7"/>
    <w:rsid w:val="4F26273B"/>
    <w:rsid w:val="4F567C4A"/>
    <w:rsid w:val="4F866F29"/>
    <w:rsid w:val="4F8922EB"/>
    <w:rsid w:val="50355FCF"/>
    <w:rsid w:val="507770E9"/>
    <w:rsid w:val="50B138A7"/>
    <w:rsid w:val="50D15CF8"/>
    <w:rsid w:val="513B5867"/>
    <w:rsid w:val="51895F94"/>
    <w:rsid w:val="518E40D9"/>
    <w:rsid w:val="519A207C"/>
    <w:rsid w:val="51A60F32"/>
    <w:rsid w:val="51A63451"/>
    <w:rsid w:val="51AC0D4C"/>
    <w:rsid w:val="51BF06C1"/>
    <w:rsid w:val="51D82DFE"/>
    <w:rsid w:val="51DB7EAD"/>
    <w:rsid w:val="52230AF4"/>
    <w:rsid w:val="524C3355"/>
    <w:rsid w:val="527D7657"/>
    <w:rsid w:val="52EA4E4F"/>
    <w:rsid w:val="53234805"/>
    <w:rsid w:val="532A0F25"/>
    <w:rsid w:val="53326254"/>
    <w:rsid w:val="5338205E"/>
    <w:rsid w:val="533C3D11"/>
    <w:rsid w:val="53410CAF"/>
    <w:rsid w:val="538A03E0"/>
    <w:rsid w:val="538F3C48"/>
    <w:rsid w:val="53F02939"/>
    <w:rsid w:val="542A52C1"/>
    <w:rsid w:val="54501629"/>
    <w:rsid w:val="54872DB7"/>
    <w:rsid w:val="549332C4"/>
    <w:rsid w:val="54B96C13"/>
    <w:rsid w:val="54D47B64"/>
    <w:rsid w:val="55030059"/>
    <w:rsid w:val="550A5E97"/>
    <w:rsid w:val="553C395C"/>
    <w:rsid w:val="558F6181"/>
    <w:rsid w:val="55DC74A2"/>
    <w:rsid w:val="55FF6E63"/>
    <w:rsid w:val="56062125"/>
    <w:rsid w:val="56292132"/>
    <w:rsid w:val="56312D95"/>
    <w:rsid w:val="56820580"/>
    <w:rsid w:val="56976C15"/>
    <w:rsid w:val="56AB2032"/>
    <w:rsid w:val="56B71025"/>
    <w:rsid w:val="56FA587C"/>
    <w:rsid w:val="57025546"/>
    <w:rsid w:val="57122BC6"/>
    <w:rsid w:val="5768237E"/>
    <w:rsid w:val="57755EF2"/>
    <w:rsid w:val="5788526A"/>
    <w:rsid w:val="57B10631"/>
    <w:rsid w:val="5809221B"/>
    <w:rsid w:val="580B71FF"/>
    <w:rsid w:val="58326D9E"/>
    <w:rsid w:val="58424A3D"/>
    <w:rsid w:val="58540F25"/>
    <w:rsid w:val="5854643D"/>
    <w:rsid w:val="587C1926"/>
    <w:rsid w:val="58807673"/>
    <w:rsid w:val="595E3AD5"/>
    <w:rsid w:val="596D24A3"/>
    <w:rsid w:val="5996188C"/>
    <w:rsid w:val="59B77BAA"/>
    <w:rsid w:val="59F111B9"/>
    <w:rsid w:val="5A0C5FF2"/>
    <w:rsid w:val="5A820063"/>
    <w:rsid w:val="5AAB7390"/>
    <w:rsid w:val="5AAE70AA"/>
    <w:rsid w:val="5AE34B42"/>
    <w:rsid w:val="5B136F0D"/>
    <w:rsid w:val="5B2021ED"/>
    <w:rsid w:val="5B4812AC"/>
    <w:rsid w:val="5B584D40"/>
    <w:rsid w:val="5B6A1223"/>
    <w:rsid w:val="5B6D2AE6"/>
    <w:rsid w:val="5B94004E"/>
    <w:rsid w:val="5B9769B1"/>
    <w:rsid w:val="5B9C5154"/>
    <w:rsid w:val="5BBE4968"/>
    <w:rsid w:val="5BF1724E"/>
    <w:rsid w:val="5C304F19"/>
    <w:rsid w:val="5C334220"/>
    <w:rsid w:val="5C651EC1"/>
    <w:rsid w:val="5C807945"/>
    <w:rsid w:val="5CB70498"/>
    <w:rsid w:val="5CC8622A"/>
    <w:rsid w:val="5D3E6397"/>
    <w:rsid w:val="5D525A15"/>
    <w:rsid w:val="5D772BD8"/>
    <w:rsid w:val="5D91069D"/>
    <w:rsid w:val="5DBB3FB7"/>
    <w:rsid w:val="5DE66B5A"/>
    <w:rsid w:val="5DFE292B"/>
    <w:rsid w:val="5E850121"/>
    <w:rsid w:val="5EA61B36"/>
    <w:rsid w:val="5ED818A4"/>
    <w:rsid w:val="5EE02E51"/>
    <w:rsid w:val="5F223B9F"/>
    <w:rsid w:val="5F3E1802"/>
    <w:rsid w:val="5FC17177"/>
    <w:rsid w:val="5FE6236B"/>
    <w:rsid w:val="600758AF"/>
    <w:rsid w:val="60455DBA"/>
    <w:rsid w:val="60665EAB"/>
    <w:rsid w:val="60687CFB"/>
    <w:rsid w:val="607F3FAA"/>
    <w:rsid w:val="60B977A3"/>
    <w:rsid w:val="60BD7A95"/>
    <w:rsid w:val="60CE7B5E"/>
    <w:rsid w:val="61001EE4"/>
    <w:rsid w:val="6130037E"/>
    <w:rsid w:val="614317D7"/>
    <w:rsid w:val="615154DB"/>
    <w:rsid w:val="61AC454A"/>
    <w:rsid w:val="61BC02FE"/>
    <w:rsid w:val="61F50829"/>
    <w:rsid w:val="62121C0E"/>
    <w:rsid w:val="62141C74"/>
    <w:rsid w:val="621E2D67"/>
    <w:rsid w:val="624A3B5C"/>
    <w:rsid w:val="626E08B1"/>
    <w:rsid w:val="627B75C9"/>
    <w:rsid w:val="629152E7"/>
    <w:rsid w:val="62BB5F20"/>
    <w:rsid w:val="62E21FE6"/>
    <w:rsid w:val="630C2BBF"/>
    <w:rsid w:val="637F3391"/>
    <w:rsid w:val="638906B4"/>
    <w:rsid w:val="638C4E9F"/>
    <w:rsid w:val="63C00025"/>
    <w:rsid w:val="63FC70D8"/>
    <w:rsid w:val="640870F7"/>
    <w:rsid w:val="64201415"/>
    <w:rsid w:val="64F04365"/>
    <w:rsid w:val="6500504D"/>
    <w:rsid w:val="6502071E"/>
    <w:rsid w:val="652177BD"/>
    <w:rsid w:val="652E6CD9"/>
    <w:rsid w:val="652F6729"/>
    <w:rsid w:val="654F3237"/>
    <w:rsid w:val="65602967"/>
    <w:rsid w:val="65740384"/>
    <w:rsid w:val="65D5198E"/>
    <w:rsid w:val="65F00576"/>
    <w:rsid w:val="65F8567D"/>
    <w:rsid w:val="65FB63A3"/>
    <w:rsid w:val="66293A88"/>
    <w:rsid w:val="66374183"/>
    <w:rsid w:val="66555016"/>
    <w:rsid w:val="66886A01"/>
    <w:rsid w:val="66B9387F"/>
    <w:rsid w:val="66D6776C"/>
    <w:rsid w:val="67191D4F"/>
    <w:rsid w:val="67246C97"/>
    <w:rsid w:val="673E73EE"/>
    <w:rsid w:val="67412917"/>
    <w:rsid w:val="67650B14"/>
    <w:rsid w:val="678469A2"/>
    <w:rsid w:val="67980EC5"/>
    <w:rsid w:val="689510AD"/>
    <w:rsid w:val="69227B63"/>
    <w:rsid w:val="699E3D0F"/>
    <w:rsid w:val="69CD6430"/>
    <w:rsid w:val="6A1422CE"/>
    <w:rsid w:val="6A3749C6"/>
    <w:rsid w:val="6A3854DD"/>
    <w:rsid w:val="6A486BD3"/>
    <w:rsid w:val="6A5877AE"/>
    <w:rsid w:val="6A724D32"/>
    <w:rsid w:val="6A7C14DB"/>
    <w:rsid w:val="6A99742E"/>
    <w:rsid w:val="6AA36BE0"/>
    <w:rsid w:val="6AAA0E0F"/>
    <w:rsid w:val="6AC65D4A"/>
    <w:rsid w:val="6AF46371"/>
    <w:rsid w:val="6AFB3C45"/>
    <w:rsid w:val="6B3B58F6"/>
    <w:rsid w:val="6BC95AF1"/>
    <w:rsid w:val="6BCC4F60"/>
    <w:rsid w:val="6BD1357A"/>
    <w:rsid w:val="6BE956D3"/>
    <w:rsid w:val="6C353187"/>
    <w:rsid w:val="6CCF7E97"/>
    <w:rsid w:val="6D050DAB"/>
    <w:rsid w:val="6D3A657B"/>
    <w:rsid w:val="6D5736DE"/>
    <w:rsid w:val="6D5A3C61"/>
    <w:rsid w:val="6DEA1BF2"/>
    <w:rsid w:val="6E1D2124"/>
    <w:rsid w:val="6E7755F0"/>
    <w:rsid w:val="6E9746DC"/>
    <w:rsid w:val="6EAB4079"/>
    <w:rsid w:val="6EAF6DE8"/>
    <w:rsid w:val="6F060E0B"/>
    <w:rsid w:val="6F2D73D4"/>
    <w:rsid w:val="6F563B40"/>
    <w:rsid w:val="6F871F4B"/>
    <w:rsid w:val="6F8E2418"/>
    <w:rsid w:val="6FD278CF"/>
    <w:rsid w:val="6FF43359"/>
    <w:rsid w:val="6FF75ACE"/>
    <w:rsid w:val="701632CF"/>
    <w:rsid w:val="70223A22"/>
    <w:rsid w:val="70417CC9"/>
    <w:rsid w:val="70A845EB"/>
    <w:rsid w:val="70D26A74"/>
    <w:rsid w:val="70D85E4D"/>
    <w:rsid w:val="71082373"/>
    <w:rsid w:val="710F044A"/>
    <w:rsid w:val="711041C2"/>
    <w:rsid w:val="712E3709"/>
    <w:rsid w:val="713B36E4"/>
    <w:rsid w:val="71657618"/>
    <w:rsid w:val="71A861A9"/>
    <w:rsid w:val="71DB657E"/>
    <w:rsid w:val="71FD1BD9"/>
    <w:rsid w:val="72007D93"/>
    <w:rsid w:val="72282AEE"/>
    <w:rsid w:val="722C7E48"/>
    <w:rsid w:val="725110CE"/>
    <w:rsid w:val="72715DBD"/>
    <w:rsid w:val="72A20E4A"/>
    <w:rsid w:val="72A3285F"/>
    <w:rsid w:val="72B1454F"/>
    <w:rsid w:val="72DA6836"/>
    <w:rsid w:val="7306587D"/>
    <w:rsid w:val="735E7467"/>
    <w:rsid w:val="73702CF6"/>
    <w:rsid w:val="73864395"/>
    <w:rsid w:val="73A22565"/>
    <w:rsid w:val="73E30080"/>
    <w:rsid w:val="73ED552C"/>
    <w:rsid w:val="745D14CD"/>
    <w:rsid w:val="750E21AA"/>
    <w:rsid w:val="752B15CB"/>
    <w:rsid w:val="753A35BC"/>
    <w:rsid w:val="755C79D6"/>
    <w:rsid w:val="759E7FEF"/>
    <w:rsid w:val="75B33542"/>
    <w:rsid w:val="75B3511C"/>
    <w:rsid w:val="765C57B4"/>
    <w:rsid w:val="766438EC"/>
    <w:rsid w:val="76935D1A"/>
    <w:rsid w:val="76AD0976"/>
    <w:rsid w:val="76B06F9F"/>
    <w:rsid w:val="76BD4533"/>
    <w:rsid w:val="76C53359"/>
    <w:rsid w:val="76CD2517"/>
    <w:rsid w:val="76EA2DC0"/>
    <w:rsid w:val="76FC0C4C"/>
    <w:rsid w:val="774C7BE2"/>
    <w:rsid w:val="775F62B5"/>
    <w:rsid w:val="775F730A"/>
    <w:rsid w:val="776328E0"/>
    <w:rsid w:val="77884275"/>
    <w:rsid w:val="77B406E3"/>
    <w:rsid w:val="77C44272"/>
    <w:rsid w:val="780E1917"/>
    <w:rsid w:val="781E0018"/>
    <w:rsid w:val="782567A5"/>
    <w:rsid w:val="787F7EE4"/>
    <w:rsid w:val="78834720"/>
    <w:rsid w:val="788604AB"/>
    <w:rsid w:val="78992CEF"/>
    <w:rsid w:val="78A90B40"/>
    <w:rsid w:val="78D93CB9"/>
    <w:rsid w:val="78F21BAE"/>
    <w:rsid w:val="7930196F"/>
    <w:rsid w:val="79896537"/>
    <w:rsid w:val="79BB5C46"/>
    <w:rsid w:val="7A0C745C"/>
    <w:rsid w:val="7A17211E"/>
    <w:rsid w:val="7A2F4E58"/>
    <w:rsid w:val="7A633A4B"/>
    <w:rsid w:val="7A727519"/>
    <w:rsid w:val="7A754C89"/>
    <w:rsid w:val="7AD26520"/>
    <w:rsid w:val="7B015B51"/>
    <w:rsid w:val="7B0B7A23"/>
    <w:rsid w:val="7B2A40D3"/>
    <w:rsid w:val="7B6E74C5"/>
    <w:rsid w:val="7BCD7387"/>
    <w:rsid w:val="7BE129E3"/>
    <w:rsid w:val="7BEA1F82"/>
    <w:rsid w:val="7BFB0A7C"/>
    <w:rsid w:val="7C3C7C24"/>
    <w:rsid w:val="7C681680"/>
    <w:rsid w:val="7C7C2AF6"/>
    <w:rsid w:val="7D0746CC"/>
    <w:rsid w:val="7D096474"/>
    <w:rsid w:val="7D31799A"/>
    <w:rsid w:val="7D9B5B0E"/>
    <w:rsid w:val="7D9E75A3"/>
    <w:rsid w:val="7DDB3462"/>
    <w:rsid w:val="7DF80AB8"/>
    <w:rsid w:val="7E1304CD"/>
    <w:rsid w:val="7E1F610F"/>
    <w:rsid w:val="7EBA34E2"/>
    <w:rsid w:val="7ECB4904"/>
    <w:rsid w:val="7F0B4FA7"/>
    <w:rsid w:val="7F10697B"/>
    <w:rsid w:val="7F611685"/>
    <w:rsid w:val="7FBD72C3"/>
    <w:rsid w:val="7FC34E7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qFormat="1" w:unhideWhenUsed="0" w:uiPriority="0" w:semiHidden="0"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uiPriority="99" w:name="Date"/>
    <w:lsdException w:qFormat="1" w:unhideWhenUsed="0" w:uiPriority="99" w:semiHidden="0" w:name="Body Text First Indent"/>
    <w:lsdException w:qFormat="1" w:uiPriority="0"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qFormat="1" w:uiPriority="99" w:name="Body Text Indent 3"/>
    <w:lsdException w:uiPriority="99" w:name="Block Text"/>
    <w:lsdException w:uiPriority="99" w:name="Hyperlink"/>
    <w:lsdException w:uiPriority="99" w:name="FollowedHyperlink"/>
    <w:lsdException w:unhideWhenUsed="0" w:uiPriority="22" w:semiHidden="0" w:name="Strong"/>
    <w:lsdException w:unhideWhenUsed="0" w:uiPriority="20" w:semiHidden="0" w:name="Emphasis"/>
    <w:lsdException w:uiPriority="99" w:name="Document Map"/>
    <w:lsdException w:qFormat="1"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99" w:semiHidden="0" w:name="Table Grid"/>
    <w:lsdException w:uiPriority="99"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Times New Roman" w:hAnsi="Times New Roman" w:eastAsia="宋体" w:cstheme="minorBidi"/>
      <w:kern w:val="2"/>
      <w:sz w:val="24"/>
      <w:szCs w:val="22"/>
      <w:lang w:val="en-US" w:eastAsia="zh-CN" w:bidi="ar-SA"/>
    </w:rPr>
  </w:style>
  <w:style w:type="paragraph" w:styleId="3">
    <w:name w:val="heading 1"/>
    <w:basedOn w:val="1"/>
    <w:next w:val="1"/>
    <w:link w:val="68"/>
    <w:qFormat/>
    <w:uiPriority w:val="9"/>
    <w:pPr>
      <w:keepNext/>
      <w:keepLines/>
      <w:spacing w:before="340" w:after="330" w:line="578" w:lineRule="auto"/>
      <w:outlineLvl w:val="0"/>
    </w:pPr>
    <w:rPr>
      <w:b/>
      <w:bCs/>
      <w:kern w:val="44"/>
      <w:sz w:val="44"/>
      <w:szCs w:val="44"/>
    </w:rPr>
  </w:style>
  <w:style w:type="paragraph" w:styleId="2">
    <w:name w:val="heading 2"/>
    <w:basedOn w:val="1"/>
    <w:next w:val="1"/>
    <w:link w:val="32"/>
    <w:semiHidden/>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semiHidden/>
    <w:unhideWhenUsed/>
    <w:qFormat/>
    <w:uiPriority w:val="9"/>
    <w:pPr>
      <w:spacing w:beforeAutospacing="1" w:afterAutospacing="1"/>
      <w:jc w:val="left"/>
      <w:outlineLvl w:val="2"/>
    </w:pPr>
    <w:rPr>
      <w:rFonts w:hint="eastAsia" w:ascii="宋体" w:hAnsi="宋体" w:cs="Times New Roman"/>
      <w:b/>
      <w:bCs/>
      <w:kern w:val="0"/>
      <w:sz w:val="27"/>
      <w:szCs w:val="27"/>
    </w:rPr>
  </w:style>
  <w:style w:type="paragraph" w:styleId="5">
    <w:name w:val="heading 4"/>
    <w:basedOn w:val="1"/>
    <w:next w:val="1"/>
    <w:semiHidden/>
    <w:unhideWhenUsed/>
    <w:qFormat/>
    <w:uiPriority w:val="9"/>
    <w:pPr>
      <w:keepNext/>
      <w:keepLines/>
      <w:numPr>
        <w:ilvl w:val="3"/>
        <w:numId w:val="1"/>
      </w:numPr>
      <w:spacing w:before="280" w:after="290" w:line="372" w:lineRule="auto"/>
      <w:outlineLvl w:val="3"/>
    </w:pPr>
    <w:rPr>
      <w:rFonts w:ascii="Arial" w:hAnsi="Arial" w:eastAsia="黑体"/>
      <w:b/>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next w:val="7"/>
    <w:qFormat/>
    <w:uiPriority w:val="0"/>
    <w:pPr>
      <w:ind w:firstLine="420"/>
    </w:pPr>
  </w:style>
  <w:style w:type="paragraph" w:styleId="7">
    <w:name w:val="Body Text First Indent 2"/>
    <w:basedOn w:val="8"/>
    <w:next w:val="9"/>
    <w:link w:val="58"/>
    <w:unhideWhenUsed/>
    <w:qFormat/>
    <w:uiPriority w:val="0"/>
    <w:pPr>
      <w:widowControl w:val="0"/>
      <w:spacing w:after="120" w:line="360" w:lineRule="auto"/>
      <w:ind w:left="420" w:leftChars="200" w:firstLine="420" w:firstLineChars="200"/>
      <w:jc w:val="both"/>
    </w:pPr>
    <w:rPr>
      <w:rFonts w:ascii="Times New Roman" w:hAnsi="Times New Roman" w:eastAsia="宋体"/>
      <w:sz w:val="24"/>
    </w:rPr>
  </w:style>
  <w:style w:type="paragraph" w:styleId="8">
    <w:name w:val="Body Text Indent"/>
    <w:basedOn w:val="1"/>
    <w:link w:val="49"/>
    <w:qFormat/>
    <w:uiPriority w:val="0"/>
    <w:pPr>
      <w:widowControl/>
      <w:spacing w:line="440" w:lineRule="exact"/>
      <w:ind w:firstLine="527" w:firstLineChars="0"/>
      <w:jc w:val="left"/>
    </w:pPr>
    <w:rPr>
      <w:rFonts w:asciiTheme="minorHAnsi" w:hAnsiTheme="minorHAnsi" w:eastAsiaTheme="minorEastAsia"/>
      <w:sz w:val="21"/>
    </w:rPr>
  </w:style>
  <w:style w:type="paragraph" w:styleId="9">
    <w:name w:val="Body Text First Indent"/>
    <w:basedOn w:val="10"/>
    <w:next w:val="1"/>
    <w:qFormat/>
    <w:uiPriority w:val="99"/>
    <w:pPr>
      <w:spacing w:line="500" w:lineRule="exact"/>
      <w:ind w:firstLine="420" w:firstLineChars="100"/>
    </w:pPr>
    <w:rPr>
      <w:sz w:val="28"/>
    </w:rPr>
  </w:style>
  <w:style w:type="paragraph" w:styleId="10">
    <w:name w:val="Body Text"/>
    <w:basedOn w:val="1"/>
    <w:link w:val="57"/>
    <w:semiHidden/>
    <w:unhideWhenUsed/>
    <w:qFormat/>
    <w:uiPriority w:val="99"/>
    <w:pPr>
      <w:spacing w:after="120"/>
    </w:pPr>
  </w:style>
  <w:style w:type="paragraph" w:styleId="11">
    <w:name w:val="annotation text"/>
    <w:basedOn w:val="1"/>
    <w:link w:val="62"/>
    <w:unhideWhenUsed/>
    <w:qFormat/>
    <w:uiPriority w:val="99"/>
    <w:pPr>
      <w:jc w:val="left"/>
    </w:pPr>
  </w:style>
  <w:style w:type="paragraph" w:styleId="12">
    <w:name w:val="Plain Text"/>
    <w:basedOn w:val="1"/>
    <w:unhideWhenUsed/>
    <w:qFormat/>
    <w:uiPriority w:val="0"/>
    <w:rPr>
      <w:rFonts w:hint="eastAsia" w:ascii="宋体" w:hAnsi="Courier New"/>
      <w:sz w:val="21"/>
      <w:szCs w:val="21"/>
    </w:rPr>
  </w:style>
  <w:style w:type="paragraph" w:styleId="13">
    <w:name w:val="Body Text Indent 2"/>
    <w:basedOn w:val="1"/>
    <w:link w:val="64"/>
    <w:qFormat/>
    <w:uiPriority w:val="0"/>
    <w:pPr>
      <w:spacing w:line="600" w:lineRule="exact"/>
      <w:ind w:firstLine="600" w:firstLineChars="0"/>
    </w:pPr>
    <w:rPr>
      <w:rFonts w:eastAsia="仿宋" w:cs="Times New Roman"/>
      <w:color w:val="000000"/>
      <w:kern w:val="1"/>
      <w:sz w:val="30"/>
      <w:szCs w:val="24"/>
    </w:rPr>
  </w:style>
  <w:style w:type="paragraph" w:styleId="14">
    <w:name w:val="endnote text"/>
    <w:basedOn w:val="1"/>
    <w:link w:val="69"/>
    <w:qFormat/>
    <w:uiPriority w:val="0"/>
    <w:pPr>
      <w:snapToGrid w:val="0"/>
      <w:spacing w:line="240" w:lineRule="auto"/>
      <w:ind w:firstLine="0" w:firstLineChars="0"/>
      <w:jc w:val="left"/>
    </w:pPr>
    <w:rPr>
      <w:rFonts w:cs="Times New Roman"/>
      <w:sz w:val="21"/>
      <w:szCs w:val="24"/>
    </w:rPr>
  </w:style>
  <w:style w:type="paragraph" w:styleId="15">
    <w:name w:val="Balloon Text"/>
    <w:basedOn w:val="1"/>
    <w:link w:val="48"/>
    <w:semiHidden/>
    <w:unhideWhenUsed/>
    <w:qFormat/>
    <w:uiPriority w:val="99"/>
    <w:pPr>
      <w:spacing w:line="240" w:lineRule="auto"/>
    </w:pPr>
    <w:rPr>
      <w:sz w:val="18"/>
      <w:szCs w:val="18"/>
    </w:rPr>
  </w:style>
  <w:style w:type="paragraph" w:styleId="16">
    <w:name w:val="footer"/>
    <w:basedOn w:val="1"/>
    <w:link w:val="45"/>
    <w:unhideWhenUsed/>
    <w:qFormat/>
    <w:uiPriority w:val="99"/>
    <w:pPr>
      <w:tabs>
        <w:tab w:val="center" w:pos="4153"/>
        <w:tab w:val="right" w:pos="8306"/>
      </w:tabs>
      <w:snapToGrid w:val="0"/>
      <w:spacing w:line="240" w:lineRule="auto"/>
      <w:jc w:val="left"/>
    </w:pPr>
    <w:rPr>
      <w:sz w:val="18"/>
      <w:szCs w:val="18"/>
    </w:rPr>
  </w:style>
  <w:style w:type="paragraph" w:styleId="17">
    <w:name w:val="header"/>
    <w:basedOn w:val="1"/>
    <w:link w:val="44"/>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18">
    <w:name w:val="Body Text Indent 3"/>
    <w:basedOn w:val="1"/>
    <w:link w:val="56"/>
    <w:semiHidden/>
    <w:unhideWhenUsed/>
    <w:qFormat/>
    <w:uiPriority w:val="99"/>
    <w:pPr>
      <w:spacing w:after="120"/>
      <w:ind w:left="420" w:leftChars="200"/>
    </w:pPr>
    <w:rPr>
      <w:sz w:val="16"/>
      <w:szCs w:val="16"/>
    </w:rPr>
  </w:style>
  <w:style w:type="paragraph" w:styleId="19">
    <w:name w:val="Normal (Web)"/>
    <w:basedOn w:val="1"/>
    <w:qFormat/>
    <w:uiPriority w:val="0"/>
    <w:pPr>
      <w:widowControl/>
      <w:spacing w:before="100" w:beforeAutospacing="1" w:after="100" w:afterAutospacing="1"/>
    </w:pPr>
    <w:rPr>
      <w:rFonts w:ascii="宋体" w:hAnsi="宋体" w:cs="宋体"/>
      <w:color w:val="000000"/>
      <w:szCs w:val="24"/>
    </w:rPr>
  </w:style>
  <w:style w:type="paragraph" w:styleId="20">
    <w:name w:val="annotation subject"/>
    <w:basedOn w:val="11"/>
    <w:next w:val="11"/>
    <w:link w:val="63"/>
    <w:semiHidden/>
    <w:unhideWhenUsed/>
    <w:qFormat/>
    <w:uiPriority w:val="99"/>
    <w:rPr>
      <w:b/>
      <w:bCs/>
    </w:rPr>
  </w:style>
  <w:style w:type="table" w:styleId="22">
    <w:name w:val="Table Grid"/>
    <w:basedOn w:val="21"/>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annotation reference"/>
    <w:basedOn w:val="23"/>
    <w:semiHidden/>
    <w:unhideWhenUsed/>
    <w:qFormat/>
    <w:uiPriority w:val="99"/>
    <w:rPr>
      <w:sz w:val="21"/>
      <w:szCs w:val="21"/>
    </w:rPr>
  </w:style>
  <w:style w:type="paragraph" w:customStyle="1" w:styleId="25">
    <w:name w:val="表格内容1"/>
    <w:basedOn w:val="1"/>
    <w:next w:val="1"/>
    <w:qFormat/>
    <w:uiPriority w:val="0"/>
    <w:pPr>
      <w:spacing w:line="240" w:lineRule="auto"/>
      <w:ind w:firstLine="0" w:firstLineChars="0"/>
      <w:jc w:val="center"/>
    </w:pPr>
    <w:rPr>
      <w:rFonts w:hint="eastAsia" w:cs="Times New Roman"/>
      <w:bCs/>
      <w:sz w:val="21"/>
      <w:szCs w:val="16"/>
    </w:rPr>
  </w:style>
  <w:style w:type="paragraph" w:customStyle="1" w:styleId="26">
    <w:name w:val="表格内容"/>
    <w:basedOn w:val="27"/>
    <w:next w:val="1"/>
    <w:qFormat/>
    <w:uiPriority w:val="0"/>
    <w:pPr>
      <w:autoSpaceDE w:val="0"/>
      <w:autoSpaceDN w:val="0"/>
    </w:pPr>
    <w:rPr>
      <w:sz w:val="21"/>
      <w:szCs w:val="21"/>
      <w:lang w:val="zh-CN"/>
    </w:rPr>
  </w:style>
  <w:style w:type="paragraph" w:customStyle="1" w:styleId="27">
    <w:name w:val="表格标题"/>
    <w:qFormat/>
    <w:uiPriority w:val="0"/>
    <w:pPr>
      <w:jc w:val="center"/>
    </w:pPr>
    <w:rPr>
      <w:rFonts w:ascii="Times New Roman" w:hAnsi="Times New Roman" w:eastAsia="宋体" w:cs="Times New Roman"/>
      <w:b/>
      <w:bCs/>
      <w:sz w:val="24"/>
      <w:szCs w:val="24"/>
      <w:lang w:val="en-US" w:eastAsia="zh-CN" w:bidi="ar-SA"/>
    </w:rPr>
  </w:style>
  <w:style w:type="paragraph" w:styleId="28">
    <w:name w:val="No Spacing"/>
    <w:basedOn w:val="1"/>
    <w:qFormat/>
    <w:uiPriority w:val="0"/>
    <w:pPr>
      <w:spacing w:line="240" w:lineRule="auto"/>
      <w:ind w:firstLine="0" w:firstLineChars="0"/>
    </w:pPr>
    <w:rPr>
      <w:kern w:val="0"/>
      <w:sz w:val="21"/>
      <w:szCs w:val="21"/>
    </w:rPr>
  </w:style>
  <w:style w:type="paragraph" w:customStyle="1" w:styleId="29">
    <w:name w:val="H1级"/>
    <w:basedOn w:val="1"/>
    <w:link w:val="30"/>
    <w:qFormat/>
    <w:uiPriority w:val="0"/>
    <w:pPr>
      <w:spacing w:before="60" w:after="60"/>
      <w:ind w:firstLine="0" w:firstLineChars="0"/>
      <w:jc w:val="left"/>
      <w:outlineLvl w:val="0"/>
    </w:pPr>
    <w:rPr>
      <w:rFonts w:ascii="微软雅黑" w:hAnsi="微软雅黑" w:eastAsia="微软雅黑" w:cstheme="majorBidi"/>
      <w:b/>
      <w:bCs/>
      <w:sz w:val="28"/>
      <w:szCs w:val="32"/>
    </w:rPr>
  </w:style>
  <w:style w:type="character" w:customStyle="1" w:styleId="30">
    <w:name w:val="H1级 字符"/>
    <w:basedOn w:val="23"/>
    <w:link w:val="29"/>
    <w:qFormat/>
    <w:uiPriority w:val="0"/>
    <w:rPr>
      <w:rFonts w:ascii="微软雅黑" w:hAnsi="微软雅黑" w:eastAsia="微软雅黑" w:cstheme="majorBidi"/>
      <w:b/>
      <w:bCs/>
      <w:sz w:val="28"/>
      <w:szCs w:val="32"/>
    </w:rPr>
  </w:style>
  <w:style w:type="paragraph" w:customStyle="1" w:styleId="31">
    <w:name w:val="H2级"/>
    <w:basedOn w:val="2"/>
    <w:link w:val="35"/>
    <w:qFormat/>
    <w:uiPriority w:val="0"/>
    <w:pPr>
      <w:spacing w:before="40" w:after="40" w:line="360" w:lineRule="auto"/>
      <w:ind w:firstLine="0" w:firstLineChars="0"/>
      <w:jc w:val="left"/>
    </w:pPr>
    <w:rPr>
      <w:rFonts w:ascii="Times New Roman" w:hAnsi="Times New Roman" w:eastAsia="宋体"/>
      <w:bCs w:val="0"/>
      <w:sz w:val="24"/>
    </w:rPr>
  </w:style>
  <w:style w:type="character" w:customStyle="1" w:styleId="32">
    <w:name w:val="标题 2 字符"/>
    <w:basedOn w:val="23"/>
    <w:link w:val="2"/>
    <w:semiHidden/>
    <w:qFormat/>
    <w:uiPriority w:val="9"/>
    <w:rPr>
      <w:rFonts w:asciiTheme="majorHAnsi" w:hAnsiTheme="majorHAnsi" w:eastAsiaTheme="majorEastAsia" w:cstheme="majorBidi"/>
      <w:b/>
      <w:bCs/>
      <w:sz w:val="32"/>
      <w:szCs w:val="32"/>
    </w:rPr>
  </w:style>
  <w:style w:type="paragraph" w:customStyle="1" w:styleId="33">
    <w:name w:val="H3级"/>
    <w:basedOn w:val="31"/>
    <w:link w:val="34"/>
    <w:qFormat/>
    <w:uiPriority w:val="0"/>
    <w:pPr>
      <w:spacing w:before="0" w:after="0"/>
      <w:outlineLvl w:val="2"/>
    </w:pPr>
  </w:style>
  <w:style w:type="character" w:customStyle="1" w:styleId="34">
    <w:name w:val="H3级 字符"/>
    <w:basedOn w:val="35"/>
    <w:link w:val="33"/>
    <w:qFormat/>
    <w:uiPriority w:val="0"/>
    <w:rPr>
      <w:rFonts w:ascii="Times New Roman" w:hAnsi="Times New Roman" w:eastAsia="宋体" w:cstheme="majorBidi"/>
      <w:sz w:val="24"/>
      <w:szCs w:val="32"/>
    </w:rPr>
  </w:style>
  <w:style w:type="character" w:customStyle="1" w:styleId="35">
    <w:name w:val="H2级 字符"/>
    <w:basedOn w:val="32"/>
    <w:link w:val="31"/>
    <w:qFormat/>
    <w:uiPriority w:val="0"/>
    <w:rPr>
      <w:rFonts w:ascii="Times New Roman" w:hAnsi="Times New Roman" w:eastAsia="宋体" w:cstheme="majorBidi"/>
      <w:bCs w:val="0"/>
      <w:sz w:val="24"/>
      <w:szCs w:val="32"/>
    </w:rPr>
  </w:style>
  <w:style w:type="paragraph" w:customStyle="1" w:styleId="36">
    <w:name w:val="H4级"/>
    <w:basedOn w:val="33"/>
    <w:link w:val="37"/>
    <w:qFormat/>
    <w:uiPriority w:val="0"/>
    <w:pPr>
      <w:outlineLvl w:val="3"/>
    </w:pPr>
  </w:style>
  <w:style w:type="character" w:customStyle="1" w:styleId="37">
    <w:name w:val="H4级 字符"/>
    <w:basedOn w:val="34"/>
    <w:link w:val="36"/>
    <w:qFormat/>
    <w:uiPriority w:val="0"/>
    <w:rPr>
      <w:rFonts w:ascii="Times New Roman" w:hAnsi="Times New Roman" w:eastAsia="宋体" w:cstheme="majorBidi"/>
      <w:sz w:val="24"/>
      <w:szCs w:val="32"/>
    </w:rPr>
  </w:style>
  <w:style w:type="paragraph" w:customStyle="1" w:styleId="38">
    <w:name w:val="HP正文"/>
    <w:basedOn w:val="1"/>
    <w:link w:val="39"/>
    <w:qFormat/>
    <w:uiPriority w:val="0"/>
    <w:pPr>
      <w:ind w:firstLine="480" w:firstLineChars="0"/>
    </w:pPr>
    <w:rPr>
      <w:kern w:val="0"/>
      <w:szCs w:val="24"/>
    </w:rPr>
  </w:style>
  <w:style w:type="character" w:customStyle="1" w:styleId="39">
    <w:name w:val="HP正文 字符"/>
    <w:basedOn w:val="23"/>
    <w:link w:val="38"/>
    <w:qFormat/>
    <w:uiPriority w:val="0"/>
    <w:rPr>
      <w:rFonts w:cstheme="minorBidi"/>
      <w:sz w:val="24"/>
      <w:szCs w:val="24"/>
    </w:rPr>
  </w:style>
  <w:style w:type="paragraph" w:customStyle="1" w:styleId="40">
    <w:name w:val="HP表格"/>
    <w:basedOn w:val="1"/>
    <w:link w:val="41"/>
    <w:qFormat/>
    <w:uiPriority w:val="0"/>
    <w:pPr>
      <w:spacing w:line="240" w:lineRule="auto"/>
      <w:ind w:firstLine="0" w:firstLineChars="0"/>
      <w:contextualSpacing/>
      <w:jc w:val="center"/>
    </w:pPr>
    <w:rPr>
      <w:color w:val="000000"/>
      <w:sz w:val="21"/>
      <w:szCs w:val="21"/>
    </w:rPr>
  </w:style>
  <w:style w:type="character" w:customStyle="1" w:styleId="41">
    <w:name w:val="HP表格 字符"/>
    <w:basedOn w:val="23"/>
    <w:link w:val="40"/>
    <w:qFormat/>
    <w:uiPriority w:val="0"/>
    <w:rPr>
      <w:rFonts w:ascii="Times New Roman" w:hAnsi="Times New Roman" w:eastAsia="宋体"/>
      <w:color w:val="000000"/>
      <w:szCs w:val="21"/>
    </w:rPr>
  </w:style>
  <w:style w:type="paragraph" w:customStyle="1" w:styleId="42">
    <w:name w:val="HP图表标题"/>
    <w:basedOn w:val="1"/>
    <w:link w:val="43"/>
    <w:qFormat/>
    <w:uiPriority w:val="0"/>
    <w:pPr>
      <w:ind w:firstLine="0" w:firstLineChars="0"/>
      <w:jc w:val="center"/>
    </w:pPr>
    <w:rPr>
      <w:rFonts w:ascii="宋体" w:hAnsi="宋体"/>
      <w:b/>
      <w:sz w:val="21"/>
      <w:szCs w:val="24"/>
    </w:rPr>
  </w:style>
  <w:style w:type="character" w:customStyle="1" w:styleId="43">
    <w:name w:val="HP图表标题 字符"/>
    <w:basedOn w:val="23"/>
    <w:link w:val="42"/>
    <w:qFormat/>
    <w:uiPriority w:val="0"/>
    <w:rPr>
      <w:rFonts w:ascii="宋体" w:hAnsi="宋体" w:eastAsia="宋体"/>
      <w:b/>
      <w:szCs w:val="24"/>
    </w:rPr>
  </w:style>
  <w:style w:type="character" w:customStyle="1" w:styleId="44">
    <w:name w:val="页眉 字符"/>
    <w:basedOn w:val="23"/>
    <w:link w:val="17"/>
    <w:qFormat/>
    <w:uiPriority w:val="99"/>
    <w:rPr>
      <w:rFonts w:ascii="Times New Roman" w:hAnsi="Times New Roman" w:eastAsia="宋体"/>
      <w:sz w:val="18"/>
      <w:szCs w:val="18"/>
    </w:rPr>
  </w:style>
  <w:style w:type="character" w:customStyle="1" w:styleId="45">
    <w:name w:val="页脚 字符"/>
    <w:basedOn w:val="23"/>
    <w:link w:val="16"/>
    <w:qFormat/>
    <w:uiPriority w:val="99"/>
    <w:rPr>
      <w:rFonts w:ascii="Times New Roman" w:hAnsi="Times New Roman" w:eastAsia="宋体"/>
      <w:sz w:val="18"/>
      <w:szCs w:val="18"/>
    </w:rPr>
  </w:style>
  <w:style w:type="character" w:customStyle="1" w:styleId="46">
    <w:name w:val="fontstyle01"/>
    <w:basedOn w:val="23"/>
    <w:qFormat/>
    <w:uiPriority w:val="0"/>
    <w:rPr>
      <w:rFonts w:hint="default" w:ascii="ArialUnicodeMS" w:hAnsi="ArialUnicodeMS"/>
      <w:color w:val="000000"/>
      <w:sz w:val="38"/>
      <w:szCs w:val="38"/>
    </w:rPr>
  </w:style>
  <w:style w:type="character" w:customStyle="1" w:styleId="47">
    <w:name w:val="标题 3 Char Char"/>
    <w:qFormat/>
    <w:uiPriority w:val="0"/>
    <w:rPr>
      <w:rFonts w:ascii="Arial" w:hAnsi="Arial" w:eastAsia="黑体" w:cs="宋体"/>
      <w:b/>
      <w:bCs/>
      <w:kern w:val="44"/>
      <w:sz w:val="32"/>
      <w:szCs w:val="32"/>
      <w:lang w:val="en-US" w:eastAsia="zh-CN" w:bidi="ar-SA"/>
    </w:rPr>
  </w:style>
  <w:style w:type="character" w:customStyle="1" w:styleId="48">
    <w:name w:val="批注框文本 字符"/>
    <w:basedOn w:val="23"/>
    <w:link w:val="15"/>
    <w:semiHidden/>
    <w:qFormat/>
    <w:uiPriority w:val="99"/>
    <w:rPr>
      <w:rFonts w:ascii="Times New Roman" w:hAnsi="Times New Roman" w:eastAsia="宋体"/>
      <w:sz w:val="18"/>
      <w:szCs w:val="18"/>
    </w:rPr>
  </w:style>
  <w:style w:type="character" w:customStyle="1" w:styleId="49">
    <w:name w:val="正文文本缩进 字符"/>
    <w:link w:val="8"/>
    <w:qFormat/>
    <w:uiPriority w:val="0"/>
  </w:style>
  <w:style w:type="character" w:customStyle="1" w:styleId="50">
    <w:name w:val="正文文本缩进 字符1"/>
    <w:basedOn w:val="23"/>
    <w:semiHidden/>
    <w:qFormat/>
    <w:uiPriority w:val="99"/>
    <w:rPr>
      <w:rFonts w:ascii="Times New Roman" w:hAnsi="Times New Roman" w:eastAsia="宋体"/>
      <w:sz w:val="24"/>
    </w:rPr>
  </w:style>
  <w:style w:type="paragraph" w:customStyle="1" w:styleId="51">
    <w:name w:val="Char1"/>
    <w:basedOn w:val="1"/>
    <w:qFormat/>
    <w:uiPriority w:val="0"/>
    <w:pPr>
      <w:spacing w:line="240" w:lineRule="auto"/>
      <w:ind w:firstLine="0" w:firstLineChars="0"/>
    </w:pPr>
    <w:rPr>
      <w:rFonts w:cs="Times New Roman"/>
      <w:sz w:val="21"/>
      <w:szCs w:val="24"/>
    </w:rPr>
  </w:style>
  <w:style w:type="character" w:customStyle="1" w:styleId="52">
    <w:name w:val="Other|1_"/>
    <w:basedOn w:val="23"/>
    <w:link w:val="53"/>
    <w:qFormat/>
    <w:locked/>
    <w:uiPriority w:val="0"/>
    <w:rPr>
      <w:rFonts w:ascii="宋体" w:hAnsi="宋体" w:eastAsia="宋体" w:cs="宋体"/>
      <w:sz w:val="22"/>
      <w:lang w:val="zh-TW" w:eastAsia="zh-TW" w:bidi="zh-TW"/>
    </w:rPr>
  </w:style>
  <w:style w:type="paragraph" w:customStyle="1" w:styleId="53">
    <w:name w:val="Other|1"/>
    <w:basedOn w:val="1"/>
    <w:link w:val="52"/>
    <w:qFormat/>
    <w:uiPriority w:val="0"/>
    <w:pPr>
      <w:spacing w:line="408" w:lineRule="auto"/>
      <w:ind w:firstLine="400" w:firstLineChars="0"/>
      <w:jc w:val="left"/>
    </w:pPr>
    <w:rPr>
      <w:rFonts w:ascii="宋体" w:hAnsi="宋体" w:cs="宋体"/>
      <w:sz w:val="22"/>
      <w:lang w:val="zh-TW" w:eastAsia="zh-TW" w:bidi="zh-TW"/>
    </w:rPr>
  </w:style>
  <w:style w:type="character" w:customStyle="1" w:styleId="54">
    <w:name w:val="Header or footer|2_"/>
    <w:basedOn w:val="23"/>
    <w:link w:val="55"/>
    <w:qFormat/>
    <w:uiPriority w:val="0"/>
    <w:rPr>
      <w:sz w:val="20"/>
      <w:szCs w:val="20"/>
      <w:lang w:val="zh-CN" w:bidi="zh-CN"/>
    </w:rPr>
  </w:style>
  <w:style w:type="paragraph" w:customStyle="1" w:styleId="55">
    <w:name w:val="Header or footer|2"/>
    <w:basedOn w:val="1"/>
    <w:link w:val="54"/>
    <w:qFormat/>
    <w:uiPriority w:val="0"/>
    <w:pPr>
      <w:spacing w:line="240" w:lineRule="auto"/>
      <w:ind w:firstLine="0" w:firstLineChars="0"/>
      <w:jc w:val="left"/>
    </w:pPr>
    <w:rPr>
      <w:rFonts w:asciiTheme="minorHAnsi" w:hAnsiTheme="minorHAnsi" w:eastAsiaTheme="minorEastAsia"/>
      <w:sz w:val="20"/>
      <w:szCs w:val="20"/>
      <w:lang w:val="zh-CN" w:bidi="zh-CN"/>
    </w:rPr>
  </w:style>
  <w:style w:type="character" w:customStyle="1" w:styleId="56">
    <w:name w:val="正文文本缩进 3 字符"/>
    <w:basedOn w:val="23"/>
    <w:link w:val="18"/>
    <w:semiHidden/>
    <w:qFormat/>
    <w:uiPriority w:val="99"/>
    <w:rPr>
      <w:rFonts w:ascii="Times New Roman" w:hAnsi="Times New Roman" w:eastAsia="宋体"/>
      <w:sz w:val="16"/>
      <w:szCs w:val="16"/>
    </w:rPr>
  </w:style>
  <w:style w:type="character" w:customStyle="1" w:styleId="57">
    <w:name w:val="正文文本 字符"/>
    <w:basedOn w:val="23"/>
    <w:link w:val="10"/>
    <w:semiHidden/>
    <w:qFormat/>
    <w:uiPriority w:val="99"/>
    <w:rPr>
      <w:rFonts w:ascii="Times New Roman" w:hAnsi="Times New Roman" w:eastAsia="宋体"/>
      <w:sz w:val="24"/>
    </w:rPr>
  </w:style>
  <w:style w:type="character" w:customStyle="1" w:styleId="58">
    <w:name w:val="正文文本首行缩进 2 字符"/>
    <w:basedOn w:val="49"/>
    <w:link w:val="7"/>
    <w:semiHidden/>
    <w:qFormat/>
    <w:uiPriority w:val="99"/>
    <w:rPr>
      <w:rFonts w:ascii="Times New Roman" w:hAnsi="Times New Roman" w:eastAsia="宋体"/>
      <w:sz w:val="24"/>
    </w:rPr>
  </w:style>
  <w:style w:type="table" w:customStyle="1" w:styleId="59">
    <w:name w:val="HP表格样式1"/>
    <w:basedOn w:val="21"/>
    <w:qFormat/>
    <w:uiPriority w:val="99"/>
    <w:pPr>
      <w:jc w:val="center"/>
    </w:pPr>
    <w:rPr>
      <w:szCs w:val="24"/>
    </w:rPr>
    <w:tblPr>
      <w:tblBorders>
        <w:top w:val="single" w:color="auto" w:sz="12" w:space="0"/>
        <w:bottom w:val="single" w:color="auto" w:sz="12" w:space="0"/>
        <w:insideH w:val="dashed" w:color="BEBEBE" w:themeColor="background1" w:themeShade="BF" w:sz="4" w:space="0"/>
        <w:insideV w:val="dashed" w:color="BEBEBE" w:themeColor="background1" w:themeShade="BF" w:sz="4" w:space="0"/>
      </w:tblBorders>
    </w:tblPr>
    <w:tcPr>
      <w:vAlign w:val="center"/>
    </w:tcPr>
    <w:tblStylePr w:type="firstRow">
      <w:rPr>
        <w:rFonts w:eastAsia="宋体"/>
        <w:b/>
        <w:sz w:val="21"/>
      </w:rPr>
      <w:tcPr>
        <w:tcBorders>
          <w:top w:val="single" w:color="auto" w:sz="12" w:space="0"/>
          <w:bottom w:val="single" w:color="auto" w:sz="12" w:space="0"/>
        </w:tcBorders>
      </w:tcPr>
    </w:tblStylePr>
    <w:tblStylePr w:type="lastRow">
      <w:rPr>
        <w:rFonts w:eastAsia="宋体"/>
        <w:sz w:val="21"/>
      </w:rPr>
      <w:tcPr>
        <w:tcBorders>
          <w:bottom w:val="single" w:color="auto" w:sz="12" w:space="0"/>
        </w:tcBorders>
      </w:tcPr>
    </w:tblStylePr>
  </w:style>
  <w:style w:type="paragraph" w:customStyle="1" w:styleId="60">
    <w:name w:val="楷体三号"/>
    <w:basedOn w:val="1"/>
    <w:qFormat/>
    <w:uiPriority w:val="0"/>
    <w:pPr>
      <w:shd w:val="clear" w:color="auto" w:fill="FFFFFF"/>
      <w:adjustRightInd w:val="0"/>
      <w:snapToGrid w:val="0"/>
      <w:spacing w:line="300" w:lineRule="auto"/>
      <w:outlineLvl w:val="1"/>
    </w:pPr>
    <w:rPr>
      <w:rFonts w:ascii="ˎ̥" w:hAnsi="Tahoma" w:eastAsia="ˎ̥" w:cs="Courier New"/>
      <w:b/>
      <w:sz w:val="32"/>
      <w:szCs w:val="28"/>
    </w:rPr>
  </w:style>
  <w:style w:type="paragraph" w:customStyle="1" w:styleId="61">
    <w:name w:val="1正文阳选清"/>
    <w:basedOn w:val="6"/>
    <w:qFormat/>
    <w:uiPriority w:val="0"/>
    <w:pPr>
      <w:adjustRightInd w:val="0"/>
      <w:ind w:firstLine="200"/>
    </w:pPr>
    <w:rPr>
      <w:rFonts w:eastAsia="Tahoma"/>
      <w:szCs w:val="20"/>
    </w:rPr>
  </w:style>
  <w:style w:type="character" w:customStyle="1" w:styleId="62">
    <w:name w:val="批注文字 字符"/>
    <w:basedOn w:val="23"/>
    <w:link w:val="11"/>
    <w:semiHidden/>
    <w:qFormat/>
    <w:uiPriority w:val="99"/>
    <w:rPr>
      <w:rFonts w:ascii="Times New Roman" w:hAnsi="Times New Roman" w:eastAsia="宋体"/>
      <w:kern w:val="2"/>
      <w:sz w:val="24"/>
      <w:szCs w:val="22"/>
    </w:rPr>
  </w:style>
  <w:style w:type="character" w:customStyle="1" w:styleId="63">
    <w:name w:val="批注主题 字符"/>
    <w:basedOn w:val="62"/>
    <w:link w:val="20"/>
    <w:semiHidden/>
    <w:qFormat/>
    <w:uiPriority w:val="99"/>
    <w:rPr>
      <w:rFonts w:ascii="Times New Roman" w:hAnsi="Times New Roman" w:eastAsia="宋体"/>
      <w:b/>
      <w:bCs/>
      <w:kern w:val="2"/>
      <w:sz w:val="24"/>
      <w:szCs w:val="22"/>
    </w:rPr>
  </w:style>
  <w:style w:type="character" w:customStyle="1" w:styleId="64">
    <w:name w:val="正文文本缩进 2 字符"/>
    <w:basedOn w:val="23"/>
    <w:link w:val="13"/>
    <w:qFormat/>
    <w:uiPriority w:val="0"/>
    <w:rPr>
      <w:rFonts w:ascii="Times New Roman" w:hAnsi="Times New Roman" w:eastAsia="仿宋" w:cs="Times New Roman"/>
      <w:color w:val="000000"/>
      <w:kern w:val="1"/>
      <w:sz w:val="30"/>
      <w:szCs w:val="24"/>
    </w:rPr>
  </w:style>
  <w:style w:type="paragraph" w:customStyle="1" w:styleId="65">
    <w:name w:val="表号"/>
    <w:basedOn w:val="1"/>
    <w:qFormat/>
    <w:uiPriority w:val="0"/>
    <w:pPr>
      <w:spacing w:line="440" w:lineRule="exact"/>
      <w:jc w:val="right"/>
    </w:pPr>
    <w:rPr>
      <w:rFonts w:ascii="Arial" w:hAnsi="Arial" w:cs="Times New Roman"/>
      <w:sz w:val="21"/>
      <w:szCs w:val="24"/>
    </w:rPr>
  </w:style>
  <w:style w:type="character" w:customStyle="1" w:styleId="66">
    <w:name w:val="页脚 字符1"/>
    <w:qFormat/>
    <w:locked/>
    <w:uiPriority w:val="99"/>
    <w:rPr>
      <w:sz w:val="18"/>
    </w:rPr>
  </w:style>
  <w:style w:type="paragraph" w:styleId="67">
    <w:name w:val="List Paragraph"/>
    <w:basedOn w:val="1"/>
    <w:qFormat/>
    <w:uiPriority w:val="99"/>
    <w:pPr>
      <w:ind w:firstLine="420"/>
    </w:pPr>
  </w:style>
  <w:style w:type="character" w:customStyle="1" w:styleId="68">
    <w:name w:val="标题 1 字符"/>
    <w:basedOn w:val="23"/>
    <w:link w:val="3"/>
    <w:qFormat/>
    <w:uiPriority w:val="9"/>
    <w:rPr>
      <w:rFonts w:ascii="Times New Roman" w:hAnsi="Times New Roman" w:eastAsia="宋体"/>
      <w:b/>
      <w:bCs/>
      <w:kern w:val="44"/>
      <w:sz w:val="44"/>
      <w:szCs w:val="44"/>
    </w:rPr>
  </w:style>
  <w:style w:type="character" w:customStyle="1" w:styleId="69">
    <w:name w:val="尾注文本 字符"/>
    <w:basedOn w:val="23"/>
    <w:link w:val="14"/>
    <w:qFormat/>
    <w:uiPriority w:val="0"/>
    <w:rPr>
      <w:rFonts w:ascii="Times New Roman" w:hAnsi="Times New Roman" w:eastAsia="宋体" w:cs="Times New Roman"/>
      <w:kern w:val="2"/>
      <w:sz w:val="21"/>
      <w:szCs w:val="24"/>
    </w:rPr>
  </w:style>
  <w:style w:type="paragraph" w:customStyle="1" w:styleId="70">
    <w:name w:val="环评 正文"/>
    <w:basedOn w:val="1"/>
    <w:link w:val="71"/>
    <w:qFormat/>
    <w:uiPriority w:val="0"/>
    <w:rPr>
      <w:rFonts w:eastAsia="仿宋_GB2312" w:cs="Times New Roman" w:asciiTheme="minorHAnsi" w:hAnsiTheme="minorHAnsi"/>
      <w:sz w:val="28"/>
    </w:rPr>
  </w:style>
  <w:style w:type="character" w:customStyle="1" w:styleId="71">
    <w:name w:val="环评 正文 字符"/>
    <w:basedOn w:val="23"/>
    <w:link w:val="70"/>
    <w:qFormat/>
    <w:uiPriority w:val="0"/>
    <w:rPr>
      <w:rFonts w:eastAsia="仿宋_GB2312" w:cs="Times New Roman"/>
      <w:kern w:val="2"/>
      <w:sz w:val="28"/>
      <w:szCs w:val="22"/>
    </w:rPr>
  </w:style>
  <w:style w:type="paragraph" w:customStyle="1" w:styleId="72">
    <w:name w:val="111"/>
    <w:basedOn w:val="1"/>
    <w:qFormat/>
    <w:uiPriority w:val="0"/>
    <w:pPr>
      <w:adjustRightInd w:val="0"/>
      <w:snapToGrid w:val="0"/>
      <w:jc w:val="center"/>
    </w:pPr>
    <w:rPr>
      <w:rFonts w:ascii="Calibri" w:hAnsi="Calibri" w:eastAsia="仿宋"/>
      <w:bCs/>
      <w:snapToGrid w:val="0"/>
      <w:color w:val="000000"/>
      <w:kern w:val="0"/>
    </w:rPr>
  </w:style>
  <w:style w:type="paragraph" w:customStyle="1" w:styleId="73">
    <w:name w:val="ZW"/>
    <w:basedOn w:val="2"/>
    <w:qFormat/>
    <w:uiPriority w:val="0"/>
    <w:pPr>
      <w:keepNext w:val="0"/>
      <w:keepLines w:val="0"/>
      <w:tabs>
        <w:tab w:val="left" w:pos="0"/>
      </w:tabs>
      <w:adjustRightInd w:val="0"/>
      <w:snapToGrid w:val="0"/>
      <w:spacing w:before="0" w:after="0" w:line="360" w:lineRule="auto"/>
      <w:outlineLvl w:val="9"/>
    </w:pPr>
    <w:rPr>
      <w:rFonts w:ascii="Times New Roman" w:hAnsi="Times New Roman"/>
      <w:b w:val="0"/>
      <w:kern w:val="0"/>
      <w:sz w:val="28"/>
      <w:szCs w:val="28"/>
    </w:rPr>
  </w:style>
  <w:style w:type="paragraph" w:customStyle="1" w:styleId="74">
    <w:name w:val="BG"/>
    <w:basedOn w:val="1"/>
    <w:qFormat/>
    <w:uiPriority w:val="99"/>
    <w:pPr>
      <w:spacing w:line="460" w:lineRule="exact"/>
      <w:jc w:val="center"/>
    </w:pPr>
    <w:rPr>
      <w:rFonts w:ascii="宋体" w:hAnsi="宋体"/>
    </w:rPr>
  </w:style>
  <w:style w:type="paragraph" w:customStyle="1" w:styleId="75">
    <w:name w:val="WPSOffice手动目录 1"/>
    <w:qFormat/>
    <w:uiPriority w:val="0"/>
    <w:rPr>
      <w:rFonts w:ascii="Times New Roman" w:hAnsi="Times New Roman" w:eastAsia="宋体" w:cs="Times New Roman"/>
      <w:lang w:val="en-US" w:eastAsia="zh-CN" w:bidi="ar-SA"/>
    </w:rPr>
  </w:style>
  <w:style w:type="paragraph" w:customStyle="1" w:styleId="76">
    <w:name w:val="zw"/>
    <w:basedOn w:val="1"/>
    <w:qFormat/>
    <w:uiPriority w:val="0"/>
    <w:pPr>
      <w:shd w:val="clear" w:color="auto" w:fill="FFFFFF"/>
      <w:adjustRightInd w:val="0"/>
      <w:snapToGrid w:val="0"/>
      <w:ind w:firstLine="480"/>
    </w:pPr>
    <w:rPr>
      <w:snapToGrid w:val="0"/>
      <w:kern w:val="0"/>
    </w:rPr>
  </w:style>
  <w:style w:type="paragraph" w:customStyle="1" w:styleId="77">
    <w:name w:val="样式 宋体 小四 黑色 行距: 1.5 倍行距"/>
    <w:basedOn w:val="1"/>
    <w:qFormat/>
    <w:uiPriority w:val="0"/>
    <w:pPr>
      <w:ind w:firstLine="480"/>
    </w:pPr>
    <w:rPr>
      <w:rFonts w:ascii="宋体" w:hAnsi="宋体"/>
      <w:color w:val="000000"/>
      <w:kern w:val="0"/>
    </w:rPr>
  </w:style>
  <w:style w:type="paragraph" w:customStyle="1" w:styleId="78">
    <w:name w:val="****表格文字"/>
    <w:basedOn w:val="1"/>
    <w:qFormat/>
    <w:uiPriority w:val="0"/>
    <w:pPr>
      <w:tabs>
        <w:tab w:val="left" w:pos="0"/>
      </w:tabs>
      <w:spacing w:before="50" w:beforeLines="50"/>
      <w:jc w:val="center"/>
    </w:pPr>
    <w:rPr>
      <w:rFonts w:ascii="Calibri" w:hAnsi="Calibri"/>
      <w:b/>
      <w:kern w:val="0"/>
    </w:rPr>
  </w:style>
  <w:style w:type="paragraph" w:customStyle="1" w:styleId="79">
    <w:name w:val="[1]正文"/>
    <w:basedOn w:val="1"/>
    <w:qFormat/>
    <w:uiPriority w:val="0"/>
    <w:pPr>
      <w:autoSpaceDE w:val="0"/>
      <w:autoSpaceDN w:val="0"/>
    </w:pPr>
    <w:rPr>
      <w:color w:val="000000"/>
      <w:kern w:val="0"/>
      <w:lang w:val="zh-CN"/>
    </w:rPr>
  </w:style>
  <w:style w:type="paragraph" w:customStyle="1" w:styleId="80">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81">
    <w:name w:val="样式 样式 正文 + 仿宋_GB2312 自动设置 首行缩进:  2 字符"/>
    <w:basedOn w:val="1"/>
    <w:qFormat/>
    <w:uiPriority w:val="0"/>
    <w:pPr>
      <w:adjustRightInd w:val="0"/>
      <w:snapToGrid w:val="0"/>
      <w:ind w:firstLine="480"/>
      <w:jc w:val="left"/>
    </w:pPr>
    <w:rPr>
      <w:rFonts w:ascii="宋体" w:hAnsi="宋体"/>
      <w:bCs/>
      <w:snapToGrid w:val="0"/>
      <w:color w:val="000000"/>
      <w:spacing w:val="-4"/>
      <w:kern w:val="16"/>
      <w:szCs w:val="20"/>
    </w:rPr>
  </w:style>
  <w:style w:type="paragraph" w:customStyle="1" w:styleId="82">
    <w:name w:val="正文样式1"/>
    <w:basedOn w:val="1"/>
    <w:qFormat/>
    <w:uiPriority w:val="0"/>
    <w:pPr>
      <w:ind w:firstLine="480"/>
    </w:pPr>
    <w:rPr>
      <w:rFonts w:ascii="宋体"/>
      <w:szCs w:val="24"/>
    </w:rPr>
  </w:style>
  <w:style w:type="paragraph" w:customStyle="1" w:styleId="83">
    <w:name w:val="表格文字"/>
    <w:basedOn w:val="10"/>
    <w:next w:val="1"/>
    <w:qFormat/>
    <w:uiPriority w:val="0"/>
    <w:pPr>
      <w:tabs>
        <w:tab w:val="left" w:pos="3720"/>
      </w:tabs>
      <w:autoSpaceDE w:val="0"/>
      <w:autoSpaceDN w:val="0"/>
      <w:adjustRightInd w:val="0"/>
      <w:spacing w:line="315" w:lineRule="exact"/>
      <w:jc w:val="center"/>
      <w:textAlignment w:val="bottom"/>
    </w:pPr>
    <w:rPr>
      <w:rFonts w:ascii="宋体" w:hAnsi="宋体" w:cs="宋体"/>
      <w:color w:val="51585D"/>
      <w:kern w:val="0"/>
      <w:sz w:val="21"/>
      <w:szCs w:val="18"/>
    </w:rPr>
  </w:style>
  <w:style w:type="paragraph" w:customStyle="1" w:styleId="84">
    <w:name w:val="B正文表格"/>
    <w:qFormat/>
    <w:uiPriority w:val="0"/>
    <w:pPr>
      <w:jc w:val="center"/>
    </w:pPr>
    <w:rPr>
      <w:rFonts w:ascii="Calibri" w:hAnsi="Calibri" w:eastAsia="Calibri" w:cs="Times New Roman"/>
      <w:bCs/>
      <w:kern w:val="2"/>
      <w:sz w:val="21"/>
      <w:szCs w:val="24"/>
      <w:lang w:val="en-US" w:eastAsia="zh-CN" w:bidi="ar-SA"/>
    </w:rPr>
  </w:style>
  <w:style w:type="paragraph" w:customStyle="1" w:styleId="85">
    <w:name w:val="一级"/>
    <w:basedOn w:val="1"/>
    <w:next w:val="76"/>
    <w:qFormat/>
    <w:uiPriority w:val="0"/>
    <w:pPr>
      <w:shd w:val="clear" w:color="auto" w:fill="FFFFFF"/>
      <w:adjustRightInd w:val="0"/>
      <w:snapToGrid w:val="0"/>
      <w:spacing w:beforeLines="50"/>
      <w:jc w:val="left"/>
      <w:outlineLvl w:val="0"/>
    </w:pPr>
    <w:rPr>
      <w:b/>
      <w:bCs/>
      <w:sz w:val="32"/>
      <w:szCs w:val="32"/>
    </w:rPr>
  </w:style>
  <w:style w:type="character" w:customStyle="1" w:styleId="86">
    <w:name w:val="font21"/>
    <w:basedOn w:val="23"/>
    <w:qFormat/>
    <w:uiPriority w:val="0"/>
    <w:rPr>
      <w:rFonts w:hint="eastAsia" w:ascii="宋体" w:hAnsi="宋体" w:eastAsia="宋体" w:cs="宋体"/>
      <w:color w:val="000000"/>
      <w:sz w:val="20"/>
      <w:szCs w:val="20"/>
      <w:u w:val="none"/>
    </w:rPr>
  </w:style>
  <w:style w:type="character" w:customStyle="1" w:styleId="87">
    <w:name w:val="font11"/>
    <w:basedOn w:val="23"/>
    <w:qFormat/>
    <w:uiPriority w:val="0"/>
    <w:rPr>
      <w:rFonts w:hint="default" w:ascii="Times New Roman" w:hAnsi="Times New Roman" w:cs="Times New Roman"/>
      <w:color w:val="000000"/>
      <w:sz w:val="20"/>
      <w:szCs w:val="20"/>
      <w:u w:val="none"/>
    </w:rPr>
  </w:style>
  <w:style w:type="table" w:customStyle="1" w:styleId="88">
    <w:name w:val="Table Normal"/>
    <w:unhideWhenUsed/>
    <w:qFormat/>
    <w:uiPriority w:val="0"/>
    <w:tblPr>
      <w:tblCellMar>
        <w:top w:w="0" w:type="dxa"/>
        <w:left w:w="0" w:type="dxa"/>
        <w:bottom w:w="0" w:type="dxa"/>
        <w:right w:w="0" w:type="dxa"/>
      </w:tblCellMar>
    </w:tblPr>
  </w:style>
  <w:style w:type="paragraph" w:customStyle="1" w:styleId="89">
    <w:name w:val="样式5"/>
    <w:basedOn w:val="90"/>
    <w:qFormat/>
    <w:uiPriority w:val="0"/>
    <w:pPr>
      <w:snapToGrid w:val="0"/>
      <w:ind w:firstLine="510"/>
    </w:pPr>
    <w:rPr>
      <w:rFonts w:ascii="Times New Roman" w:hAnsi="Times New Roman"/>
    </w:rPr>
  </w:style>
  <w:style w:type="paragraph" w:customStyle="1" w:styleId="90">
    <w:name w:val="正文1"/>
    <w:basedOn w:val="1"/>
    <w:qFormat/>
    <w:uiPriority w:val="0"/>
    <w:pPr>
      <w:ind w:firstLine="480"/>
    </w:pPr>
    <w:rPr>
      <w:rFonts w:ascii="Calibri" w:hAnsi="Calibri"/>
      <w:snapToGrid w:val="0"/>
    </w:rPr>
  </w:style>
  <w:style w:type="paragraph" w:customStyle="1" w:styleId="91">
    <w:name w:val="正文（缩进）"/>
    <w:basedOn w:val="1"/>
    <w:qFormat/>
    <w:uiPriority w:val="99"/>
    <w:pPr>
      <w:ind w:firstLine="480"/>
    </w:pPr>
    <w:rPr>
      <w:rFonts w:cs="Times New Roman"/>
      <w:szCs w:val="24"/>
    </w:rPr>
  </w:style>
  <w:style w:type="paragraph" w:customStyle="1" w:styleId="92">
    <w:name w:val="新正文"/>
    <w:basedOn w:val="1"/>
    <w:qFormat/>
    <w:uiPriority w:val="0"/>
    <w:pPr>
      <w:topLinePunct/>
    </w:pPr>
    <w:rPr>
      <w:kern w:val="0"/>
      <w:lang w:val="zh-CN"/>
    </w:rPr>
  </w:style>
  <w:style w:type="character" w:customStyle="1" w:styleId="93">
    <w:name w:val="font31"/>
    <w:basedOn w:val="23"/>
    <w:qFormat/>
    <w:uiPriority w:val="0"/>
    <w:rPr>
      <w:rFonts w:hint="default" w:ascii="Times New Roman" w:hAnsi="Times New Roman" w:cs="Times New Roman"/>
      <w:color w:val="000000"/>
      <w:sz w:val="21"/>
      <w:szCs w:val="21"/>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4" Type="http://schemas.openxmlformats.org/officeDocument/2006/relationships/fontTable" Target="fontTable.xml"/><Relationship Id="rId83" Type="http://schemas.openxmlformats.org/officeDocument/2006/relationships/numbering" Target="numbering.xml"/><Relationship Id="rId82" Type="http://schemas.openxmlformats.org/officeDocument/2006/relationships/customXml" Target="../customXml/item1.xml"/><Relationship Id="rId81" Type="http://schemas.openxmlformats.org/officeDocument/2006/relationships/image" Target="media/image69.jpeg"/><Relationship Id="rId80" Type="http://schemas.openxmlformats.org/officeDocument/2006/relationships/image" Target="media/image68.jpeg"/><Relationship Id="rId8" Type="http://schemas.openxmlformats.org/officeDocument/2006/relationships/footer" Target="footer2.xml"/><Relationship Id="rId79" Type="http://schemas.openxmlformats.org/officeDocument/2006/relationships/image" Target="media/image67.jpeg"/><Relationship Id="rId78" Type="http://schemas.openxmlformats.org/officeDocument/2006/relationships/image" Target="media/image66.jpeg"/><Relationship Id="rId77" Type="http://schemas.openxmlformats.org/officeDocument/2006/relationships/image" Target="media/image65.jpe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header" Target="header2.xml"/><Relationship Id="rId69" Type="http://schemas.openxmlformats.org/officeDocument/2006/relationships/image" Target="media/image57.png"/><Relationship Id="rId68" Type="http://schemas.openxmlformats.org/officeDocument/2006/relationships/image" Target="media/image56.jpe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footer" Target="footer1.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jpe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header" Target="head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jpe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wmf"/><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110</Pages>
  <Words>628</Words>
  <Characters>732</Characters>
  <Lines>235</Lines>
  <Paragraphs>66</Paragraphs>
  <TotalTime>96</TotalTime>
  <ScaleCrop>false</ScaleCrop>
  <LinksUpToDate>false</LinksUpToDate>
  <CharactersWithSpaces>813</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2024-05-15T02:26:00Z</dcterms:created>
  <dc:creator>谢 东升</dc:creator>
  <cp:lastModifiedBy>love mail</cp:lastModifiedBy>
  <cp:lastPrinted>2021-08-01T06:39:00Z</cp:lastPrinted>
  <dcterms:modified xsi:type="dcterms:W3CDTF">2026-01-19T08:44:23Z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3814BBFAF7CF4683AAF5E948F95190CD_13</vt:lpwstr>
  </property>
  <property fmtid="{D5CDD505-2E9C-101B-9397-08002B2CF9AE}" pid="4" name="KSOTemplateDocerSaveRecord">
    <vt:lpwstr>eyJoZGlkIjoiNmEyN2MwYTZkMTE1NjJmZGJhZjg3Y2ZkNzlmYzJjNWIiLCJ1c2VySWQiOiI0NTI0ODk3NzEifQ==</vt:lpwstr>
  </property>
</Properties>
</file>