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B712">
      <w:pPr>
        <w:keepNext w:val="0"/>
        <w:keepLines w:val="0"/>
        <w:pageBreakBefore w:val="0"/>
        <w:kinsoku/>
        <w:wordWrap/>
        <w:overflowPunct/>
        <w:topLinePunct w:val="0"/>
        <w:bidi w:val="0"/>
        <w:snapToGrid w:val="0"/>
        <w:spacing w:line="560" w:lineRule="exact"/>
        <w:ind w:firstLine="0" w:firstLineChars="0"/>
        <w:rPr>
          <w:rFonts w:hint="eastAsia"/>
          <w:color w:val="C00000"/>
          <w:sz w:val="32"/>
          <w:szCs w:val="32"/>
          <w:highlight w:val="yellow"/>
        </w:rPr>
      </w:pPr>
      <w:bookmarkStart w:id="0" w:name="_Hlk124747957"/>
    </w:p>
    <w:p w14:paraId="48E0E95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EA8A0C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18814C2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A638D7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ECD62C3">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5440E1CC">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1F63A093">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2</w:t>
      </w:r>
      <w:r>
        <w:rPr>
          <w:rFonts w:hint="eastAsia" w:ascii="仿宋_GB2312" w:hAnsi="Times New Roman" w:eastAsia="仿宋_GB2312" w:cs="Arial"/>
          <w:color w:val="auto"/>
          <w:sz w:val="32"/>
          <w:szCs w:val="32"/>
          <w:highlight w:val="none"/>
          <w:lang w:bidi="en-US"/>
        </w:rPr>
        <w:t>号</w:t>
      </w:r>
    </w:p>
    <w:p w14:paraId="1BFA2F69">
      <w:pPr>
        <w:widowControl/>
        <w:spacing w:line="700" w:lineRule="exact"/>
        <w:jc w:val="center"/>
        <w:textAlignment w:val="baseline"/>
        <w:rPr>
          <w:rFonts w:hint="eastAsia" w:ascii="方正小标宋简体" w:hAnsi="方正小标宋简体" w:eastAsia="方正小标宋简体" w:cs="方正小标宋简体"/>
          <w:bCs/>
          <w:color w:val="auto"/>
          <w:sz w:val="44"/>
          <w:szCs w:val="44"/>
          <w:highlight w:val="none"/>
        </w:rPr>
      </w:pPr>
    </w:p>
    <w:p w14:paraId="25ED4317">
      <w:pPr>
        <w:widowControl/>
        <w:spacing w:line="700" w:lineRule="exact"/>
        <w:jc w:val="center"/>
        <w:textAlignment w:val="baseline"/>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锡林郭勒盟生态环境局</w:t>
      </w:r>
    </w:p>
    <w:bookmarkEnd w:id="0"/>
    <w:p w14:paraId="451C85B6">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内蒙古新创发展科技有限公司苏尼特右旗55万千瓦源网荷储一体化项目（500MW风力发电部分）一期工程</w:t>
      </w:r>
    </w:p>
    <w:p w14:paraId="4E2C9C91">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环境影响报告书的批复</w:t>
      </w:r>
    </w:p>
    <w:p w14:paraId="3A15A36C">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598F22F7">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新创智汇能源科技（内蒙古）有限公司</w:t>
      </w:r>
      <w:r>
        <w:rPr>
          <w:rFonts w:hint="eastAsia" w:ascii="仿宋_GB2312" w:hAnsi="仿宋_GB2312" w:eastAsia="仿宋_GB2312" w:cs="仿宋_GB2312"/>
          <w:color w:val="auto"/>
          <w:sz w:val="32"/>
          <w:szCs w:val="32"/>
          <w:lang w:bidi="en-US"/>
        </w:rPr>
        <w:t>：</w:t>
      </w:r>
    </w:p>
    <w:p w14:paraId="3999B544">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eastAsia="zh-CN" w:bidi="en-US"/>
        </w:rPr>
        <w:t>内蒙古新创发展科技有限公司苏尼特右旗55万千瓦源网荷储一体化项目（500MW风力发电部分）一期工程</w:t>
      </w:r>
      <w:r>
        <w:rPr>
          <w:rFonts w:hint="eastAsia"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49976F9D">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w:t>
      </w:r>
      <w:r>
        <w:rPr>
          <w:rFonts w:hint="eastAsia" w:ascii="仿宋_GB2312" w:hAnsi="仿宋_GB2312" w:eastAsia="仿宋_GB2312" w:cs="仿宋_GB2312"/>
          <w:color w:val="auto"/>
          <w:kern w:val="2"/>
          <w:sz w:val="32"/>
          <w:szCs w:val="32"/>
          <w:lang w:val="en-US" w:eastAsia="zh-CN" w:bidi="ar-SA"/>
        </w:rPr>
        <w:t>内蒙古新创发展科技有限公司苏尼特右旗55万千瓦源网荷储一体化项目（500MW风力发电部分）一期工程位于锡林郭勒盟苏尼特右旗赛汉塔拉镇巴润宝拉格嘎查境内，总占地面积95.4914公顷，其中永久占地面积28.7657公顷，临时占地面积66.7257公顷。本项目总装机容量300MW，安装30台单机容量10MW风电机组，并配套安装机组箱式变压器，同时建设集电线路、检修道路等配套工程。项目建成后，风电场年上网发电量9.66亿KWh。</w:t>
      </w:r>
    </w:p>
    <w:p w14:paraId="414623E7">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国家发展和改革委员会发布的《产业结构调整指导目录（2024年本）》，本项目属于鼓励类。项目已取得锡林郭勒盟能源局核准文件，项目代码为：2505-152524-60-01-449077。项目的建设符合锡林郭勒盟生态环境分区管控相关要求，符合相关法律规范和行业规范要求。《报告书》认为，在全面落实各项生态保护和污染防治措施的前提下，项目建设对环境的不利影响能够得到一定的缓解和控制。因此，我局原则同意本项目环境影响报告书总体评价结论和拟采取的生态环境保护措施。</w:t>
      </w:r>
    </w:p>
    <w:p w14:paraId="2E28EE73">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44FE6AFB">
      <w:pPr>
        <w:pStyle w:val="3"/>
        <w:keepNext w:val="0"/>
        <w:keepLines w:val="0"/>
        <w:pageBreakBefore w:val="0"/>
        <w:widowControl w:val="0"/>
        <w:kinsoku/>
        <w:wordWrap/>
        <w:overflowPunct/>
        <w:bidi w:val="0"/>
        <w:spacing w:line="560" w:lineRule="exact"/>
        <w:ind w:firstLine="640"/>
        <w:textAlignment w:val="auto"/>
        <w:rPr>
          <w:rFonts w:ascii="仿宋_GB2312" w:hAnsi="仿宋_GB2312" w:eastAsia="仿宋_GB2312" w:cs="仿宋_GB2312"/>
          <w:snapToGrid/>
          <w:sz w:val="32"/>
          <w:szCs w:val="32"/>
        </w:rPr>
      </w:pPr>
      <w:r>
        <w:rPr>
          <w:rFonts w:hint="eastAsia" w:ascii="楷体" w:hAnsi="楷体" w:eastAsia="楷体" w:cs="楷体"/>
          <w:color w:val="auto"/>
          <w:kern w:val="2"/>
          <w:sz w:val="32"/>
          <w:szCs w:val="32"/>
          <w:lang w:val="en-US" w:eastAsia="zh-CN" w:bidi="ar-SA"/>
        </w:rPr>
        <w:t>（一）全面落实《报告书》提出的各项生态环境保护措施。</w:t>
      </w:r>
      <w:r>
        <w:rPr>
          <w:rFonts w:hint="eastAsia" w:ascii="仿宋_GB2312" w:hAnsi="仿宋_GB2312" w:eastAsia="仿宋_GB2312" w:cs="仿宋_GB2312"/>
          <w:snapToGrid/>
          <w:sz w:val="32"/>
          <w:szCs w:val="32"/>
        </w:rPr>
        <w:t>严格执行国家和地方产业政策、生态环境准入清单、污染防治和生态保护的相关要求，有新调整或细化规定的，按照新规定执行。</w:t>
      </w:r>
    </w:p>
    <w:p w14:paraId="19B79AE5">
      <w:pPr>
        <w:pStyle w:val="3"/>
        <w:keepNext w:val="0"/>
        <w:keepLines w:val="0"/>
        <w:pageBreakBefore w:val="0"/>
        <w:widowControl w:val="0"/>
        <w:kinsoku/>
        <w:wordWrap/>
        <w:overflowPunct/>
        <w:bidi w:val="0"/>
        <w:spacing w:line="560" w:lineRule="exact"/>
        <w:ind w:firstLine="640"/>
        <w:textAlignment w:val="auto"/>
        <w:rPr>
          <w:rFonts w:ascii="仿宋_GB2312" w:hAnsi="仿宋_GB2312" w:eastAsia="仿宋_GB2312" w:cs="仿宋_GB2312"/>
          <w:snapToGrid/>
          <w:sz w:val="32"/>
          <w:szCs w:val="32"/>
        </w:rPr>
      </w:pPr>
      <w:r>
        <w:rPr>
          <w:rFonts w:hint="eastAsia" w:ascii="楷体" w:hAnsi="楷体" w:eastAsia="楷体" w:cs="楷体"/>
          <w:color w:val="auto"/>
          <w:kern w:val="2"/>
          <w:sz w:val="32"/>
          <w:szCs w:val="32"/>
          <w:lang w:val="en-US" w:eastAsia="zh-CN" w:bidi="ar-SA"/>
        </w:rPr>
        <w:t>（二）加强施工期间的环境管理工作。</w:t>
      </w:r>
      <w:r>
        <w:rPr>
          <w:rFonts w:hint="eastAsia" w:ascii="仿宋_GB2312" w:hAnsi="仿宋_GB2312" w:eastAsia="仿宋_GB2312" w:cs="仿宋_GB2312"/>
          <w:snapToGrid/>
          <w:sz w:val="32"/>
          <w:szCs w:val="32"/>
        </w:rPr>
        <w:t>开挖时对作业面和土堆喷水，避免在大风天气下进行装卸作业，运输采用封闭式车辆，对运输道路定期洒水抑尘；合理安排施工时间、合理布局施工现场、选用低噪声的作业机具、采取个人防护、严格管理施工过程；施工期施工废水经临时防渗隔油池、沉淀池处理后回用，人员生活污水由临时防渗化粪池收集后，定期抽运至污水处理厂处理</w:t>
      </w:r>
      <w:bookmarkStart w:id="1" w:name="_GoBack"/>
      <w:bookmarkEnd w:id="1"/>
      <w:r>
        <w:rPr>
          <w:rFonts w:hint="eastAsia" w:ascii="仿宋_GB2312" w:hAnsi="仿宋_GB2312" w:eastAsia="仿宋_GB2312" w:cs="仿宋_GB2312"/>
          <w:snapToGrid/>
          <w:sz w:val="32"/>
          <w:szCs w:val="32"/>
        </w:rPr>
        <w:t>；弃土完工后进行土地整治利用；建筑垃圾应在指定的堆放点存放，并送达当地环卫部门指定倾倒点处置；生活垃圾及时收集到场内指定的垃圾箱，并定期清运到当地环卫部门指定地点集中处置；施工结束后对临时占地区域进行覆土和植被恢复。</w:t>
      </w:r>
    </w:p>
    <w:p w14:paraId="11892078">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（三）严格落实各项大气污染防治措施。</w:t>
      </w:r>
      <w:r>
        <w:rPr>
          <w:rFonts w:hint="eastAsia" w:ascii="仿宋_GB2312" w:hAnsi="仿宋_GB2312" w:eastAsia="仿宋_GB2312" w:cs="仿宋_GB2312"/>
          <w:color w:val="auto"/>
          <w:kern w:val="2"/>
          <w:sz w:val="32"/>
          <w:szCs w:val="32"/>
          <w:lang w:val="en-US" w:eastAsia="zh-CN" w:bidi="ar-SA"/>
        </w:rPr>
        <w:t>项目运营期无废气产生，要求做好施工期扬尘污染防治，露天堆放物料应加以苫盖；开挖的土石方及时回填或运至指定地点，对施工作业面及堆场洒水降尘；运输车辆限制车速，运输道路保持清洁，定期洒水抑尘。</w:t>
      </w:r>
    </w:p>
    <w:p w14:paraId="09A5CABD">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GB" w:eastAsia="zh-CN" w:bidi="en-US"/>
        </w:rPr>
      </w:pPr>
      <w:r>
        <w:rPr>
          <w:rFonts w:hint="eastAsia" w:ascii="楷体" w:hAnsi="楷体" w:eastAsia="楷体" w:cs="楷体"/>
          <w:color w:val="auto"/>
          <w:kern w:val="2"/>
          <w:sz w:val="32"/>
          <w:szCs w:val="32"/>
          <w:lang w:val="en-US" w:eastAsia="zh-CN" w:bidi="ar-SA"/>
        </w:rPr>
        <w:t>（四）严格落实固体废物污染防治措施。</w:t>
      </w:r>
      <w:r>
        <w:rPr>
          <w:rFonts w:hint="eastAsia" w:ascii="仿宋_GB2312" w:hAnsi="仿宋_GB2312" w:eastAsia="仿宋_GB2312" w:cs="仿宋_GB2312"/>
          <w:color w:val="auto"/>
          <w:sz w:val="32"/>
          <w:szCs w:val="32"/>
          <w:lang w:val="en-GB" w:eastAsia="zh-CN" w:bidi="en-US"/>
        </w:rPr>
        <w:t>检修过程产生的废矿物油及检修垃圾依托升压站内标准化危废暂存间分类分区收集暂存后，定期委托有资质的单位上门回收处置。人员生活垃圾均由封闭式垃圾箱收集后，定期清运至当地环卫部门指定地点处理。</w:t>
      </w:r>
    </w:p>
    <w:p w14:paraId="3B7732C0">
      <w:pPr>
        <w:pStyle w:val="7"/>
        <w:keepNext w:val="0"/>
        <w:keepLines w:val="0"/>
        <w:pageBreakBefore w:val="0"/>
        <w:widowControl w:val="0"/>
        <w:kinsoku/>
        <w:wordWrap/>
        <w:overflowPunct/>
        <w:topLinePunct w:val="0"/>
        <w:bidi w:val="0"/>
        <w:adjustRightInd/>
        <w:snapToGrid/>
        <w:spacing w:after="0" w:line="520" w:lineRule="exact"/>
        <w:ind w:left="2" w:right="54" w:firstLine="643"/>
        <w:jc w:val="both"/>
        <w:textAlignment w:val="auto"/>
        <w:rPr>
          <w:rFonts w:hint="eastAsia" w:ascii="仿宋_GB2312" w:hAnsi="仿宋_GB2312" w:eastAsia="仿宋_GB2312" w:cs="仿宋_GB2312"/>
          <w:b w:val="0"/>
          <w:bCs/>
          <w:color w:val="auto"/>
          <w:kern w:val="2"/>
          <w:sz w:val="32"/>
          <w:szCs w:val="32"/>
          <w:lang w:val="en-US" w:eastAsia="zh-CN" w:bidi="en-US"/>
        </w:rPr>
      </w:pPr>
      <w:r>
        <w:rPr>
          <w:rFonts w:hint="eastAsia" w:ascii="楷体" w:hAnsi="楷体" w:eastAsia="楷体" w:cs="楷体"/>
          <w:color w:val="auto"/>
          <w:kern w:val="2"/>
          <w:sz w:val="32"/>
          <w:szCs w:val="32"/>
          <w:lang w:val="en-US" w:eastAsia="zh-CN" w:bidi="ar-SA"/>
        </w:rPr>
        <w:t>（五）严格落实各项水污染防治措施。</w:t>
      </w:r>
      <w:r>
        <w:rPr>
          <w:rFonts w:hint="eastAsia" w:ascii="仿宋_GB2312" w:hAnsi="仿宋_GB2312" w:eastAsia="仿宋_GB2312" w:cs="仿宋_GB2312"/>
          <w:color w:val="auto"/>
          <w:sz w:val="32"/>
          <w:szCs w:val="32"/>
          <w:lang w:eastAsia="zh-CN" w:bidi="en-US"/>
        </w:rPr>
        <w:t>本项目运营期无生产废水，</w:t>
      </w:r>
      <w:r>
        <w:rPr>
          <w:rFonts w:hint="eastAsia" w:ascii="仿宋_GB2312" w:hAnsi="仿宋_GB2312" w:eastAsia="仿宋_GB2312" w:cs="仿宋_GB2312"/>
          <w:b w:val="0"/>
          <w:bCs w:val="0"/>
          <w:color w:val="auto"/>
          <w:kern w:val="2"/>
          <w:sz w:val="32"/>
          <w:szCs w:val="32"/>
          <w:highlight w:val="none"/>
          <w:lang w:val="en-US" w:eastAsia="zh-CN" w:bidi="en-US"/>
        </w:rPr>
        <w:t>工作人员生活污水依托升压站化粪池收集处理，满足《污水综合排放标准》（GB8978-1996）三级标准限值要求后，定期抽运至污水处理厂处理。</w:t>
      </w:r>
    </w:p>
    <w:p w14:paraId="1C408DEB">
      <w:pPr>
        <w:keepNext w:val="0"/>
        <w:keepLines w:val="0"/>
        <w:pageBreakBefore w:val="0"/>
        <w:widowControl w:val="0"/>
        <w:numPr>
          <w:ilvl w:val="0"/>
          <w:numId w:val="0"/>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（六）严格落实噪声防治措施。</w:t>
      </w:r>
      <w:r>
        <w:rPr>
          <w:rFonts w:hint="eastAsia" w:ascii="仿宋_GB2312" w:hAnsi="仿宋_GB2312" w:eastAsia="仿宋_GB2312" w:cs="仿宋_GB2312"/>
          <w:color w:val="auto"/>
          <w:sz w:val="32"/>
          <w:szCs w:val="32"/>
          <w:lang w:bidi="en-US"/>
        </w:rPr>
        <w:t>本项目运营期噪声源主要为风电机组及配套设施运行噪声。通过优化风机布局，选用低噪设备</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kern w:val="2"/>
          <w:sz w:val="32"/>
          <w:szCs w:val="32"/>
          <w:lang w:val="en-US" w:eastAsia="zh-CN" w:bidi="ar-SA"/>
        </w:rPr>
        <w:t>提高风机机组的加工工艺和安装精度</w:t>
      </w:r>
      <w:r>
        <w:rPr>
          <w:rFonts w:hint="eastAsia" w:ascii="仿宋_GB2312" w:hAnsi="仿宋_GB2312" w:eastAsia="仿宋_GB2312" w:cs="仿宋_GB2312"/>
          <w:color w:val="auto"/>
          <w:sz w:val="32"/>
          <w:szCs w:val="32"/>
          <w:lang w:bidi="en-US"/>
        </w:rPr>
        <w:t>，加强风机日常维护，定期检查风机机械系统。区域声环境质量满足《声环境质量标准》（GB3096-2008）中的1类标准要求。</w:t>
      </w:r>
    </w:p>
    <w:p w14:paraId="2D0D2BE1">
      <w:pPr>
        <w:keepNext w:val="0"/>
        <w:keepLines w:val="0"/>
        <w:pageBreakBefore w:val="0"/>
        <w:widowControl w:val="0"/>
        <w:numPr>
          <w:ilvl w:val="0"/>
          <w:numId w:val="0"/>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36E2E738">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eastAsia="zh-CN" w:bidi="en-US"/>
        </w:rPr>
        <w:t>苏尼特右旗分局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7B6A7FEF">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lang w:bidi="en-US"/>
        </w:rPr>
      </w:pPr>
    </w:p>
    <w:p w14:paraId="59A8FA32">
      <w:pPr>
        <w:keepNext w:val="0"/>
        <w:keepLines w:val="0"/>
        <w:pageBreakBefore w:val="0"/>
        <w:widowControl w:val="0"/>
        <w:kinsoku/>
        <w:wordWrap/>
        <w:overflowPunct/>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bidi="en-US"/>
        </w:rPr>
      </w:pPr>
    </w:p>
    <w:p w14:paraId="1A14C6BD">
      <w:pPr>
        <w:keepNext w:val="0"/>
        <w:keepLines w:val="0"/>
        <w:pageBreakBefore w:val="0"/>
        <w:widowControl w:val="0"/>
        <w:kinsoku/>
        <w:wordWrap/>
        <w:overflowPunct/>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bidi="en-US"/>
        </w:rPr>
      </w:pPr>
    </w:p>
    <w:p w14:paraId="7D38BB4F">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79DD03A0">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6</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2</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5</w:t>
      </w:r>
      <w:r>
        <w:rPr>
          <w:rFonts w:hint="eastAsia" w:ascii="仿宋_GB2312" w:hAnsi="仿宋_GB2312" w:eastAsia="仿宋_GB2312" w:cs="仿宋_GB2312"/>
          <w:color w:val="auto"/>
          <w:sz w:val="32"/>
          <w:szCs w:val="32"/>
          <w:highlight w:val="none"/>
          <w:lang w:bidi="en-US"/>
        </w:rPr>
        <w:t>日</w:t>
      </w:r>
    </w:p>
    <w:p w14:paraId="14567B77">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7046641D">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2E6D138E">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7E2A4E9F">
      <w:pPr>
        <w:rPr>
          <w:rFonts w:hint="eastAsia"/>
        </w:rPr>
      </w:pPr>
    </w:p>
    <w:p w14:paraId="75ACF22F">
      <w:pPr>
        <w:pStyle w:val="4"/>
        <w:ind w:left="0" w:leftChars="0" w:firstLine="0" w:firstLineChars="0"/>
        <w:rPr>
          <w:rFonts w:hint="eastAsia"/>
        </w:rPr>
      </w:pPr>
    </w:p>
    <w:p w14:paraId="5D705553">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177DAA50">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0CC3D9DA">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7A31531E">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34395406">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24B5C153">
      <w:pPr>
        <w:pStyle w:val="4"/>
        <w:rPr>
          <w:rFonts w:hint="eastAsia"/>
        </w:rPr>
      </w:pPr>
    </w:p>
    <w:p w14:paraId="775357C7">
      <w:pPr>
        <w:pStyle w:val="16"/>
        <w:keepNext w:val="0"/>
        <w:keepLines w:val="0"/>
        <w:pageBreakBefore w:val="0"/>
        <w:widowControl w:val="0"/>
        <w:kinsoku/>
        <w:wordWrap/>
        <w:overflowPunct/>
        <w:topLinePunct w:val="0"/>
        <w:bidi w:val="0"/>
        <w:snapToGrid/>
        <w:spacing w:line="500" w:lineRule="exact"/>
        <w:ind w:firstLine="280" w:firstLineChars="1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苏尼特右旗</w:t>
      </w:r>
    </w:p>
    <w:p w14:paraId="0E9054CE">
      <w:pPr>
        <w:pStyle w:val="16"/>
        <w:keepNext w:val="0"/>
        <w:keepLines w:val="0"/>
        <w:pageBreakBefore w:val="0"/>
        <w:widowControl w:val="0"/>
        <w:kinsoku/>
        <w:wordWrap/>
        <w:overflowPunct/>
        <w:topLinePunct w:val="0"/>
        <w:bidi w:val="0"/>
        <w:snapToGrid/>
        <w:spacing w:line="500" w:lineRule="exact"/>
        <w:ind w:firstLine="1120" w:firstLineChars="4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w:t>
      </w:r>
      <w:r>
        <w:rPr>
          <w:rFonts w:hint="eastAsia" w:ascii="仿宋" w:hAnsi="仿宋" w:eastAsia="仿宋" w:cs="仿宋"/>
          <w:color w:val="auto"/>
          <w:kern w:val="2"/>
          <w:sz w:val="28"/>
          <w:szCs w:val="28"/>
          <w:highlight w:val="none"/>
          <w:lang w:eastAsia="zh-CN" w:bidi="en-US"/>
        </w:rPr>
        <w:t>局。</w:t>
      </w:r>
    </w:p>
    <w:p w14:paraId="5129C6FB">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锡林郭勒盟生态环境局办公室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798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D82B9">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3D82B9">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1BD7A4F"/>
    <w:rsid w:val="033C2BF5"/>
    <w:rsid w:val="04082137"/>
    <w:rsid w:val="04D60042"/>
    <w:rsid w:val="05FD1001"/>
    <w:rsid w:val="064265FE"/>
    <w:rsid w:val="065A7A8E"/>
    <w:rsid w:val="07B5669C"/>
    <w:rsid w:val="07E80A5E"/>
    <w:rsid w:val="08125FE6"/>
    <w:rsid w:val="09F707CE"/>
    <w:rsid w:val="0A055186"/>
    <w:rsid w:val="0C7A4895"/>
    <w:rsid w:val="0D6D6C1D"/>
    <w:rsid w:val="0E1B7FD7"/>
    <w:rsid w:val="0EE27BE5"/>
    <w:rsid w:val="0F704352"/>
    <w:rsid w:val="109F048E"/>
    <w:rsid w:val="11B371E3"/>
    <w:rsid w:val="131E5E73"/>
    <w:rsid w:val="133A3E29"/>
    <w:rsid w:val="134A4ECA"/>
    <w:rsid w:val="15747FCD"/>
    <w:rsid w:val="1772A69C"/>
    <w:rsid w:val="1B7C0676"/>
    <w:rsid w:val="1BF2CB73"/>
    <w:rsid w:val="1C0A51E7"/>
    <w:rsid w:val="1D61177E"/>
    <w:rsid w:val="1F9C573C"/>
    <w:rsid w:val="20692E24"/>
    <w:rsid w:val="20FD21D9"/>
    <w:rsid w:val="219E6AFD"/>
    <w:rsid w:val="22B733D3"/>
    <w:rsid w:val="27BF5A1F"/>
    <w:rsid w:val="29D8150D"/>
    <w:rsid w:val="2CF929A0"/>
    <w:rsid w:val="2E4F45F6"/>
    <w:rsid w:val="2F1F3E8C"/>
    <w:rsid w:val="2F2B74F6"/>
    <w:rsid w:val="2F7E7F6E"/>
    <w:rsid w:val="2F7F303D"/>
    <w:rsid w:val="30F57DBC"/>
    <w:rsid w:val="37DB3B17"/>
    <w:rsid w:val="37DFB9CE"/>
    <w:rsid w:val="38763ED8"/>
    <w:rsid w:val="3A190FBF"/>
    <w:rsid w:val="3AD90E3C"/>
    <w:rsid w:val="3BB15227"/>
    <w:rsid w:val="3BFB7ADD"/>
    <w:rsid w:val="3C53008C"/>
    <w:rsid w:val="3DA12FD2"/>
    <w:rsid w:val="3EDBBAD3"/>
    <w:rsid w:val="3FC31BD1"/>
    <w:rsid w:val="445D3A2B"/>
    <w:rsid w:val="466622E2"/>
    <w:rsid w:val="46B26845"/>
    <w:rsid w:val="4A3B72B4"/>
    <w:rsid w:val="4CDD40CE"/>
    <w:rsid w:val="4D7A36CB"/>
    <w:rsid w:val="4FFB87F7"/>
    <w:rsid w:val="501114FC"/>
    <w:rsid w:val="56990422"/>
    <w:rsid w:val="56DA628A"/>
    <w:rsid w:val="58B80B09"/>
    <w:rsid w:val="5A5E22C1"/>
    <w:rsid w:val="5C1271C4"/>
    <w:rsid w:val="5DC55E3E"/>
    <w:rsid w:val="5DF7C719"/>
    <w:rsid w:val="5DFFD6AD"/>
    <w:rsid w:val="5FA70BB0"/>
    <w:rsid w:val="5FDE5DAC"/>
    <w:rsid w:val="617526E2"/>
    <w:rsid w:val="62D91577"/>
    <w:rsid w:val="640E5DD6"/>
    <w:rsid w:val="640F77AC"/>
    <w:rsid w:val="6479615F"/>
    <w:rsid w:val="65980358"/>
    <w:rsid w:val="66B712E0"/>
    <w:rsid w:val="67927E4C"/>
    <w:rsid w:val="68387D94"/>
    <w:rsid w:val="69CC12A6"/>
    <w:rsid w:val="6BD00E31"/>
    <w:rsid w:val="6E1A4AAF"/>
    <w:rsid w:val="6FD159E5"/>
    <w:rsid w:val="6FEE6D0C"/>
    <w:rsid w:val="70EA0941"/>
    <w:rsid w:val="71FFDCEE"/>
    <w:rsid w:val="737F42A4"/>
    <w:rsid w:val="740D1653"/>
    <w:rsid w:val="77483AA9"/>
    <w:rsid w:val="776575C6"/>
    <w:rsid w:val="77A04D8F"/>
    <w:rsid w:val="77A23F56"/>
    <w:rsid w:val="77FB60A4"/>
    <w:rsid w:val="78CC1696"/>
    <w:rsid w:val="795254DD"/>
    <w:rsid w:val="79F6371A"/>
    <w:rsid w:val="7B74E570"/>
    <w:rsid w:val="7C7FDDB9"/>
    <w:rsid w:val="7CE53CE8"/>
    <w:rsid w:val="7E5356DB"/>
    <w:rsid w:val="7F5DA376"/>
    <w:rsid w:val="7F6C2C5A"/>
    <w:rsid w:val="7F7973D7"/>
    <w:rsid w:val="7F7C8CD3"/>
    <w:rsid w:val="7F7CE8F3"/>
    <w:rsid w:val="7F9F8E51"/>
    <w:rsid w:val="7FBF49B1"/>
    <w:rsid w:val="7FD6261A"/>
    <w:rsid w:val="7FDD5E1F"/>
    <w:rsid w:val="7FFF783F"/>
    <w:rsid w:val="8EFFAFD8"/>
    <w:rsid w:val="92CD1A93"/>
    <w:rsid w:val="979EC8C1"/>
    <w:rsid w:val="97FFBFF7"/>
    <w:rsid w:val="9AD73E0D"/>
    <w:rsid w:val="A7FFBEB9"/>
    <w:rsid w:val="AFDFA893"/>
    <w:rsid w:val="B6FB1ACB"/>
    <w:rsid w:val="BBD7B086"/>
    <w:rsid w:val="BBFD157B"/>
    <w:rsid w:val="BBFFB394"/>
    <w:rsid w:val="BDB9872E"/>
    <w:rsid w:val="CF77A9DB"/>
    <w:rsid w:val="DAFDAA89"/>
    <w:rsid w:val="DBAFDD4B"/>
    <w:rsid w:val="DBD5EE8A"/>
    <w:rsid w:val="DF671AB1"/>
    <w:rsid w:val="DF7B31B7"/>
    <w:rsid w:val="DFBDCEE2"/>
    <w:rsid w:val="DFF844CC"/>
    <w:rsid w:val="E7FD0A82"/>
    <w:rsid w:val="EF6F4B52"/>
    <w:rsid w:val="EFEB112C"/>
    <w:rsid w:val="F3FD86CF"/>
    <w:rsid w:val="F4FE1E3B"/>
    <w:rsid w:val="F87F4D24"/>
    <w:rsid w:val="FC7D141F"/>
    <w:rsid w:val="FE9F31A0"/>
    <w:rsid w:val="FFDD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Body Text"/>
    <w:basedOn w:val="1"/>
    <w:qFormat/>
    <w:uiPriority w:val="0"/>
    <w:pPr>
      <w:spacing w:after="120"/>
    </w:pPr>
    <w:rPr>
      <w:szCs w:val="24"/>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284"/>
        <w:tab w:val="right" w:leader="dot" w:pos="8296"/>
      </w:tabs>
    </w:pPr>
  </w:style>
  <w:style w:type="paragraph" w:styleId="11">
    <w:name w:val="annotation subject"/>
    <w:basedOn w:val="6"/>
    <w:next w:val="6"/>
    <w:link w:val="25"/>
    <w:semiHidden/>
    <w:unhideWhenUsed/>
    <w:qFormat/>
    <w:uiPriority w:val="99"/>
    <w:rPr>
      <w:b/>
      <w:bCs/>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页眉 字符"/>
    <w:basedOn w:val="13"/>
    <w:link w:val="9"/>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3"/>
    <w:link w:val="6"/>
    <w:semiHidden/>
    <w:qFormat/>
    <w:uiPriority w:val="99"/>
    <w:rPr>
      <w:kern w:val="2"/>
      <w:sz w:val="21"/>
      <w:szCs w:val="22"/>
    </w:rPr>
  </w:style>
  <w:style w:type="character" w:customStyle="1" w:styleId="25">
    <w:name w:val="批注主题 字符"/>
    <w:basedOn w:val="24"/>
    <w:link w:val="11"/>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3d3844dd-06da-4567-a76a-c4bb18ba9685</errorID>
      <errorWord>：</errorWord>
      <group>L1_AI</group>
      <groupName>深度校对</groupName>
      <ability>L2_AI_Punc</ability>
      <abilityName>标点纠错</abilityName>
      <candidateList>
        <item/>
      </candidateList>
      <explain/>
      <paraID>414623E7</paraID>
      <start>75</start>
      <end>76</end>
      <status>ignored</status>
      <modifiedWord/>
      <trackRevisions>false</trackRevisions>
    </reviewItem>
    <reviewItem>
      <errorID>fb8ccd86-7f6a-4b91-9ccf-62e561c8eb5a</errorID>
      <errorWord>化肥池</errorWord>
      <group>L1_AI</group>
      <groupName>深度校对</groupName>
      <ability>L2_AI_Word</ability>
      <abilityName>字词纠错</abilityName>
      <candidateList>
        <item>化粪池</item>
      </candidateList>
      <explain/>
      <paraID>19B79AE5</paraID>
      <start>138</start>
      <end>141</end>
      <status>modified</status>
      <modifiedWord>化粪池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6b0f4-bc11-4a64-bcec-7edf42faec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1598</Words>
  <Characters>1699</Characters>
  <Lines>19</Lines>
  <Paragraphs>5</Paragraphs>
  <TotalTime>0</TotalTime>
  <ScaleCrop>false</ScaleCrop>
  <LinksUpToDate>false</LinksUpToDate>
  <CharactersWithSpaces>1708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2023-02-06T01:32:00Z</dcterms:created>
  <dc:creator>hui hui</dc:creator>
  <cp:lastModifiedBy>ོʚ 中ོ然ོ ɞ</cp:lastModifiedBy>
  <cp:lastPrinted>2023-02-06T01:39:00Z</cp:lastPrinted>
  <dcterms:modified xsi:type="dcterms:W3CDTF">2026-02-05T03:28:04Z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2E4CCB7175004CD6BFA1082685EEE7F9_13</vt:lpwstr>
  </property>
  <property fmtid="{D5CDD505-2E9C-101B-9397-08002B2CF9AE}" pid="4" name="KSOTemplateDocerSaveRecord">
    <vt:lpwstr>eyJoZGlkIjoiNjllM2VmN2FkNzlkMWE1NzU2ZDk1YThjMDc2OGI3ZDQiLCJ1c2VySWQiOiI1NDkxMDYxNjAifQ==</vt:lpwstr>
  </property>
</Properties>
</file>