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9C0EB">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bookmarkStart w:id="0" w:name="_Hlk124747957"/>
    </w:p>
    <w:p w14:paraId="40286FA1">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4F5E4F9D">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592C20E3">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09474387">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57598793">
      <w:pPr>
        <w:pStyle w:val="27"/>
        <w:keepNext w:val="0"/>
        <w:keepLines w:val="0"/>
        <w:pageBreakBefore w:val="0"/>
        <w:kinsoku/>
        <w:wordWrap/>
        <w:overflowPunct/>
        <w:topLinePunct w:val="0"/>
        <w:bidi w:val="0"/>
        <w:spacing w:line="560" w:lineRule="exact"/>
        <w:ind w:left="0" w:leftChars="0" w:firstLine="0" w:firstLineChars="0"/>
        <w:rPr>
          <w:rFonts w:hint="eastAsia"/>
          <w:sz w:val="32"/>
          <w:szCs w:val="32"/>
          <w:highlight w:val="yellow"/>
        </w:rPr>
      </w:pPr>
    </w:p>
    <w:p w14:paraId="3B38FC04">
      <w:pPr>
        <w:keepNext w:val="0"/>
        <w:keepLines w:val="0"/>
        <w:pageBreakBefore w:val="0"/>
        <w:kinsoku/>
        <w:wordWrap/>
        <w:overflowPunct/>
        <w:topLinePunct w:val="0"/>
        <w:bidi w:val="0"/>
        <w:snapToGrid w:val="0"/>
        <w:spacing w:line="560" w:lineRule="exact"/>
        <w:ind w:left="0" w:leftChars="0" w:firstLine="0" w:firstLineChars="0"/>
        <w:jc w:val="left"/>
        <w:rPr>
          <w:rFonts w:hint="eastAsia"/>
          <w:color w:val="auto"/>
          <w:sz w:val="32"/>
          <w:szCs w:val="32"/>
        </w:rPr>
      </w:pPr>
    </w:p>
    <w:p w14:paraId="5AA4DFF1">
      <w:pPr>
        <w:autoSpaceDE w:val="0"/>
        <w:autoSpaceDN w:val="0"/>
        <w:adjustRightInd w:val="0"/>
        <w:snapToGrid w:val="0"/>
        <w:spacing w:line="560" w:lineRule="exact"/>
        <w:jc w:val="center"/>
        <w:rPr>
          <w:rFonts w:hint="eastAsia" w:ascii="仿宋_GB2312" w:hAnsi="Times New Roman" w:eastAsia="仿宋_GB2312" w:cs="Arial"/>
          <w:color w:val="auto"/>
          <w:sz w:val="32"/>
          <w:szCs w:val="32"/>
          <w:highlight w:val="none"/>
          <w:lang w:bidi="en-US"/>
        </w:rPr>
      </w:pPr>
      <w:r>
        <w:rPr>
          <w:rFonts w:hint="eastAsia" w:ascii="仿宋_GB2312" w:hAnsi="Times New Roman" w:eastAsia="仿宋_GB2312" w:cs="Arial"/>
          <w:color w:val="auto"/>
          <w:sz w:val="32"/>
          <w:szCs w:val="32"/>
          <w:lang w:bidi="en-US"/>
        </w:rPr>
        <w:t>锡署环审书〔</w:t>
      </w:r>
      <w:r>
        <w:rPr>
          <w:rFonts w:hint="eastAsia" w:ascii="仿宋_GB2312" w:hAnsi="Times New Roman" w:eastAsia="仿宋_GB2312" w:cs="Arial"/>
          <w:color w:val="auto"/>
          <w:sz w:val="32"/>
          <w:szCs w:val="32"/>
          <w:highlight w:val="none"/>
          <w:lang w:bidi="en-US"/>
        </w:rPr>
        <w:t>202</w:t>
      </w:r>
      <w:r>
        <w:rPr>
          <w:rFonts w:hint="eastAsia" w:ascii="仿宋_GB2312" w:hAnsi="Times New Roman" w:eastAsia="仿宋_GB2312" w:cs="Arial"/>
          <w:color w:val="auto"/>
          <w:sz w:val="32"/>
          <w:szCs w:val="32"/>
          <w:highlight w:val="none"/>
          <w:lang w:val="en-US" w:eastAsia="zh-CN" w:bidi="en-US"/>
        </w:rPr>
        <w:t>6</w:t>
      </w:r>
      <w:r>
        <w:rPr>
          <w:rFonts w:hint="eastAsia" w:ascii="仿宋_GB2312" w:hAnsi="Times New Roman" w:eastAsia="仿宋_GB2312" w:cs="Arial"/>
          <w:color w:val="auto"/>
          <w:sz w:val="32"/>
          <w:szCs w:val="32"/>
          <w:highlight w:val="none"/>
          <w:lang w:bidi="en-US"/>
        </w:rPr>
        <w:t>〕</w:t>
      </w:r>
      <w:r>
        <w:rPr>
          <w:rFonts w:hint="eastAsia" w:ascii="仿宋_GB2312" w:hAnsi="Times New Roman" w:eastAsia="仿宋_GB2312" w:cs="Arial"/>
          <w:color w:val="auto"/>
          <w:sz w:val="32"/>
          <w:szCs w:val="32"/>
          <w:highlight w:val="none"/>
          <w:lang w:val="en-US" w:eastAsia="zh-CN" w:bidi="en-US"/>
        </w:rPr>
        <w:t>4</w:t>
      </w:r>
      <w:r>
        <w:rPr>
          <w:rFonts w:hint="eastAsia" w:ascii="仿宋_GB2312" w:hAnsi="Times New Roman" w:eastAsia="仿宋_GB2312" w:cs="Arial"/>
          <w:color w:val="auto"/>
          <w:sz w:val="32"/>
          <w:szCs w:val="32"/>
          <w:highlight w:val="none"/>
          <w:lang w:bidi="en-US"/>
        </w:rPr>
        <w:t>号</w:t>
      </w:r>
    </w:p>
    <w:p w14:paraId="1B41AA9D">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_GB2312" w:hAnsi="Times New Roman" w:eastAsia="仿宋_GB2312" w:cs="Arial"/>
          <w:color w:val="auto"/>
          <w:sz w:val="32"/>
          <w:szCs w:val="32"/>
          <w:highlight w:val="none"/>
          <w:lang w:bidi="en-US"/>
        </w:rPr>
      </w:pPr>
    </w:p>
    <w:bookmarkEnd w:id="0"/>
    <w:p w14:paraId="458797D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锡林郭勒盟生态环境局</w:t>
      </w:r>
    </w:p>
    <w:p w14:paraId="1CCF4A52">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关于</w:t>
      </w:r>
      <w:r>
        <w:rPr>
          <w:rFonts w:hint="eastAsia" w:ascii="方正小标宋简体" w:hAnsi="方正小标宋简体" w:eastAsia="方正小标宋简体" w:cs="方正小标宋简体"/>
          <w:bCs/>
          <w:color w:val="auto"/>
          <w:sz w:val="44"/>
          <w:szCs w:val="44"/>
          <w:highlight w:val="none"/>
          <w:lang w:eastAsia="zh-CN"/>
        </w:rPr>
        <w:t>西乌珠穆沁旗众合矿业有限责任公司新建年产270万吨石灰岩矿开采及加工项目（北区）</w:t>
      </w:r>
      <w:r>
        <w:rPr>
          <w:rFonts w:hint="eastAsia" w:ascii="方正小标宋简体" w:hAnsi="方正小标宋简体" w:eastAsia="方正小标宋简体" w:cs="方正小标宋简体"/>
          <w:bCs/>
          <w:color w:val="auto"/>
          <w:sz w:val="44"/>
          <w:szCs w:val="44"/>
          <w:highlight w:val="none"/>
        </w:rPr>
        <w:t>环境影响报告书的批复</w:t>
      </w:r>
    </w:p>
    <w:p w14:paraId="0993FF9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ascii="仿宋_GB2312" w:hAnsi="仿宋_GB2312" w:eastAsia="仿宋_GB2312" w:cs="仿宋_GB2312"/>
          <w:color w:val="auto"/>
          <w:sz w:val="32"/>
          <w:szCs w:val="32"/>
          <w:lang w:bidi="en-US"/>
        </w:rPr>
      </w:pPr>
    </w:p>
    <w:p w14:paraId="5412440E">
      <w:pPr>
        <w:keepNext w:val="0"/>
        <w:keepLines w:val="0"/>
        <w:pageBreakBefore w:val="0"/>
        <w:widowControl w:val="0"/>
        <w:kinsoku/>
        <w:wordWrap/>
        <w:overflowPunct/>
        <w:topLinePunct w:val="0"/>
        <w:autoSpaceDE/>
        <w:autoSpaceDN/>
        <w:bidi w:val="0"/>
        <w:adjustRightInd w:val="0"/>
        <w:snapToGrid w:val="0"/>
        <w:spacing w:beforeAutospacing="0" w:line="480" w:lineRule="exact"/>
        <w:ind w:right="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highlight w:val="none"/>
          <w:lang w:val="en-US" w:eastAsia="zh-CN"/>
        </w:rPr>
        <w:t>西乌珠穆沁旗众合矿业有限责任公司</w:t>
      </w:r>
      <w:r>
        <w:rPr>
          <w:rFonts w:hint="eastAsia" w:ascii="仿宋_GB2312" w:hAnsi="仿宋_GB2312" w:eastAsia="仿宋_GB2312" w:cs="仿宋_GB2312"/>
          <w:color w:val="auto"/>
          <w:sz w:val="32"/>
          <w:szCs w:val="32"/>
          <w:lang w:bidi="en-US"/>
        </w:rPr>
        <w:t>：</w:t>
      </w:r>
    </w:p>
    <w:p w14:paraId="777E8918">
      <w:pPr>
        <w:keepNext w:val="0"/>
        <w:keepLines w:val="0"/>
        <w:pageBreakBefore w:val="0"/>
        <w:widowControl w:val="0"/>
        <w:kinsoku/>
        <w:wordWrap/>
        <w:overflowPunct/>
        <w:topLinePunct w:val="0"/>
        <w:autoSpaceDE w:val="0"/>
        <w:autoSpaceDN w:val="0"/>
        <w:bidi w:val="0"/>
        <w:adjustRightInd w:val="0"/>
        <w:snapToGrid w:val="0"/>
        <w:spacing w:line="480" w:lineRule="exact"/>
        <w:jc w:val="both"/>
        <w:textAlignment w:val="auto"/>
        <w:rPr>
          <w:rFonts w:hint="eastAsia" w:ascii="仿宋_GB2312" w:hAnsi="仿宋_GB2312" w:eastAsia="仿宋_GB2312" w:cs="仿宋_GB2312"/>
          <w:color w:val="000000" w:themeColor="text1"/>
          <w:sz w:val="32"/>
          <w:szCs w:val="32"/>
          <w:lang w:val="en-US" w:eastAsia="zh-CN" w:bidi="en-US"/>
          <w14:textFill>
            <w14:solidFill>
              <w14:schemeClr w14:val="tx1"/>
            </w14:solidFill>
          </w14:textFill>
        </w:rPr>
      </w:pPr>
      <w:r>
        <w:rPr>
          <w:rFonts w:hint="eastAsia" w:ascii="仿宋_GB2312" w:hAnsi="仿宋_GB2312" w:eastAsia="仿宋_GB2312" w:cs="仿宋_GB2312"/>
          <w:color w:val="auto"/>
          <w:sz w:val="32"/>
          <w:szCs w:val="32"/>
          <w:lang w:val="en-US" w:eastAsia="zh-CN" w:bidi="en-US"/>
        </w:rPr>
        <w:t xml:space="preserve">    </w:t>
      </w:r>
      <w:r>
        <w:rPr>
          <w:rFonts w:hint="eastAsia" w:ascii="仿宋_GB2312" w:hAnsi="仿宋_GB2312" w:eastAsia="仿宋_GB2312" w:cs="仿宋_GB2312"/>
          <w:color w:val="000000" w:themeColor="text1"/>
          <w:sz w:val="32"/>
          <w:szCs w:val="32"/>
          <w:lang w:val="en-US" w:eastAsia="zh-CN" w:bidi="en-US"/>
          <w14:textFill>
            <w14:solidFill>
              <w14:schemeClr w14:val="tx1"/>
            </w14:solidFill>
          </w14:textFill>
        </w:rPr>
        <w:t>你单位报送的《西乌珠穆沁旗众合矿业有限责任公司新建年产270万吨石灰岩矿开采及加工项目（北区）环境影响报告书》（</w:t>
      </w:r>
      <w:r>
        <w:rPr>
          <w:rFonts w:hint="eastAsia" w:ascii="仿宋_GB2312" w:hAnsi="仿宋_GB2312" w:eastAsia="仿宋_GB2312" w:cs="仿宋_GB2312"/>
          <w:color w:val="000000" w:themeColor="text1"/>
          <w:sz w:val="32"/>
          <w:szCs w:val="32"/>
          <w:lang w:val="en-US" w:eastAsia="zh-Hans" w:bidi="en-US"/>
          <w14:textFill>
            <w14:solidFill>
              <w14:schemeClr w14:val="tx1"/>
            </w14:solidFill>
          </w14:textFill>
        </w:rPr>
        <w:t>以下简称《报告书》</w:t>
      </w:r>
      <w:r>
        <w:rPr>
          <w:rFonts w:hint="eastAsia" w:ascii="仿宋_GB2312" w:hAnsi="仿宋_GB2312" w:eastAsia="仿宋_GB2312" w:cs="仿宋_GB2312"/>
          <w:color w:val="000000" w:themeColor="text1"/>
          <w:sz w:val="32"/>
          <w:szCs w:val="32"/>
          <w:lang w:val="en-US" w:eastAsia="zh-CN" w:bidi="en-US"/>
          <w14:textFill>
            <w14:solidFill>
              <w14:schemeClr w14:val="tx1"/>
            </w14:solidFill>
          </w14:textFill>
        </w:rPr>
        <w:t>）收悉。经研究，批复如下：</w:t>
      </w:r>
    </w:p>
    <w:p w14:paraId="72FFEEE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640" w:firstLineChars="200"/>
        <w:jc w:val="both"/>
        <w:textAlignment w:val="auto"/>
        <w:rPr>
          <w:rFonts w:hint="eastAsia" w:ascii="仿宋_GB2312" w:hAnsi="仿宋_GB2312" w:eastAsia="仿宋_GB2312" w:cs="仿宋_GB2312"/>
          <w:b w:val="0"/>
          <w:bCs/>
          <w:color w:val="0000FF"/>
          <w:kern w:val="0"/>
          <w:sz w:val="32"/>
          <w:szCs w:val="32"/>
          <w:lang w:val="en-US" w:eastAsia="zh-CN" w:bidi="ar"/>
        </w:rPr>
      </w:pPr>
      <w:r>
        <w:rPr>
          <w:rFonts w:hint="eastAsia" w:ascii="仿宋_GB2312" w:hAnsi="仿宋_GB2312" w:eastAsia="仿宋_GB2312" w:cs="仿宋_GB2312"/>
          <w:color w:val="auto"/>
          <w:kern w:val="2"/>
          <w:sz w:val="32"/>
          <w:szCs w:val="32"/>
          <w:highlight w:val="none"/>
          <w:lang w:val="en-US" w:eastAsia="zh-CN" w:bidi="ar-SA"/>
        </w:rPr>
        <w:t>一、</w:t>
      </w:r>
      <w:r>
        <w:rPr>
          <w:rFonts w:hint="eastAsia" w:ascii="仿宋_GB2312" w:hAnsi="仿宋_GB2312" w:eastAsia="仿宋_GB2312" w:cs="仿宋_GB2312"/>
          <w:color w:val="auto"/>
          <w:sz w:val="32"/>
          <w:szCs w:val="32"/>
          <w:highlight w:val="none"/>
          <w:lang w:val="en-US" w:eastAsia="zh-CN"/>
        </w:rPr>
        <w:t>西乌珠穆沁旗众合矿业有限责任公司新建年产270万吨石灰岩矿开采及加工项目（北区）</w:t>
      </w:r>
      <w:r>
        <w:rPr>
          <w:rFonts w:hint="eastAsia" w:ascii="仿宋_GB2312" w:hAnsi="仿宋_GB2312" w:eastAsia="仿宋_GB2312" w:cs="仿宋_GB2312"/>
          <w:color w:val="auto"/>
          <w:sz w:val="32"/>
          <w:szCs w:val="32"/>
          <w:lang w:val="en-US" w:eastAsia="zh-CN" w:bidi="en-US"/>
        </w:rPr>
        <w:t>，项目位于西乌珠穆沁旗白音胡硕苏木宝力根和白音查干嘎查</w:t>
      </w:r>
      <w:r>
        <w:rPr>
          <w:rFonts w:hint="eastAsia" w:ascii="仿宋_GB2312" w:hAnsi="仿宋_GB2312" w:eastAsia="仿宋_GB2312" w:cs="仿宋_GB2312"/>
          <w:b w:val="0"/>
          <w:bCs/>
          <w:color w:val="auto"/>
          <w:kern w:val="0"/>
          <w:sz w:val="32"/>
          <w:szCs w:val="32"/>
          <w:lang w:val="en-US" w:eastAsia="zh-CN" w:bidi="ar"/>
        </w:rPr>
        <w:t>。矿区坐标范围：东经117°8′21.89904″，北纬45°0′1.81070″。北区矿区面积0.9855平方公里，共由4个拐点圈定。采用露天开采方式，开采深度为984米至890米标高。项目矿区设1个露天采坑，</w:t>
      </w:r>
      <w:r>
        <w:rPr>
          <w:rFonts w:hint="eastAsia" w:ascii="仿宋_GB2312" w:hAnsi="仿宋_GB2312" w:eastAsia="仿宋_GB2312" w:cs="仿宋_GB2312"/>
          <w:color w:val="auto"/>
          <w:kern w:val="2"/>
          <w:sz w:val="32"/>
          <w:szCs w:val="32"/>
          <w:lang w:val="en-US" w:eastAsia="zh-CN" w:bidi="ar-SA"/>
        </w:rPr>
        <w:t>开采规模为270万吨/年</w:t>
      </w:r>
      <w:r>
        <w:rPr>
          <w:rFonts w:hint="eastAsia" w:ascii="仿宋_GB2312" w:hAnsi="仿宋_GB2312" w:eastAsia="仿宋_GB2312" w:cs="仿宋_GB2312"/>
          <w:b w:val="0"/>
          <w:bCs/>
          <w:color w:val="000000" w:themeColor="text1"/>
          <w:kern w:val="0"/>
          <w:sz w:val="32"/>
          <w:szCs w:val="32"/>
          <w:lang w:val="en-US" w:eastAsia="zh-CN" w:bidi="ar"/>
          <w14:textFill>
            <w14:solidFill>
              <w14:schemeClr w14:val="tx1"/>
            </w14:solidFill>
          </w14:textFill>
        </w:rPr>
        <w:t>。</w:t>
      </w:r>
      <w:r>
        <w:rPr>
          <w:rFonts w:hint="eastAsia" w:ascii="仿宋_GB2312" w:hAnsi="仿宋_GB2312" w:eastAsia="仿宋_GB2312" w:cs="仿宋_GB2312"/>
          <w:color w:val="auto"/>
          <w:kern w:val="2"/>
          <w:sz w:val="32"/>
          <w:szCs w:val="32"/>
          <w:lang w:val="en-US" w:eastAsia="zh-CN" w:bidi="ar-SA"/>
        </w:rPr>
        <w:t>项目分期建设，总服务年限为26年，一期开采20.7年，二期开采5.3年。同时配套建设矿石加工破碎车间、石料储存库、危废暂存间等辅助设施。</w:t>
      </w:r>
    </w:p>
    <w:p w14:paraId="12D10A5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报告书》认为，在全面落实各项生态保护和污染防治措施的前提下，项目建设对环境的不利影响能够得到一定的缓解和控制。我局原则同意本项目按照《报告书》所列的建设项目性质、规模、地点和拟采取的污染防治措施及下述要求进行建设。</w:t>
      </w:r>
    </w:p>
    <w:p w14:paraId="253DD3E0">
      <w:pPr>
        <w:pStyle w:val="3"/>
        <w:keepNext w:val="0"/>
        <w:keepLines w:val="0"/>
        <w:pageBreakBefore w:val="0"/>
        <w:widowControl w:val="0"/>
        <w:numPr>
          <w:ilvl w:val="0"/>
          <w:numId w:val="0"/>
        </w:numPr>
        <w:kinsoku/>
        <w:wordWrap/>
        <w:overflowPunct/>
        <w:topLinePunct w:val="0"/>
        <w:autoSpaceDE/>
        <w:autoSpaceDN/>
        <w:bidi w:val="0"/>
        <w:adjustRightInd w:val="0"/>
        <w:snapToGrid/>
        <w:spacing w:after="0" w:line="480" w:lineRule="exact"/>
        <w:ind w:left="0" w:leftChars="0" w:firstLine="640" w:firstLineChars="200"/>
        <w:jc w:val="both"/>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二、项目在设计、建设和运营过程中还应做好以下工作</w:t>
      </w:r>
    </w:p>
    <w:p w14:paraId="36C73BE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en-US"/>
        </w:rPr>
      </w:pPr>
      <w:r>
        <w:rPr>
          <w:rFonts w:hint="eastAsia" w:ascii="楷体" w:hAnsi="楷体" w:eastAsia="楷体" w:cs="楷体"/>
          <w:color w:val="auto"/>
          <w:kern w:val="2"/>
          <w:sz w:val="32"/>
          <w:szCs w:val="32"/>
          <w:highlight w:val="none"/>
          <w:lang w:val="en-US" w:eastAsia="zh-CN" w:bidi="en-US"/>
        </w:rPr>
        <w:t>（一）生态保护措施。</w:t>
      </w:r>
      <w:r>
        <w:rPr>
          <w:rFonts w:hint="eastAsia" w:ascii="仿宋_GB2312" w:hAnsi="仿宋_GB2312" w:eastAsia="仿宋_GB2312" w:cs="仿宋_GB2312"/>
          <w:color w:val="auto"/>
          <w:kern w:val="2"/>
          <w:sz w:val="32"/>
          <w:szCs w:val="32"/>
          <w:highlight w:val="none"/>
          <w:lang w:val="en-US" w:eastAsia="zh-CN" w:bidi="en-US"/>
        </w:rPr>
        <w:t>严格按照《报告书》提出的开采范围进行开采。新剥离表土单独堆存用于生态恢复。</w:t>
      </w:r>
      <w:r>
        <w:rPr>
          <w:rFonts w:hint="eastAsia" w:ascii="仿宋_GB2312" w:hAnsi="仿宋_GB2312" w:eastAsia="仿宋_GB2312" w:cs="仿宋_GB2312"/>
          <w:color w:val="000000"/>
          <w:kern w:val="2"/>
          <w:sz w:val="32"/>
          <w:szCs w:val="32"/>
          <w:lang w:val="en-US" w:eastAsia="zh-CN" w:bidi="ar-SA"/>
        </w:rPr>
        <w:t>施工过程中发现文物的，应当保护现场，立即报告当地文物保护部门，由文物保护部门依法依规进行处理。</w:t>
      </w:r>
      <w:r>
        <w:rPr>
          <w:rFonts w:hint="eastAsia" w:ascii="仿宋_GB2312" w:hAnsi="仿宋_GB2312" w:eastAsia="仿宋_GB2312" w:cs="仿宋_GB2312"/>
          <w:color w:val="auto"/>
          <w:kern w:val="2"/>
          <w:sz w:val="32"/>
          <w:szCs w:val="32"/>
          <w:highlight w:val="none"/>
          <w:lang w:val="en-US" w:eastAsia="zh-CN" w:bidi="en-US"/>
        </w:rPr>
        <w:t>及时开展生态修复，按照“边开采、边修复”的原则，在统筹考虑生物多样性、防沙治沙等要求的基础上，编制施工期、运行期及闭矿期生态保护及修复方案。占用草地应依法履行相关手续。建立生态监测系统，加强生态影响长期跟踪监测，根据监测结果，采取优化措施减缓不利生态影响。</w:t>
      </w:r>
    </w:p>
    <w:p w14:paraId="453FE772">
      <w:pPr>
        <w:pStyle w:val="3"/>
        <w:keepNext w:val="0"/>
        <w:keepLines w:val="0"/>
        <w:pageBreakBefore w:val="0"/>
        <w:widowControl w:val="0"/>
        <w:numPr>
          <w:ilvl w:val="0"/>
          <w:numId w:val="0"/>
        </w:numPr>
        <w:kinsoku/>
        <w:wordWrap/>
        <w:overflowPunct/>
        <w:topLinePunct w:val="0"/>
        <w:autoSpaceDE/>
        <w:autoSpaceDN/>
        <w:bidi w:val="0"/>
        <w:adjustRightInd w:val="0"/>
        <w:snapToGrid/>
        <w:spacing w:after="0" w:line="480" w:lineRule="exact"/>
        <w:ind w:firstLine="640" w:firstLineChars="200"/>
        <w:jc w:val="both"/>
        <w:textAlignment w:val="baseline"/>
        <w:rPr>
          <w:rFonts w:hint="eastAsia" w:ascii="仿宋_GB2312" w:hAnsi="仿宋_GB2312" w:eastAsia="仿宋_GB2312" w:cs="仿宋_GB2312"/>
          <w:color w:val="auto"/>
          <w:kern w:val="2"/>
          <w:sz w:val="32"/>
          <w:szCs w:val="32"/>
          <w:highlight w:val="none"/>
          <w:lang w:val="en-US" w:eastAsia="zh-CN" w:bidi="en-US"/>
        </w:rPr>
      </w:pPr>
      <w:r>
        <w:rPr>
          <w:rFonts w:hint="eastAsia" w:ascii="楷体" w:hAnsi="楷体" w:eastAsia="楷体" w:cs="楷体"/>
          <w:color w:val="auto"/>
          <w:kern w:val="2"/>
          <w:sz w:val="32"/>
          <w:szCs w:val="32"/>
          <w:highlight w:val="none"/>
          <w:lang w:val="en-US" w:eastAsia="zh-CN" w:bidi="en-US"/>
        </w:rPr>
        <w:t>（二）严格落实各项大气污染防治措施。</w:t>
      </w:r>
      <w:r>
        <w:rPr>
          <w:rFonts w:hint="eastAsia" w:ascii="仿宋_GB2312" w:hAnsi="仿宋_GB2312" w:eastAsia="仿宋_GB2312" w:cs="仿宋_GB2312"/>
          <w:color w:val="auto"/>
          <w:kern w:val="2"/>
          <w:sz w:val="32"/>
          <w:szCs w:val="32"/>
          <w:highlight w:val="none"/>
          <w:lang w:val="en-US" w:eastAsia="zh-CN" w:bidi="en-US"/>
        </w:rPr>
        <w:t>原矿露天开采、装卸过程均采用雾炮机喷雾降尘，同时降低装卸高度，控制作业面积，凿岩、爆破环节采用湿式作业。排土场采用压实苫盖措施，定期洒水抑尘。建设全封闭式成品库，定期洒水喷雾抑尘。散料及石粉均置于封闭筒仓内，粉尘经脉冲除尘器处理后，通过仓顶排放。矿石加工车间上料环节三面封闭并安装喷淋设施；输送环节置于全封闭传送系统内；破碎、筛分环节均置于封闭车间并安装集气罩及布袋除尘器，废气经处理满足《石灰、电石工业大气污染物排放标准》（GB41618-2022）表1浓度限值要求后，通过各自排气筒排放。运输道路硬化建设，定期清扫、洒水抑尘，运输车辆加盖苫布，最终厂区内颗粒物无组织排放须满足《石灰、电石工业大气污染物排放标准》（GB41618-2022）表A.1浓度限值要求，厂界颗粒物排放须满足《大气污染物综合排放标准》（GB16297-1996）浓度限值要求。食堂油烟经高效油烟净化装置处理，满足《饮食业油烟排放标准（试行）》（GB18483-2001）浓度限值要求后，通过专用烟道引至楼顶排放。</w:t>
      </w:r>
    </w:p>
    <w:p w14:paraId="3C6E32B7">
      <w:pPr>
        <w:pStyle w:val="3"/>
        <w:keepNext w:val="0"/>
        <w:keepLines w:val="0"/>
        <w:pageBreakBefore w:val="0"/>
        <w:widowControl w:val="0"/>
        <w:numPr>
          <w:ilvl w:val="0"/>
          <w:numId w:val="0"/>
        </w:numPr>
        <w:kinsoku/>
        <w:wordWrap/>
        <w:overflowPunct/>
        <w:topLinePunct w:val="0"/>
        <w:autoSpaceDE/>
        <w:autoSpaceDN/>
        <w:bidi w:val="0"/>
        <w:adjustRightInd w:val="0"/>
        <w:snapToGrid/>
        <w:spacing w:after="0" w:line="480" w:lineRule="exact"/>
        <w:ind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en-US"/>
        </w:rPr>
      </w:pPr>
      <w:r>
        <w:rPr>
          <w:rFonts w:hint="eastAsia" w:ascii="楷体" w:hAnsi="楷体" w:eastAsia="楷体" w:cs="楷体"/>
          <w:color w:val="auto"/>
          <w:kern w:val="2"/>
          <w:sz w:val="32"/>
          <w:szCs w:val="32"/>
          <w:highlight w:val="none"/>
          <w:lang w:val="en-US" w:eastAsia="zh-CN" w:bidi="en-US"/>
        </w:rPr>
        <w:t>（三）严格落实各项水污染防治措施。</w:t>
      </w:r>
      <w:r>
        <w:rPr>
          <w:rFonts w:hint="eastAsia" w:ascii="仿宋_GB2312" w:hAnsi="仿宋_GB2312" w:eastAsia="仿宋_GB2312" w:cs="仿宋_GB2312"/>
          <w:b w:val="0"/>
          <w:bCs w:val="0"/>
          <w:color w:val="auto"/>
          <w:kern w:val="2"/>
          <w:sz w:val="32"/>
          <w:szCs w:val="32"/>
          <w:highlight w:val="none"/>
          <w:lang w:val="en-US" w:eastAsia="zh-CN" w:bidi="en-US"/>
        </w:rPr>
        <w:t>车辆冲洗废水经多级沉淀池处理后回用洗车平台；人员生活污水经一体化污水处理设施处理满足《城市污水再生利用 城市杂用水水质》（GB/T18920-2020）标准限值要求后，回用采区抑尘。</w:t>
      </w:r>
    </w:p>
    <w:p w14:paraId="1B88DC3B">
      <w:pPr>
        <w:pStyle w:val="3"/>
        <w:keepNext w:val="0"/>
        <w:keepLines w:val="0"/>
        <w:pageBreakBefore w:val="0"/>
        <w:widowControl w:val="0"/>
        <w:numPr>
          <w:ilvl w:val="0"/>
          <w:numId w:val="0"/>
        </w:numPr>
        <w:kinsoku/>
        <w:wordWrap/>
        <w:overflowPunct/>
        <w:topLinePunct w:val="0"/>
        <w:autoSpaceDE/>
        <w:autoSpaceDN/>
        <w:bidi w:val="0"/>
        <w:adjustRightInd w:val="0"/>
        <w:snapToGrid/>
        <w:spacing w:after="0" w:line="480" w:lineRule="exact"/>
        <w:ind w:firstLine="640" w:firstLineChars="200"/>
        <w:jc w:val="both"/>
        <w:textAlignment w:val="baseline"/>
        <w:rPr>
          <w:rFonts w:hint="eastAsia" w:ascii="仿宋_GB2312" w:hAnsi="仿宋_GB2312" w:eastAsia="仿宋_GB2312" w:cs="仿宋_GB2312"/>
          <w:color w:val="auto"/>
          <w:kern w:val="2"/>
          <w:sz w:val="32"/>
          <w:szCs w:val="32"/>
          <w:highlight w:val="none"/>
          <w:lang w:val="en-US" w:eastAsia="zh-CN" w:bidi="en-US"/>
        </w:rPr>
      </w:pPr>
      <w:r>
        <w:rPr>
          <w:rFonts w:hint="eastAsia" w:ascii="楷体" w:hAnsi="楷体" w:eastAsia="楷体" w:cs="楷体"/>
          <w:color w:val="auto"/>
          <w:kern w:val="2"/>
          <w:sz w:val="32"/>
          <w:szCs w:val="32"/>
          <w:highlight w:val="none"/>
          <w:lang w:val="en-US" w:eastAsia="zh-CN" w:bidi="en-US"/>
        </w:rPr>
        <w:t>（四）</w:t>
      </w:r>
      <w:r>
        <w:rPr>
          <w:rFonts w:hint="eastAsia" w:ascii="楷体" w:hAnsi="楷体" w:eastAsia="楷体" w:cs="楷体"/>
          <w:b w:val="0"/>
          <w:bCs w:val="0"/>
          <w:color w:val="000000"/>
          <w:sz w:val="32"/>
          <w:szCs w:val="32"/>
          <w:highlight w:val="none"/>
          <w:lang w:val="en-US" w:eastAsia="zh-CN"/>
        </w:rPr>
        <w:t>严格落实噪声防治措施。</w:t>
      </w:r>
      <w:r>
        <w:rPr>
          <w:rFonts w:hint="eastAsia" w:ascii="仿宋_GB2312" w:hAnsi="仿宋_GB2312" w:eastAsia="仿宋_GB2312" w:cs="仿宋_GB2312"/>
          <w:b w:val="0"/>
          <w:bCs w:val="0"/>
          <w:color w:val="auto"/>
          <w:kern w:val="2"/>
          <w:sz w:val="32"/>
          <w:szCs w:val="32"/>
          <w:highlight w:val="none"/>
          <w:lang w:val="en-US" w:eastAsia="zh-CN" w:bidi="en-US"/>
        </w:rPr>
        <w:t>选用低噪设备，针对不同的声源采取相应的消声、隔音、减振、降噪措施，减缓噪声不利影响，确保厂界噪声可满足《工业企业厂界环境噪声排放标准》（GB12348-2008）2类标准要求。</w:t>
      </w:r>
    </w:p>
    <w:p w14:paraId="1A492312">
      <w:pPr>
        <w:keepNext w:val="0"/>
        <w:keepLines w:val="0"/>
        <w:pageBreakBefore w:val="0"/>
        <w:widowControl w:val="0"/>
        <w:kinsoku/>
        <w:wordWrap/>
        <w:overflowPunct/>
        <w:topLinePunct w:val="0"/>
        <w:bidi w:val="0"/>
        <w:spacing w:line="480" w:lineRule="exact"/>
        <w:ind w:firstLine="640" w:firstLineChars="200"/>
        <w:rPr>
          <w:rFonts w:hint="eastAsia" w:ascii="仿宋_GB2312" w:hAnsi="仿宋_GB2312" w:eastAsia="仿宋_GB2312" w:cs="仿宋_GB2312"/>
          <w:b w:val="0"/>
          <w:bCs w:val="0"/>
          <w:color w:val="auto"/>
          <w:kern w:val="2"/>
          <w:sz w:val="32"/>
          <w:szCs w:val="32"/>
          <w:highlight w:val="none"/>
          <w:lang w:val="en-US" w:eastAsia="zh-CN" w:bidi="en-US"/>
        </w:rPr>
      </w:pPr>
      <w:r>
        <w:rPr>
          <w:rFonts w:hint="eastAsia" w:ascii="楷体" w:hAnsi="楷体" w:eastAsia="楷体" w:cs="楷体"/>
          <w:color w:val="auto"/>
          <w:kern w:val="2"/>
          <w:sz w:val="32"/>
          <w:szCs w:val="32"/>
          <w:highlight w:val="none"/>
          <w:lang w:val="en-US" w:eastAsia="zh-CN" w:bidi="en-US"/>
        </w:rPr>
        <w:t>（五）严格落实固体废物污染防治措施。</w:t>
      </w:r>
      <w:r>
        <w:rPr>
          <w:rFonts w:hint="eastAsia" w:ascii="仿宋_GB2312" w:hAnsi="仿宋_GB2312" w:eastAsia="仿宋_GB2312" w:cs="仿宋_GB2312"/>
          <w:b w:val="0"/>
          <w:bCs w:val="0"/>
          <w:color w:val="auto"/>
          <w:kern w:val="2"/>
          <w:sz w:val="32"/>
          <w:szCs w:val="32"/>
          <w:highlight w:val="none"/>
          <w:lang w:val="en-US" w:eastAsia="zh-CN" w:bidi="en-US"/>
        </w:rPr>
        <w:t>采矿废石部分用于垫路，剩余堆存于排土场，后期用于采坑治理。除尘器收尘灰全部储存于石粉库，作为产品外售。筛分废砂土、洗车平台沉淀池全部回填采坑，污水处理设施底泥暂存于排土场，后期与剥离表土一并用于植被恢复。废布袋由厂家上门更换回收，废矿物油采用密闭耐腐蚀容器统一收集后和废油桶分类分区暂存于标准化危废暂存间，定期委托有资质的单位处置。生活垃圾由封闭式垃圾箱集中收集后，定期清运至当地环卫部门指定地点处理。</w:t>
      </w:r>
    </w:p>
    <w:p w14:paraId="6FFD588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楷体" w:hAnsi="楷体" w:eastAsia="楷体" w:cs="楷体"/>
          <w:color w:val="auto"/>
          <w:kern w:val="2"/>
          <w:sz w:val="32"/>
          <w:szCs w:val="32"/>
          <w:highlight w:val="none"/>
          <w:lang w:val="en-US" w:eastAsia="zh-CN" w:bidi="en-US"/>
        </w:rPr>
        <w:t>（六）</w:t>
      </w:r>
      <w:r>
        <w:rPr>
          <w:rFonts w:hint="eastAsia" w:ascii="楷体" w:hAnsi="楷体" w:eastAsia="楷体" w:cs="楷体"/>
          <w:b w:val="0"/>
          <w:bCs w:val="0"/>
          <w:color w:val="000000"/>
          <w:sz w:val="32"/>
          <w:szCs w:val="32"/>
          <w:highlight w:val="none"/>
          <w:lang w:val="en-US" w:eastAsia="zh-CN"/>
        </w:rPr>
        <w:t>严格落实土壤和地下水污染防治措施。</w:t>
      </w:r>
      <w:r>
        <w:rPr>
          <w:rFonts w:hint="eastAsia" w:ascii="仿宋_GB2312" w:hAnsi="仿宋_GB2312" w:eastAsia="仿宋_GB2312" w:cs="仿宋_GB2312"/>
          <w:color w:val="000000"/>
          <w:kern w:val="2"/>
          <w:sz w:val="32"/>
          <w:szCs w:val="32"/>
          <w:lang w:val="en-US" w:eastAsia="zh-CN" w:bidi="ar-SA"/>
        </w:rPr>
        <w:t>严</w:t>
      </w:r>
      <w:r>
        <w:rPr>
          <w:rFonts w:hint="eastAsia" w:ascii="仿宋_GB2312" w:hAnsi="仿宋_GB2312" w:eastAsia="仿宋_GB2312" w:cs="仿宋_GB2312"/>
          <w:b w:val="0"/>
          <w:bCs w:val="0"/>
          <w:color w:val="auto"/>
          <w:kern w:val="2"/>
          <w:sz w:val="32"/>
          <w:szCs w:val="32"/>
          <w:highlight w:val="none"/>
          <w:lang w:val="en-US" w:eastAsia="zh-CN" w:bidi="en-US"/>
        </w:rPr>
        <w:t>格执行“源头控制、分区防控、污染监控、应急响应”相结合的原则。危废暂存间按照《危险废物贮存污染控制标准》（GB18597-2023）建设。所有防渗措施均满足《环境影响评价技术导则 地下水环境》（HJ610-2016）技术要求。</w:t>
      </w:r>
    </w:p>
    <w:p w14:paraId="5318D3AE">
      <w:pPr>
        <w:pStyle w:val="3"/>
        <w:keepNext w:val="0"/>
        <w:keepLines w:val="0"/>
        <w:pageBreakBefore w:val="0"/>
        <w:widowControl w:val="0"/>
        <w:numPr>
          <w:ilvl w:val="0"/>
          <w:numId w:val="0"/>
        </w:numPr>
        <w:kinsoku/>
        <w:wordWrap/>
        <w:overflowPunct/>
        <w:topLinePunct w:val="0"/>
        <w:autoSpaceDE/>
        <w:autoSpaceDN/>
        <w:bidi w:val="0"/>
        <w:adjustRightInd w:val="0"/>
        <w:snapToGrid/>
        <w:spacing w:after="0" w:line="480" w:lineRule="exact"/>
        <w:ind w:left="0" w:leftChars="0" w:firstLine="640" w:firstLineChars="200"/>
        <w:jc w:val="both"/>
        <w:textAlignment w:val="baseline"/>
        <w:rPr>
          <w:rFonts w:hint="eastAsia" w:ascii="仿宋_GB2312" w:hAnsi="仿宋_GB2312" w:eastAsia="仿宋_GB2312" w:cs="仿宋_GB2312"/>
          <w:color w:val="auto"/>
          <w:kern w:val="2"/>
          <w:sz w:val="32"/>
          <w:szCs w:val="32"/>
          <w:highlight w:val="none"/>
          <w:lang w:val="en-US" w:eastAsia="zh-CN" w:bidi="en-US"/>
        </w:rPr>
      </w:pPr>
      <w:r>
        <w:rPr>
          <w:rFonts w:hint="eastAsia" w:ascii="楷体" w:hAnsi="楷体" w:eastAsia="楷体" w:cs="楷体"/>
          <w:color w:val="auto"/>
          <w:kern w:val="2"/>
          <w:sz w:val="32"/>
          <w:szCs w:val="32"/>
          <w:highlight w:val="none"/>
          <w:lang w:val="en-US" w:eastAsia="zh-CN" w:bidi="en-US"/>
        </w:rPr>
        <w:t>（七）强化各项环境风险防范措施。</w:t>
      </w:r>
      <w:r>
        <w:rPr>
          <w:rFonts w:hint="eastAsia" w:ascii="仿宋_GB2312" w:hAnsi="仿宋_GB2312" w:eastAsia="仿宋_GB2312" w:cs="仿宋_GB2312"/>
          <w:color w:val="000000"/>
          <w:kern w:val="2"/>
          <w:sz w:val="32"/>
          <w:szCs w:val="32"/>
          <w:lang w:val="en-US" w:eastAsia="zh-CN" w:bidi="ar-SA"/>
        </w:rPr>
        <w:t>落实环保设施安全生产工作，建立环保设备设施台账和维护管理制度。按照规范要求存放风险物质；加强生产过程设备的管理与维修，防止跑、冒、滴、漏现象的发生；建立完善的环境管理制度和事故应急措施，制定切实可行的环境风险应急预案，加强对危废暂存间的管理；严格落实风险防范措施和应急预案，切实杜绝环境风险事故。</w:t>
      </w:r>
    </w:p>
    <w:p w14:paraId="694DB6F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楷体" w:hAnsi="楷体" w:eastAsia="楷体" w:cs="楷体"/>
          <w:color w:val="auto"/>
          <w:kern w:val="2"/>
          <w:sz w:val="32"/>
          <w:szCs w:val="32"/>
          <w:highlight w:val="none"/>
          <w:lang w:val="en-US" w:eastAsia="zh-CN" w:bidi="en-US"/>
        </w:rPr>
        <w:t>（八）</w:t>
      </w:r>
      <w:r>
        <w:rPr>
          <w:rFonts w:hint="eastAsia" w:ascii="楷体" w:hAnsi="楷体" w:eastAsia="楷体" w:cs="楷体"/>
          <w:color w:val="auto"/>
          <w:sz w:val="32"/>
          <w:szCs w:val="32"/>
          <w:highlight w:val="none"/>
          <w:lang w:bidi="en-US"/>
        </w:rPr>
        <w:t>严格落实运营期污染源监测计划。</w:t>
      </w:r>
      <w:r>
        <w:rPr>
          <w:rFonts w:hint="eastAsia" w:ascii="仿宋_GB2312" w:hAnsi="仿宋_GB2312" w:eastAsia="仿宋_GB2312" w:cs="仿宋_GB2312"/>
          <w:color w:val="000000"/>
          <w:kern w:val="2"/>
          <w:sz w:val="32"/>
          <w:szCs w:val="32"/>
          <w:lang w:val="en-US" w:eastAsia="zh-CN" w:bidi="ar-SA"/>
        </w:rPr>
        <w:t>按照国家和地方有关规定设置规范的污染物排放口并设立标志牌。按照《报告书》内容落实环境管理及监测计划，落实重点污染源监测监控感知端建设并与生态环境部门联网。强化污染源与无组织排放源管理，制定自行监测方案，按规定开展自行监测和信息公开。各排气筒应按照规范要求预留永久性监测口和采样监测平台。如出现污染物超标排放情况，应立即查明原因并采取</w:t>
      </w:r>
      <w:bookmarkStart w:id="1" w:name="_GoBack"/>
      <w:bookmarkEnd w:id="1"/>
      <w:r>
        <w:rPr>
          <w:rFonts w:hint="eastAsia" w:ascii="仿宋_GB2312" w:hAnsi="仿宋_GB2312" w:eastAsia="仿宋_GB2312" w:cs="仿宋_GB2312"/>
          <w:color w:val="000000"/>
          <w:kern w:val="2"/>
          <w:sz w:val="32"/>
          <w:szCs w:val="32"/>
          <w:lang w:val="en-US" w:eastAsia="zh-CN" w:bidi="ar-SA"/>
        </w:rPr>
        <w:t>措施。</w:t>
      </w:r>
    </w:p>
    <w:p w14:paraId="1795940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kern w:val="2"/>
          <w:sz w:val="32"/>
          <w:szCs w:val="32"/>
          <w:highlight w:val="none"/>
          <w:lang w:val="en-US" w:eastAsia="zh-CN" w:bidi="ar-SA"/>
        </w:rPr>
        <w:t>三、项</w:t>
      </w:r>
      <w:r>
        <w:rPr>
          <w:rFonts w:hint="eastAsia" w:ascii="仿宋_GB2312" w:hAnsi="仿宋_GB2312" w:eastAsia="仿宋_GB2312" w:cs="仿宋_GB2312"/>
          <w:color w:val="auto"/>
          <w:sz w:val="32"/>
          <w:szCs w:val="32"/>
          <w:lang w:bidi="en-US"/>
        </w:rPr>
        <w:t>目建设必须严格执行配套的环境保护设施与主体工程同时设计、同时施工、同时投产使用的环境保护“三同时”制度。严格落实污染防治措施设计要求。应将优化和细化后的各项污染防治措施及概算纳入设计以及施工等招标文件及合同，并明确责任。按规定程序实施竣工环境保护验收。</w:t>
      </w:r>
    </w:p>
    <w:p w14:paraId="678607AE">
      <w:pPr>
        <w:keepNext w:val="0"/>
        <w:keepLines w:val="0"/>
        <w:pageBreakBefore w:val="0"/>
        <w:widowControl w:val="0"/>
        <w:kinsoku/>
        <w:wordWrap/>
        <w:overflowPunct/>
        <w:topLinePunct w:val="0"/>
        <w:autoSpaceDE w:val="0"/>
        <w:autoSpaceDN w:val="0"/>
        <w:bidi w:val="0"/>
        <w:adjustRightInd w:val="0"/>
        <w:snapToGrid w:val="0"/>
        <w:spacing w:line="48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kern w:val="2"/>
          <w:sz w:val="32"/>
          <w:szCs w:val="32"/>
          <w:highlight w:val="none"/>
          <w:lang w:val="en-US" w:eastAsia="zh-CN" w:bidi="ar-SA"/>
        </w:rPr>
        <w:t>四、我局</w:t>
      </w:r>
      <w:r>
        <w:rPr>
          <w:rFonts w:hint="eastAsia" w:ascii="仿宋_GB2312" w:hAnsi="仿宋_GB2312" w:eastAsia="仿宋_GB2312" w:cs="仿宋_GB2312"/>
          <w:color w:val="auto"/>
          <w:sz w:val="32"/>
          <w:szCs w:val="32"/>
          <w:lang w:bidi="en-US"/>
        </w:rPr>
        <w:t>委托锡林郭勒盟生态环境局</w:t>
      </w:r>
      <w:r>
        <w:rPr>
          <w:rFonts w:hint="eastAsia" w:ascii="仿宋_GB2312" w:hAnsi="仿宋_GB2312" w:eastAsia="仿宋_GB2312" w:cs="仿宋_GB2312"/>
          <w:color w:val="auto"/>
          <w:sz w:val="32"/>
          <w:szCs w:val="32"/>
          <w:lang w:eastAsia="zh-CN" w:bidi="en-US"/>
        </w:rPr>
        <w:t>西乌珠穆沁旗分局</w:t>
      </w:r>
      <w:r>
        <w:rPr>
          <w:rFonts w:hint="eastAsia" w:ascii="仿宋_GB2312" w:hAnsi="仿宋_GB2312" w:eastAsia="仿宋_GB2312" w:cs="仿宋_GB2312"/>
          <w:color w:val="auto"/>
          <w:sz w:val="32"/>
          <w:szCs w:val="32"/>
          <w:lang w:bidi="en-US"/>
        </w:rPr>
        <w:t>对该项目各项污染防治措施落实情况进行监督检查和管理。</w:t>
      </w:r>
    </w:p>
    <w:p w14:paraId="2A6364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rPr>
      </w:pPr>
    </w:p>
    <w:p w14:paraId="1448CD37">
      <w:pPr>
        <w:keepNext w:val="0"/>
        <w:keepLines w:val="0"/>
        <w:pageBreakBefore w:val="0"/>
        <w:widowControl w:val="0"/>
        <w:kinsoku/>
        <w:wordWrap/>
        <w:overflowPunct/>
        <w:topLinePunct w:val="0"/>
        <w:autoSpaceDE w:val="0"/>
        <w:autoSpaceDN w:val="0"/>
        <w:bidi w:val="0"/>
        <w:adjustRightInd w:val="0"/>
        <w:snapToGrid w:val="0"/>
        <w:spacing w:line="480" w:lineRule="exact"/>
        <w:ind w:firstLine="4160" w:firstLineChars="1300"/>
        <w:textAlignment w:val="auto"/>
        <w:rPr>
          <w:rFonts w:hint="eastAsia" w:ascii="仿宋_GB2312" w:hAnsi="仿宋_GB2312" w:eastAsia="仿宋_GB2312" w:cs="仿宋_GB2312"/>
          <w:color w:val="auto"/>
          <w:sz w:val="32"/>
          <w:szCs w:val="32"/>
          <w:highlight w:val="none"/>
          <w:lang w:bidi="en-US"/>
        </w:rPr>
      </w:pPr>
      <w:r>
        <w:rPr>
          <w:rFonts w:hint="eastAsia" w:ascii="仿宋_GB2312" w:hAnsi="仿宋_GB2312" w:eastAsia="仿宋_GB2312" w:cs="仿宋_GB2312"/>
          <w:color w:val="auto"/>
          <w:sz w:val="32"/>
          <w:szCs w:val="32"/>
          <w:lang w:bidi="en-US"/>
        </w:rPr>
        <w:t>锡林</w:t>
      </w:r>
      <w:r>
        <w:rPr>
          <w:rFonts w:hint="eastAsia" w:ascii="仿宋_GB2312" w:hAnsi="仿宋_GB2312" w:eastAsia="仿宋_GB2312" w:cs="仿宋_GB2312"/>
          <w:color w:val="auto"/>
          <w:sz w:val="32"/>
          <w:szCs w:val="32"/>
          <w:highlight w:val="none"/>
          <w:lang w:bidi="en-US"/>
        </w:rPr>
        <w:t>郭勒盟生态环境局</w:t>
      </w:r>
    </w:p>
    <w:p w14:paraId="52562085">
      <w:pPr>
        <w:keepNext w:val="0"/>
        <w:keepLines w:val="0"/>
        <w:pageBreakBefore w:val="0"/>
        <w:widowControl w:val="0"/>
        <w:kinsoku/>
        <w:wordWrap/>
        <w:overflowPunct/>
        <w:topLinePunct w:val="0"/>
        <w:autoSpaceDE w:val="0"/>
        <w:autoSpaceDN w:val="0"/>
        <w:bidi w:val="0"/>
        <w:adjustRightInd w:val="0"/>
        <w:snapToGrid w:val="0"/>
        <w:spacing w:line="480" w:lineRule="exact"/>
        <w:ind w:firstLine="4800" w:firstLineChars="1500"/>
        <w:textAlignment w:val="auto"/>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bidi="en-US"/>
          <w14:textFill>
            <w14:solidFill>
              <w14:schemeClr w14:val="tx1"/>
            </w14:solidFill>
          </w14:textFill>
        </w:rPr>
        <w:t>6</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bidi="en-US"/>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bidi="en-US"/>
          <w14:textFill>
            <w14:solidFill>
              <w14:schemeClr w14:val="tx1"/>
            </w14:solidFill>
          </w14:textFill>
        </w:rPr>
        <w:t>27</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日</w:t>
      </w:r>
    </w:p>
    <w:p w14:paraId="2C1768D7">
      <w:pPr>
        <w:rPr>
          <w:rFonts w:hint="eastAsia"/>
        </w:rPr>
      </w:pPr>
    </w:p>
    <w:p w14:paraId="46B6B3A2">
      <w:pPr>
        <w:keepNext w:val="0"/>
        <w:keepLines w:val="0"/>
        <w:pageBreakBefore w:val="0"/>
        <w:widowControl w:val="0"/>
        <w:kinsoku/>
        <w:wordWrap/>
        <w:overflowPunct/>
        <w:topLinePunct w:val="0"/>
        <w:autoSpaceDE w:val="0"/>
        <w:autoSpaceDN w:val="0"/>
        <w:bidi w:val="0"/>
        <w:adjustRightInd w:val="0"/>
        <w:snapToGrid w:val="0"/>
        <w:spacing w:line="440" w:lineRule="exact"/>
        <w:ind w:firstLine="4800" w:firstLineChars="1500"/>
        <w:textAlignment w:val="auto"/>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pPr>
    </w:p>
    <w:p w14:paraId="0F514C1D">
      <w:pPr>
        <w:pStyle w:val="16"/>
        <w:keepNext w:val="0"/>
        <w:keepLines w:val="0"/>
        <w:pageBreakBefore w:val="0"/>
        <w:widowControl w:val="0"/>
        <w:kinsoku/>
        <w:wordWrap/>
        <w:overflowPunct/>
        <w:topLinePunct w:val="0"/>
        <w:bidi w:val="0"/>
        <w:snapToGrid/>
        <w:spacing w:line="400" w:lineRule="exact"/>
        <w:ind w:firstLine="280" w:firstLineChars="100"/>
        <w:jc w:val="both"/>
        <w:textAlignment w:val="auto"/>
        <w:rPr>
          <w:rFonts w:hint="eastAsia" w:ascii="仿宋" w:hAnsi="仿宋" w:eastAsia="仿宋" w:cs="仿宋"/>
          <w:color w:val="000000" w:themeColor="text1"/>
          <w:kern w:val="2"/>
          <w:sz w:val="28"/>
          <w:szCs w:val="28"/>
          <w:highlight w:val="none"/>
          <w:lang w:eastAsia="zh-CN" w:bidi="en-US"/>
          <w14:textFill>
            <w14:solidFill>
              <w14:schemeClr w14:val="tx1"/>
            </w14:solidFill>
          </w14:textFill>
        </w:rPr>
      </w:pPr>
      <w:r>
        <w:rPr>
          <w:rFonts w:hint="eastAsia" w:ascii="仿宋" w:hAnsi="仿宋" w:eastAsia="仿宋" w:cs="仿宋"/>
          <w:color w:val="auto"/>
          <w:kern w:val="2"/>
          <w:sz w:val="28"/>
          <w:szCs w:val="28"/>
          <w:highlight w:val="none"/>
          <w:lang w:bidi="en-US"/>
        </w:rPr>
        <w:t>抄送：盟生态环境综合行政执法支队</w:t>
      </w:r>
      <w:r>
        <w:rPr>
          <w:rFonts w:hint="eastAsia" w:ascii="仿宋" w:hAnsi="仿宋" w:eastAsia="仿宋" w:cs="仿宋"/>
          <w:color w:val="auto"/>
          <w:kern w:val="2"/>
          <w:sz w:val="28"/>
          <w:szCs w:val="28"/>
          <w:highlight w:val="none"/>
          <w:lang w:eastAsia="zh-CN" w:bidi="en-US"/>
        </w:rPr>
        <w:t>，</w:t>
      </w:r>
      <w:r>
        <w:rPr>
          <w:rFonts w:hint="eastAsia" w:ascii="仿宋" w:hAnsi="仿宋" w:eastAsia="仿宋" w:cs="仿宋"/>
          <w:color w:val="auto"/>
          <w:kern w:val="2"/>
          <w:sz w:val="28"/>
          <w:szCs w:val="28"/>
          <w:highlight w:val="none"/>
          <w:lang w:bidi="en-US"/>
        </w:rPr>
        <w:t>盟生态环</w:t>
      </w:r>
      <w:r>
        <w:rPr>
          <w:rFonts w:hint="eastAsia" w:ascii="仿宋" w:hAnsi="仿宋" w:eastAsia="仿宋" w:cs="仿宋"/>
          <w:color w:val="000000" w:themeColor="text1"/>
          <w:kern w:val="2"/>
          <w:sz w:val="28"/>
          <w:szCs w:val="28"/>
          <w:highlight w:val="none"/>
          <w:lang w:bidi="en-US"/>
          <w14:textFill>
            <w14:solidFill>
              <w14:schemeClr w14:val="tx1"/>
            </w14:solidFill>
          </w14:textFill>
        </w:rPr>
        <w:t>境局</w:t>
      </w:r>
      <w:r>
        <w:rPr>
          <w:rFonts w:hint="eastAsia" w:ascii="仿宋" w:hAnsi="仿宋" w:eastAsia="仿宋" w:cs="仿宋"/>
          <w:color w:val="000000" w:themeColor="text1"/>
          <w:kern w:val="2"/>
          <w:sz w:val="28"/>
          <w:szCs w:val="28"/>
          <w:highlight w:val="none"/>
          <w:lang w:eastAsia="zh-CN" w:bidi="en-US"/>
          <w14:textFill>
            <w14:solidFill>
              <w14:schemeClr w14:val="tx1"/>
            </w14:solidFill>
          </w14:textFill>
        </w:rPr>
        <w:t>西乌珠穆沁</w:t>
      </w:r>
    </w:p>
    <w:p w14:paraId="0006FF2D">
      <w:pPr>
        <w:pStyle w:val="16"/>
        <w:keepNext w:val="0"/>
        <w:keepLines w:val="0"/>
        <w:pageBreakBefore w:val="0"/>
        <w:widowControl w:val="0"/>
        <w:kinsoku/>
        <w:wordWrap/>
        <w:overflowPunct/>
        <w:topLinePunct w:val="0"/>
        <w:bidi w:val="0"/>
        <w:snapToGrid/>
        <w:spacing w:line="400" w:lineRule="exact"/>
        <w:jc w:val="both"/>
        <w:textAlignment w:val="auto"/>
        <w:rPr>
          <w:rFonts w:hint="eastAsia" w:ascii="仿宋" w:hAnsi="仿宋" w:eastAsia="仿宋" w:cs="仿宋"/>
          <w:color w:val="auto"/>
          <w:kern w:val="2"/>
          <w:sz w:val="28"/>
          <w:szCs w:val="28"/>
          <w:highlight w:val="none"/>
          <w:lang w:eastAsia="zh-CN" w:bidi="en-US"/>
        </w:rPr>
      </w:pPr>
      <w:r>
        <w:rPr>
          <w:rFonts w:hint="eastAsia" w:ascii="仿宋" w:hAnsi="仿宋" w:eastAsia="仿宋" w:cs="仿宋"/>
          <w:color w:val="000000" w:themeColor="text1"/>
          <w:kern w:val="2"/>
          <w:sz w:val="28"/>
          <w:szCs w:val="28"/>
          <w:highlight w:val="none"/>
          <w:lang w:val="en-US" w:eastAsia="zh-CN" w:bidi="en-US"/>
          <w14:textFill>
            <w14:solidFill>
              <w14:schemeClr w14:val="tx1"/>
            </w14:solidFill>
          </w14:textFill>
        </w:rPr>
        <w:t xml:space="preserve">        </w:t>
      </w:r>
      <w:r>
        <w:rPr>
          <w:rFonts w:hint="eastAsia" w:ascii="仿宋" w:hAnsi="仿宋" w:eastAsia="仿宋" w:cs="仿宋"/>
          <w:color w:val="000000" w:themeColor="text1"/>
          <w:kern w:val="2"/>
          <w:sz w:val="28"/>
          <w:szCs w:val="28"/>
          <w:highlight w:val="none"/>
          <w:lang w:eastAsia="zh-CN" w:bidi="en-US"/>
          <w14:textFill>
            <w14:solidFill>
              <w14:schemeClr w14:val="tx1"/>
            </w14:solidFill>
          </w14:textFill>
        </w:rPr>
        <w:t>旗分</w:t>
      </w:r>
      <w:r>
        <w:rPr>
          <w:rFonts w:hint="eastAsia" w:ascii="仿宋" w:hAnsi="仿宋" w:eastAsia="仿宋" w:cs="仿宋"/>
          <w:color w:val="auto"/>
          <w:kern w:val="2"/>
          <w:sz w:val="28"/>
          <w:szCs w:val="28"/>
          <w:highlight w:val="none"/>
          <w:lang w:eastAsia="zh-CN" w:bidi="en-US"/>
        </w:rPr>
        <w:t>局。</w:t>
      </w:r>
    </w:p>
    <w:p w14:paraId="5508AF8D">
      <w:pPr>
        <w:keepNext w:val="0"/>
        <w:keepLines w:val="0"/>
        <w:pageBreakBefore w:val="0"/>
        <w:widowControl w:val="0"/>
        <w:pBdr>
          <w:top w:val="single" w:color="auto" w:sz="4" w:space="1"/>
          <w:left w:val="none" w:color="auto" w:sz="0" w:space="4"/>
          <w:bottom w:val="single" w:color="auto" w:sz="4" w:space="1"/>
          <w:right w:val="none" w:color="auto" w:sz="0" w:space="4"/>
        </w:pBdr>
        <w:kinsoku/>
        <w:wordWrap/>
        <w:overflowPunct/>
        <w:topLinePunct w:val="0"/>
        <w:bidi w:val="0"/>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锡林郭勒盟生态环境局办公室    </w:t>
      </w:r>
      <w:r>
        <w:rPr>
          <w:rFonts w:hint="eastAsia" w:ascii="仿宋" w:hAnsi="仿宋" w:eastAsia="仿宋" w:cs="仿宋"/>
          <w:color w:val="000000" w:themeColor="text1"/>
          <w:sz w:val="28"/>
          <w:szCs w:val="28"/>
          <w:highlight w:val="none"/>
          <w14:textFill>
            <w14:solidFill>
              <w14:schemeClr w14:val="tx1"/>
            </w14:solidFill>
          </w14:textFill>
        </w:rPr>
        <w:t xml:space="preserve">     202</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27</w:t>
      </w:r>
      <w:r>
        <w:rPr>
          <w:rFonts w:hint="eastAsia" w:ascii="仿宋" w:hAnsi="仿宋" w:eastAsia="仿宋" w:cs="仿宋"/>
          <w:color w:val="000000" w:themeColor="text1"/>
          <w:sz w:val="28"/>
          <w:szCs w:val="28"/>
          <w:highlight w:val="none"/>
          <w14:textFill>
            <w14:solidFill>
              <w14:schemeClr w14:val="tx1"/>
            </w14:solidFill>
          </w14:textFill>
        </w:rPr>
        <w:t>日印</w:t>
      </w:r>
      <w:r>
        <w:rPr>
          <w:rFonts w:hint="eastAsia" w:ascii="仿宋" w:hAnsi="仿宋" w:eastAsia="仿宋" w:cs="仿宋"/>
          <w:color w:val="auto"/>
          <w:sz w:val="28"/>
          <w:szCs w:val="28"/>
          <w:highlight w:val="none"/>
        </w:rPr>
        <w:t>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CA90B">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183EF1">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4183EF1">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jZjliNThiMThmZTZiMTZlZjM4YWI1NWNjNGNiZjYifQ=="/>
  </w:docVars>
  <w:rsids>
    <w:rsidRoot w:val="00BE15C5"/>
    <w:rsid w:val="00096BAA"/>
    <w:rsid w:val="001577BB"/>
    <w:rsid w:val="00157C95"/>
    <w:rsid w:val="001A08E0"/>
    <w:rsid w:val="0023504A"/>
    <w:rsid w:val="00275F15"/>
    <w:rsid w:val="0029260D"/>
    <w:rsid w:val="0030521F"/>
    <w:rsid w:val="00314696"/>
    <w:rsid w:val="00333BAE"/>
    <w:rsid w:val="00351DD5"/>
    <w:rsid w:val="0036799A"/>
    <w:rsid w:val="003F6E8C"/>
    <w:rsid w:val="00565FD0"/>
    <w:rsid w:val="006D5A5C"/>
    <w:rsid w:val="0078439C"/>
    <w:rsid w:val="008169E9"/>
    <w:rsid w:val="008B4F82"/>
    <w:rsid w:val="008C5ED5"/>
    <w:rsid w:val="00977DFE"/>
    <w:rsid w:val="00981820"/>
    <w:rsid w:val="00A74547"/>
    <w:rsid w:val="00B3474C"/>
    <w:rsid w:val="00BB3EEE"/>
    <w:rsid w:val="00BE15C5"/>
    <w:rsid w:val="00C054DA"/>
    <w:rsid w:val="00C23C2B"/>
    <w:rsid w:val="00C769C0"/>
    <w:rsid w:val="00CA00EE"/>
    <w:rsid w:val="00D14C38"/>
    <w:rsid w:val="00D37553"/>
    <w:rsid w:val="00DA6EE3"/>
    <w:rsid w:val="00E76C09"/>
    <w:rsid w:val="00F13EA9"/>
    <w:rsid w:val="00F96E63"/>
    <w:rsid w:val="00FF17CD"/>
    <w:rsid w:val="019C606F"/>
    <w:rsid w:val="023F66B6"/>
    <w:rsid w:val="033C2BF5"/>
    <w:rsid w:val="04082137"/>
    <w:rsid w:val="04D60042"/>
    <w:rsid w:val="051F19C3"/>
    <w:rsid w:val="05FD1001"/>
    <w:rsid w:val="064265FE"/>
    <w:rsid w:val="065A7A8E"/>
    <w:rsid w:val="06E03F5B"/>
    <w:rsid w:val="07E80A5E"/>
    <w:rsid w:val="08125FE6"/>
    <w:rsid w:val="09B025AB"/>
    <w:rsid w:val="09F707CE"/>
    <w:rsid w:val="0A055186"/>
    <w:rsid w:val="0B1701D0"/>
    <w:rsid w:val="0C7A4895"/>
    <w:rsid w:val="0C8A49D1"/>
    <w:rsid w:val="0D6D6C1D"/>
    <w:rsid w:val="0E174945"/>
    <w:rsid w:val="0E6B26B6"/>
    <w:rsid w:val="0EE27BE5"/>
    <w:rsid w:val="109F048E"/>
    <w:rsid w:val="128671A2"/>
    <w:rsid w:val="130C25E4"/>
    <w:rsid w:val="133A3E29"/>
    <w:rsid w:val="134A4ECA"/>
    <w:rsid w:val="13AE71F7"/>
    <w:rsid w:val="13EB21F9"/>
    <w:rsid w:val="172B6DB1"/>
    <w:rsid w:val="188627DF"/>
    <w:rsid w:val="1ABF7F3C"/>
    <w:rsid w:val="1B4D5509"/>
    <w:rsid w:val="1B7C0676"/>
    <w:rsid w:val="1BBF88AE"/>
    <w:rsid w:val="1BF2CB73"/>
    <w:rsid w:val="1C2633D9"/>
    <w:rsid w:val="1D61177E"/>
    <w:rsid w:val="1F0337A2"/>
    <w:rsid w:val="1F9C573C"/>
    <w:rsid w:val="1FBE98E8"/>
    <w:rsid w:val="20C67501"/>
    <w:rsid w:val="20E00C0C"/>
    <w:rsid w:val="22B733D3"/>
    <w:rsid w:val="240E05F5"/>
    <w:rsid w:val="250273A3"/>
    <w:rsid w:val="25A32621"/>
    <w:rsid w:val="26B75F6B"/>
    <w:rsid w:val="270A5106"/>
    <w:rsid w:val="29D8150D"/>
    <w:rsid w:val="2AAB4039"/>
    <w:rsid w:val="2CA46F92"/>
    <w:rsid w:val="2CF929A0"/>
    <w:rsid w:val="2D875092"/>
    <w:rsid w:val="2ECE6548"/>
    <w:rsid w:val="2F1F3E8C"/>
    <w:rsid w:val="2F2B74F6"/>
    <w:rsid w:val="2F7E7F6E"/>
    <w:rsid w:val="3812264D"/>
    <w:rsid w:val="3A437DEA"/>
    <w:rsid w:val="3AD90E3C"/>
    <w:rsid w:val="3BFB7ADD"/>
    <w:rsid w:val="3C4B2A92"/>
    <w:rsid w:val="3CA66F28"/>
    <w:rsid w:val="3CE57779"/>
    <w:rsid w:val="3CE84C78"/>
    <w:rsid w:val="3CFE4BE4"/>
    <w:rsid w:val="3D98044D"/>
    <w:rsid w:val="3EDBBAD3"/>
    <w:rsid w:val="3FBC777D"/>
    <w:rsid w:val="3FC31BD1"/>
    <w:rsid w:val="404E573A"/>
    <w:rsid w:val="445D3A2B"/>
    <w:rsid w:val="4513485D"/>
    <w:rsid w:val="466622E2"/>
    <w:rsid w:val="46B26845"/>
    <w:rsid w:val="478F0B12"/>
    <w:rsid w:val="497A30FC"/>
    <w:rsid w:val="4A3B72B4"/>
    <w:rsid w:val="4B973E13"/>
    <w:rsid w:val="4CDD40CE"/>
    <w:rsid w:val="4E584CE2"/>
    <w:rsid w:val="4EB56E88"/>
    <w:rsid w:val="4EC33F0B"/>
    <w:rsid w:val="4FDC11D7"/>
    <w:rsid w:val="501114FC"/>
    <w:rsid w:val="51B03B5F"/>
    <w:rsid w:val="544834D5"/>
    <w:rsid w:val="54A9657E"/>
    <w:rsid w:val="5514288C"/>
    <w:rsid w:val="55621614"/>
    <w:rsid w:val="56990422"/>
    <w:rsid w:val="56B063AF"/>
    <w:rsid w:val="57B40ADC"/>
    <w:rsid w:val="591675BC"/>
    <w:rsid w:val="5991071A"/>
    <w:rsid w:val="5B679E5F"/>
    <w:rsid w:val="5C1271C4"/>
    <w:rsid w:val="5C8C51C9"/>
    <w:rsid w:val="5D7F0635"/>
    <w:rsid w:val="5DD60DF1"/>
    <w:rsid w:val="5DFFD6AD"/>
    <w:rsid w:val="5FA70BB0"/>
    <w:rsid w:val="617526E2"/>
    <w:rsid w:val="63DC7C3A"/>
    <w:rsid w:val="640E5DD6"/>
    <w:rsid w:val="640F77AC"/>
    <w:rsid w:val="6479615F"/>
    <w:rsid w:val="64B82674"/>
    <w:rsid w:val="65980358"/>
    <w:rsid w:val="67927E4C"/>
    <w:rsid w:val="68146F4B"/>
    <w:rsid w:val="68387D94"/>
    <w:rsid w:val="69A51678"/>
    <w:rsid w:val="69CC12A6"/>
    <w:rsid w:val="6ACB3360"/>
    <w:rsid w:val="6B3D14F9"/>
    <w:rsid w:val="6C0A7EB8"/>
    <w:rsid w:val="6D337A9A"/>
    <w:rsid w:val="6D874340"/>
    <w:rsid w:val="6D965EA7"/>
    <w:rsid w:val="6E1A4AAF"/>
    <w:rsid w:val="6FD159E5"/>
    <w:rsid w:val="6FEE6D0C"/>
    <w:rsid w:val="702E54A7"/>
    <w:rsid w:val="70E64D55"/>
    <w:rsid w:val="70EA0941"/>
    <w:rsid w:val="71FFDCEE"/>
    <w:rsid w:val="737F42A4"/>
    <w:rsid w:val="751F6782"/>
    <w:rsid w:val="756C3B4F"/>
    <w:rsid w:val="75B96109"/>
    <w:rsid w:val="776575C6"/>
    <w:rsid w:val="776B22F2"/>
    <w:rsid w:val="77A04D8F"/>
    <w:rsid w:val="77A23F56"/>
    <w:rsid w:val="77FB60A4"/>
    <w:rsid w:val="7883527A"/>
    <w:rsid w:val="78CC1696"/>
    <w:rsid w:val="79306CE1"/>
    <w:rsid w:val="795254DD"/>
    <w:rsid w:val="79F6371A"/>
    <w:rsid w:val="7ACB26BD"/>
    <w:rsid w:val="7BB80B28"/>
    <w:rsid w:val="7CE53CE8"/>
    <w:rsid w:val="7D2478C7"/>
    <w:rsid w:val="7E435BD1"/>
    <w:rsid w:val="7E5356DB"/>
    <w:rsid w:val="7F590AE3"/>
    <w:rsid w:val="7F6C2C5A"/>
    <w:rsid w:val="7F7C8CD3"/>
    <w:rsid w:val="7F7CE8F3"/>
    <w:rsid w:val="7FD6261A"/>
    <w:rsid w:val="97FFBFF7"/>
    <w:rsid w:val="AFDFA893"/>
    <w:rsid w:val="B6FB1ACB"/>
    <w:rsid w:val="BBFD157B"/>
    <w:rsid w:val="BBFFB394"/>
    <w:rsid w:val="BDB9872E"/>
    <w:rsid w:val="C73F4456"/>
    <w:rsid w:val="CF77A9DB"/>
    <w:rsid w:val="DBAFDD4B"/>
    <w:rsid w:val="DBD5EE8A"/>
    <w:rsid w:val="DF671AB1"/>
    <w:rsid w:val="E7FD0A82"/>
    <w:rsid w:val="EF6F4B52"/>
    <w:rsid w:val="EFEB112C"/>
    <w:rsid w:val="F3FD86CF"/>
    <w:rsid w:val="F4DD7BDB"/>
    <w:rsid w:val="F4FE1E3B"/>
    <w:rsid w:val="FBBF539C"/>
    <w:rsid w:val="FC7D141F"/>
    <w:rsid w:val="FE9F31A0"/>
    <w:rsid w:val="FFDE3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4"/>
    <w:basedOn w:val="1"/>
    <w:next w:val="1"/>
    <w:unhideWhenUsed/>
    <w:qFormat/>
    <w:uiPriority w:val="9"/>
    <w:pPr>
      <w:keepNext/>
      <w:keepLines/>
      <w:adjustRightInd w:val="0"/>
      <w:snapToGrid w:val="0"/>
      <w:jc w:val="left"/>
      <w:outlineLvl w:val="3"/>
    </w:pPr>
    <w:rPr>
      <w:rFonts w:cstheme="majorBidi"/>
      <w:b/>
      <w:bCs/>
      <w:szCs w:val="28"/>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Times New Roman" w:hAnsi="Times New Roman" w:eastAsia="宋体"/>
      <w:szCs w:val="24"/>
    </w:rPr>
  </w:style>
  <w:style w:type="paragraph" w:styleId="3">
    <w:name w:val="Body Text First Indent 2"/>
    <w:basedOn w:val="4"/>
    <w:next w:val="1"/>
    <w:qFormat/>
    <w:uiPriority w:val="0"/>
    <w:pPr>
      <w:adjustRightInd w:val="0"/>
      <w:ind w:firstLine="420"/>
      <w:textAlignment w:val="baseline"/>
    </w:pPr>
    <w:rPr>
      <w:rFonts w:ascii="宋体" w:hAnsi="宋体"/>
      <w:sz w:val="18"/>
      <w:szCs w:val="18"/>
    </w:rPr>
  </w:style>
  <w:style w:type="paragraph" w:styleId="4">
    <w:name w:val="Body Text Indent"/>
    <w:basedOn w:val="1"/>
    <w:next w:val="1"/>
    <w:qFormat/>
    <w:uiPriority w:val="0"/>
    <w:pPr>
      <w:spacing w:after="120"/>
      <w:ind w:left="420" w:leftChars="200"/>
    </w:pPr>
    <w:rPr>
      <w:rFonts w:ascii="Times New Roman" w:hAnsi="Times New Roman" w:eastAsia="宋体" w:cs="Times New Roman"/>
      <w:szCs w:val="20"/>
    </w:rPr>
  </w:style>
  <w:style w:type="paragraph" w:styleId="6">
    <w:name w:val="annotation text"/>
    <w:basedOn w:val="1"/>
    <w:link w:val="24"/>
    <w:semiHidden/>
    <w:unhideWhenUsed/>
    <w:qFormat/>
    <w:uiPriority w:val="99"/>
    <w:pPr>
      <w:jc w:val="left"/>
    </w:p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left" w:pos="284"/>
        <w:tab w:val="right" w:leader="dot" w:pos="8296"/>
      </w:tabs>
    </w:pPr>
  </w:style>
  <w:style w:type="paragraph" w:styleId="10">
    <w:name w:val="annotation subject"/>
    <w:basedOn w:val="6"/>
    <w:next w:val="6"/>
    <w:link w:val="25"/>
    <w:semiHidden/>
    <w:unhideWhenUsed/>
    <w:qFormat/>
    <w:uiPriority w:val="99"/>
    <w:rPr>
      <w:b/>
      <w:bCs/>
    </w:r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paragraph" w:customStyle="1" w:styleId="15">
    <w:name w:val="[1]正文"/>
    <w:basedOn w:val="1"/>
    <w:qFormat/>
    <w:uiPriority w:val="0"/>
    <w:pPr>
      <w:autoSpaceDE w:val="0"/>
      <w:autoSpaceDN w:val="0"/>
      <w:ind w:left="0" w:leftChars="0" w:firstLine="200" w:firstLineChars="200"/>
    </w:pPr>
    <w:rPr>
      <w:rFonts w:ascii="Times New Roman" w:hAnsi="Times New Roman" w:eastAsia="宋体" w:cs="Times New Roman"/>
      <w:color w:val="000000"/>
      <w:kern w:val="0"/>
      <w:szCs w:val="24"/>
      <w:lang w:val="zh-CN"/>
    </w:rPr>
  </w:style>
  <w:style w:type="paragraph" w:customStyle="1" w:styleId="16">
    <w:name w:val="Default"/>
    <w:basedOn w:val="17"/>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纯文本1"/>
    <w:basedOn w:val="1"/>
    <w:qFormat/>
    <w:uiPriority w:val="0"/>
    <w:rPr>
      <w:rFonts w:ascii="宋体" w:hAnsi="Courier New"/>
      <w:szCs w:val="20"/>
    </w:rPr>
  </w:style>
  <w:style w:type="paragraph" w:customStyle="1" w:styleId="18">
    <w:name w:val="正文1"/>
    <w:basedOn w:val="16"/>
    <w:next w:val="1"/>
    <w:qFormat/>
    <w:uiPriority w:val="0"/>
    <w:pPr>
      <w:tabs>
        <w:tab w:val="left" w:pos="0"/>
        <w:tab w:val="left" w:pos="7012"/>
      </w:tabs>
      <w:autoSpaceDE w:val="0"/>
      <w:autoSpaceDN w:val="0"/>
      <w:spacing w:beforeLines="25" w:afterLines="25" w:line="360" w:lineRule="auto"/>
      <w:ind w:firstLine="480" w:firstLineChars="200"/>
    </w:pPr>
    <w:rPr>
      <w:rFonts w:ascii="宋体" w:hAnsi="Calibri" w:cs="宋体"/>
      <w:color w:val="000000"/>
      <w:sz w:val="24"/>
      <w:szCs w:val="24"/>
    </w:rPr>
  </w:style>
  <w:style w:type="character" w:customStyle="1" w:styleId="19">
    <w:name w:val="未处理的提及1"/>
    <w:basedOn w:val="12"/>
    <w:semiHidden/>
    <w:unhideWhenUsed/>
    <w:qFormat/>
    <w:uiPriority w:val="99"/>
    <w:rPr>
      <w:color w:val="605E5C"/>
      <w:shd w:val="clear" w:color="auto" w:fill="E1DFDD"/>
    </w:rPr>
  </w:style>
  <w:style w:type="character" w:customStyle="1" w:styleId="20">
    <w:name w:val="页眉 字符"/>
    <w:basedOn w:val="12"/>
    <w:link w:val="8"/>
    <w:qFormat/>
    <w:uiPriority w:val="99"/>
    <w:rPr>
      <w:kern w:val="2"/>
      <w:sz w:val="18"/>
      <w:szCs w:val="18"/>
    </w:rPr>
  </w:style>
  <w:style w:type="paragraph" w:customStyle="1" w:styleId="21">
    <w:name w:val="表文"/>
    <w:basedOn w:val="1"/>
    <w:qFormat/>
    <w:uiPriority w:val="0"/>
    <w:pPr>
      <w:overflowPunct w:val="0"/>
      <w:spacing w:line="440" w:lineRule="exact"/>
      <w:jc w:val="center"/>
      <w:textAlignment w:val="baseline"/>
    </w:pPr>
    <w:rPr>
      <w:rFonts w:ascii="Arial" w:hAnsi="Arial" w:eastAsia="宋体" w:cs="Times New Roman"/>
      <w:szCs w:val="20"/>
    </w:rPr>
  </w:style>
  <w:style w:type="paragraph" w:customStyle="1" w:styleId="22">
    <w:name w:val="样式 (符号) 宋体 小四 行距: 1.5 倍行距"/>
    <w:basedOn w:val="1"/>
    <w:qFormat/>
    <w:uiPriority w:val="0"/>
    <w:pPr>
      <w:spacing w:line="360" w:lineRule="auto"/>
      <w:ind w:firstLine="200" w:firstLineChars="200"/>
    </w:pPr>
    <w:rPr>
      <w:rFonts w:ascii="Times New Roman" w:hAnsi="Times New Roman" w:eastAsia="宋体" w:cs="宋体"/>
      <w:sz w:val="24"/>
      <w:szCs w:val="24"/>
    </w:rPr>
  </w:style>
  <w:style w:type="paragraph" w:styleId="23">
    <w:name w:val="List Paragraph"/>
    <w:basedOn w:val="1"/>
    <w:qFormat/>
    <w:uiPriority w:val="99"/>
    <w:pPr>
      <w:ind w:firstLine="420" w:firstLineChars="200"/>
    </w:pPr>
  </w:style>
  <w:style w:type="character" w:customStyle="1" w:styleId="24">
    <w:name w:val="批注文字 字符"/>
    <w:basedOn w:val="12"/>
    <w:link w:val="6"/>
    <w:semiHidden/>
    <w:qFormat/>
    <w:uiPriority w:val="99"/>
    <w:rPr>
      <w:kern w:val="2"/>
      <w:sz w:val="21"/>
      <w:szCs w:val="22"/>
    </w:rPr>
  </w:style>
  <w:style w:type="character" w:customStyle="1" w:styleId="25">
    <w:name w:val="批注主题 字符"/>
    <w:basedOn w:val="24"/>
    <w:link w:val="10"/>
    <w:semiHidden/>
    <w:qFormat/>
    <w:uiPriority w:val="99"/>
    <w:rPr>
      <w:b/>
      <w:bCs/>
      <w:kern w:val="2"/>
      <w:sz w:val="21"/>
      <w:szCs w:val="22"/>
    </w:rPr>
  </w:style>
  <w:style w:type="paragraph" w:customStyle="1" w:styleId="26">
    <w:name w:val="高-正文"/>
    <w:basedOn w:val="1"/>
    <w:qFormat/>
    <w:uiPriority w:val="0"/>
    <w:pPr>
      <w:topLinePunct/>
      <w:adjustRightInd w:val="0"/>
      <w:snapToGrid w:val="0"/>
      <w:spacing w:line="480" w:lineRule="exact"/>
      <w:ind w:firstLine="600"/>
    </w:pPr>
    <w:rPr>
      <w:rFonts w:ascii="等线" w:hAnsi="等线" w:eastAsia="等线"/>
    </w:rPr>
  </w:style>
  <w:style w:type="paragraph" w:customStyle="1" w:styleId="27">
    <w:name w:val="报告书正文"/>
    <w:basedOn w:val="1"/>
    <w:qFormat/>
    <w:uiPriority w:val="0"/>
    <w:pPr>
      <w:adjustRightInd w:val="0"/>
      <w:snapToGrid w:val="0"/>
      <w:spacing w:line="360" w:lineRule="auto"/>
      <w:ind w:firstLine="425" w:firstLineChars="200"/>
      <w:textAlignment w:val="baseline"/>
    </w:pPr>
    <w:rPr>
      <w:rFonts w:ascii="Arial" w:hAnsi="Arial"/>
      <w:kern w:val="0"/>
      <w:sz w:val="24"/>
      <w:szCs w:val="22"/>
      <w:lang w:eastAsia="en-US" w:bidi="en-US"/>
    </w:rPr>
  </w:style>
  <w:style w:type="paragraph" w:customStyle="1" w:styleId="28">
    <w:name w:val="报告正文"/>
    <w:basedOn w:val="1"/>
    <w:qFormat/>
    <w:uiPriority w:val="0"/>
    <w:pPr>
      <w:adjustRightInd w:val="0"/>
      <w:snapToGrid w:val="0"/>
      <w:spacing w:line="360" w:lineRule="auto"/>
      <w:ind w:firstLine="482" w:firstLineChars="200"/>
    </w:pPr>
    <w:rPr>
      <w:color w:val="000000"/>
      <w:sz w:val="24"/>
      <w:szCs w:val="21"/>
    </w:rPr>
  </w:style>
  <w:style w:type="paragraph" w:customStyle="1" w:styleId="29">
    <w:name w:val="正文2"/>
    <w:basedOn w:val="1"/>
    <w:qFormat/>
    <w:uiPriority w:val="0"/>
    <w:pPr>
      <w:spacing w:line="360" w:lineRule="auto"/>
      <w:ind w:firstLine="200" w:firstLineChars="200"/>
    </w:pPr>
    <w:rPr>
      <w:rFonts w:ascii="Times New Roman" w:hAnsi="Times New Roman"/>
      <w:sz w:val="24"/>
      <w:szCs w:val="24"/>
    </w:rPr>
  </w:style>
  <w:style w:type="paragraph" w:customStyle="1" w:styleId="30">
    <w:name w:val="正文文本1"/>
    <w:basedOn w:val="1"/>
    <w:qFormat/>
    <w:uiPriority w:val="0"/>
    <w:pPr>
      <w:spacing w:after="12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a74a77d3-7054-4b1f-908b-83d7b677f687</errorID>
      <errorWord>工作</errorWord>
      <group>L1_AI</group>
      <groupName>深度校对</groupName>
      <ability>L2_AI_Punc</ability>
      <abilityName>标点纠错</abilityName>
      <candidateList>
        <item>工作：</item>
      </candidateList>
      <explain/>
      <paraID>253DD3E0</paraID>
      <start>22</start>
      <end>24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db8bb6-2a78-42bc-8cdd-1ede4e50cf4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2279</Words>
  <Characters>2419</Characters>
  <Lines>19</Lines>
  <Paragraphs>5</Paragraphs>
  <TotalTime>66</TotalTime>
  <ScaleCrop>false</ScaleCrop>
  <LinksUpToDate>false</LinksUpToDate>
  <CharactersWithSpaces>2444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2023-02-03T09:32:00Z</dcterms:created>
  <dc:creator>hui hui</dc:creator>
  <cp:lastModifiedBy>ོʚ 中ོ然ོ ɞ</cp:lastModifiedBy>
  <cp:lastPrinted>2026-02-26T08:22:00Z</cp:lastPrinted>
  <dcterms:modified xsi:type="dcterms:W3CDTF">2026-02-27T03:37:50Z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429F3282BBB14405B2DFFEB040DB6F36_13</vt:lpwstr>
  </property>
  <property fmtid="{D5CDD505-2E9C-101B-9397-08002B2CF9AE}" pid="4" name="KSOTemplateDocerSaveRecord">
    <vt:lpwstr>eyJoZGlkIjoiNTk0MDc0MWE2MzMxMjkwZmE5ODU4OGMzYzc5YjkzMTAiLCJ1c2VySWQiOiI1NDkxMDYxNjAifQ==</vt:lpwstr>
  </property>
</Properties>
</file>