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10B70">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bookmarkStart w:id="0" w:name="_Hlk124747957"/>
    </w:p>
    <w:p w14:paraId="50C1E157">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48DCD4E5">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0370232E">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3BB1B7FA">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62C07DAA">
      <w:pPr>
        <w:pStyle w:val="26"/>
        <w:keepNext w:val="0"/>
        <w:keepLines w:val="0"/>
        <w:pageBreakBefore w:val="0"/>
        <w:kinsoku/>
        <w:wordWrap/>
        <w:overflowPunct/>
        <w:topLinePunct w:val="0"/>
        <w:bidi w:val="0"/>
        <w:spacing w:line="560" w:lineRule="exact"/>
        <w:ind w:left="0" w:leftChars="0" w:firstLine="0" w:firstLineChars="0"/>
        <w:rPr>
          <w:rFonts w:hint="eastAsia"/>
          <w:sz w:val="32"/>
          <w:szCs w:val="32"/>
          <w:highlight w:val="yellow"/>
        </w:rPr>
      </w:pPr>
    </w:p>
    <w:p w14:paraId="7839D0F6">
      <w:pPr>
        <w:keepNext w:val="0"/>
        <w:keepLines w:val="0"/>
        <w:pageBreakBefore w:val="0"/>
        <w:kinsoku/>
        <w:wordWrap/>
        <w:overflowPunct/>
        <w:topLinePunct w:val="0"/>
        <w:bidi w:val="0"/>
        <w:snapToGrid w:val="0"/>
        <w:spacing w:line="560" w:lineRule="exact"/>
        <w:ind w:left="0" w:leftChars="0" w:firstLine="0" w:firstLineChars="0"/>
        <w:jc w:val="left"/>
        <w:rPr>
          <w:rFonts w:hint="eastAsia"/>
          <w:color w:val="auto"/>
          <w:sz w:val="32"/>
          <w:szCs w:val="32"/>
        </w:rPr>
      </w:pPr>
    </w:p>
    <w:p w14:paraId="032916D6">
      <w:pPr>
        <w:autoSpaceDE w:val="0"/>
        <w:autoSpaceDN w:val="0"/>
        <w:adjustRightInd w:val="0"/>
        <w:snapToGrid w:val="0"/>
        <w:spacing w:line="560" w:lineRule="exact"/>
        <w:jc w:val="center"/>
        <w:rPr>
          <w:rFonts w:ascii="仿宋_GB2312" w:hAnsi="Times New Roman" w:eastAsia="仿宋_GB2312" w:cs="Arial"/>
          <w:color w:val="auto"/>
          <w:sz w:val="32"/>
          <w:szCs w:val="32"/>
          <w:highlight w:val="none"/>
          <w:lang w:bidi="en-US"/>
        </w:rPr>
      </w:pPr>
      <w:r>
        <w:rPr>
          <w:rFonts w:hint="eastAsia" w:ascii="仿宋_GB2312" w:hAnsi="Times New Roman" w:eastAsia="仿宋_GB2312" w:cs="Arial"/>
          <w:color w:val="auto"/>
          <w:sz w:val="32"/>
          <w:szCs w:val="32"/>
          <w:lang w:bidi="en-US"/>
        </w:rPr>
        <w:t>锡署环审书〔</w:t>
      </w:r>
      <w:r>
        <w:rPr>
          <w:rFonts w:hint="eastAsia" w:ascii="仿宋_GB2312" w:hAnsi="Times New Roman" w:eastAsia="仿宋_GB2312" w:cs="Arial"/>
          <w:color w:val="auto"/>
          <w:sz w:val="32"/>
          <w:szCs w:val="32"/>
          <w:highlight w:val="none"/>
          <w:lang w:bidi="en-US"/>
        </w:rPr>
        <w:t>202</w:t>
      </w:r>
      <w:r>
        <w:rPr>
          <w:rFonts w:hint="eastAsia" w:ascii="仿宋_GB2312" w:hAnsi="Times New Roman" w:eastAsia="仿宋_GB2312" w:cs="Arial"/>
          <w:color w:val="auto"/>
          <w:sz w:val="32"/>
          <w:szCs w:val="32"/>
          <w:highlight w:val="none"/>
          <w:lang w:val="en-US" w:eastAsia="zh-CN" w:bidi="en-US"/>
        </w:rPr>
        <w:t>6</w:t>
      </w:r>
      <w:r>
        <w:rPr>
          <w:rFonts w:hint="eastAsia" w:ascii="仿宋_GB2312" w:hAnsi="Times New Roman" w:eastAsia="仿宋_GB2312" w:cs="Arial"/>
          <w:color w:val="auto"/>
          <w:sz w:val="32"/>
          <w:szCs w:val="32"/>
          <w:highlight w:val="none"/>
          <w:lang w:bidi="en-US"/>
        </w:rPr>
        <w:t>〕</w:t>
      </w:r>
      <w:r>
        <w:rPr>
          <w:rFonts w:hint="eastAsia" w:ascii="仿宋_GB2312" w:hAnsi="Times New Roman" w:eastAsia="仿宋_GB2312" w:cs="Arial"/>
          <w:color w:val="auto"/>
          <w:sz w:val="32"/>
          <w:szCs w:val="32"/>
          <w:highlight w:val="none"/>
          <w:lang w:val="en-US" w:eastAsia="zh-CN" w:bidi="en-US"/>
        </w:rPr>
        <w:t>6</w:t>
      </w:r>
      <w:r>
        <w:rPr>
          <w:rFonts w:hint="eastAsia" w:ascii="仿宋_GB2312" w:hAnsi="Times New Roman" w:eastAsia="仿宋_GB2312" w:cs="Arial"/>
          <w:color w:val="auto"/>
          <w:sz w:val="32"/>
          <w:szCs w:val="32"/>
          <w:highlight w:val="none"/>
          <w:lang w:bidi="en-US"/>
        </w:rPr>
        <w:t>号</w:t>
      </w:r>
    </w:p>
    <w:p w14:paraId="7877A644">
      <w:pPr>
        <w:adjustRightInd w:val="0"/>
        <w:snapToGrid w:val="0"/>
        <w:spacing w:line="360" w:lineRule="auto"/>
        <w:jc w:val="center"/>
        <w:rPr>
          <w:b/>
          <w:bCs/>
          <w:color w:val="auto"/>
          <w:sz w:val="32"/>
          <w:szCs w:val="32"/>
          <w:highlight w:val="none"/>
        </w:rPr>
      </w:pPr>
    </w:p>
    <w:p w14:paraId="71F605E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锡林郭勒盟生态环境局</w:t>
      </w:r>
    </w:p>
    <w:bookmarkEnd w:id="0"/>
    <w:p w14:paraId="7E9B604E">
      <w:pPr>
        <w:autoSpaceDE w:val="0"/>
        <w:autoSpaceDN w:val="0"/>
        <w:adjustRightInd w:val="0"/>
        <w:snapToGrid w:val="0"/>
        <w:spacing w:line="700" w:lineRule="exact"/>
        <w:jc w:val="center"/>
        <w:rPr>
          <w:rFonts w:hint="eastAsia" w:ascii="方正小标宋简体" w:hAnsi="方正小标宋简体" w:eastAsia="方正小标宋简体" w:cs="方正小标宋简体"/>
          <w:bCs/>
          <w:color w:val="auto"/>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rPr>
        <w:t>关于</w:t>
      </w:r>
      <w:r>
        <w:rPr>
          <w:rFonts w:hint="eastAsia" w:ascii="方正小标宋简体" w:hAnsi="方正小标宋简体" w:eastAsia="方正小标宋简体" w:cs="方正小标宋简体"/>
          <w:bCs/>
          <w:color w:val="auto"/>
          <w:sz w:val="44"/>
          <w:szCs w:val="44"/>
          <w:highlight w:val="none"/>
          <w:lang w:eastAsia="zh-CN"/>
        </w:rPr>
        <w:t>宏德新建加工萤石矿50万吨/年选厂</w:t>
      </w:r>
    </w:p>
    <w:p w14:paraId="07B95060">
      <w:pPr>
        <w:autoSpaceDE w:val="0"/>
        <w:autoSpaceDN w:val="0"/>
        <w:adjustRightInd w:val="0"/>
        <w:snapToGrid w:val="0"/>
        <w:spacing w:line="70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lang w:eastAsia="zh-CN"/>
        </w:rPr>
        <w:t>项目</w:t>
      </w:r>
      <w:r>
        <w:rPr>
          <w:rFonts w:hint="eastAsia" w:ascii="方正小标宋简体" w:hAnsi="方正小标宋简体" w:eastAsia="方正小标宋简体" w:cs="方正小标宋简体"/>
          <w:bCs/>
          <w:color w:val="auto"/>
          <w:sz w:val="44"/>
          <w:szCs w:val="44"/>
          <w:highlight w:val="none"/>
        </w:rPr>
        <w:t>环境影响报告书的批复</w:t>
      </w:r>
    </w:p>
    <w:p w14:paraId="23752F4C">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ascii="仿宋_GB2312" w:hAnsi="仿宋_GB2312" w:eastAsia="仿宋_GB2312" w:cs="仿宋_GB2312"/>
          <w:color w:val="auto"/>
          <w:sz w:val="32"/>
          <w:szCs w:val="32"/>
          <w:lang w:bidi="en-US"/>
        </w:rPr>
      </w:pPr>
    </w:p>
    <w:p w14:paraId="2C742ADA">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highlight w:val="none"/>
          <w:lang w:val="en-US" w:eastAsia="zh-CN"/>
        </w:rPr>
        <w:t>内蒙古宏德矿业有限公司</w:t>
      </w:r>
      <w:r>
        <w:rPr>
          <w:rFonts w:hint="eastAsia" w:ascii="仿宋_GB2312" w:hAnsi="仿宋_GB2312" w:eastAsia="仿宋_GB2312" w:cs="仿宋_GB2312"/>
          <w:color w:val="auto"/>
          <w:sz w:val="32"/>
          <w:szCs w:val="32"/>
          <w:lang w:bidi="en-US"/>
        </w:rPr>
        <w:t>：</w:t>
      </w:r>
    </w:p>
    <w:p w14:paraId="0D2A95F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bidi="en-US"/>
        </w:rPr>
        <w:t>你单位报送的《</w:t>
      </w:r>
      <w:r>
        <w:rPr>
          <w:rFonts w:hint="eastAsia" w:ascii="仿宋_GB2312" w:hAnsi="仿宋_GB2312" w:eastAsia="仿宋_GB2312" w:cs="仿宋_GB2312"/>
          <w:color w:val="auto"/>
          <w:sz w:val="32"/>
          <w:szCs w:val="32"/>
          <w:lang w:val="en-US" w:eastAsia="zh-CN" w:bidi="en-US"/>
        </w:rPr>
        <w:t>宏德新建加工萤石矿50万吨/年选厂项目</w:t>
      </w:r>
      <w:r>
        <w:rPr>
          <w:rFonts w:hint="eastAsia" w:ascii="仿宋_GB2312" w:hAnsi="仿宋_GB2312" w:eastAsia="仿宋_GB2312" w:cs="仿宋_GB2312"/>
          <w:color w:val="auto"/>
          <w:sz w:val="32"/>
          <w:szCs w:val="32"/>
          <w:lang w:bidi="en-US"/>
        </w:rPr>
        <w:t>环境影响报告书》（</w:t>
      </w:r>
      <w:r>
        <w:rPr>
          <w:rFonts w:hint="eastAsia" w:ascii="仿宋_GB2312" w:hAnsi="仿宋_GB2312" w:eastAsia="仿宋_GB2312" w:cs="仿宋_GB2312"/>
          <w:color w:val="auto"/>
          <w:sz w:val="32"/>
          <w:szCs w:val="32"/>
          <w:lang w:eastAsia="zh-Hans" w:bidi="en-US"/>
        </w:rPr>
        <w:t>以下简称《报告书》</w:t>
      </w:r>
      <w:r>
        <w:rPr>
          <w:rFonts w:hint="eastAsia" w:ascii="仿宋_GB2312" w:hAnsi="仿宋_GB2312" w:eastAsia="仿宋_GB2312" w:cs="仿宋_GB2312"/>
          <w:color w:val="auto"/>
          <w:sz w:val="32"/>
          <w:szCs w:val="32"/>
          <w:lang w:bidi="en-US"/>
        </w:rPr>
        <w:t>）收悉。经研究，批复如下：</w:t>
      </w:r>
    </w:p>
    <w:p w14:paraId="525E1E9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bidi="en-US"/>
        </w:rPr>
        <w:t>一、宏德新建加工萤石矿50万吨/年选厂项目，位于锡林郭勒盟二连浩特市边境经济合作区，项目总占地35473.8平方米，主要建设内容为：新建萤石加工车间一座，内设萤石选矿生产线一条；同时配套建设原料库，成品库，尾矿暂存间等相关公辅设施。本项目建成后，年加工萤石原矿50万吨，年产萤石粉精矿22.885万吨。项目已经开工建设，锡林郭勒盟生态环境局对其未批先建已作出不予行政处罚决定（锡环不罚（二）字〔2026〕1号）。</w:t>
      </w:r>
    </w:p>
    <w:p w14:paraId="7CCF452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bidi="en-US"/>
        </w:rPr>
      </w:pPr>
      <w:r>
        <w:rPr>
          <w:rFonts w:hint="eastAsia" w:ascii="仿宋_GB2312" w:hAnsi="仿宋_GB2312" w:eastAsia="仿宋_GB2312" w:cs="仿宋_GB2312"/>
          <w:color w:val="auto"/>
          <w:sz w:val="32"/>
          <w:szCs w:val="32"/>
          <w:lang w:val="en-US" w:eastAsia="zh-CN" w:bidi="en-US"/>
        </w:rPr>
        <w:t>《报告书》认为，在全面落实各项生态保护和污染防治措施的前提下，项目建设对环境的不利影响能够得到一定的缓解和控制。我局原则同意本项目按照《报告书》所列的建设项目性质、规模、地点和拟采取的污染防治措施及下述要求进行建设。</w:t>
      </w:r>
    </w:p>
    <w:p w14:paraId="06346AE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二、项目在设计、建设和运营过程中还应做好以下工作。</w:t>
      </w:r>
    </w:p>
    <w:p w14:paraId="1E930BB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（一）严格落实各项大气污染防治措施。</w:t>
      </w:r>
      <w:r>
        <w:rPr>
          <w:rFonts w:hint="eastAsia" w:ascii="仿宋_GB2312" w:hAnsi="仿宋_GB2312" w:eastAsia="仿宋_GB2312" w:cs="仿宋_GB2312"/>
          <w:color w:val="auto"/>
          <w:sz w:val="32"/>
          <w:szCs w:val="32"/>
          <w:lang w:val="en-US" w:eastAsia="zh-CN" w:bidi="en-US"/>
        </w:rPr>
        <w:t>项目建设全封闭式原料库、成品库、尾矿暂存间，同时各库房均安装喷淋装置或雾炮机喷雾洒水降尘；破碎、筛分工序均置于封闭空间，同时安装集气装置，废气经收集后通过布袋除尘器处理，最终通过15米高排气筒排放，其中颗粒物、氟化物排放须满足《大气污染物综合排放标准》（GB16297-1996）表2浓度限值要求。上料口及输送工序均置于封闭车间内，上方均安装喷淋装置，同时降低物料装卸高度，喷雾洒水抑尘。运输道路硬化建设，定期清扫、洒水抑尘，运输车辆加盖苫布。最终厂界颗粒物、氟化物排放须满足《大气污染物综合排放标准》（GB16297-1996）浓度限值要求。</w:t>
      </w:r>
    </w:p>
    <w:p w14:paraId="521D318D">
      <w:pPr>
        <w:keepNext w:val="0"/>
        <w:keepLines w:val="0"/>
        <w:pageBreakBefore w:val="0"/>
        <w:widowControl w:val="0"/>
        <w:kinsoku/>
        <w:wordWrap/>
        <w:overflowPunct/>
        <w:topLinePunct w:val="0"/>
        <w:autoSpaceDE/>
        <w:autoSpaceDN/>
        <w:bidi w:val="0"/>
        <w:snapToGrid/>
        <w:spacing w:beforeAutospacing="0" w:line="560" w:lineRule="exact"/>
        <w:ind w:left="0" w:leftChars="0" w:righ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en-US"/>
        </w:rPr>
      </w:pPr>
      <w:r>
        <w:rPr>
          <w:rFonts w:hint="eastAsia" w:ascii="楷体" w:hAnsi="楷体" w:eastAsia="楷体" w:cs="楷体"/>
          <w:color w:val="auto"/>
          <w:kern w:val="2"/>
          <w:sz w:val="32"/>
          <w:szCs w:val="32"/>
          <w:lang w:val="en-US" w:eastAsia="zh-CN" w:bidi="ar-SA"/>
        </w:rPr>
        <w:t>（二）严格落实固体废物污染防治措施。</w:t>
      </w:r>
      <w:r>
        <w:rPr>
          <w:rFonts w:hint="eastAsia" w:ascii="仿宋_GB2312" w:hAnsi="仿宋_GB2312" w:eastAsia="仿宋_GB2312" w:cs="仿宋_GB2312"/>
          <w:color w:val="auto"/>
          <w:sz w:val="32"/>
          <w:szCs w:val="32"/>
          <w:lang w:val="en-US" w:eastAsia="zh-CN" w:bidi="en-US"/>
        </w:rPr>
        <w:t>循环水池底泥与尾矿砂均经压滤后，暂存于尾矿暂存间内，定期采用密闭车辆运输至二连浩特市固体废弃物处置中心集中处理；除尘器收尘灰全部回用生产。废机油采用密闭耐腐蚀容器统一收集后和废油桶分类分区暂存于标准化危废暂存间内，定期委托有资质的单位处置。人员生活垃圾由封闭式垃圾箱集中收集后，定期清运至当地环卫部门指定地点处理。</w:t>
      </w:r>
    </w:p>
    <w:p w14:paraId="1807E16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GB" w:eastAsia="zh-CN" w:bidi="en-US"/>
        </w:rPr>
      </w:pPr>
    </w:p>
    <w:p w14:paraId="05F119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kern w:val="2"/>
          <w:sz w:val="32"/>
          <w:szCs w:val="32"/>
          <w:lang w:val="en-US" w:eastAsia="zh-CN" w:bidi="en-US"/>
        </w:rPr>
      </w:pPr>
      <w:r>
        <w:rPr>
          <w:rFonts w:hint="eastAsia" w:ascii="楷体" w:hAnsi="楷体" w:eastAsia="楷体" w:cs="楷体"/>
          <w:color w:val="auto"/>
          <w:kern w:val="2"/>
          <w:sz w:val="32"/>
          <w:szCs w:val="32"/>
          <w:lang w:val="en-US" w:eastAsia="zh-CN" w:bidi="ar-SA"/>
        </w:rPr>
        <w:t>（三）严格落实各项水污染防治措施。</w:t>
      </w:r>
      <w:r>
        <w:rPr>
          <w:rFonts w:hint="eastAsia" w:ascii="仿宋_GB2312" w:hAnsi="仿宋_GB2312" w:eastAsia="仿宋_GB2312" w:cs="仿宋_GB2312"/>
          <w:color w:val="auto"/>
          <w:sz w:val="32"/>
          <w:szCs w:val="32"/>
          <w:lang w:val="en-US" w:eastAsia="zh-CN" w:bidi="en-US"/>
        </w:rPr>
        <w:t>萤石选矿废水经各环节浓密罐、压滤机处理后，均收集于循环水池，全部回用生产。生活污水经化粪池处理满足《污水综合排放标准》（GB8978-1996）三级标准限值要求后，由污水管网运至二连浩特市污水处理厂集中处理。</w:t>
      </w:r>
    </w:p>
    <w:p w14:paraId="2EC67513">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zh-TW" w:eastAsia="zh-TW" w:bidi="en-US"/>
        </w:rPr>
      </w:pPr>
      <w:r>
        <w:rPr>
          <w:rFonts w:hint="eastAsia" w:ascii="楷体" w:hAnsi="楷体" w:eastAsia="楷体" w:cs="楷体"/>
          <w:color w:val="auto"/>
          <w:kern w:val="2"/>
          <w:sz w:val="32"/>
          <w:szCs w:val="32"/>
          <w:lang w:val="en-US" w:eastAsia="zh-CN" w:bidi="ar-SA"/>
        </w:rPr>
        <w:t>严格落实噪声防治措施。</w:t>
      </w:r>
      <w:r>
        <w:rPr>
          <w:rFonts w:hint="eastAsia" w:ascii="仿宋_GB2312" w:hAnsi="仿宋_GB2312" w:eastAsia="仿宋_GB2312" w:cs="仿宋_GB2312"/>
          <w:color w:val="auto"/>
          <w:sz w:val="32"/>
          <w:szCs w:val="32"/>
          <w:lang w:val="en-US" w:eastAsia="zh-CN" w:bidi="en-US"/>
        </w:rPr>
        <w:t>选用低噪设备，针对不同的声源采取相应的消声、隔音、减振、降噪措施，减缓噪声不利影响，确保厂界噪声可满足《工业企业厂界环境噪声排放标准》（GB12348-2008）3类标准要求。</w:t>
      </w:r>
    </w:p>
    <w:p w14:paraId="1D4F827A">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bidi="en-US"/>
        </w:rPr>
      </w:pPr>
      <w:r>
        <w:rPr>
          <w:rFonts w:hint="eastAsia" w:ascii="华文楷体" w:hAnsi="华文楷体" w:eastAsia="华文楷体" w:cs="华文楷体"/>
          <w:color w:val="auto"/>
          <w:sz w:val="32"/>
          <w:szCs w:val="32"/>
          <w:lang w:eastAsia="zh-CN" w:bidi="en-US"/>
        </w:rPr>
        <w:t>切实落实土壤和地下水污染防治措施。</w:t>
      </w:r>
      <w:r>
        <w:rPr>
          <w:rFonts w:hint="eastAsia" w:ascii="仿宋_GB2312" w:hAnsi="仿宋_GB2312" w:eastAsia="仿宋_GB2312" w:cs="仿宋_GB2312"/>
          <w:color w:val="auto"/>
          <w:sz w:val="32"/>
          <w:szCs w:val="32"/>
          <w:lang w:val="en-US" w:eastAsia="zh-CN" w:bidi="en-US"/>
        </w:rPr>
        <w:t>按照“源头控制、分区防控、污染监控、应急响应”相结合的原则采取分区防渗，危废暂存间采取重点防渗措施，并根据《危险废物贮存污染控制标准》（GB18597-2023）建设，所有防渗措施均执行《环境影响评价技术导则地下水环境》（HJ610-2016）标准。</w:t>
      </w:r>
    </w:p>
    <w:p w14:paraId="3E9FAAFB">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bidi="en-US"/>
        </w:rPr>
      </w:pPr>
      <w:r>
        <w:rPr>
          <w:rFonts w:hint="eastAsia" w:ascii="华文楷体" w:hAnsi="华文楷体" w:eastAsia="华文楷体" w:cs="华文楷体"/>
          <w:color w:val="auto"/>
          <w:sz w:val="32"/>
          <w:szCs w:val="32"/>
          <w:lang w:eastAsia="zh-CN" w:bidi="en-US"/>
        </w:rPr>
        <w:t>强化环境风险防范措施。</w:t>
      </w:r>
      <w:r>
        <w:rPr>
          <w:rFonts w:hint="eastAsia" w:ascii="仿宋_GB2312" w:hAnsi="仿宋_GB2312" w:eastAsia="仿宋_GB2312" w:cs="仿宋_GB2312"/>
          <w:color w:val="auto"/>
          <w:sz w:val="32"/>
          <w:szCs w:val="32"/>
          <w:lang w:val="en-US" w:eastAsia="zh-CN" w:bidi="en-US"/>
        </w:rPr>
        <w:t>落实环保设施安全生产工作，建立环保设备设施台账和维护管理制度。建立完善的环境管理制度和事故应急措施，制定切实可行的环境风险应急预案，加强对危废暂存间的管理；严格落实风险防范措施和应急预案，切实杜绝环境风险事故。</w:t>
      </w:r>
    </w:p>
    <w:p w14:paraId="79BA7F2A">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bidi="en-US"/>
        </w:rPr>
      </w:pPr>
      <w:r>
        <w:rPr>
          <w:rFonts w:hint="eastAsia" w:ascii="华文楷体" w:hAnsi="华文楷体" w:eastAsia="华文楷体" w:cs="华文楷体"/>
          <w:color w:val="auto"/>
          <w:sz w:val="32"/>
          <w:szCs w:val="32"/>
          <w:lang w:eastAsia="zh-CN" w:bidi="en-US"/>
        </w:rPr>
        <w:t>严格落实运营期污染源监测计划。</w:t>
      </w:r>
      <w:r>
        <w:rPr>
          <w:rFonts w:hint="eastAsia" w:ascii="仿宋_GB2312" w:hAnsi="仿宋_GB2312" w:eastAsia="仿宋_GB2312" w:cs="仿宋_GB2312"/>
          <w:color w:val="auto"/>
          <w:sz w:val="32"/>
          <w:szCs w:val="32"/>
          <w:lang w:val="en-US" w:eastAsia="zh-CN" w:bidi="en-US"/>
        </w:rPr>
        <w:t>按照国家和地方有关规定设置规范的污染物排放口，按要求建设监控感知端，并设立标志牌。按照相关标准、规范等要求，落实《报告书》提出的环境管理及监测计划。强化污染源与无组织排放源管理，制定自行监测方案，落实环境管理与监测计划，按规定开展自行监测和信息公开。如出现污染物超标情况，应立即查明原因并采取进一步污染物减排措施。</w:t>
      </w:r>
    </w:p>
    <w:p w14:paraId="6E4F5BB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bidi="en-US"/>
        </w:rPr>
        <w:t>三、项目建设必须严格执行配套的环境保护设施与主体工程同时设计、同时施工、同时投产使用的环境保护“三同时”制度。严格落实污染防治措施设计要求。应将优化和细化后的各项污染防治措施及概算纳入设计以及施工等招标文件及合同，并明确责任。按规定程序实施竣工环境保护验收。</w:t>
      </w:r>
    </w:p>
    <w:p w14:paraId="59FB0E6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bidi="en-US"/>
        </w:rPr>
        <w:t>四、我局委托锡林郭勒盟生态环境局</w:t>
      </w:r>
      <w:r>
        <w:rPr>
          <w:rFonts w:hint="eastAsia" w:ascii="仿宋_GB2312" w:hAnsi="仿宋_GB2312" w:eastAsia="仿宋_GB2312" w:cs="仿宋_GB2312"/>
          <w:color w:val="auto"/>
          <w:sz w:val="32"/>
          <w:szCs w:val="32"/>
          <w:lang w:eastAsia="zh-CN" w:bidi="en-US"/>
        </w:rPr>
        <w:t>二连浩特市分局</w:t>
      </w:r>
      <w:r>
        <w:rPr>
          <w:rFonts w:hint="eastAsia" w:ascii="仿宋_GB2312" w:hAnsi="仿宋_GB2312" w:eastAsia="仿宋_GB2312" w:cs="仿宋_GB2312"/>
          <w:color w:val="auto"/>
          <w:sz w:val="32"/>
          <w:szCs w:val="32"/>
          <w:lang w:bidi="en-US"/>
        </w:rPr>
        <w:t>对该项目各项污染防治措施落实情况进行监督检查和管理。</w:t>
      </w:r>
    </w:p>
    <w:p w14:paraId="40844A2B">
      <w:pPr>
        <w:rPr>
          <w:rFonts w:hint="eastAsia"/>
          <w:color w:val="000000" w:themeColor="text1"/>
          <w14:textFill>
            <w14:solidFill>
              <w14:schemeClr w14:val="tx1"/>
            </w14:solidFill>
          </w14:textFill>
        </w:rPr>
      </w:pPr>
    </w:p>
    <w:p w14:paraId="653D4E7F">
      <w:pPr>
        <w:rPr>
          <w:rFonts w:hint="eastAsia"/>
          <w:color w:val="000000" w:themeColor="text1"/>
          <w14:textFill>
            <w14:solidFill>
              <w14:schemeClr w14:val="tx1"/>
            </w14:solidFill>
          </w14:textFill>
        </w:rPr>
      </w:pPr>
    </w:p>
    <w:p w14:paraId="665A876F">
      <w:pPr>
        <w:keepNext w:val="0"/>
        <w:keepLines w:val="0"/>
        <w:pageBreakBefore w:val="0"/>
        <w:widowControl w:val="0"/>
        <w:kinsoku/>
        <w:wordWrap/>
        <w:overflowPunct/>
        <w:autoSpaceDE w:val="0"/>
        <w:autoSpaceDN w:val="0"/>
        <w:bidi w:val="0"/>
        <w:adjustRightInd w:val="0"/>
        <w:snapToGrid w:val="0"/>
        <w:spacing w:line="560" w:lineRule="exact"/>
        <w:ind w:firstLine="4160" w:firstLineChars="1300"/>
        <w:textAlignment w:val="auto"/>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pPr>
      <w:r>
        <w:rPr>
          <w:rFonts w:hint="eastAsia" w:ascii="仿宋_GB2312" w:hAnsi="仿宋_GB2312" w:eastAsia="仿宋_GB2312" w:cs="仿宋_GB2312"/>
          <w:color w:val="000000" w:themeColor="text1"/>
          <w:sz w:val="32"/>
          <w:szCs w:val="32"/>
          <w:lang w:bidi="en-US"/>
          <w14:textFill>
            <w14:solidFill>
              <w14:schemeClr w14:val="tx1"/>
            </w14:solidFill>
          </w14:textFill>
        </w:rPr>
        <w:t>锡林</w:t>
      </w: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郭勒盟生态环境局</w:t>
      </w:r>
    </w:p>
    <w:p w14:paraId="4448DB87">
      <w:pPr>
        <w:keepNext w:val="0"/>
        <w:keepLines w:val="0"/>
        <w:pageBreakBefore w:val="0"/>
        <w:widowControl w:val="0"/>
        <w:kinsoku/>
        <w:wordWrap/>
        <w:overflowPunct/>
        <w:autoSpaceDE w:val="0"/>
        <w:autoSpaceDN w:val="0"/>
        <w:bidi w:val="0"/>
        <w:adjustRightInd w:val="0"/>
        <w:snapToGrid w:val="0"/>
        <w:spacing w:line="560" w:lineRule="exact"/>
        <w:ind w:firstLine="4800" w:firstLineChars="1500"/>
        <w:textAlignment w:val="auto"/>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bidi="en-US"/>
          <w14:textFill>
            <w14:solidFill>
              <w14:schemeClr w14:val="tx1"/>
            </w14:solidFill>
          </w14:textFill>
        </w:rPr>
        <w:t>6</w:t>
      </w: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bidi="en-US"/>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bidi="en-US"/>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日</w:t>
      </w:r>
    </w:p>
    <w:p w14:paraId="1B63F909">
      <w:pPr>
        <w:rPr>
          <w:rFonts w:hint="eastAsia"/>
          <w:color w:val="000000" w:themeColor="text1"/>
          <w:lang w:val="en-US" w:eastAsia="zh-CN"/>
          <w14:textFill>
            <w14:solidFill>
              <w14:schemeClr w14:val="tx1"/>
            </w14:solidFill>
          </w14:textFill>
        </w:rPr>
      </w:pPr>
    </w:p>
    <w:p w14:paraId="4EB7DA80">
      <w:pPr>
        <w:rPr>
          <w:rFonts w:hint="eastAsia"/>
          <w:color w:val="000000" w:themeColor="text1"/>
          <w:lang w:val="en-US" w:eastAsia="zh-CN"/>
          <w14:textFill>
            <w14:solidFill>
              <w14:schemeClr w14:val="tx1"/>
            </w14:solidFill>
          </w14:textFill>
        </w:rPr>
      </w:pPr>
    </w:p>
    <w:p w14:paraId="2B27D9A8">
      <w:pPr>
        <w:rPr>
          <w:rFonts w:hint="eastAsia"/>
          <w:color w:val="000000" w:themeColor="text1"/>
          <w:lang w:val="en-US" w:eastAsia="zh-CN"/>
          <w14:textFill>
            <w14:solidFill>
              <w14:schemeClr w14:val="tx1"/>
            </w14:solidFill>
          </w14:textFill>
        </w:rPr>
      </w:pPr>
    </w:p>
    <w:p w14:paraId="0812E0B8">
      <w:pPr>
        <w:rPr>
          <w:rFonts w:hint="eastAsia" w:ascii="仿宋" w:hAnsi="仿宋" w:eastAsia="仿宋" w:cs="仿宋"/>
          <w:color w:val="000000" w:themeColor="text1"/>
          <w:highlight w:val="none"/>
          <w14:textFill>
            <w14:solidFill>
              <w14:schemeClr w14:val="tx1"/>
            </w14:solidFill>
          </w14:textFill>
        </w:rPr>
      </w:pPr>
    </w:p>
    <w:p w14:paraId="6AC2AEE8">
      <w:pPr>
        <w:pStyle w:val="15"/>
        <w:keepNext w:val="0"/>
        <w:keepLines w:val="0"/>
        <w:pageBreakBefore w:val="0"/>
        <w:widowControl w:val="0"/>
        <w:kinsoku/>
        <w:wordWrap/>
        <w:overflowPunct/>
        <w:topLinePunct w:val="0"/>
        <w:bidi w:val="0"/>
        <w:snapToGrid/>
        <w:spacing w:line="500" w:lineRule="exact"/>
        <w:ind w:left="1119" w:leftChars="133" w:hanging="840" w:hangingChars="300"/>
        <w:jc w:val="both"/>
        <w:textAlignment w:val="auto"/>
        <w:rPr>
          <w:rFonts w:hint="eastAsia" w:ascii="仿宋" w:hAnsi="仿宋" w:eastAsia="仿宋" w:cs="仿宋"/>
          <w:color w:val="000000" w:themeColor="text1"/>
          <w:kern w:val="2"/>
          <w:sz w:val="28"/>
          <w:szCs w:val="28"/>
          <w:highlight w:val="none"/>
          <w:lang w:eastAsia="zh-CN" w:bidi="en-US"/>
          <w14:textFill>
            <w14:solidFill>
              <w14:schemeClr w14:val="tx1"/>
            </w14:solidFill>
          </w14:textFill>
        </w:rPr>
      </w:pPr>
      <w:r>
        <w:rPr>
          <w:rFonts w:hint="eastAsia" w:ascii="仿宋" w:hAnsi="仿宋" w:eastAsia="仿宋" w:cs="仿宋"/>
          <w:color w:val="000000" w:themeColor="text1"/>
          <w:kern w:val="2"/>
          <w:sz w:val="28"/>
          <w:szCs w:val="28"/>
          <w:highlight w:val="none"/>
          <w:lang w:bidi="en-US"/>
          <w14:textFill>
            <w14:solidFill>
              <w14:schemeClr w14:val="tx1"/>
            </w14:solidFill>
          </w14:textFill>
        </w:rPr>
        <w:t>抄送：盟生态环境综合行政执法支队</w:t>
      </w:r>
      <w:r>
        <w:rPr>
          <w:rFonts w:hint="eastAsia" w:ascii="仿宋" w:hAnsi="仿宋" w:eastAsia="仿宋" w:cs="仿宋"/>
          <w:color w:val="000000" w:themeColor="text1"/>
          <w:kern w:val="2"/>
          <w:sz w:val="28"/>
          <w:szCs w:val="28"/>
          <w:highlight w:val="none"/>
          <w:lang w:eastAsia="zh-CN" w:bidi="en-US"/>
          <w14:textFill>
            <w14:solidFill>
              <w14:schemeClr w14:val="tx1"/>
            </w14:solidFill>
          </w14:textFill>
        </w:rPr>
        <w:t>，</w:t>
      </w:r>
      <w:r>
        <w:rPr>
          <w:rFonts w:hint="eastAsia" w:ascii="仿宋" w:hAnsi="仿宋" w:eastAsia="仿宋" w:cs="仿宋"/>
          <w:color w:val="000000" w:themeColor="text1"/>
          <w:kern w:val="2"/>
          <w:sz w:val="28"/>
          <w:szCs w:val="28"/>
          <w:highlight w:val="none"/>
          <w:lang w:bidi="en-US"/>
          <w14:textFill>
            <w14:solidFill>
              <w14:schemeClr w14:val="tx1"/>
            </w14:solidFill>
          </w14:textFill>
        </w:rPr>
        <w:t>盟生态环境局</w:t>
      </w:r>
      <w:r>
        <w:rPr>
          <w:rFonts w:hint="eastAsia" w:ascii="仿宋" w:hAnsi="仿宋" w:eastAsia="仿宋" w:cs="仿宋"/>
          <w:color w:val="000000" w:themeColor="text1"/>
          <w:kern w:val="2"/>
          <w:sz w:val="28"/>
          <w:szCs w:val="28"/>
          <w:highlight w:val="none"/>
          <w:lang w:eastAsia="zh-CN" w:bidi="en-US"/>
          <w14:textFill>
            <w14:solidFill>
              <w14:schemeClr w14:val="tx1"/>
            </w14:solidFill>
          </w14:textFill>
        </w:rPr>
        <w:t>二连浩特市</w:t>
      </w:r>
    </w:p>
    <w:p w14:paraId="11D0687F">
      <w:pPr>
        <w:pStyle w:val="15"/>
        <w:keepNext w:val="0"/>
        <w:keepLines w:val="0"/>
        <w:pageBreakBefore w:val="0"/>
        <w:widowControl w:val="0"/>
        <w:kinsoku/>
        <w:wordWrap/>
        <w:overflowPunct/>
        <w:topLinePunct w:val="0"/>
        <w:bidi w:val="0"/>
        <w:snapToGrid/>
        <w:spacing w:line="500" w:lineRule="exact"/>
        <w:ind w:left="1117" w:leftChars="532" w:firstLine="0" w:firstLineChars="0"/>
        <w:jc w:val="both"/>
        <w:textAlignment w:val="auto"/>
        <w:rPr>
          <w:rFonts w:hint="default" w:ascii="仿宋" w:hAnsi="仿宋" w:eastAsia="仿宋" w:cs="仿宋"/>
          <w:color w:val="000000" w:themeColor="text1"/>
          <w:kern w:val="2"/>
          <w:sz w:val="28"/>
          <w:szCs w:val="28"/>
          <w:highlight w:val="none"/>
          <w:lang w:val="en-US" w:eastAsia="zh-CN" w:bidi="en-US"/>
          <w14:textFill>
            <w14:solidFill>
              <w14:schemeClr w14:val="tx1"/>
            </w14:solidFill>
          </w14:textFill>
        </w:rPr>
      </w:pPr>
      <w:r>
        <w:rPr>
          <w:rFonts w:hint="eastAsia" w:ascii="仿宋" w:hAnsi="仿宋" w:eastAsia="仿宋" w:cs="仿宋"/>
          <w:color w:val="000000" w:themeColor="text1"/>
          <w:kern w:val="2"/>
          <w:sz w:val="28"/>
          <w:szCs w:val="28"/>
          <w:highlight w:val="none"/>
          <w:lang w:eastAsia="zh-CN" w:bidi="en-US"/>
          <w14:textFill>
            <w14:solidFill>
              <w14:schemeClr w14:val="tx1"/>
            </w14:solidFill>
          </w14:textFill>
        </w:rPr>
        <w:t>分局。</w:t>
      </w:r>
      <w:bookmarkStart w:id="1" w:name="_GoBack"/>
      <w:bookmarkEnd w:id="1"/>
    </w:p>
    <w:p w14:paraId="7E60B488">
      <w:pPr>
        <w:keepNext w:val="0"/>
        <w:keepLines w:val="0"/>
        <w:pageBreakBefore w:val="0"/>
        <w:widowControl w:val="0"/>
        <w:pBdr>
          <w:top w:val="single" w:color="auto" w:sz="4" w:space="1"/>
          <w:left w:val="none" w:color="auto" w:sz="0" w:space="4"/>
          <w:bottom w:val="single" w:color="auto" w:sz="4" w:space="1"/>
          <w:right w:val="none" w:color="auto" w:sz="0" w:space="4"/>
        </w:pBdr>
        <w:kinsoku/>
        <w:wordWrap/>
        <w:overflowPunct/>
        <w:topLinePunct w:val="0"/>
        <w:bidi w:val="0"/>
        <w:snapToGrid/>
        <w:spacing w:line="500" w:lineRule="exact"/>
        <w:ind w:firstLine="280" w:firstLineChars="1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锡林郭勒盟生态环境局办公室           202</w:t>
      </w: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日印发</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78A7C">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42038">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E342038">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940A54"/>
    <w:multiLevelType w:val="singleLevel"/>
    <w:tmpl w:val="4B940A54"/>
    <w:lvl w:ilvl="0" w:tentative="0">
      <w:start w:val="4"/>
      <w:numFmt w:val="chineseCounting"/>
      <w:suff w:val="nothing"/>
      <w:lvlText w:val="（%1）"/>
      <w:lvlJc w:val="left"/>
      <w:rPr>
        <w:rFonts w:hint="eastAsia" w:ascii="楷体" w:hAnsi="楷体" w:eastAsia="楷体" w:cs="楷体"/>
        <w:b w:val="0"/>
        <w:bCs w:val="0"/>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jZjliNThiMThmZTZiMTZlZjM4YWI1NWNjNGNiZjYifQ=="/>
  </w:docVars>
  <w:rsids>
    <w:rsidRoot w:val="00BE15C5"/>
    <w:rsid w:val="00096BAA"/>
    <w:rsid w:val="001577BB"/>
    <w:rsid w:val="00157C95"/>
    <w:rsid w:val="001A08E0"/>
    <w:rsid w:val="0023504A"/>
    <w:rsid w:val="00275F15"/>
    <w:rsid w:val="0029260D"/>
    <w:rsid w:val="0030521F"/>
    <w:rsid w:val="00314696"/>
    <w:rsid w:val="00333BAE"/>
    <w:rsid w:val="00351DD5"/>
    <w:rsid w:val="0036799A"/>
    <w:rsid w:val="003F6E8C"/>
    <w:rsid w:val="00565FD0"/>
    <w:rsid w:val="006D5A5C"/>
    <w:rsid w:val="0078439C"/>
    <w:rsid w:val="008169E9"/>
    <w:rsid w:val="008B4F82"/>
    <w:rsid w:val="008C5ED5"/>
    <w:rsid w:val="00977DFE"/>
    <w:rsid w:val="00981820"/>
    <w:rsid w:val="00A74547"/>
    <w:rsid w:val="00B3474C"/>
    <w:rsid w:val="00BB3EEE"/>
    <w:rsid w:val="00BE15C5"/>
    <w:rsid w:val="00C054DA"/>
    <w:rsid w:val="00C23C2B"/>
    <w:rsid w:val="00C769C0"/>
    <w:rsid w:val="00CA00EE"/>
    <w:rsid w:val="00D14C38"/>
    <w:rsid w:val="00D37553"/>
    <w:rsid w:val="00DA6EE3"/>
    <w:rsid w:val="00E76C09"/>
    <w:rsid w:val="00F13EA9"/>
    <w:rsid w:val="00F96E63"/>
    <w:rsid w:val="00FF17CD"/>
    <w:rsid w:val="019C606F"/>
    <w:rsid w:val="030A6899"/>
    <w:rsid w:val="033C2BF5"/>
    <w:rsid w:val="04082137"/>
    <w:rsid w:val="04D60042"/>
    <w:rsid w:val="05FD1001"/>
    <w:rsid w:val="064265FE"/>
    <w:rsid w:val="065A7A8E"/>
    <w:rsid w:val="07E80A5E"/>
    <w:rsid w:val="08125FE6"/>
    <w:rsid w:val="09F707CE"/>
    <w:rsid w:val="0A055186"/>
    <w:rsid w:val="0C7A4895"/>
    <w:rsid w:val="0D6D6C1D"/>
    <w:rsid w:val="0EE27BE5"/>
    <w:rsid w:val="109F048E"/>
    <w:rsid w:val="133A3E29"/>
    <w:rsid w:val="134A4ECA"/>
    <w:rsid w:val="192561AE"/>
    <w:rsid w:val="1B7C0676"/>
    <w:rsid w:val="1BF2CB73"/>
    <w:rsid w:val="1D61177E"/>
    <w:rsid w:val="1F9C573C"/>
    <w:rsid w:val="212E5E1B"/>
    <w:rsid w:val="22B733D3"/>
    <w:rsid w:val="29D8150D"/>
    <w:rsid w:val="2CF929A0"/>
    <w:rsid w:val="2F1F3E8C"/>
    <w:rsid w:val="2F2B74F6"/>
    <w:rsid w:val="2F7E7F6E"/>
    <w:rsid w:val="2F7F303D"/>
    <w:rsid w:val="32C02951"/>
    <w:rsid w:val="3AD90E3C"/>
    <w:rsid w:val="3BFB7ADD"/>
    <w:rsid w:val="3EDBBAD3"/>
    <w:rsid w:val="3EE79A77"/>
    <w:rsid w:val="3F55392E"/>
    <w:rsid w:val="3FC31BD1"/>
    <w:rsid w:val="3FFF09BA"/>
    <w:rsid w:val="42FE6775"/>
    <w:rsid w:val="445D3A2B"/>
    <w:rsid w:val="44C436F6"/>
    <w:rsid w:val="466622E2"/>
    <w:rsid w:val="46B26845"/>
    <w:rsid w:val="4A3B72B4"/>
    <w:rsid w:val="4B0A12D3"/>
    <w:rsid w:val="4CDD40CE"/>
    <w:rsid w:val="4DD74926"/>
    <w:rsid w:val="501114FC"/>
    <w:rsid w:val="56990422"/>
    <w:rsid w:val="5C1271C4"/>
    <w:rsid w:val="5C3D4C5F"/>
    <w:rsid w:val="5DFFD6AD"/>
    <w:rsid w:val="5FA70BB0"/>
    <w:rsid w:val="617526E2"/>
    <w:rsid w:val="61EB2109"/>
    <w:rsid w:val="624214D9"/>
    <w:rsid w:val="640E5DD6"/>
    <w:rsid w:val="640F77AC"/>
    <w:rsid w:val="6479615F"/>
    <w:rsid w:val="65980358"/>
    <w:rsid w:val="67927E4C"/>
    <w:rsid w:val="68387D94"/>
    <w:rsid w:val="69CC12A6"/>
    <w:rsid w:val="6B2A452A"/>
    <w:rsid w:val="6E1A4AAF"/>
    <w:rsid w:val="6FD159E5"/>
    <w:rsid w:val="6FEE6D0C"/>
    <w:rsid w:val="70EA0941"/>
    <w:rsid w:val="71F12CEC"/>
    <w:rsid w:val="71FFDCEE"/>
    <w:rsid w:val="737F42A4"/>
    <w:rsid w:val="73B13A3B"/>
    <w:rsid w:val="75064921"/>
    <w:rsid w:val="7532734E"/>
    <w:rsid w:val="776575C6"/>
    <w:rsid w:val="77A04D8F"/>
    <w:rsid w:val="77A23F56"/>
    <w:rsid w:val="77C9019B"/>
    <w:rsid w:val="77FB60A4"/>
    <w:rsid w:val="78CC1696"/>
    <w:rsid w:val="795254DD"/>
    <w:rsid w:val="79F6371A"/>
    <w:rsid w:val="7CE53CE8"/>
    <w:rsid w:val="7D4F8FD3"/>
    <w:rsid w:val="7E5356DB"/>
    <w:rsid w:val="7F5DA376"/>
    <w:rsid w:val="7F6C2C5A"/>
    <w:rsid w:val="7F7C8CD3"/>
    <w:rsid w:val="7F7CE8F3"/>
    <w:rsid w:val="7FD6261A"/>
    <w:rsid w:val="97FFBFF7"/>
    <w:rsid w:val="AFDFA893"/>
    <w:rsid w:val="B5FB4F10"/>
    <w:rsid w:val="B6FB1ACB"/>
    <w:rsid w:val="BBFD157B"/>
    <w:rsid w:val="BBFFB394"/>
    <w:rsid w:val="BDB9872E"/>
    <w:rsid w:val="CF77A9DB"/>
    <w:rsid w:val="DBAFDD4B"/>
    <w:rsid w:val="DBD5EE8A"/>
    <w:rsid w:val="DF671AB1"/>
    <w:rsid w:val="E7FD0A82"/>
    <w:rsid w:val="EF6F4B52"/>
    <w:rsid w:val="EFEB112C"/>
    <w:rsid w:val="F3FD86CF"/>
    <w:rsid w:val="F4FE1E3B"/>
    <w:rsid w:val="FBF70573"/>
    <w:rsid w:val="FBFE7E8F"/>
    <w:rsid w:val="FC7D141F"/>
    <w:rsid w:val="FE9F31A0"/>
    <w:rsid w:val="FEF95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9"/>
    <w:pPr>
      <w:keepNext/>
      <w:keepLines/>
      <w:adjustRightInd w:val="0"/>
      <w:snapToGrid w:val="0"/>
      <w:jc w:val="left"/>
      <w:outlineLvl w:val="3"/>
    </w:pPr>
    <w:rPr>
      <w:rFonts w:cstheme="majorBidi"/>
      <w:b/>
      <w:bCs/>
      <w:szCs w:val="28"/>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rPr>
      <w:rFonts w:ascii="Times New Roman" w:hAnsi="Times New Roman" w:eastAsia="宋体"/>
      <w:szCs w:val="24"/>
    </w:rPr>
  </w:style>
  <w:style w:type="paragraph" w:styleId="4">
    <w:name w:val="Body Text First Indent 2"/>
    <w:basedOn w:val="5"/>
    <w:next w:val="1"/>
    <w:qFormat/>
    <w:uiPriority w:val="0"/>
    <w:pPr>
      <w:adjustRightInd w:val="0"/>
      <w:ind w:firstLine="420"/>
      <w:textAlignment w:val="baseline"/>
    </w:pPr>
    <w:rPr>
      <w:rFonts w:ascii="宋体" w:hAnsi="宋体"/>
      <w:sz w:val="18"/>
      <w:szCs w:val="18"/>
    </w:rPr>
  </w:style>
  <w:style w:type="paragraph" w:styleId="5">
    <w:name w:val="Body Text Indent"/>
    <w:basedOn w:val="1"/>
    <w:next w:val="1"/>
    <w:qFormat/>
    <w:uiPriority w:val="0"/>
    <w:pPr>
      <w:spacing w:after="120"/>
      <w:ind w:left="420" w:leftChars="200"/>
    </w:pPr>
    <w:rPr>
      <w:rFonts w:ascii="Times New Roman" w:hAnsi="Times New Roman" w:eastAsia="宋体" w:cs="Times New Roman"/>
      <w:szCs w:val="20"/>
    </w:rPr>
  </w:style>
  <w:style w:type="paragraph" w:styleId="6">
    <w:name w:val="annotation text"/>
    <w:basedOn w:val="1"/>
    <w:link w:val="23"/>
    <w:semiHidden/>
    <w:unhideWhenUsed/>
    <w:qFormat/>
    <w:uiPriority w:val="99"/>
    <w:pPr>
      <w:jc w:val="left"/>
    </w:p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left" w:pos="284"/>
        <w:tab w:val="right" w:leader="dot" w:pos="8296"/>
      </w:tabs>
    </w:pPr>
  </w:style>
  <w:style w:type="paragraph" w:styleId="10">
    <w:name w:val="annotation subject"/>
    <w:basedOn w:val="6"/>
    <w:next w:val="6"/>
    <w:link w:val="24"/>
    <w:semiHidden/>
    <w:unhideWhenUsed/>
    <w:qFormat/>
    <w:uiPriority w:val="99"/>
    <w:rPr>
      <w:b/>
      <w:bCs/>
    </w:r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paragraph" w:customStyle="1" w:styleId="15">
    <w:name w:val="Default"/>
    <w:basedOn w:val="16"/>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纯文本1"/>
    <w:basedOn w:val="1"/>
    <w:qFormat/>
    <w:uiPriority w:val="0"/>
    <w:rPr>
      <w:rFonts w:ascii="宋体" w:hAnsi="Courier New"/>
      <w:szCs w:val="20"/>
    </w:rPr>
  </w:style>
  <w:style w:type="paragraph" w:customStyle="1" w:styleId="17">
    <w:name w:val="正文1"/>
    <w:basedOn w:val="15"/>
    <w:next w:val="1"/>
    <w:qFormat/>
    <w:uiPriority w:val="0"/>
    <w:pPr>
      <w:tabs>
        <w:tab w:val="left" w:pos="0"/>
        <w:tab w:val="left" w:pos="7012"/>
      </w:tabs>
      <w:autoSpaceDE w:val="0"/>
      <w:autoSpaceDN w:val="0"/>
      <w:spacing w:beforeLines="25" w:afterLines="25" w:line="360" w:lineRule="auto"/>
      <w:ind w:firstLine="480" w:firstLineChars="200"/>
    </w:pPr>
    <w:rPr>
      <w:rFonts w:ascii="宋体" w:hAnsi="Calibri" w:cs="宋体"/>
      <w:color w:val="000000"/>
      <w:sz w:val="24"/>
      <w:szCs w:val="24"/>
    </w:rPr>
  </w:style>
  <w:style w:type="character" w:customStyle="1" w:styleId="18">
    <w:name w:val="未处理的提及1"/>
    <w:basedOn w:val="12"/>
    <w:semiHidden/>
    <w:unhideWhenUsed/>
    <w:qFormat/>
    <w:uiPriority w:val="99"/>
    <w:rPr>
      <w:color w:val="605E5C"/>
      <w:shd w:val="clear" w:color="auto" w:fill="E1DFDD"/>
    </w:rPr>
  </w:style>
  <w:style w:type="character" w:customStyle="1" w:styleId="19">
    <w:name w:val="页眉 字符"/>
    <w:basedOn w:val="12"/>
    <w:link w:val="8"/>
    <w:qFormat/>
    <w:uiPriority w:val="99"/>
    <w:rPr>
      <w:kern w:val="2"/>
      <w:sz w:val="18"/>
      <w:szCs w:val="18"/>
    </w:rPr>
  </w:style>
  <w:style w:type="paragraph" w:customStyle="1" w:styleId="20">
    <w:name w:val="表文"/>
    <w:basedOn w:val="1"/>
    <w:qFormat/>
    <w:uiPriority w:val="0"/>
    <w:pPr>
      <w:overflowPunct w:val="0"/>
      <w:spacing w:line="440" w:lineRule="exact"/>
      <w:jc w:val="center"/>
      <w:textAlignment w:val="baseline"/>
    </w:pPr>
    <w:rPr>
      <w:rFonts w:ascii="Arial" w:hAnsi="Arial" w:eastAsia="宋体" w:cs="Times New Roman"/>
      <w:szCs w:val="20"/>
    </w:rPr>
  </w:style>
  <w:style w:type="paragraph" w:customStyle="1" w:styleId="21">
    <w:name w:val="样式 (符号) 宋体 小四 行距: 1.5 倍行距"/>
    <w:basedOn w:val="1"/>
    <w:qFormat/>
    <w:uiPriority w:val="0"/>
    <w:pPr>
      <w:spacing w:line="360" w:lineRule="auto"/>
      <w:ind w:firstLine="200" w:firstLineChars="200"/>
    </w:pPr>
    <w:rPr>
      <w:rFonts w:ascii="Times New Roman" w:hAnsi="Times New Roman" w:eastAsia="宋体" w:cs="宋体"/>
      <w:sz w:val="24"/>
      <w:szCs w:val="24"/>
    </w:rPr>
  </w:style>
  <w:style w:type="paragraph" w:styleId="22">
    <w:name w:val="List Paragraph"/>
    <w:basedOn w:val="1"/>
    <w:qFormat/>
    <w:uiPriority w:val="99"/>
    <w:pPr>
      <w:ind w:firstLine="420" w:firstLineChars="200"/>
    </w:pPr>
  </w:style>
  <w:style w:type="character" w:customStyle="1" w:styleId="23">
    <w:name w:val="批注文字 字符"/>
    <w:basedOn w:val="12"/>
    <w:link w:val="6"/>
    <w:semiHidden/>
    <w:qFormat/>
    <w:uiPriority w:val="99"/>
    <w:rPr>
      <w:kern w:val="2"/>
      <w:sz w:val="21"/>
      <w:szCs w:val="22"/>
    </w:rPr>
  </w:style>
  <w:style w:type="character" w:customStyle="1" w:styleId="24">
    <w:name w:val="批注主题 字符"/>
    <w:basedOn w:val="23"/>
    <w:link w:val="10"/>
    <w:semiHidden/>
    <w:qFormat/>
    <w:uiPriority w:val="99"/>
    <w:rPr>
      <w:b/>
      <w:bCs/>
      <w:kern w:val="2"/>
      <w:sz w:val="21"/>
      <w:szCs w:val="22"/>
    </w:rPr>
  </w:style>
  <w:style w:type="paragraph" w:customStyle="1" w:styleId="25">
    <w:name w:val="高-正文"/>
    <w:basedOn w:val="1"/>
    <w:qFormat/>
    <w:uiPriority w:val="0"/>
    <w:pPr>
      <w:topLinePunct/>
      <w:adjustRightInd w:val="0"/>
      <w:snapToGrid w:val="0"/>
      <w:spacing w:line="480" w:lineRule="exact"/>
      <w:ind w:firstLine="600"/>
    </w:pPr>
    <w:rPr>
      <w:rFonts w:ascii="等线" w:hAnsi="等线" w:eastAsia="等线"/>
    </w:rPr>
  </w:style>
  <w:style w:type="paragraph" w:customStyle="1" w:styleId="26">
    <w:name w:val="报告书正文"/>
    <w:basedOn w:val="1"/>
    <w:qFormat/>
    <w:uiPriority w:val="0"/>
    <w:pPr>
      <w:adjustRightInd w:val="0"/>
      <w:snapToGrid w:val="0"/>
      <w:spacing w:line="360" w:lineRule="auto"/>
      <w:ind w:firstLine="425" w:firstLineChars="200"/>
      <w:textAlignment w:val="baseline"/>
    </w:pPr>
    <w:rPr>
      <w:rFonts w:ascii="Arial" w:hAnsi="Arial"/>
      <w:kern w:val="0"/>
      <w:sz w:val="24"/>
      <w:szCs w:val="22"/>
      <w:lang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a2420e16-d398-45a8-8633-55b04b572149</errorID>
      <errorWord>，</errorWord>
      <group>L1_AI</group>
      <groupName>深度校对</groupName>
      <ability>L2_AI_Punc</ability>
      <abilityName>标点纠错</abilityName>
      <candidateList>
        <item>、</item>
      </candidateList>
      <explain/>
      <paraID>525E1E99</paraID>
      <start>150</start>
      <end>151</end>
      <status>modified</status>
      <modifiedWord>、</modifiedWord>
      <trackRevisions>false</trackRevisions>
    </reviewItem>
    <reviewItem>
      <errorID>116b5d84-9354-45a4-87c4-148c1020a737</errorID>
      <errorWord>，</errorWord>
      <group>L1_AI</group>
      <groupName>深度校对</groupName>
      <ability>L2_AI_Punc</ability>
      <abilityName>标点纠错</abilityName>
      <candidateList>
        <item>、</item>
      </candidateList>
      <explain/>
      <paraID>525E1E99</paraID>
      <start>154</start>
      <end>155</end>
      <status>modified</status>
      <modifiedWord>、</modifiedWord>
      <trackRevisions>false</trackRevisions>
    </reviewItem>
    <reviewItem>
      <errorID>277f8c89-bdd3-47b8-9504-b0dd82537e6d</errorID>
      <errorWord>（</errorWord>
      <group>L1_Punc</group>
      <groupName>标点问题</groupName>
      <ability>L2_Punc</ability>
      <abilityName>标点符号检查</abilityName>
      <candidateList/>
      <explain>同一形式括号套用。</explain>
      <paraID>525E1E99</paraID>
      <start>237</start>
      <end>238</end>
      <status>unmodified</status>
      <modifiedWord/>
      <trackRevisions>false</trackRevisions>
    </reviewItem>
    <reviewItem>
      <errorID>2408aa17-2e0f-4062-841a-7c141c20ffbe</errorID>
      <errorWord>）</errorWord>
      <group>L1_Punc</group>
      <groupName>标点问题</groupName>
      <ability>L2_Punc</ability>
      <abilityName>标点符号检查</abilityName>
      <candidateList/>
      <explain>同一形式括号套用。</explain>
      <paraID>525E1E99</paraID>
      <start>239</start>
      <end>240</end>
      <status>unmodified</status>
      <modifiedWord/>
      <trackRevisions>false</trackRevisions>
    </reviewItem>
    <reviewItem>
      <errorID>241fe499-8412-4d14-9339-557be7913db6</errorID>
      <errorWord>后和</errorWord>
      <group>L1_AI</group>
      <groupName>深度校对</groupName>
      <ability>L2_AI_Grammar</ability>
      <abilityName>语法纠错</abilityName>
      <candidateList>
        <item>，</item>
      </candidateList>
      <explain/>
      <paraID>5672FFE9</paraID>
      <start>99</start>
      <end>101</end>
      <status>unmodified</status>
      <modifiedWord/>
      <trackRevisions>false</trackRevisions>
    </reviewItem>
    <reviewItem>
      <errorID>ebb4d16c-9004-4415-bfd8-24e2d63efdcc</errorID>
      <errorWord>油桶均</errorWord>
      <group>L1_AI</group>
      <groupName>深度校对</groupName>
      <ability>L2_AI_Grammar</ability>
      <abilityName>语法纠错</abilityName>
      <candidateList>
        <item>油桶</item>
      </candidateList>
      <explain/>
      <paraID>5672FFE9</paraID>
      <start>102</start>
      <end>105</end>
      <status>unmodified</status>
      <modifiedWord/>
      <trackRevisions>false</trackRevisions>
    </reviewItem>
    <reviewItem>
      <errorID>ebb24550-44f2-429b-8c20-285db77b9cb9</errorID>
      <errorWord>满足</errorWord>
      <group>L1_AI</group>
      <groupName>深度校对</groupName>
      <ability>L2_AI_Punc</ability>
      <abilityName>标点纠错</abilityName>
      <candidateList>
        <item>，满足</item>
      </candidateList>
      <explain/>
      <paraID> 5F11945</paraID>
      <start>67</start>
      <end>69</end>
      <status>unmodified</status>
      <modifiedWord/>
      <trackRevisions>false</trackRevisions>
    </reviewItem>
    <reviewItem>
      <errorID>f343bf2b-0d7e-4fd5-9f03-d5e621cd9abc</errorID>
      <errorWord>减震</errorWord>
      <group>L1_Word</group>
      <groupName>字词问题</groupName>
      <ability>L2_Typo</ability>
      <abilityName>字词错误</abilityName>
      <candidateList>
        <item>减振</item>
      </candidateList>
      <explain>存在发音相同字词的误用。</explain>
      <paraID>2EC67513</paraID>
      <start>52</start>
      <end>54</end>
      <status>unmodified</status>
      <modifiedWord/>
      <trackRevisions>false</trackRevisions>
    </reviewItem>
    <reviewItem>
      <errorID>2f476833-35c7-418f-8c5f-2265f3070618</errorID>
      <errorWord>）</errorWord>
      <group>L1_Word</group>
      <groupName>字词问题</groupName>
      <ability>L2_Typo</ability>
      <abilityName>字词错误</abilityName>
      <candidateList>
        <item>）第</item>
      </candidateList>
      <explain/>
      <paraID>2EC67513</paraID>
      <start>121</start>
      <end>122</end>
      <status>unmodified</status>
      <modifiedWord/>
      <trackRevisions>false</trackRevisions>
    </reviewItem>
    <reviewItem>
      <errorID>e146cf19-ad27-4782-a6a6-72a14b709d50</errorID>
      <errorWord>(HJ610-2016)</errorWord>
      <group>L1_AI</group>
      <groupName>深度校对</groupName>
      <ability>L2_AI_Punc</ability>
      <abilityName>标点纠错</abilityName>
      <candidateList>
        <item>（HJ610-2016）</item>
      </candidateList>
      <explain/>
      <paraID>1D4F827A</paraID>
      <start>127</start>
      <end>139</end>
      <status>modified</status>
      <modifiedWord>（HJ610-2016）</modifiedWord>
      <trackRevisions>false</trackRevisions>
    </reviewItem>
    <reviewItem>
      <errorID>d0966994-08fd-4172-9a04-a28e8e442e4b</errorID>
      <errorWord>和</errorWord>
      <group>L1_AI</group>
      <groupName>深度校对</groupName>
      <ability>L2_AI_Grammar</ability>
      <abilityName>语法纠错</abilityName>
      <candidateList>
        <item>并执行</item>
      </candidateList>
      <explain/>
      <paraID>3E9FAAFB</paraID>
      <start>99</start>
      <end>100</end>
      <status>ignored</status>
      <modifiedWord/>
      <trackRevisions>false</trackRevisions>
    </reviewItem>
    <reviewItem>
      <errorID>95c86713-27ec-460e-900e-d53724ac5928</errorID>
      <errorWord>污染物</errorWord>
      <group>L1_AI</group>
      <groupName>深度校对</groupName>
      <ability>L2_AI_Grammar</ability>
      <abilityName>语法纠错</abilityName>
      <candidateList>
        <item>的污染物</item>
      </candidateList>
      <explain/>
      <paraID>79BA7F2A</paraID>
      <start>164</start>
      <end>167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5bccb7-a22a-4c19-b3ac-7ca12d9616e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1737</Words>
  <Characters>1828</Characters>
  <Lines>19</Lines>
  <Paragraphs>5</Paragraphs>
  <TotalTime>11</TotalTime>
  <ScaleCrop>false</ScaleCrop>
  <LinksUpToDate>false</LinksUpToDate>
  <CharactersWithSpaces>1839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2023-02-04T01:32:00Z</dcterms:created>
  <dc:creator>hui hui</dc:creator>
  <cp:lastModifiedBy>ོʚ 中ོ然ོ ɞ</cp:lastModifiedBy>
  <cp:lastPrinted>2026-04-02T12:25:07Z</cp:lastPrinted>
  <dcterms:modified xsi:type="dcterms:W3CDTF">2026-04-02T12:32:28Z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36C9D15E1EC344B6A69E308D717C3AD0_13</vt:lpwstr>
  </property>
  <property fmtid="{D5CDD505-2E9C-101B-9397-08002B2CF9AE}" pid="4" name="KSOTemplateDocerSaveRecord">
    <vt:lpwstr>eyJoZGlkIjoiNTk0MDc0MWE2MzMxMjkwZmE5ODU4OGMzYzc5YjkzMTAiLCJ1c2VySWQiOiI1NDkxMDYxNjAifQ==</vt:lpwstr>
  </property>
</Properties>
</file>