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val="0"/>
        <w:spacing w:line="560" w:lineRule="exact"/>
        <w:ind w:firstLine="0" w:firstLineChars="0"/>
        <w:rPr>
          <w:rFonts w:hint="eastAsia"/>
          <w:color w:val="C00000"/>
          <w:sz w:val="32"/>
          <w:szCs w:val="32"/>
          <w:highlight w:val="yellow"/>
        </w:rPr>
      </w:pPr>
      <w:bookmarkStart w:id="0" w:name="_Hlk124747957"/>
    </w:p>
    <w:p>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pPr>
        <w:keepNext w:val="0"/>
        <w:keepLines w:val="0"/>
        <w:pageBreakBefore w:val="0"/>
        <w:kinsoku/>
        <w:wordWrap/>
        <w:overflowPunct/>
        <w:topLinePunct w:val="0"/>
        <w:bidi w:val="0"/>
        <w:snapToGrid w:val="0"/>
        <w:spacing w:line="560" w:lineRule="exact"/>
        <w:rPr>
          <w:rFonts w:hint="eastAsia"/>
          <w:color w:val="C00000"/>
          <w:sz w:val="32"/>
          <w:szCs w:val="32"/>
          <w:highlight w:val="yellow"/>
        </w:rPr>
      </w:pPr>
    </w:p>
    <w:p>
      <w:pPr>
        <w:pStyle w:val="27"/>
        <w:keepNext w:val="0"/>
        <w:keepLines w:val="0"/>
        <w:pageBreakBefore w:val="0"/>
        <w:kinsoku/>
        <w:wordWrap/>
        <w:overflowPunct/>
        <w:topLinePunct w:val="0"/>
        <w:bidi w:val="0"/>
        <w:spacing w:line="560" w:lineRule="exact"/>
        <w:ind w:left="0" w:leftChars="0" w:firstLine="0" w:firstLineChars="0"/>
        <w:rPr>
          <w:rFonts w:hint="eastAsia"/>
          <w:sz w:val="32"/>
          <w:szCs w:val="32"/>
          <w:highlight w:val="yellow"/>
        </w:rPr>
      </w:pPr>
    </w:p>
    <w:p>
      <w:pPr>
        <w:keepNext w:val="0"/>
        <w:keepLines w:val="0"/>
        <w:pageBreakBefore w:val="0"/>
        <w:kinsoku/>
        <w:wordWrap/>
        <w:overflowPunct/>
        <w:topLinePunct w:val="0"/>
        <w:bidi w:val="0"/>
        <w:snapToGrid w:val="0"/>
        <w:spacing w:line="560" w:lineRule="exact"/>
        <w:ind w:left="0" w:leftChars="0" w:firstLine="0" w:firstLineChars="0"/>
        <w:jc w:val="left"/>
        <w:rPr>
          <w:rFonts w:hint="eastAsia"/>
          <w:color w:val="auto"/>
          <w:sz w:val="32"/>
          <w:szCs w:val="32"/>
        </w:rPr>
      </w:pPr>
    </w:p>
    <w:p>
      <w:pPr>
        <w:autoSpaceDE w:val="0"/>
        <w:autoSpaceDN w:val="0"/>
        <w:adjustRightInd w:val="0"/>
        <w:snapToGrid w:val="0"/>
        <w:spacing w:line="560" w:lineRule="exact"/>
        <w:jc w:val="center"/>
        <w:rPr>
          <w:rFonts w:ascii="仿宋_GB2312" w:hAnsi="Times New Roman" w:eastAsia="仿宋_GB2312" w:cs="Arial"/>
          <w:color w:val="auto"/>
          <w:sz w:val="32"/>
          <w:szCs w:val="32"/>
          <w:highlight w:val="none"/>
          <w:lang w:bidi="en-US"/>
        </w:rPr>
      </w:pPr>
      <w:r>
        <w:rPr>
          <w:rFonts w:hint="eastAsia" w:ascii="仿宋_GB2312" w:hAnsi="Times New Roman" w:eastAsia="仿宋_GB2312" w:cs="Arial"/>
          <w:color w:val="auto"/>
          <w:sz w:val="32"/>
          <w:szCs w:val="32"/>
          <w:lang w:bidi="en-US"/>
        </w:rPr>
        <w:t>锡署环审书〔</w:t>
      </w:r>
      <w:r>
        <w:rPr>
          <w:rFonts w:hint="eastAsia" w:ascii="仿宋_GB2312" w:hAnsi="Times New Roman" w:eastAsia="仿宋_GB2312" w:cs="Arial"/>
          <w:color w:val="auto"/>
          <w:sz w:val="32"/>
          <w:szCs w:val="32"/>
          <w:highlight w:val="none"/>
          <w:lang w:bidi="en-US"/>
        </w:rPr>
        <w:t>202</w:t>
      </w:r>
      <w:r>
        <w:rPr>
          <w:rFonts w:hint="eastAsia" w:ascii="仿宋_GB2312" w:hAnsi="Times New Roman" w:eastAsia="仿宋_GB2312" w:cs="Arial"/>
          <w:color w:val="auto"/>
          <w:sz w:val="32"/>
          <w:szCs w:val="32"/>
          <w:highlight w:val="none"/>
          <w:lang w:val="en-US" w:eastAsia="zh-CN" w:bidi="en-US"/>
        </w:rPr>
        <w:t>6</w:t>
      </w:r>
      <w:r>
        <w:rPr>
          <w:rFonts w:hint="eastAsia" w:ascii="仿宋_GB2312" w:hAnsi="Times New Roman" w:eastAsia="仿宋_GB2312" w:cs="Arial"/>
          <w:color w:val="auto"/>
          <w:sz w:val="32"/>
          <w:szCs w:val="32"/>
          <w:highlight w:val="none"/>
          <w:lang w:bidi="en-US"/>
        </w:rPr>
        <w:t>〕</w:t>
      </w:r>
      <w:r>
        <w:rPr>
          <w:rFonts w:hint="eastAsia" w:ascii="仿宋_GB2312" w:hAnsi="Times New Roman" w:eastAsia="仿宋_GB2312" w:cs="Arial"/>
          <w:color w:val="auto"/>
          <w:sz w:val="32"/>
          <w:szCs w:val="32"/>
          <w:highlight w:val="none"/>
          <w:lang w:val="en-US" w:eastAsia="zh-CN" w:bidi="en-US"/>
        </w:rPr>
        <w:t>9</w:t>
      </w:r>
      <w:r>
        <w:rPr>
          <w:rFonts w:hint="eastAsia" w:ascii="仿宋_GB2312" w:hAnsi="Times New Roman" w:eastAsia="仿宋_GB2312" w:cs="Arial"/>
          <w:color w:val="auto"/>
          <w:sz w:val="32"/>
          <w:szCs w:val="32"/>
          <w:highlight w:val="none"/>
          <w:lang w:bidi="en-US"/>
        </w:rPr>
        <w:t>号</w:t>
      </w:r>
    </w:p>
    <w:p>
      <w:pPr>
        <w:keepNext w:val="0"/>
        <w:keepLines w:val="0"/>
        <w:pageBreakBefore w:val="0"/>
        <w:widowControl/>
        <w:kinsoku/>
        <w:wordWrap/>
        <w:overflowPunct/>
        <w:topLinePunct w:val="0"/>
        <w:autoSpaceDE/>
        <w:autoSpaceDN/>
        <w:bidi w:val="0"/>
        <w:adjustRightInd/>
        <w:snapToGrid/>
        <w:spacing w:line="200" w:lineRule="exact"/>
        <w:jc w:val="center"/>
        <w:textAlignment w:val="baseline"/>
        <w:rPr>
          <w:rFonts w:hint="eastAsia" w:ascii="方正小标宋简体" w:hAnsi="方正小标宋简体" w:eastAsia="方正小标宋简体" w:cs="方正小标宋简体"/>
          <w:bCs/>
          <w:color w:val="auto"/>
          <w:sz w:val="44"/>
          <w:szCs w:val="44"/>
          <w:highlight w:val="none"/>
        </w:rPr>
      </w:pPr>
    </w:p>
    <w:p>
      <w:pPr>
        <w:keepNext w:val="0"/>
        <w:keepLines w:val="0"/>
        <w:pageBreakBefore w:val="0"/>
        <w:widowControl/>
        <w:kinsoku/>
        <w:wordWrap/>
        <w:overflowPunct/>
        <w:topLinePunct w:val="0"/>
        <w:bidi w:val="0"/>
        <w:spacing w:line="600" w:lineRule="exact"/>
        <w:jc w:val="center"/>
        <w:textAlignment w:val="baseline"/>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锡林郭勒盟生态环境局</w:t>
      </w:r>
    </w:p>
    <w:bookmarkEnd w:id="0"/>
    <w:p>
      <w:pPr>
        <w:keepNext w:val="0"/>
        <w:keepLines w:val="0"/>
        <w:pageBreakBefore w:val="0"/>
        <w:kinsoku/>
        <w:wordWrap/>
        <w:overflowPunct/>
        <w:topLinePunct w:val="0"/>
        <w:autoSpaceDE w:val="0"/>
        <w:autoSpaceDN w:val="0"/>
        <w:bidi w:val="0"/>
        <w:adjustRightInd w:val="0"/>
        <w:snapToGrid w:val="0"/>
        <w:spacing w:line="600" w:lineRule="exact"/>
        <w:jc w:val="center"/>
        <w:rPr>
          <w:rFonts w:hint="eastAsia" w:ascii="方正小标宋简体" w:hAnsi="方正小标宋简体" w:eastAsia="方正小标宋简体" w:cs="方正小标宋简体"/>
          <w:bCs/>
          <w:color w:val="auto"/>
          <w:sz w:val="44"/>
          <w:szCs w:val="44"/>
          <w:highlight w:val="none"/>
          <w:lang w:val="en-US" w:eastAsia="zh-CN"/>
        </w:rPr>
      </w:pPr>
      <w:r>
        <w:rPr>
          <w:rFonts w:hint="eastAsia" w:ascii="方正小标宋简体" w:hAnsi="方正小标宋简体" w:eastAsia="方正小标宋简体" w:cs="方正小标宋简体"/>
          <w:bCs/>
          <w:color w:val="auto"/>
          <w:sz w:val="44"/>
          <w:szCs w:val="44"/>
          <w:highlight w:val="none"/>
        </w:rPr>
        <w:t>关于</w:t>
      </w:r>
      <w:r>
        <w:rPr>
          <w:rFonts w:hint="eastAsia" w:ascii="方正小标宋简体" w:hAnsi="方正小标宋简体" w:eastAsia="方正小标宋简体" w:cs="方正小标宋简体"/>
          <w:bCs/>
          <w:color w:val="auto"/>
          <w:sz w:val="44"/>
          <w:szCs w:val="44"/>
          <w:highlight w:val="none"/>
          <w:lang w:val="en-US" w:eastAsia="zh-CN"/>
        </w:rPr>
        <w:t>内蒙古自治区太仆寺旗生活垃圾焚烧及</w:t>
      </w:r>
    </w:p>
    <w:p>
      <w:pPr>
        <w:keepNext w:val="0"/>
        <w:keepLines w:val="0"/>
        <w:pageBreakBefore w:val="0"/>
        <w:kinsoku/>
        <w:wordWrap/>
        <w:overflowPunct/>
        <w:topLinePunct w:val="0"/>
        <w:autoSpaceDE w:val="0"/>
        <w:autoSpaceDN w:val="0"/>
        <w:bidi w:val="0"/>
        <w:adjustRightInd w:val="0"/>
        <w:snapToGrid w:val="0"/>
        <w:spacing w:line="600" w:lineRule="exact"/>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val="en-US" w:eastAsia="zh-CN"/>
        </w:rPr>
        <w:t>热能综合利用项目</w:t>
      </w:r>
      <w:r>
        <w:rPr>
          <w:rFonts w:hint="eastAsia" w:ascii="方正小标宋简体" w:hAnsi="方正小标宋简体" w:eastAsia="方正小标宋简体" w:cs="方正小标宋简体"/>
          <w:bCs/>
          <w:color w:val="auto"/>
          <w:sz w:val="44"/>
          <w:szCs w:val="44"/>
          <w:highlight w:val="none"/>
        </w:rPr>
        <w:t>环境影响报告书的批复</w:t>
      </w:r>
    </w:p>
    <w:p>
      <w:pPr>
        <w:keepNext w:val="0"/>
        <w:keepLines w:val="0"/>
        <w:pageBreakBefore w:val="0"/>
        <w:widowControl w:val="0"/>
        <w:kinsoku/>
        <w:wordWrap/>
        <w:overflowPunct/>
        <w:topLinePunct w:val="0"/>
        <w:autoSpaceDE w:val="0"/>
        <w:autoSpaceDN w:val="0"/>
        <w:bidi w:val="0"/>
        <w:adjustRightInd w:val="0"/>
        <w:snapToGrid w:val="0"/>
        <w:spacing w:line="200" w:lineRule="exact"/>
        <w:textAlignment w:val="auto"/>
        <w:rPr>
          <w:rFonts w:ascii="仿宋_GB2312" w:hAnsi="仿宋_GB2312" w:eastAsia="仿宋_GB2312" w:cs="仿宋_GB2312"/>
          <w:color w:val="auto"/>
          <w:sz w:val="32"/>
          <w:szCs w:val="32"/>
          <w:lang w:bidi="en-US"/>
        </w:rPr>
      </w:pPr>
    </w:p>
    <w:p>
      <w:pPr>
        <w:keepNext w:val="0"/>
        <w:keepLines w:val="0"/>
        <w:pageBreakBefore w:val="0"/>
        <w:widowControl w:val="0"/>
        <w:kinsoku/>
        <w:wordWrap/>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val="en-US" w:eastAsia="zh-CN" w:bidi="en-US"/>
        </w:rPr>
        <w:t>内蒙古清太环保科技有限公司</w:t>
      </w:r>
      <w:r>
        <w:rPr>
          <w:rFonts w:hint="eastAsia" w:ascii="仿宋_GB2312" w:hAnsi="仿宋_GB2312" w:eastAsia="仿宋_GB2312" w:cs="仿宋_GB2312"/>
          <w:color w:val="auto"/>
          <w:sz w:val="32"/>
          <w:szCs w:val="32"/>
          <w:lang w:bidi="en-US"/>
        </w:rPr>
        <w:t>：</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你单位报送的《</w:t>
      </w:r>
      <w:r>
        <w:rPr>
          <w:rFonts w:hint="eastAsia" w:ascii="仿宋_GB2312" w:hAnsi="仿宋_GB2312" w:eastAsia="仿宋_GB2312" w:cs="仿宋_GB2312"/>
          <w:color w:val="auto"/>
          <w:sz w:val="32"/>
          <w:szCs w:val="32"/>
          <w:lang w:val="en-US" w:eastAsia="zh-CN" w:bidi="en-US"/>
        </w:rPr>
        <w:t>内蒙古自治区太仆寺旗生活垃圾焚烧及热能综合利用项目</w:t>
      </w:r>
      <w:r>
        <w:rPr>
          <w:rFonts w:hint="eastAsia" w:ascii="仿宋_GB2312" w:hAnsi="仿宋_GB2312" w:eastAsia="仿宋_GB2312" w:cs="仿宋_GB2312"/>
          <w:color w:val="auto"/>
          <w:sz w:val="32"/>
          <w:szCs w:val="32"/>
          <w:lang w:bidi="en-US"/>
        </w:rPr>
        <w:t>环境影响报告书》（</w:t>
      </w:r>
      <w:r>
        <w:rPr>
          <w:rFonts w:hint="eastAsia" w:ascii="仿宋_GB2312" w:hAnsi="仿宋_GB2312" w:eastAsia="仿宋_GB2312" w:cs="仿宋_GB2312"/>
          <w:color w:val="auto"/>
          <w:sz w:val="32"/>
          <w:szCs w:val="32"/>
          <w:lang w:eastAsia="zh-Hans" w:bidi="en-US"/>
        </w:rPr>
        <w:t>以下简称《报告书》</w:t>
      </w:r>
      <w:r>
        <w:rPr>
          <w:rFonts w:hint="eastAsia" w:ascii="仿宋_GB2312" w:hAnsi="仿宋_GB2312" w:eastAsia="仿宋_GB2312" w:cs="仿宋_GB2312"/>
          <w:color w:val="auto"/>
          <w:sz w:val="32"/>
          <w:szCs w:val="32"/>
          <w:lang w:bidi="en-US"/>
        </w:rPr>
        <w:t>）收悉。经研究，批复如下：</w:t>
      </w:r>
    </w:p>
    <w:p>
      <w:pPr>
        <w:keepNext w:val="0"/>
        <w:keepLines w:val="0"/>
        <w:pageBreakBefore w:val="0"/>
        <w:widowControl w:val="0"/>
        <w:kinsoku/>
        <w:wordWrap/>
        <w:overflowPunct/>
        <w:topLinePunct w:val="0"/>
        <w:autoSpaceDE/>
        <w:autoSpaceDN/>
        <w:bidi w:val="0"/>
        <w:spacing w:beforeAutospacing="0" w:line="480" w:lineRule="exact"/>
        <w:ind w:right="0" w:rightChars="0" w:firstLine="640" w:firstLineChars="200"/>
        <w:jc w:val="both"/>
        <w:textAlignment w:val="auto"/>
        <w:rPr>
          <w:rFonts w:hint="eastAsia" w:ascii="仿宋_GB2312" w:hAnsi="仿宋_GB2312" w:eastAsia="仿宋_GB2312" w:cs="仿宋_GB2312"/>
          <w:b w:val="0"/>
          <w:bCs/>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bidi="en-US"/>
        </w:rPr>
        <w:t>一、</w:t>
      </w:r>
      <w:r>
        <w:rPr>
          <w:rFonts w:hint="eastAsia" w:ascii="仿宋_GB2312" w:hAnsi="仿宋_GB2312" w:eastAsia="仿宋_GB2312" w:cs="仿宋_GB2312"/>
          <w:color w:val="auto"/>
          <w:kern w:val="2"/>
          <w:sz w:val="32"/>
          <w:szCs w:val="32"/>
          <w:lang w:val="en-US" w:eastAsia="zh-CN" w:bidi="en-US"/>
        </w:rPr>
        <w:t>内蒙古自治区太仆寺旗生活垃圾焚烧及热能综合利用项目位于锡林郭勒盟太仆寺旗宝昌高新技术产业园区南侧毗邻区域，总占地面积为25342平方米。拟建垃圾焚烧主厂房一座，内设1台单机处理能力150t/d的机械炉排焚烧炉及1台额定蒸发量13.0t/h低压饱和余热锅炉，焚烧余热产生蒸汽部分自用，剩余部分外售。同时配套建设垃圾接收贮存及输送系统、垃圾焚烧系统、烟气净化系统、灰渣处理系统、市政污泥干化系统、余热锅炉系统、渗滤液处理站、餐厨垃圾预处理系统及其他相关公辅设施。项目建成后，处理规模为生活垃圾150t/d、餐厨垃圾3t/d、含水率80%市政污泥30t/d，同步协同处置生活垃圾填埋场渗滤液30t/d。项目稳定运行阶段平均供汽规模8.69t/h，年供汽量达7.10万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val="en-US" w:eastAsia="zh-CN" w:bidi="en-US"/>
        </w:rPr>
      </w:pPr>
      <w:r>
        <w:rPr>
          <w:rFonts w:hint="eastAsia" w:ascii="仿宋_GB2312" w:hAnsi="仿宋_GB2312" w:eastAsia="仿宋_GB2312" w:cs="仿宋_GB2312"/>
          <w:color w:val="auto"/>
          <w:kern w:val="2"/>
          <w:sz w:val="32"/>
          <w:szCs w:val="32"/>
          <w:lang w:val="en-US" w:eastAsia="zh-CN" w:bidi="ar-SA"/>
        </w:rPr>
        <w:t>《报告书》认为，在全面落实各项生态保护和污染防治措施的前提下，项目建设对环境的不利影响能够得到一定的缓解和控制。我局原则同意本项目按照《报告书》所列的建设项目性质、规模、地点</w:t>
      </w:r>
      <w:r>
        <w:rPr>
          <w:rFonts w:hint="eastAsia" w:ascii="仿宋_GB2312" w:hAnsi="仿宋_GB2312" w:eastAsia="仿宋_GB2312" w:cs="仿宋_GB2312"/>
          <w:color w:val="auto"/>
          <w:sz w:val="32"/>
          <w:szCs w:val="32"/>
          <w:lang w:val="en-US" w:eastAsia="zh-CN" w:bidi="en-US"/>
        </w:rPr>
        <w:t>和拟采取的污染防治措施及下述要求进行建设。</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二、项目在设计、建设和运营过程中还应做好以下工作</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（一）严格落实各项大气污染防治措施。</w:t>
      </w:r>
      <w:r>
        <w:rPr>
          <w:rFonts w:hint="eastAsia" w:ascii="仿宋_GB2312" w:hAnsi="仿宋_GB2312" w:eastAsia="仿宋_GB2312" w:cs="仿宋_GB2312"/>
          <w:color w:val="auto"/>
          <w:kern w:val="2"/>
          <w:sz w:val="32"/>
          <w:szCs w:val="32"/>
          <w:lang w:val="en-US" w:eastAsia="zh-CN" w:bidi="ar-SA"/>
        </w:rPr>
        <w:t xml:space="preserve">焚烧系统置于封闭式车间内，焚烧炉烟气通过“SNCR炉内脱硝+半干法（氢氧化钙溶液）+干法（氢氧化钙干粉）+活性炭喷射+布袋式除尘器”烟气净化系统处理，各项污染因子满足《生活垃圾焚烧污染控制标准》（GB18485-2014）浓度限值要求后通过排气筒排放。垃圾卸料、贮存环节均置于封闭式车间内，卸料大厅进、出口设置自动开关及气幕机，防止臭气外溢。垃圾贮存坑为密闭式，顶部设置集气抽风系统，恶臭气体通过该系统抽送至焚烧炉焚烧处置。渗滤液处理及污泥干化环节均置于封闭式车间内，同时安装集气除臭风机，恶臭气体通过管道由风机抽送至焚烧炉焚烧处置。停炉检修期间，以上环节恶臭气体均通过集气及活性炭除臭装置处理，满足《恶臭污染物排放标准》（GB14554-93）浓度限值要求后通过排气筒排放。各物料仓及飞灰螯合搅拌环节均置于封闭车间内，同时仓顶及搅拌机均安装布袋除尘器。炉渣贮存于全封闭渣库内，同时采用密闭+湿式除渣方式，有效降低粉尘逸散。厂区道路硬化建设，定期清扫、洒水降尘；加强项目区周边绿化建设，垃圾车辆封闭运输，减少垃圾堆存时间并定期喷洒除臭剂，最终颗粒物及恶臭污染因子厂界无组织排放分别满足《大气污染物综合排放标准》（GB16297-1996）及《恶臭污染物排放标准》（GB14554-93）浓度限值要求。柴油卸车采用油气平衡系统，最终柴油储罐呼吸废气厂区内无组织排放须满足《挥发性有机物无组织排放控制标准》（GB37822-2019）浓度限值要求，厂界无组织排放须满足《大气污染物综合排放标准》（GB16297-1996）浓度限值要求。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 xml:space="preserve">    （二）严格落实固体废物污染防治措施。</w:t>
      </w:r>
      <w:r>
        <w:rPr>
          <w:rFonts w:hint="eastAsia" w:ascii="仿宋_GB2312" w:hAnsi="仿宋_GB2312" w:eastAsia="仿宋_GB2312" w:cs="仿宋_GB2312"/>
          <w:color w:val="auto"/>
          <w:kern w:val="2"/>
          <w:sz w:val="32"/>
          <w:szCs w:val="32"/>
          <w:lang w:val="en-US" w:eastAsia="zh-CN" w:bidi="ar-SA"/>
        </w:rPr>
        <w:t>焚烧炉灰渣暂存于灰渣库内，优先外售综合利用，综合利用不畅的情况下定期拉运至生活垃圾填埋场填埋处置。渗滤液收集池污泥、渗滤液处理系统污泥及格栅渣、废空气滤芯，与生活垃圾一起进入焚烧炉焚烧处置。烟气净化系统废布袋、渗滤液处理系统废过滤介质、</w:t>
      </w:r>
      <w:bookmarkStart w:id="1" w:name="_GoBack"/>
      <w:bookmarkEnd w:id="1"/>
      <w:r>
        <w:rPr>
          <w:rFonts w:hint="eastAsia" w:ascii="仿宋_GB2312" w:hAnsi="仿宋_GB2312" w:eastAsia="仿宋_GB2312" w:cs="仿宋_GB2312"/>
          <w:color w:val="auto"/>
          <w:kern w:val="2"/>
          <w:sz w:val="32"/>
          <w:szCs w:val="32"/>
          <w:lang w:val="en-US" w:eastAsia="zh-CN" w:bidi="ar-SA"/>
        </w:rPr>
        <w:t>应急除臭系统废活性炭、机械维修废矿物油及废油桶、在线监测废液、实验室废液、废铅酸蓄电池均由专用封闭容器盛装后，分类分区暂存于标准化危废暂存间内，定期委托有资质的单位处置。除尘器收集的飞灰经固化稳定处理，满足《生活垃圾填埋场污染控制标准》（GB16889-2024）限值要求后，暂存于飞灰固化间，定期通过密封车辆输送至生活垃圾填埋场分区填埋处置</w:t>
      </w:r>
      <w:r>
        <w:rPr>
          <w:rFonts w:hint="eastAsia" w:ascii="仿宋_GB2312" w:hAnsi="仿宋_GB2312" w:eastAsia="仿宋_GB2312" w:cs="仿宋_GB2312"/>
          <w:b w:val="0"/>
          <w:bCs w:val="0"/>
          <w:color w:val="auto"/>
          <w:kern w:val="2"/>
          <w:sz w:val="32"/>
          <w:szCs w:val="32"/>
          <w:highlight w:val="none"/>
          <w:lang w:val="en-US" w:eastAsia="zh-CN" w:bidi="en-US"/>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（三）严格落实各项水污染防治措施。</w:t>
      </w:r>
      <w:r>
        <w:rPr>
          <w:rFonts w:hint="eastAsia" w:ascii="仿宋_GB2312" w:hAnsi="仿宋_GB2312" w:eastAsia="仿宋_GB2312" w:cs="仿宋_GB2312"/>
          <w:b w:val="0"/>
          <w:bCs w:val="0"/>
          <w:color w:val="auto"/>
          <w:kern w:val="2"/>
          <w:sz w:val="32"/>
          <w:szCs w:val="32"/>
          <w:highlight w:val="none"/>
          <w:lang w:val="en-US" w:eastAsia="zh-CN" w:bidi="en-US"/>
        </w:rPr>
        <w:t>渗滤液处理系统产生的浓缩液回喷焚烧炉，用于炉内降温。软化水站、循环冷却水排水及锅炉排污水，经pH调节+混凝沉淀处理满足《城市污水再生利用 工业用水水质》（GB/T19923-2024）浓度限值要求后，回用生产。实验废水及人员生活污水经化粪池收集后，与垃圾渗滤液、车间地面、设备及车辆冲洗废水，一起经渗滤液处理系统处理满足《城市污水再生利用 工业用水水质》（GB/T19923-2024）及《城市污水再生利用 城市杂用水水质》（GB/T18920-2020）浓度限值要求后，回用生产或用于厂区绿化降尘。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（四）严格落实噪声防治措施。</w:t>
      </w:r>
      <w:r>
        <w:rPr>
          <w:rFonts w:hint="eastAsia" w:ascii="仿宋_GB2312" w:hAnsi="仿宋_GB2312" w:eastAsia="仿宋_GB2312" w:cs="仿宋_GB2312"/>
          <w:b w:val="0"/>
          <w:bCs w:val="0"/>
          <w:color w:val="auto"/>
          <w:kern w:val="2"/>
          <w:sz w:val="32"/>
          <w:szCs w:val="32"/>
          <w:highlight w:val="none"/>
          <w:lang w:val="en-US" w:eastAsia="zh-CN" w:bidi="en-US"/>
        </w:rPr>
        <w:t>选用低噪设备，针对不同的声源采取相应的消声、隔音、减振、降噪措施，减缓噪声不利影响，确保厂界噪声可满足《工业企</w:t>
      </w:r>
      <w:r>
        <w:rPr>
          <w:rFonts w:hint="eastAsia" w:ascii="仿宋_GB2312" w:hAnsi="仿宋_GB2312" w:eastAsia="仿宋_GB2312" w:cs="仿宋_GB2312"/>
          <w:color w:val="auto"/>
          <w:kern w:val="2"/>
          <w:sz w:val="32"/>
          <w:szCs w:val="32"/>
          <w:highlight w:val="none"/>
          <w:lang w:val="en-US" w:eastAsia="zh-CN" w:bidi="en-US"/>
        </w:rPr>
        <w:t>业厂界环境噪声排放标准》（GB12348-2008）2类区标准限值要求。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（五）切实落实土壤和地下水污染防治措施。</w:t>
      </w:r>
      <w:r>
        <w:rPr>
          <w:rFonts w:hint="eastAsia" w:ascii="仿宋_GB2312" w:hAnsi="仿宋_GB2312" w:eastAsia="仿宋_GB2312" w:cs="仿宋_GB2312"/>
          <w:color w:val="auto"/>
          <w:kern w:val="2"/>
          <w:sz w:val="32"/>
          <w:szCs w:val="32"/>
          <w:highlight w:val="none"/>
          <w:lang w:val="en-US" w:eastAsia="zh-CN" w:bidi="en-US"/>
        </w:rPr>
        <w:t>按照“源头控制、分区防控、污染监控、应急响应”相结合的原则采取分区防渗。危险废物暂存间采取重点防渗措施，并根据《危险废物贮存污染控制标准》（GB18597-2023）建设，所有防渗措施均执行《环境影响评价技术导则地下水环境》（HJ610-2016）标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eastAsia="zh-CN" w:bidi="en-US"/>
        </w:rPr>
      </w:pPr>
      <w:r>
        <w:rPr>
          <w:rFonts w:hint="eastAsia" w:ascii="楷体" w:hAnsi="楷体" w:eastAsia="楷体" w:cs="楷体"/>
          <w:color w:val="auto"/>
          <w:kern w:val="2"/>
          <w:sz w:val="32"/>
          <w:szCs w:val="32"/>
          <w:lang w:val="en-US" w:eastAsia="zh-CN" w:bidi="ar-SA"/>
        </w:rPr>
        <w:t>（六）强化环境风险防范措施。</w:t>
      </w:r>
      <w:r>
        <w:rPr>
          <w:rFonts w:hint="eastAsia" w:ascii="仿宋_GB2312" w:hAnsi="仿宋_GB2312" w:eastAsia="仿宋_GB2312" w:cs="仿宋_GB2312"/>
          <w:color w:val="auto"/>
          <w:kern w:val="2"/>
          <w:sz w:val="32"/>
          <w:szCs w:val="32"/>
          <w:highlight w:val="none"/>
          <w:lang w:val="en-US" w:eastAsia="zh-CN" w:bidi="en-US"/>
        </w:rPr>
        <w:t>落实环保设施安全生产工作，建立环保设备设施台账和维护管理制度。建立完善的环境管理制度和事故应急措施，制定切实可行的环境风险应急预案，加强对危废暂存间的管理；严格落实风险防范措施和应急预案，切实杜绝环境风险事故。</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en-US"/>
        </w:rPr>
      </w:pPr>
      <w:r>
        <w:rPr>
          <w:rFonts w:hint="eastAsia" w:ascii="楷体" w:hAnsi="楷体" w:eastAsia="楷体" w:cs="楷体"/>
          <w:color w:val="auto"/>
          <w:kern w:val="2"/>
          <w:sz w:val="32"/>
          <w:szCs w:val="32"/>
          <w:lang w:val="en-US" w:eastAsia="zh-CN" w:bidi="ar-SA"/>
        </w:rPr>
        <w:t>（七）严格落实运营期污染源监测计划。</w:t>
      </w:r>
      <w:r>
        <w:rPr>
          <w:rFonts w:hint="eastAsia" w:ascii="仿宋_GB2312" w:hAnsi="仿宋_GB2312" w:eastAsia="仿宋_GB2312" w:cs="仿宋_GB2312"/>
          <w:color w:val="auto"/>
          <w:kern w:val="2"/>
          <w:sz w:val="32"/>
          <w:szCs w:val="32"/>
          <w:highlight w:val="none"/>
          <w:lang w:val="en-US" w:eastAsia="zh-CN" w:bidi="en-US"/>
        </w:rPr>
        <w:t>按照国家和地方有关规定设置规范的污染物排放口并设立标志牌。按照《报告书》内容落实环境管理及监测计划，落实重点污染源监测监控感知端建设并与生态环境部门联网。强化污染源与无组织排放源管理，制定自行监测方案，按规定开展自行监测和信息公开。各排气筒应按照规范要求预留永久性监测口和采样监测平台。如出现污染物超标排放情况，应立即查明原因并采取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三、项目建设必须严格执行配套的环境保护设施与主体工程同时设计、同时施工、同时投产使用的环境保护“三同时”制度。严格落实污染防治措施设计要求。应将优化和细化后的各项污染防治措施及概算纳入设计以及施工等招标文件及合同，并明确责任。按规定程序实施竣工环境保护验收。</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40" w:firstLineChars="200"/>
        <w:jc w:val="both"/>
        <w:textAlignment w:val="auto"/>
        <w:rPr>
          <w:rFonts w:hint="eastAsia" w:ascii="仿宋_GB2312" w:hAnsi="仿宋_GB2312" w:eastAsia="仿宋_GB2312" w:cs="仿宋_GB2312"/>
          <w:color w:val="auto"/>
          <w:sz w:val="32"/>
          <w:szCs w:val="32"/>
          <w:lang w:bidi="en-US"/>
        </w:rPr>
      </w:pPr>
      <w:r>
        <w:rPr>
          <w:rFonts w:hint="eastAsia" w:ascii="仿宋_GB2312" w:hAnsi="仿宋_GB2312" w:eastAsia="仿宋_GB2312" w:cs="仿宋_GB2312"/>
          <w:color w:val="auto"/>
          <w:sz w:val="32"/>
          <w:szCs w:val="32"/>
          <w:lang w:bidi="en-US"/>
        </w:rPr>
        <w:t>四、我局委托锡林郭勒盟生态环境局</w:t>
      </w:r>
      <w:r>
        <w:rPr>
          <w:rFonts w:hint="eastAsia" w:ascii="仿宋_GB2312" w:hAnsi="仿宋_GB2312" w:eastAsia="仿宋_GB2312" w:cs="仿宋_GB2312"/>
          <w:color w:val="auto"/>
          <w:sz w:val="32"/>
          <w:szCs w:val="32"/>
          <w:lang w:val="en-US" w:eastAsia="zh-CN" w:bidi="en-US"/>
        </w:rPr>
        <w:t>太仆寺旗</w:t>
      </w:r>
      <w:r>
        <w:rPr>
          <w:rFonts w:hint="eastAsia" w:ascii="仿宋_GB2312" w:hAnsi="仿宋_GB2312" w:eastAsia="仿宋_GB2312" w:cs="仿宋_GB2312"/>
          <w:color w:val="auto"/>
          <w:sz w:val="32"/>
          <w:szCs w:val="32"/>
          <w:lang w:eastAsia="zh-CN" w:bidi="en-US"/>
        </w:rPr>
        <w:t>分局</w:t>
      </w:r>
      <w:r>
        <w:rPr>
          <w:rFonts w:hint="eastAsia" w:ascii="仿宋_GB2312" w:hAnsi="仿宋_GB2312" w:eastAsia="仿宋_GB2312" w:cs="仿宋_GB2312"/>
          <w:color w:val="auto"/>
          <w:sz w:val="32"/>
          <w:szCs w:val="32"/>
          <w:lang w:bidi="en-US"/>
        </w:rPr>
        <w:t>对该项目各项污染防治措施落实情况进行监督检查和管理。</w:t>
      </w:r>
    </w:p>
    <w:p>
      <w:pPr>
        <w:keepNext w:val="0"/>
        <w:keepLines w:val="0"/>
        <w:pageBreakBefore w:val="0"/>
        <w:widowControl w:val="0"/>
        <w:kinsoku/>
        <w:wordWrap/>
        <w:overflowPunct/>
        <w:topLinePunct w:val="0"/>
        <w:autoSpaceDE w:val="0"/>
        <w:autoSpaceDN w:val="0"/>
        <w:bidi w:val="0"/>
        <w:adjustRightInd w:val="0"/>
        <w:snapToGrid w:val="0"/>
        <w:spacing w:line="300" w:lineRule="exact"/>
        <w:textAlignment w:val="auto"/>
        <w:rPr>
          <w:rFonts w:hint="eastAsia" w:ascii="仿宋_GB2312" w:hAnsi="仿宋_GB2312" w:eastAsia="仿宋_GB2312" w:cs="仿宋_GB2312"/>
          <w:color w:val="auto"/>
          <w:sz w:val="32"/>
          <w:szCs w:val="32"/>
          <w:lang w:eastAsia="zh-CN" w:bidi="en-US"/>
        </w:rPr>
      </w:pPr>
    </w:p>
    <w:p>
      <w:pPr>
        <w:keepNext w:val="0"/>
        <w:keepLines w:val="0"/>
        <w:pageBreakBefore w:val="0"/>
        <w:widowControl w:val="0"/>
        <w:kinsoku/>
        <w:wordWrap/>
        <w:overflowPunct/>
        <w:autoSpaceDE w:val="0"/>
        <w:autoSpaceDN w:val="0"/>
        <w:bidi w:val="0"/>
        <w:adjustRightInd w:val="0"/>
        <w:snapToGrid w:val="0"/>
        <w:spacing w:line="560" w:lineRule="exact"/>
        <w:ind w:firstLine="4160" w:firstLineChars="1300"/>
        <w:textAlignment w:val="auto"/>
        <w:rPr>
          <w:rFonts w:hint="eastAsia" w:ascii="仿宋_GB2312" w:hAnsi="仿宋_GB2312" w:eastAsia="仿宋_GB2312" w:cs="仿宋_GB2312"/>
          <w:color w:val="auto"/>
          <w:sz w:val="32"/>
          <w:szCs w:val="32"/>
          <w:highlight w:val="none"/>
          <w:lang w:bidi="en-US"/>
        </w:rPr>
      </w:pPr>
      <w:r>
        <w:rPr>
          <w:rFonts w:hint="eastAsia" w:ascii="仿宋_GB2312" w:hAnsi="仿宋_GB2312" w:eastAsia="仿宋_GB2312" w:cs="仿宋_GB2312"/>
          <w:color w:val="auto"/>
          <w:sz w:val="32"/>
          <w:szCs w:val="32"/>
          <w:lang w:bidi="en-US"/>
        </w:rPr>
        <w:t>锡林</w:t>
      </w:r>
      <w:r>
        <w:rPr>
          <w:rFonts w:hint="eastAsia" w:ascii="仿宋_GB2312" w:hAnsi="仿宋_GB2312" w:eastAsia="仿宋_GB2312" w:cs="仿宋_GB2312"/>
          <w:color w:val="auto"/>
          <w:sz w:val="32"/>
          <w:szCs w:val="32"/>
          <w:highlight w:val="none"/>
          <w:lang w:bidi="en-US"/>
        </w:rPr>
        <w:t>郭勒盟生态环境局</w:t>
      </w:r>
    </w:p>
    <w:p>
      <w:pPr>
        <w:keepNext w:val="0"/>
        <w:keepLines w:val="0"/>
        <w:pageBreakBefore w:val="0"/>
        <w:widowControl w:val="0"/>
        <w:kinsoku/>
        <w:wordWrap/>
        <w:overflowPunct/>
        <w:autoSpaceDE w:val="0"/>
        <w:autoSpaceDN w:val="0"/>
        <w:bidi w:val="0"/>
        <w:adjustRightInd w:val="0"/>
        <w:snapToGrid w:val="0"/>
        <w:spacing w:line="560" w:lineRule="exact"/>
        <w:ind w:firstLine="4800" w:firstLineChars="1500"/>
        <w:textAlignment w:val="auto"/>
        <w:rPr>
          <w:rFonts w:hint="eastAsia"/>
        </w:rPr>
      </w:pPr>
      <w:r>
        <w:rPr>
          <w:rFonts w:hint="eastAsia" w:ascii="仿宋_GB2312" w:hAnsi="仿宋_GB2312" w:eastAsia="仿宋_GB2312" w:cs="仿宋_GB2312"/>
          <w:color w:val="auto"/>
          <w:sz w:val="32"/>
          <w:szCs w:val="32"/>
          <w:highlight w:val="none"/>
          <w:lang w:bidi="en-US"/>
        </w:rPr>
        <w:t>202</w:t>
      </w:r>
      <w:r>
        <w:rPr>
          <w:rFonts w:hint="eastAsia" w:ascii="仿宋_GB2312" w:hAnsi="仿宋_GB2312" w:eastAsia="仿宋_GB2312" w:cs="仿宋_GB2312"/>
          <w:color w:val="auto"/>
          <w:sz w:val="32"/>
          <w:szCs w:val="32"/>
          <w:highlight w:val="none"/>
          <w:lang w:val="en-US" w:eastAsia="zh-CN" w:bidi="en-US"/>
        </w:rPr>
        <w:t>6</w:t>
      </w:r>
      <w:r>
        <w:rPr>
          <w:rFonts w:hint="eastAsia" w:ascii="仿宋_GB2312" w:hAnsi="仿宋_GB2312" w:eastAsia="仿宋_GB2312" w:cs="仿宋_GB2312"/>
          <w:color w:val="auto"/>
          <w:sz w:val="32"/>
          <w:szCs w:val="32"/>
          <w:highlight w:val="none"/>
          <w:lang w:bidi="en-US"/>
        </w:rPr>
        <w:t>年</w:t>
      </w:r>
      <w:r>
        <w:rPr>
          <w:rFonts w:hint="eastAsia" w:ascii="仿宋_GB2312" w:hAnsi="仿宋_GB2312" w:eastAsia="仿宋_GB2312" w:cs="仿宋_GB2312"/>
          <w:color w:val="auto"/>
          <w:sz w:val="32"/>
          <w:szCs w:val="32"/>
          <w:highlight w:val="none"/>
          <w:lang w:val="en-US" w:eastAsia="zh-CN" w:bidi="en-US"/>
        </w:rPr>
        <w:t>5</w:t>
      </w:r>
      <w:r>
        <w:rPr>
          <w:rFonts w:hint="eastAsia" w:ascii="仿宋_GB2312" w:hAnsi="仿宋_GB2312" w:eastAsia="仿宋_GB2312" w:cs="仿宋_GB2312"/>
          <w:color w:val="auto"/>
          <w:sz w:val="32"/>
          <w:szCs w:val="32"/>
          <w:highlight w:val="none"/>
          <w:lang w:bidi="en-US"/>
        </w:rPr>
        <w:t>月</w:t>
      </w:r>
      <w:r>
        <w:rPr>
          <w:rFonts w:hint="eastAsia" w:ascii="仿宋_GB2312" w:hAnsi="仿宋_GB2312" w:eastAsia="仿宋_GB2312" w:cs="仿宋_GB2312"/>
          <w:color w:val="auto"/>
          <w:sz w:val="32"/>
          <w:szCs w:val="32"/>
          <w:highlight w:val="none"/>
          <w:lang w:val="en-US" w:eastAsia="zh-CN" w:bidi="en-US"/>
        </w:rPr>
        <w:t>13</w:t>
      </w:r>
      <w:r>
        <w:rPr>
          <w:rFonts w:hint="eastAsia" w:ascii="仿宋_GB2312" w:hAnsi="仿宋_GB2312" w:eastAsia="仿宋_GB2312" w:cs="仿宋_GB2312"/>
          <w:color w:val="auto"/>
          <w:sz w:val="32"/>
          <w:szCs w:val="32"/>
          <w:highlight w:val="none"/>
          <w:lang w:bidi="en-US"/>
        </w:rPr>
        <w:t>日</w:t>
      </w:r>
    </w:p>
    <w:p>
      <w:pPr>
        <w:pStyle w:val="15"/>
        <w:keepNext w:val="0"/>
        <w:keepLines w:val="0"/>
        <w:pageBreakBefore w:val="0"/>
        <w:widowControl w:val="0"/>
        <w:kinsoku/>
        <w:wordWrap/>
        <w:overflowPunct/>
        <w:topLinePunct w:val="0"/>
        <w:bidi w:val="0"/>
        <w:snapToGrid/>
        <w:spacing w:line="500" w:lineRule="exact"/>
        <w:ind w:firstLine="280" w:firstLineChars="100"/>
        <w:jc w:val="both"/>
        <w:textAlignment w:val="auto"/>
        <w:rPr>
          <w:rFonts w:hint="default" w:ascii="仿宋" w:hAnsi="仿宋" w:eastAsia="仿宋" w:cs="仿宋"/>
          <w:color w:val="auto"/>
          <w:kern w:val="2"/>
          <w:sz w:val="28"/>
          <w:szCs w:val="28"/>
          <w:highlight w:val="none"/>
          <w:lang w:val="en-US" w:eastAsia="zh-CN" w:bidi="en-US"/>
        </w:rPr>
      </w:pPr>
      <w:r>
        <w:rPr>
          <w:rFonts w:hint="eastAsia" w:ascii="仿宋" w:hAnsi="仿宋" w:eastAsia="仿宋" w:cs="仿宋"/>
          <w:color w:val="auto"/>
          <w:kern w:val="2"/>
          <w:sz w:val="28"/>
          <w:szCs w:val="28"/>
          <w:highlight w:val="none"/>
          <w:lang w:bidi="en-US"/>
        </w:rPr>
        <w:t>抄送：盟生态环境综合行政执法支队</w:t>
      </w:r>
      <w:r>
        <w:rPr>
          <w:rFonts w:hint="eastAsia" w:ascii="仿宋" w:hAnsi="仿宋" w:eastAsia="仿宋" w:cs="仿宋"/>
          <w:color w:val="auto"/>
          <w:kern w:val="2"/>
          <w:sz w:val="28"/>
          <w:szCs w:val="28"/>
          <w:highlight w:val="none"/>
          <w:lang w:eastAsia="zh-CN" w:bidi="en-US"/>
        </w:rPr>
        <w:t>，</w:t>
      </w:r>
      <w:r>
        <w:rPr>
          <w:rFonts w:hint="eastAsia" w:ascii="仿宋" w:hAnsi="仿宋" w:eastAsia="仿宋" w:cs="仿宋"/>
          <w:color w:val="auto"/>
          <w:kern w:val="2"/>
          <w:sz w:val="28"/>
          <w:szCs w:val="28"/>
          <w:highlight w:val="none"/>
          <w:lang w:bidi="en-US"/>
        </w:rPr>
        <w:t>盟生态环</w:t>
      </w:r>
      <w:r>
        <w:rPr>
          <w:rFonts w:hint="eastAsia" w:ascii="仿宋" w:hAnsi="仿宋" w:eastAsia="仿宋" w:cs="仿宋"/>
          <w:color w:val="000000" w:themeColor="text1"/>
          <w:kern w:val="2"/>
          <w:sz w:val="28"/>
          <w:szCs w:val="28"/>
          <w:highlight w:val="none"/>
          <w:lang w:bidi="en-US"/>
          <w14:textFill>
            <w14:solidFill>
              <w14:schemeClr w14:val="tx1"/>
            </w14:solidFill>
          </w14:textFill>
        </w:rPr>
        <w:t>境局</w:t>
      </w:r>
      <w:r>
        <w:rPr>
          <w:rFonts w:hint="eastAsia" w:ascii="仿宋" w:hAnsi="仿宋" w:eastAsia="仿宋" w:cs="仿宋"/>
          <w:color w:val="000000" w:themeColor="text1"/>
          <w:kern w:val="2"/>
          <w:sz w:val="28"/>
          <w:szCs w:val="28"/>
          <w:highlight w:val="none"/>
          <w:lang w:val="en-US" w:eastAsia="zh-CN" w:bidi="en-US"/>
          <w14:textFill>
            <w14:solidFill>
              <w14:schemeClr w14:val="tx1"/>
            </w14:solidFill>
          </w14:textFill>
        </w:rPr>
        <w:t>太仆寺旗</w:t>
      </w:r>
      <w:r>
        <w:rPr>
          <w:rFonts w:hint="eastAsia" w:ascii="仿宋" w:hAnsi="仿宋" w:eastAsia="仿宋" w:cs="仿宋"/>
          <w:color w:val="000000" w:themeColor="text1"/>
          <w:kern w:val="2"/>
          <w:sz w:val="28"/>
          <w:szCs w:val="28"/>
          <w:highlight w:val="none"/>
          <w:lang w:eastAsia="zh-CN" w:bidi="en-US"/>
          <w14:textFill>
            <w14:solidFill>
              <w14:schemeClr w14:val="tx1"/>
            </w14:solidFill>
          </w14:textFill>
        </w:rPr>
        <w:t>分</w:t>
      </w:r>
      <w:r>
        <w:rPr>
          <w:rFonts w:hint="eastAsia" w:ascii="仿宋" w:hAnsi="仿宋" w:eastAsia="仿宋" w:cs="仿宋"/>
          <w:color w:val="auto"/>
          <w:kern w:val="2"/>
          <w:sz w:val="28"/>
          <w:szCs w:val="28"/>
          <w:highlight w:val="none"/>
          <w:lang w:eastAsia="zh-CN" w:bidi="en-US"/>
        </w:rPr>
        <w:t>局。</w:t>
      </w:r>
    </w:p>
    <w:p>
      <w:pPr>
        <w:keepNext w:val="0"/>
        <w:keepLines w:val="0"/>
        <w:pageBreakBefore w:val="0"/>
        <w:widowControl w:val="0"/>
        <w:pBdr>
          <w:top w:val="single" w:color="auto" w:sz="4" w:space="1"/>
          <w:left w:val="none" w:color="auto" w:sz="0" w:space="4"/>
          <w:bottom w:val="single" w:color="auto" w:sz="4" w:space="1"/>
          <w:right w:val="none" w:color="auto" w:sz="0" w:space="4"/>
        </w:pBdr>
        <w:kinsoku/>
        <w:wordWrap/>
        <w:overflowPunct/>
        <w:topLinePunct w:val="0"/>
        <w:bidi w:val="0"/>
        <w:snapToGrid/>
        <w:spacing w:line="500" w:lineRule="exact"/>
        <w:ind w:firstLine="280" w:firstLineChars="1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锡林郭勒盟生态环境局办公室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日印发</w:t>
      </w:r>
    </w:p>
    <w:sectPr>
      <w:footerReference r:id="rId3" w:type="default"/>
      <w:pgSz w:w="11906" w:h="16838"/>
      <w:pgMar w:top="1701" w:right="1417" w:bottom="141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">
              <v:fill on="f" focussize="0,0"/>
              <v:stroke on="f" weight="0.5pt"/>
              <v:imagedata o:title=""/>
              <o:lock v:ext="edit" aspectratio="f"/>
              <v:textbox inset="0mm,0mm,0mm,0mm" style="mso-fit-shape-to-text:t;">
                <w:txbxContent>
                  <w:p>
                    <w:pPr>
                      <w:pStyle w:val="7"/>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VjZjliNThiMThmZTZiMTZlZjM4YWI1NWNjNGNiZjYifQ=="/>
  </w:docVars>
  <w:rsids>
    <w:rsidRoot w:val="00BE15C5"/>
    <w:rsid w:val="00096BAA"/>
    <w:rsid w:val="001577BB"/>
    <w:rsid w:val="00157C95"/>
    <w:rsid w:val="001A08E0"/>
    <w:rsid w:val="0023504A"/>
    <w:rsid w:val="00275F15"/>
    <w:rsid w:val="0029260D"/>
    <w:rsid w:val="0030521F"/>
    <w:rsid w:val="00314696"/>
    <w:rsid w:val="00333BAE"/>
    <w:rsid w:val="00351DD5"/>
    <w:rsid w:val="0036799A"/>
    <w:rsid w:val="003F6E8C"/>
    <w:rsid w:val="00565FD0"/>
    <w:rsid w:val="006D5A5C"/>
    <w:rsid w:val="0078439C"/>
    <w:rsid w:val="008169E9"/>
    <w:rsid w:val="008B4F82"/>
    <w:rsid w:val="008C5ED5"/>
    <w:rsid w:val="00977DFE"/>
    <w:rsid w:val="00981820"/>
    <w:rsid w:val="00A74547"/>
    <w:rsid w:val="00B3474C"/>
    <w:rsid w:val="00BB3EEE"/>
    <w:rsid w:val="00BE15C5"/>
    <w:rsid w:val="00C054DA"/>
    <w:rsid w:val="00C23C2B"/>
    <w:rsid w:val="00C769C0"/>
    <w:rsid w:val="00CA00EE"/>
    <w:rsid w:val="00D14C38"/>
    <w:rsid w:val="00D37553"/>
    <w:rsid w:val="00DA6EE3"/>
    <w:rsid w:val="00E76C09"/>
    <w:rsid w:val="00F13EA9"/>
    <w:rsid w:val="00F96E63"/>
    <w:rsid w:val="00FF17CD"/>
    <w:rsid w:val="019C606F"/>
    <w:rsid w:val="033C2BF5"/>
    <w:rsid w:val="04082137"/>
    <w:rsid w:val="04D60042"/>
    <w:rsid w:val="04F03C97"/>
    <w:rsid w:val="05FD1001"/>
    <w:rsid w:val="064265FE"/>
    <w:rsid w:val="065A7A8E"/>
    <w:rsid w:val="07E80A5E"/>
    <w:rsid w:val="08125FE6"/>
    <w:rsid w:val="08935065"/>
    <w:rsid w:val="09F707CE"/>
    <w:rsid w:val="0A055186"/>
    <w:rsid w:val="0A251D3E"/>
    <w:rsid w:val="0A7809B7"/>
    <w:rsid w:val="0C7A4895"/>
    <w:rsid w:val="0D6D6C1D"/>
    <w:rsid w:val="0D9F31D6"/>
    <w:rsid w:val="0E2F5830"/>
    <w:rsid w:val="0EE27BE5"/>
    <w:rsid w:val="109F048E"/>
    <w:rsid w:val="133A3E29"/>
    <w:rsid w:val="134A4ECA"/>
    <w:rsid w:val="15F917DF"/>
    <w:rsid w:val="1618304E"/>
    <w:rsid w:val="1772A69C"/>
    <w:rsid w:val="1A9D6DBD"/>
    <w:rsid w:val="1B244243"/>
    <w:rsid w:val="1B7C0676"/>
    <w:rsid w:val="1BF2CB73"/>
    <w:rsid w:val="1D61177E"/>
    <w:rsid w:val="1DFF5741"/>
    <w:rsid w:val="1F9C573C"/>
    <w:rsid w:val="206016CD"/>
    <w:rsid w:val="20FD21D9"/>
    <w:rsid w:val="22B733D3"/>
    <w:rsid w:val="25875AFA"/>
    <w:rsid w:val="2624159B"/>
    <w:rsid w:val="26F02945"/>
    <w:rsid w:val="281C4C20"/>
    <w:rsid w:val="29D8150D"/>
    <w:rsid w:val="2CF929A0"/>
    <w:rsid w:val="2E6A74B4"/>
    <w:rsid w:val="2F1F3E8C"/>
    <w:rsid w:val="2F2B74F6"/>
    <w:rsid w:val="2F7E7F6E"/>
    <w:rsid w:val="2F7F303D"/>
    <w:rsid w:val="37DB3B17"/>
    <w:rsid w:val="37DFB9CE"/>
    <w:rsid w:val="382F0AB9"/>
    <w:rsid w:val="38763ED8"/>
    <w:rsid w:val="3A1219DE"/>
    <w:rsid w:val="3A235A71"/>
    <w:rsid w:val="3AD90E3C"/>
    <w:rsid w:val="3BFB7ADD"/>
    <w:rsid w:val="3EDBBAD3"/>
    <w:rsid w:val="3FC31BD1"/>
    <w:rsid w:val="41B17C28"/>
    <w:rsid w:val="43884AE2"/>
    <w:rsid w:val="445D3A2B"/>
    <w:rsid w:val="461D4A97"/>
    <w:rsid w:val="466622E2"/>
    <w:rsid w:val="46B26845"/>
    <w:rsid w:val="4A3B72B4"/>
    <w:rsid w:val="4B6B05AE"/>
    <w:rsid w:val="4CDD40CE"/>
    <w:rsid w:val="4FFB87F7"/>
    <w:rsid w:val="501114FC"/>
    <w:rsid w:val="521F6F37"/>
    <w:rsid w:val="52D63A99"/>
    <w:rsid w:val="54CB7E3C"/>
    <w:rsid w:val="552E2FE9"/>
    <w:rsid w:val="56990422"/>
    <w:rsid w:val="58B80B09"/>
    <w:rsid w:val="59CA0623"/>
    <w:rsid w:val="5BBE3CC5"/>
    <w:rsid w:val="5C1271C4"/>
    <w:rsid w:val="5DBE680E"/>
    <w:rsid w:val="5DF7C719"/>
    <w:rsid w:val="5DFFD6AD"/>
    <w:rsid w:val="5FA70BB0"/>
    <w:rsid w:val="5FDE5DAC"/>
    <w:rsid w:val="60C03231"/>
    <w:rsid w:val="617526E2"/>
    <w:rsid w:val="6211609C"/>
    <w:rsid w:val="62895F6A"/>
    <w:rsid w:val="6369589B"/>
    <w:rsid w:val="640E5DD6"/>
    <w:rsid w:val="640F77AC"/>
    <w:rsid w:val="6479615F"/>
    <w:rsid w:val="65980358"/>
    <w:rsid w:val="66756CCD"/>
    <w:rsid w:val="6762412B"/>
    <w:rsid w:val="67927E4C"/>
    <w:rsid w:val="68387D94"/>
    <w:rsid w:val="69CC12A6"/>
    <w:rsid w:val="6AB75B07"/>
    <w:rsid w:val="6B361121"/>
    <w:rsid w:val="6BD00E31"/>
    <w:rsid w:val="6E1A4AAF"/>
    <w:rsid w:val="6FD159E5"/>
    <w:rsid w:val="6FEE6D0C"/>
    <w:rsid w:val="7019691C"/>
    <w:rsid w:val="70EA0941"/>
    <w:rsid w:val="71E5266B"/>
    <w:rsid w:val="71FFDCEE"/>
    <w:rsid w:val="737F42A4"/>
    <w:rsid w:val="740D1653"/>
    <w:rsid w:val="77483AA9"/>
    <w:rsid w:val="776575C6"/>
    <w:rsid w:val="77A04D8F"/>
    <w:rsid w:val="77A23F56"/>
    <w:rsid w:val="77DF1E38"/>
    <w:rsid w:val="77FB60A4"/>
    <w:rsid w:val="786A0221"/>
    <w:rsid w:val="78CC1696"/>
    <w:rsid w:val="795254DD"/>
    <w:rsid w:val="79CFBA11"/>
    <w:rsid w:val="79F6371A"/>
    <w:rsid w:val="7B74E570"/>
    <w:rsid w:val="7BB06386"/>
    <w:rsid w:val="7C7FDDB9"/>
    <w:rsid w:val="7CE53CE8"/>
    <w:rsid w:val="7E5356DB"/>
    <w:rsid w:val="7EF94ADD"/>
    <w:rsid w:val="7F5DA376"/>
    <w:rsid w:val="7F6C2C5A"/>
    <w:rsid w:val="7F7C8CD3"/>
    <w:rsid w:val="7F7CE8F3"/>
    <w:rsid w:val="7F9F8E51"/>
    <w:rsid w:val="7FBF49B1"/>
    <w:rsid w:val="7FD6261A"/>
    <w:rsid w:val="7FDD5E1F"/>
    <w:rsid w:val="7FFF783F"/>
    <w:rsid w:val="8EFFAFD8"/>
    <w:rsid w:val="92CD1A93"/>
    <w:rsid w:val="979EC8C1"/>
    <w:rsid w:val="97FFBFF7"/>
    <w:rsid w:val="9AD73E0D"/>
    <w:rsid w:val="A7FFBEB9"/>
    <w:rsid w:val="AFDFA893"/>
    <w:rsid w:val="B6FB1ACB"/>
    <w:rsid w:val="BBD7B086"/>
    <w:rsid w:val="BBFD157B"/>
    <w:rsid w:val="BBFFB394"/>
    <w:rsid w:val="BDB9872E"/>
    <w:rsid w:val="CF77A9DB"/>
    <w:rsid w:val="DAFDAA89"/>
    <w:rsid w:val="DBAFDD4B"/>
    <w:rsid w:val="DBD5EE8A"/>
    <w:rsid w:val="DF671AB1"/>
    <w:rsid w:val="DF7B31B7"/>
    <w:rsid w:val="DFBDCEE2"/>
    <w:rsid w:val="DFF844CC"/>
    <w:rsid w:val="E7FD0A82"/>
    <w:rsid w:val="EF6F4B52"/>
    <w:rsid w:val="EFEB112C"/>
    <w:rsid w:val="F3FD86CF"/>
    <w:rsid w:val="F4FE1E3B"/>
    <w:rsid w:val="F87F4D24"/>
    <w:rsid w:val="FC7D141F"/>
    <w:rsid w:val="FE9F31A0"/>
    <w:rsid w:val="FFDD1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9"/>
    <w:pPr>
      <w:keepNext/>
      <w:keepLines/>
      <w:adjustRightInd w:val="0"/>
      <w:snapToGrid w:val="0"/>
      <w:jc w:val="left"/>
      <w:outlineLvl w:val="3"/>
    </w:pPr>
    <w:rPr>
      <w:rFonts w:cstheme="majorBidi"/>
      <w:b/>
      <w:bCs/>
      <w:szCs w:val="28"/>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ascii="Times New Roman" w:hAnsi="Times New Roman" w:eastAsia="宋体"/>
      <w:szCs w:val="24"/>
    </w:rPr>
  </w:style>
  <w:style w:type="paragraph" w:styleId="4">
    <w:name w:val="Body Text First Indent 2"/>
    <w:basedOn w:val="5"/>
    <w:next w:val="1"/>
    <w:qFormat/>
    <w:uiPriority w:val="0"/>
    <w:pPr>
      <w:adjustRightInd w:val="0"/>
      <w:ind w:firstLine="420"/>
      <w:textAlignment w:val="baseline"/>
    </w:pPr>
    <w:rPr>
      <w:rFonts w:ascii="宋体" w:hAnsi="宋体"/>
      <w:sz w:val="18"/>
      <w:szCs w:val="18"/>
    </w:rPr>
  </w:style>
  <w:style w:type="paragraph" w:styleId="5">
    <w:name w:val="Body Text Indent"/>
    <w:basedOn w:val="1"/>
    <w:next w:val="1"/>
    <w:qFormat/>
    <w:uiPriority w:val="0"/>
    <w:pPr>
      <w:spacing w:after="120"/>
      <w:ind w:left="420" w:leftChars="200"/>
    </w:pPr>
    <w:rPr>
      <w:rFonts w:ascii="Times New Roman" w:hAnsi="Times New Roman" w:eastAsia="宋体" w:cs="Times New Roman"/>
      <w:szCs w:val="20"/>
    </w:rPr>
  </w:style>
  <w:style w:type="paragraph" w:styleId="6">
    <w:name w:val="annotation text"/>
    <w:basedOn w:val="1"/>
    <w:link w:val="24"/>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left" w:pos="284"/>
        <w:tab w:val="right" w:leader="dot" w:pos="8296"/>
      </w:tabs>
    </w:pPr>
  </w:style>
  <w:style w:type="paragraph" w:styleId="10">
    <w:name w:val="annotation subject"/>
    <w:basedOn w:val="6"/>
    <w:next w:val="6"/>
    <w:link w:val="25"/>
    <w:semiHidden/>
    <w:unhideWhenUsed/>
    <w:qFormat/>
    <w:uiPriority w:val="99"/>
    <w:rPr>
      <w:b/>
      <w:bCs/>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paragraph" w:customStyle="1" w:styleId="15">
    <w:name w:val="Default"/>
    <w:basedOn w:val="16"/>
    <w:qFormat/>
    <w:uiPriority w:val="0"/>
    <w:pPr>
      <w:widowControl w:val="0"/>
      <w:tabs>
        <w:tab w:val="left" w:pos="0"/>
        <w:tab w:val="left" w:pos="7012"/>
      </w:tabs>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环保正文"/>
    <w:basedOn w:val="1"/>
    <w:qFormat/>
    <w:uiPriority w:val="0"/>
    <w:pPr>
      <w:tabs>
        <w:tab w:val="left" w:pos="0"/>
        <w:tab w:val="left" w:pos="7012"/>
      </w:tabs>
      <w:autoSpaceDE w:val="0"/>
      <w:autoSpaceDN w:val="0"/>
      <w:spacing w:line="360" w:lineRule="auto"/>
      <w:ind w:firstLine="200" w:firstLineChars="200"/>
    </w:pPr>
    <w:rPr>
      <w:rFonts w:ascii="Times New Roman"/>
    </w:rPr>
  </w:style>
  <w:style w:type="paragraph" w:customStyle="1" w:styleId="17">
    <w:name w:val="纯文本1"/>
    <w:basedOn w:val="1"/>
    <w:qFormat/>
    <w:uiPriority w:val="0"/>
    <w:rPr>
      <w:rFonts w:ascii="宋体" w:hAnsi="Courier New"/>
      <w:szCs w:val="20"/>
    </w:rPr>
  </w:style>
  <w:style w:type="paragraph" w:customStyle="1" w:styleId="18">
    <w:name w:val="正文1"/>
    <w:basedOn w:val="15"/>
    <w:qFormat/>
    <w:uiPriority w:val="0"/>
    <w:pPr>
      <w:autoSpaceDE w:val="0"/>
      <w:autoSpaceDN w:val="0"/>
      <w:spacing w:beforeLines="25" w:afterLines="25" w:line="360" w:lineRule="auto"/>
      <w:ind w:firstLine="480" w:firstLineChars="200"/>
    </w:pPr>
    <w:rPr>
      <w:rFonts w:ascii="宋体" w:hAnsi="Calibri" w:cs="宋体"/>
      <w:color w:val="000000"/>
      <w:sz w:val="24"/>
      <w:szCs w:val="24"/>
    </w:rPr>
  </w:style>
  <w:style w:type="character" w:customStyle="1" w:styleId="19">
    <w:name w:val="未处理的提及1"/>
    <w:basedOn w:val="12"/>
    <w:semiHidden/>
    <w:unhideWhenUsed/>
    <w:qFormat/>
    <w:uiPriority w:val="99"/>
    <w:rPr>
      <w:color w:val="605E5C"/>
      <w:shd w:val="clear" w:color="auto" w:fill="E1DFDD"/>
    </w:rPr>
  </w:style>
  <w:style w:type="character" w:customStyle="1" w:styleId="20">
    <w:name w:val="页眉 字符"/>
    <w:basedOn w:val="12"/>
    <w:link w:val="8"/>
    <w:qFormat/>
    <w:uiPriority w:val="99"/>
    <w:rPr>
      <w:kern w:val="2"/>
      <w:sz w:val="18"/>
      <w:szCs w:val="18"/>
    </w:rPr>
  </w:style>
  <w:style w:type="paragraph" w:customStyle="1" w:styleId="21">
    <w:name w:val="表文"/>
    <w:basedOn w:val="1"/>
    <w:qFormat/>
    <w:uiPriority w:val="0"/>
    <w:pPr>
      <w:overflowPunct w:val="0"/>
      <w:spacing w:line="440" w:lineRule="exact"/>
      <w:jc w:val="center"/>
      <w:textAlignment w:val="baseline"/>
    </w:pPr>
    <w:rPr>
      <w:rFonts w:ascii="Arial" w:hAnsi="Arial" w:eastAsia="宋体" w:cs="Times New Roman"/>
      <w:szCs w:val="20"/>
    </w:rPr>
  </w:style>
  <w:style w:type="paragraph" w:customStyle="1" w:styleId="22">
    <w:name w:val="样式 (符号) 宋体 小四 行距: 1.5 倍行距"/>
    <w:basedOn w:val="1"/>
    <w:qFormat/>
    <w:uiPriority w:val="0"/>
    <w:pPr>
      <w:spacing w:line="360" w:lineRule="auto"/>
      <w:ind w:firstLine="200" w:firstLineChars="200"/>
    </w:pPr>
    <w:rPr>
      <w:rFonts w:ascii="Times New Roman" w:hAnsi="Times New Roman" w:eastAsia="宋体" w:cs="宋体"/>
      <w:sz w:val="24"/>
      <w:szCs w:val="24"/>
    </w:rPr>
  </w:style>
  <w:style w:type="paragraph" w:styleId="23">
    <w:name w:val="List Paragraph"/>
    <w:basedOn w:val="1"/>
    <w:qFormat/>
    <w:uiPriority w:val="99"/>
    <w:pPr>
      <w:ind w:firstLine="420" w:firstLineChars="200"/>
    </w:pPr>
  </w:style>
  <w:style w:type="character" w:customStyle="1" w:styleId="24">
    <w:name w:val="批注文字 字符"/>
    <w:basedOn w:val="12"/>
    <w:link w:val="6"/>
    <w:semiHidden/>
    <w:qFormat/>
    <w:uiPriority w:val="99"/>
    <w:rPr>
      <w:kern w:val="2"/>
      <w:sz w:val="21"/>
      <w:szCs w:val="22"/>
    </w:rPr>
  </w:style>
  <w:style w:type="character" w:customStyle="1" w:styleId="25">
    <w:name w:val="批注主题 字符"/>
    <w:basedOn w:val="24"/>
    <w:link w:val="10"/>
    <w:semiHidden/>
    <w:qFormat/>
    <w:uiPriority w:val="99"/>
    <w:rPr>
      <w:b/>
      <w:bCs/>
      <w:kern w:val="2"/>
      <w:sz w:val="21"/>
      <w:szCs w:val="22"/>
    </w:rPr>
  </w:style>
  <w:style w:type="paragraph" w:customStyle="1" w:styleId="26">
    <w:name w:val="高-正文"/>
    <w:basedOn w:val="1"/>
    <w:qFormat/>
    <w:uiPriority w:val="0"/>
    <w:pPr>
      <w:topLinePunct/>
      <w:adjustRightInd w:val="0"/>
      <w:snapToGrid w:val="0"/>
      <w:spacing w:line="480" w:lineRule="exact"/>
      <w:ind w:firstLine="600"/>
    </w:pPr>
    <w:rPr>
      <w:rFonts w:ascii="等线" w:hAnsi="等线" w:eastAsia="等线"/>
    </w:rPr>
  </w:style>
  <w:style w:type="paragraph" w:customStyle="1" w:styleId="27">
    <w:name w:val="报告书正文"/>
    <w:basedOn w:val="1"/>
    <w:qFormat/>
    <w:uiPriority w:val="0"/>
    <w:pPr>
      <w:adjustRightInd w:val="0"/>
      <w:snapToGrid w:val="0"/>
      <w:spacing w:line="360" w:lineRule="auto"/>
      <w:ind w:firstLine="425" w:firstLineChars="200"/>
      <w:textAlignment w:val="baseline"/>
    </w:pPr>
    <w:rPr>
      <w:rFonts w:ascii="Arial" w:hAnsi="Arial"/>
      <w:kern w:val="0"/>
      <w:sz w:val="24"/>
      <w:szCs w:val="22"/>
      <w:lang w:eastAsia="en-US" w:bidi="en-US"/>
    </w:rPr>
  </w:style>
  <w:style w:type="paragraph" w:customStyle="1" w:styleId="28">
    <w:name w:val="环评正文"/>
    <w:basedOn w:val="18"/>
    <w:qFormat/>
    <w:uiPriority w:val="0"/>
    <w:pPr>
      <w:snapToGrid w:val="0"/>
    </w:pPr>
    <w:rPr>
      <w:rFonts w:asci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2462</Words>
  <Characters>2662</Characters>
  <Lines>19</Lines>
  <Paragraphs>5</Paragraphs>
  <TotalTime>2</TotalTime>
  <ScaleCrop>false</ScaleCrop>
  <LinksUpToDate>false</LinksUpToDate>
  <CharactersWithSpaces>2688</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2023-02-06T09:32:00Z</dcterms:created>
  <dc:creator>hui hui</dc:creator>
  <cp:lastModifiedBy>inspur</cp:lastModifiedBy>
  <cp:lastPrinted>2023-02-06T09:39:00Z</cp:lastPrinted>
  <dcterms:modified xsi:type="dcterms:W3CDTF">2026-05-13T11:09:39Z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D62BE38A138A4F5A98CF410B1895748D_13</vt:lpwstr>
  </property>
  <property fmtid="{D5CDD505-2E9C-101B-9397-08002B2CF9AE}" pid="4" name="KSOTemplateDocerSaveRecord">
    <vt:lpwstr>eyJoZGlkIjoiYTMxN2NjYjA1ZTRhZTQ5NzE1MTk5NTJmZDUyNDk2ZDIiLCJ1c2VySWQiOiIyNTI3NzEwNTEifQ==</vt:lpwstr>
  </property>
</Properties>
</file>