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FB712">
      <w:pPr>
        <w:keepNext w:val="0"/>
        <w:keepLines w:val="0"/>
        <w:pageBreakBefore w:val="0"/>
        <w:kinsoku/>
        <w:wordWrap/>
        <w:overflowPunct/>
        <w:topLinePunct w:val="0"/>
        <w:bidi w:val="0"/>
        <w:snapToGrid w:val="0"/>
        <w:spacing w:line="560" w:lineRule="exact"/>
        <w:ind w:firstLine="0" w:firstLineChars="0"/>
        <w:rPr>
          <w:rFonts w:hint="eastAsia"/>
          <w:color w:val="C00000"/>
          <w:sz w:val="32"/>
          <w:szCs w:val="32"/>
          <w:highlight w:val="yellow"/>
        </w:rPr>
      </w:pPr>
      <w:bookmarkStart w:id="0" w:name="_Hlk124747957"/>
    </w:p>
    <w:p w14:paraId="48E0E953">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5EA8A0CA">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77C98B34">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18814C2E">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6A638D7D">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3ECD62C3">
      <w:pPr>
        <w:pStyle w:val="27"/>
        <w:keepNext w:val="0"/>
        <w:keepLines w:val="0"/>
        <w:pageBreakBefore w:val="0"/>
        <w:kinsoku/>
        <w:wordWrap/>
        <w:overflowPunct/>
        <w:topLinePunct w:val="0"/>
        <w:bidi w:val="0"/>
        <w:spacing w:line="560" w:lineRule="exact"/>
        <w:ind w:left="0" w:leftChars="0" w:firstLine="0" w:firstLineChars="0"/>
        <w:rPr>
          <w:rFonts w:hint="eastAsia"/>
          <w:sz w:val="32"/>
          <w:szCs w:val="32"/>
          <w:highlight w:val="yellow"/>
        </w:rPr>
      </w:pPr>
    </w:p>
    <w:p w14:paraId="5440E1CC">
      <w:pPr>
        <w:keepNext w:val="0"/>
        <w:keepLines w:val="0"/>
        <w:pageBreakBefore w:val="0"/>
        <w:kinsoku/>
        <w:wordWrap/>
        <w:overflowPunct/>
        <w:topLinePunct w:val="0"/>
        <w:bidi w:val="0"/>
        <w:snapToGrid w:val="0"/>
        <w:spacing w:line="560" w:lineRule="exact"/>
        <w:ind w:left="0" w:leftChars="0" w:firstLine="0" w:firstLineChars="0"/>
        <w:jc w:val="left"/>
        <w:rPr>
          <w:rFonts w:hint="eastAsia"/>
          <w:color w:val="auto"/>
          <w:sz w:val="32"/>
          <w:szCs w:val="32"/>
        </w:rPr>
      </w:pPr>
    </w:p>
    <w:p w14:paraId="1F63A093">
      <w:pPr>
        <w:autoSpaceDE w:val="0"/>
        <w:autoSpaceDN w:val="0"/>
        <w:adjustRightInd w:val="0"/>
        <w:snapToGrid w:val="0"/>
        <w:spacing w:line="560" w:lineRule="exact"/>
        <w:jc w:val="center"/>
        <w:rPr>
          <w:rFonts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w:t>
      </w:r>
      <w:r>
        <w:rPr>
          <w:rFonts w:hint="eastAsia" w:ascii="仿宋_GB2312" w:hAnsi="Times New Roman" w:eastAsia="仿宋_GB2312" w:cs="Arial"/>
          <w:color w:val="auto"/>
          <w:sz w:val="32"/>
          <w:szCs w:val="32"/>
          <w:highlight w:val="none"/>
          <w:lang w:val="en-US" w:eastAsia="zh-CN" w:bidi="en-US"/>
        </w:rPr>
        <w:t>6</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10</w:t>
      </w:r>
      <w:r>
        <w:rPr>
          <w:rFonts w:hint="eastAsia" w:ascii="仿宋_GB2312" w:hAnsi="Times New Roman" w:eastAsia="仿宋_GB2312" w:cs="Arial"/>
          <w:color w:val="auto"/>
          <w:sz w:val="32"/>
          <w:szCs w:val="32"/>
          <w:highlight w:val="none"/>
          <w:lang w:bidi="en-US"/>
        </w:rPr>
        <w:t>号</w:t>
      </w:r>
    </w:p>
    <w:p w14:paraId="1BFA2F69">
      <w:pPr>
        <w:keepNext w:val="0"/>
        <w:keepLines w:val="0"/>
        <w:pageBreakBefore w:val="0"/>
        <w:widowControl/>
        <w:kinsoku/>
        <w:wordWrap/>
        <w:overflowPunct/>
        <w:topLinePunct w:val="0"/>
        <w:autoSpaceDE/>
        <w:autoSpaceDN/>
        <w:bidi w:val="0"/>
        <w:adjustRightInd/>
        <w:snapToGrid/>
        <w:spacing w:line="700" w:lineRule="exact"/>
        <w:jc w:val="center"/>
        <w:textAlignment w:val="baseline"/>
        <w:rPr>
          <w:rFonts w:hint="eastAsia" w:ascii="方正小标宋简体" w:hAnsi="方正小标宋简体" w:eastAsia="方正小标宋简体" w:cs="方正小标宋简体"/>
          <w:bCs/>
          <w:color w:val="auto"/>
          <w:sz w:val="44"/>
          <w:szCs w:val="44"/>
          <w:highlight w:val="none"/>
        </w:rPr>
      </w:pPr>
    </w:p>
    <w:p w14:paraId="25ED4317">
      <w:pPr>
        <w:keepNext w:val="0"/>
        <w:keepLines w:val="0"/>
        <w:pageBreakBefore w:val="0"/>
        <w:widowControl/>
        <w:kinsoku/>
        <w:wordWrap/>
        <w:overflowPunct/>
        <w:topLinePunct w:val="0"/>
        <w:bidi w:val="0"/>
        <w:spacing w:line="700" w:lineRule="exact"/>
        <w:jc w:val="center"/>
        <w:textAlignment w:val="baseline"/>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锡林郭勒盟生态环境局</w:t>
      </w:r>
    </w:p>
    <w:bookmarkEnd w:id="0"/>
    <w:p w14:paraId="51752239">
      <w:pPr>
        <w:keepNext w:val="0"/>
        <w:keepLines w:val="0"/>
        <w:pageBreakBefore w:val="0"/>
        <w:kinsoku/>
        <w:wordWrap/>
        <w:overflowPunct/>
        <w:topLinePunct w:val="0"/>
        <w:autoSpaceDE w:val="0"/>
        <w:autoSpaceDN w:val="0"/>
        <w:bidi w:val="0"/>
        <w:adjustRightInd w:val="0"/>
        <w:snapToGrid w:val="0"/>
        <w:spacing w:line="700" w:lineRule="exact"/>
        <w:jc w:val="cente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rPr>
        <w:t>关于</w:t>
      </w:r>
      <w:r>
        <w:rPr>
          <w:rFonts w:hint="eastAsia" w:ascii="方正小标宋简体" w:hAnsi="方正小标宋简体" w:eastAsia="方正小标宋简体" w:cs="方正小标宋简体"/>
          <w:bCs/>
          <w:color w:val="auto"/>
          <w:sz w:val="44"/>
          <w:szCs w:val="44"/>
          <w:highlight w:val="none"/>
          <w:lang w:eastAsia="zh-CN"/>
        </w:rPr>
        <w:t>大唐内蒙古多伦煤化工有限责任公司滤饼、污泥等一般固体废物综合利用项目</w:t>
      </w:r>
    </w:p>
    <w:p w14:paraId="4E2C9C91">
      <w:pPr>
        <w:keepNext w:val="0"/>
        <w:keepLines w:val="0"/>
        <w:pageBreakBefore w:val="0"/>
        <w:kinsoku/>
        <w:wordWrap/>
        <w:overflowPunct/>
        <w:topLinePunct w:val="0"/>
        <w:autoSpaceDE w:val="0"/>
        <w:autoSpaceDN w:val="0"/>
        <w:bidi w:val="0"/>
        <w:adjustRightInd w:val="0"/>
        <w:snapToGrid w:val="0"/>
        <w:spacing w:line="7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环境影响报告书的批复</w:t>
      </w:r>
    </w:p>
    <w:p w14:paraId="3A15A36C">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ascii="仿宋_GB2312" w:hAnsi="仿宋_GB2312" w:eastAsia="仿宋_GB2312" w:cs="仿宋_GB2312"/>
          <w:color w:val="auto"/>
          <w:sz w:val="32"/>
          <w:szCs w:val="32"/>
          <w:lang w:bidi="en-US"/>
        </w:rPr>
      </w:pPr>
    </w:p>
    <w:p w14:paraId="598F22F7">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val="en-US" w:eastAsia="zh-CN" w:bidi="en-US"/>
        </w:rPr>
        <w:t>大唐内蒙古多伦煤化工有限责任公司</w:t>
      </w:r>
      <w:r>
        <w:rPr>
          <w:rFonts w:hint="eastAsia" w:ascii="仿宋_GB2312" w:hAnsi="仿宋_GB2312" w:eastAsia="仿宋_GB2312" w:cs="仿宋_GB2312"/>
          <w:color w:val="auto"/>
          <w:sz w:val="32"/>
          <w:szCs w:val="32"/>
          <w:lang w:bidi="en-US"/>
        </w:rPr>
        <w:t>：</w:t>
      </w:r>
    </w:p>
    <w:p w14:paraId="3999B544">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val="en-US" w:eastAsia="zh-CN" w:bidi="en-US"/>
        </w:rPr>
        <w:t xml:space="preserve">    </w:t>
      </w:r>
      <w:r>
        <w:rPr>
          <w:rFonts w:hint="eastAsia" w:ascii="仿宋_GB2312" w:hAnsi="仿宋_GB2312" w:eastAsia="仿宋_GB2312" w:cs="仿宋_GB2312"/>
          <w:color w:val="auto"/>
          <w:sz w:val="32"/>
          <w:szCs w:val="32"/>
          <w:lang w:bidi="en-US"/>
        </w:rPr>
        <w:t>你单位报送的《</w:t>
      </w:r>
      <w:r>
        <w:rPr>
          <w:rFonts w:hint="eastAsia" w:ascii="仿宋_GB2312" w:hAnsi="仿宋_GB2312" w:eastAsia="仿宋_GB2312" w:cs="仿宋_GB2312"/>
          <w:color w:val="auto"/>
          <w:sz w:val="32"/>
          <w:szCs w:val="32"/>
          <w:lang w:val="en-US" w:eastAsia="zh-CN" w:bidi="en-US"/>
        </w:rPr>
        <w:t>大唐内蒙古多伦煤化工有限责任公司滤饼、污泥等一般固体废物综合利用项目</w:t>
      </w:r>
      <w:r>
        <w:rPr>
          <w:rFonts w:hint="eastAsia" w:ascii="仿宋_GB2312" w:hAnsi="仿宋_GB2312" w:eastAsia="仿宋_GB2312" w:cs="仿宋_GB2312"/>
          <w:color w:val="auto"/>
          <w:sz w:val="32"/>
          <w:szCs w:val="32"/>
          <w:lang w:bidi="en-US"/>
        </w:rPr>
        <w:t>环境影响报告书》（</w:t>
      </w:r>
      <w:r>
        <w:rPr>
          <w:rFonts w:hint="eastAsia" w:ascii="仿宋_GB2312" w:hAnsi="仿宋_GB2312" w:eastAsia="仿宋_GB2312" w:cs="仿宋_GB2312"/>
          <w:color w:val="auto"/>
          <w:sz w:val="32"/>
          <w:szCs w:val="32"/>
          <w:lang w:eastAsia="zh-Hans" w:bidi="en-US"/>
        </w:rPr>
        <w:t>以下简称《报告书》</w:t>
      </w:r>
      <w:r>
        <w:rPr>
          <w:rFonts w:hint="eastAsia" w:ascii="仿宋_GB2312" w:hAnsi="仿宋_GB2312" w:eastAsia="仿宋_GB2312" w:cs="仿宋_GB2312"/>
          <w:color w:val="auto"/>
          <w:sz w:val="32"/>
          <w:szCs w:val="32"/>
          <w:lang w:bidi="en-US"/>
        </w:rPr>
        <w:t>）收悉。经研究，批复如下：</w:t>
      </w:r>
    </w:p>
    <w:p w14:paraId="4A38929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en-US"/>
        </w:rPr>
      </w:pPr>
      <w:r>
        <w:rPr>
          <w:rFonts w:hint="eastAsia" w:ascii="仿宋_GB2312" w:hAnsi="仿宋_GB2312" w:eastAsia="仿宋_GB2312" w:cs="仿宋_GB2312"/>
          <w:color w:val="auto"/>
          <w:sz w:val="32"/>
          <w:szCs w:val="32"/>
          <w:lang w:val="en-US" w:eastAsia="zh-CN" w:bidi="en-US"/>
        </w:rPr>
        <w:t>一、大唐内蒙古多伦煤化工有限责任公司滤饼、污泥等一般固体废物综合利用项目</w:t>
      </w:r>
      <w:r>
        <w:rPr>
          <w:rFonts w:hint="eastAsia" w:ascii="仿宋_GB2312" w:hAnsi="仿宋_GB2312" w:eastAsia="仿宋_GB2312" w:cs="仿宋_GB2312"/>
          <w:color w:val="auto"/>
          <w:kern w:val="2"/>
          <w:sz w:val="32"/>
          <w:szCs w:val="32"/>
          <w:lang w:val="en-US" w:eastAsia="zh-CN" w:bidi="en-US"/>
        </w:rPr>
        <w:t>位于大唐内蒙古多伦煤化工有限责任公司现有厂区内，总占地面积为</w:t>
      </w:r>
      <w:r>
        <w:rPr>
          <w:rFonts w:hint="eastAsia" w:ascii="仿宋_GB2312" w:hAnsi="仿宋_GB2312" w:eastAsia="仿宋_GB2312"/>
          <w:color w:val="000000"/>
          <w:sz w:val="32"/>
          <w:szCs w:val="32"/>
          <w:lang w:val="en-US" w:eastAsia="zh-CN"/>
        </w:rPr>
        <w:t>209.275</w:t>
      </w:r>
      <w:r>
        <w:rPr>
          <w:rFonts w:hint="eastAsia" w:ascii="仿宋_GB2312" w:hAnsi="仿宋_GB2312" w:eastAsia="仿宋_GB2312" w:cs="仿宋_GB2312"/>
          <w:color w:val="auto"/>
          <w:kern w:val="2"/>
          <w:sz w:val="32"/>
          <w:szCs w:val="32"/>
          <w:lang w:val="en-US" w:eastAsia="zh-CN" w:bidi="en-US"/>
        </w:rPr>
        <w:t>平方米，</w:t>
      </w:r>
      <w:r>
        <w:rPr>
          <w:rFonts w:hint="eastAsia" w:ascii="仿宋_GB2312" w:hAnsi="仿宋_GB2312" w:eastAsia="仿宋_GB2312"/>
          <w:color w:val="000000"/>
          <w:sz w:val="32"/>
          <w:szCs w:val="32"/>
          <w:lang w:val="en-US" w:eastAsia="zh-CN"/>
        </w:rPr>
        <w:t>本次技改工程不新增占地</w:t>
      </w:r>
      <w:r>
        <w:rPr>
          <w:rFonts w:hint="eastAsia" w:ascii="仿宋_GB2312" w:hAnsi="仿宋_GB2312" w:eastAsia="仿宋_GB2312" w:cs="仿宋_GB2312"/>
          <w:color w:val="auto"/>
          <w:kern w:val="2"/>
          <w:sz w:val="32"/>
          <w:szCs w:val="32"/>
          <w:lang w:val="en-US" w:eastAsia="zh-CN" w:bidi="en-US"/>
        </w:rPr>
        <w:t xml:space="preserve">。技改项目主要建设内容为：拟建污泥脱水系统一套，用于气化滤饼、SBR污泥、低盐生化污泥、物化污泥和MBR污泥的压滤脱水，以上固废经脱水后送至储煤场与原煤按比例混匀，依托该公司现有5×420t/h锅炉中的1#、2#锅炉进行焚烧。项目建成后，年掺烧处置污泥114555吨，最大掺烧比例控制在7.84%。  </w:t>
      </w:r>
    </w:p>
    <w:p w14:paraId="2E5BB5B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en-US"/>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《报告书》认为，在全面落实各项生态保护和污染防治措施的前提下，项目建设对环境的不利影响能够得到一定的缓解和控制。我局原则同意本项目按照《报告书》所列的建设项目性质、规模、地点</w:t>
      </w:r>
      <w:r>
        <w:rPr>
          <w:rFonts w:hint="eastAsia" w:ascii="仿宋_GB2312" w:hAnsi="仿宋_GB2312" w:eastAsia="仿宋_GB2312" w:cs="仿宋_GB2312"/>
          <w:color w:val="auto"/>
          <w:sz w:val="32"/>
          <w:szCs w:val="32"/>
          <w:lang w:val="en-US" w:eastAsia="zh-CN" w:bidi="en-US"/>
        </w:rPr>
        <w:t>和拟采取的污染防治措施及下述要求进行建设。</w:t>
      </w:r>
    </w:p>
    <w:p w14:paraId="2E28EE7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二、项目在设计、建设和运营过程中还应做好以下工作</w:t>
      </w:r>
    </w:p>
    <w:p w14:paraId="23CC30F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（一）严格落实各项大气污染防治措施。</w:t>
      </w:r>
      <w:r>
        <w:rPr>
          <w:rFonts w:hint="eastAsia" w:ascii="仿宋_GB2312" w:hAnsi="仿宋_GB2312" w:eastAsia="仿宋_GB2312" w:cs="仿宋_GB2312"/>
          <w:color w:val="auto"/>
          <w:kern w:val="2"/>
          <w:sz w:val="32"/>
          <w:szCs w:val="32"/>
          <w:lang w:val="en-US" w:eastAsia="zh-CN" w:bidi="ar-SA"/>
        </w:rPr>
        <w:t>掺烧污泥锅炉烟气依托现有烟气净化系统（低氮燃烧+SCR 脱硝+双室五电场静电除尘器+石灰石-石膏法脱硫）处理后，通过烟囱排放，其中颗粒物、二氧化硫、氮氧化物、汞及其化合物、烟气黑度排放须满足《火电厂大气污染物排放标准》（GB13223-2011）浓度限值要求，HCl、重金属及其化合物、二噁英排放须满足《生活垃圾焚烧污染控制标准》（GB18485-2014）浓度限值要求，氟化物排放须满足《大气污染物综合排放标准》</w:t>
      </w:r>
      <w:bookmarkStart w:id="1" w:name="_GoBack"/>
      <w:bookmarkEnd w:id="1"/>
      <w:r>
        <w:rPr>
          <w:rFonts w:hint="eastAsia" w:ascii="仿宋_GB2312" w:hAnsi="仿宋_GB2312" w:eastAsia="仿宋_GB2312" w:cs="仿宋_GB2312"/>
          <w:color w:val="auto"/>
          <w:kern w:val="2"/>
          <w:sz w:val="32"/>
          <w:szCs w:val="32"/>
          <w:lang w:val="en-US" w:eastAsia="zh-CN" w:bidi="ar-SA"/>
        </w:rPr>
        <w:t xml:space="preserve">（GB16297-1996）浓度限值要求；污泥压滤、暂存、搅拌环节均置于封闭车间内，同时定期喷洒除臭剂，最终恶臭污染因子无组织排放须满足《恶臭污染物排放标准》（GB14554-1993）浓度限值要求。 </w:t>
      </w:r>
    </w:p>
    <w:p w14:paraId="412A1F1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 xml:space="preserve">    （二）严格落实固体废物污染防治措施。</w:t>
      </w:r>
      <w:r>
        <w:rPr>
          <w:rFonts w:hint="eastAsia" w:ascii="仿宋_GB2312" w:hAnsi="仿宋_GB2312" w:eastAsia="仿宋_GB2312"/>
          <w:b w:val="0"/>
          <w:bCs w:val="0"/>
          <w:color w:val="000000"/>
          <w:kern w:val="2"/>
          <w:sz w:val="32"/>
          <w:szCs w:val="32"/>
          <w:lang w:val="en-US" w:eastAsia="zh-CN" w:bidi="en-US"/>
        </w:rPr>
        <w:t>脱硫石膏均依托该公司现有灰渣处置场处理；废反渗透膜由厂家上门更换回收；锅炉灰渣及除尘器收尘灰经鉴定后，若为一般工业固废则依托该公司现有灰渣处置场处理，若为危险废物则与废脱硝催化剂一起，分类分区暂存于标准化危废暂存间内，定期委托有资质的单位处置。本次技改项目不新增定员，无新增生活垃圾排放。</w:t>
      </w:r>
    </w:p>
    <w:p w14:paraId="389FE96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b w:val="0"/>
          <w:bCs w:val="0"/>
          <w:color w:val="000000"/>
          <w:kern w:val="2"/>
          <w:sz w:val="32"/>
          <w:szCs w:val="32"/>
          <w:lang w:val="en-US" w:eastAsia="zh-CN" w:bidi="en-US"/>
        </w:rPr>
      </w:pPr>
      <w:r>
        <w:rPr>
          <w:rFonts w:hint="eastAsia" w:ascii="楷体" w:hAnsi="楷体" w:eastAsia="楷体" w:cs="楷体"/>
          <w:color w:val="auto"/>
          <w:kern w:val="2"/>
          <w:sz w:val="32"/>
          <w:szCs w:val="32"/>
          <w:lang w:val="en-US" w:eastAsia="zh-CN" w:bidi="ar-SA"/>
        </w:rPr>
        <w:t>（三）严格落实各项水污染防治措施。</w:t>
      </w:r>
      <w:r>
        <w:rPr>
          <w:rFonts w:hint="eastAsia" w:ascii="仿宋_GB2312" w:hAnsi="仿宋_GB2312" w:eastAsia="仿宋_GB2312"/>
          <w:b w:val="0"/>
          <w:bCs w:val="0"/>
          <w:color w:val="000000"/>
          <w:kern w:val="2"/>
          <w:sz w:val="32"/>
          <w:szCs w:val="32"/>
          <w:lang w:val="en-US" w:eastAsia="zh-CN" w:bidi="en-US"/>
        </w:rPr>
        <w:t>板框压滤废水、板框及车辆冲洗废水均依托</w:t>
      </w:r>
      <w:r>
        <w:rPr>
          <w:rFonts w:hint="eastAsia" w:ascii="仿宋_GB2312" w:hAnsi="仿宋_GB2312"/>
          <w:b w:val="0"/>
          <w:bCs w:val="0"/>
          <w:color w:val="000000"/>
          <w:kern w:val="2"/>
          <w:sz w:val="32"/>
          <w:szCs w:val="32"/>
          <w:lang w:val="en-US" w:eastAsia="zh-CN" w:bidi="en-US"/>
        </w:rPr>
        <w:t>SBR</w:t>
      </w:r>
      <w:r>
        <w:rPr>
          <w:rFonts w:hint="eastAsia" w:ascii="仿宋_GB2312" w:hAnsi="仿宋_GB2312" w:eastAsia="仿宋_GB2312"/>
          <w:b w:val="0"/>
          <w:bCs w:val="0"/>
          <w:color w:val="000000"/>
          <w:kern w:val="2"/>
          <w:sz w:val="32"/>
          <w:szCs w:val="32"/>
          <w:lang w:val="en-US" w:eastAsia="zh-CN" w:bidi="en-US"/>
        </w:rPr>
        <w:t>污水处理系统处理满足《城市污水再生利用 工业用水水质》（GB/T19923-2024）浓度限值要求后，回用循环冷却水系统。本次技改项目不新增定员，无新增生活污水排放。</w:t>
      </w:r>
    </w:p>
    <w:p w14:paraId="008FB2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（四）严格落实噪声防治措施。</w:t>
      </w:r>
      <w:r>
        <w:rPr>
          <w:rFonts w:hint="eastAsia" w:ascii="仿宋_GB2312" w:hAnsi="仿宋_GB2312" w:eastAsia="仿宋_GB2312" w:cs="仿宋_GB2312"/>
          <w:b w:val="0"/>
          <w:bCs w:val="0"/>
          <w:color w:val="auto"/>
          <w:kern w:val="2"/>
          <w:sz w:val="32"/>
          <w:szCs w:val="32"/>
          <w:highlight w:val="none"/>
          <w:lang w:val="en-US" w:eastAsia="zh-CN" w:bidi="en-US"/>
        </w:rPr>
        <w:t>选用低噪设备，针对不同的声源采取相应的消声、隔音、减振、降噪措施，减缓噪声不利影响，确保厂界噪声可满足《工业企</w:t>
      </w:r>
      <w:r>
        <w:rPr>
          <w:rFonts w:hint="eastAsia" w:ascii="仿宋_GB2312" w:hAnsi="仿宋_GB2312" w:eastAsia="仿宋_GB2312" w:cs="仿宋_GB2312"/>
          <w:color w:val="auto"/>
          <w:kern w:val="2"/>
          <w:sz w:val="32"/>
          <w:szCs w:val="32"/>
          <w:highlight w:val="none"/>
          <w:lang w:val="en-US" w:eastAsia="zh-CN" w:bidi="en-US"/>
        </w:rPr>
        <w:t>业厂界环境噪声排放标准》（GB12348-2008）3类区标准限值要求。</w:t>
      </w:r>
    </w:p>
    <w:p w14:paraId="52EB28A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（五）切实落实土壤和地下水污染防治措施。</w:t>
      </w:r>
      <w:r>
        <w:rPr>
          <w:rFonts w:hint="eastAsia" w:ascii="仿宋_GB2312" w:hAnsi="仿宋_GB2312" w:eastAsia="仿宋_GB2312" w:cs="仿宋_GB2312"/>
          <w:color w:val="auto"/>
          <w:kern w:val="2"/>
          <w:sz w:val="32"/>
          <w:szCs w:val="32"/>
          <w:highlight w:val="none"/>
          <w:lang w:val="en-US" w:eastAsia="zh-CN" w:bidi="en-US"/>
        </w:rPr>
        <w:t>按照“源头控制、分区防控、污染监控、应急响应”相结合的原则采取分区防渗。</w:t>
      </w:r>
    </w:p>
    <w:p w14:paraId="013703C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（六）强化环境风险防范措施。</w:t>
      </w:r>
      <w:r>
        <w:rPr>
          <w:rFonts w:hint="eastAsia" w:ascii="仿宋_GB2312" w:hAnsi="仿宋_GB2312" w:eastAsia="仿宋_GB2312" w:cs="仿宋_GB2312"/>
          <w:color w:val="auto"/>
          <w:kern w:val="2"/>
          <w:sz w:val="32"/>
          <w:szCs w:val="32"/>
          <w:highlight w:val="none"/>
          <w:lang w:val="en-US" w:eastAsia="zh-CN" w:bidi="en-US"/>
        </w:rPr>
        <w:t>落实环保设施安全生产工作，建立环保设备设施台账和维护管理制度。加强生产过程设备的管理与维修，</w:t>
      </w:r>
      <w:r>
        <w:rPr>
          <w:rFonts w:hint="default" w:ascii="仿宋_GB2312" w:hAnsi="仿宋_GB2312" w:eastAsia="仿宋_GB2312" w:cs="仿宋_GB2312"/>
          <w:color w:val="auto"/>
          <w:kern w:val="2"/>
          <w:sz w:val="32"/>
          <w:szCs w:val="32"/>
          <w:highlight w:val="none"/>
          <w:lang w:val="zh-CN" w:eastAsia="zh-CN" w:bidi="en-US"/>
        </w:rPr>
        <w:t>防止跑、冒、滴、漏</w:t>
      </w:r>
      <w:r>
        <w:rPr>
          <w:rFonts w:hint="eastAsia" w:ascii="仿宋_GB2312" w:hAnsi="仿宋_GB2312" w:eastAsia="仿宋_GB2312" w:cs="仿宋_GB2312"/>
          <w:color w:val="auto"/>
          <w:kern w:val="2"/>
          <w:sz w:val="32"/>
          <w:szCs w:val="32"/>
          <w:highlight w:val="none"/>
          <w:lang w:val="en-US" w:eastAsia="zh-CN" w:bidi="en-US"/>
        </w:rPr>
        <w:t>现象的发生；建立完善的环境管理制度和事故应急措施，制定切实可行的环境风险应急预案，加强对危废暂存间的管理；严格落实风险防范措施和应急预案，切实杜绝环境风险事故。</w:t>
      </w:r>
    </w:p>
    <w:p w14:paraId="0B67D46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（七）严格落实运营期污染源监测计划。</w:t>
      </w:r>
      <w:r>
        <w:rPr>
          <w:rFonts w:hint="eastAsia" w:ascii="仿宋_GB2312" w:hAnsi="仿宋_GB2312" w:eastAsia="仿宋_GB2312" w:cs="仿宋_GB2312"/>
          <w:color w:val="auto"/>
          <w:kern w:val="2"/>
          <w:sz w:val="32"/>
          <w:szCs w:val="32"/>
          <w:highlight w:val="none"/>
          <w:lang w:val="en-US" w:eastAsia="zh-CN" w:bidi="en-US"/>
        </w:rPr>
        <w:t>按照国家和地方有关规定设置规范的污染物排放口并设立标志牌。按照《报告书》内容落实环境管理及监测计划，落实重点污染源监测监控感知端建设并与生态环境部门联网。强化污染源与无组织排放源管理，制定自行监测方案，按规定开展自行监测和信息公开。各排气筒应按照规范要求预留永久性监测口和采样监测平台。如出现污染物超标排放情况，应立即查明原因并采取措施。</w:t>
      </w:r>
    </w:p>
    <w:p w14:paraId="2D0D2BE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三、项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14:paraId="36E2E73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四、我局委托锡林郭勒盟生态环境局</w:t>
      </w:r>
      <w:r>
        <w:rPr>
          <w:rFonts w:hint="eastAsia" w:ascii="仿宋_GB2312" w:hAnsi="仿宋_GB2312" w:eastAsia="仿宋_GB2312" w:cs="仿宋_GB2312"/>
          <w:color w:val="auto"/>
          <w:sz w:val="32"/>
          <w:szCs w:val="32"/>
          <w:lang w:val="en-US" w:eastAsia="zh-CN" w:bidi="en-US"/>
        </w:rPr>
        <w:t>多伦县</w:t>
      </w:r>
      <w:r>
        <w:rPr>
          <w:rFonts w:hint="eastAsia" w:ascii="仿宋_GB2312" w:hAnsi="仿宋_GB2312" w:eastAsia="仿宋_GB2312" w:cs="仿宋_GB2312"/>
          <w:color w:val="auto"/>
          <w:sz w:val="32"/>
          <w:szCs w:val="32"/>
          <w:lang w:eastAsia="zh-CN" w:bidi="en-US"/>
        </w:rPr>
        <w:t>分局</w:t>
      </w:r>
      <w:r>
        <w:rPr>
          <w:rFonts w:hint="eastAsia" w:ascii="仿宋_GB2312" w:hAnsi="仿宋_GB2312" w:eastAsia="仿宋_GB2312" w:cs="仿宋_GB2312"/>
          <w:color w:val="auto"/>
          <w:sz w:val="32"/>
          <w:szCs w:val="32"/>
          <w:lang w:bidi="en-US"/>
        </w:rPr>
        <w:t>对该项目各项污染防治措施落实情况进行监督检查和管理。</w:t>
      </w:r>
    </w:p>
    <w:p w14:paraId="1A14C6BD">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_GB2312" w:hAnsi="仿宋_GB2312" w:eastAsia="仿宋_GB2312" w:cs="仿宋_GB2312"/>
          <w:color w:val="auto"/>
          <w:sz w:val="32"/>
          <w:szCs w:val="32"/>
          <w:lang w:eastAsia="zh-CN" w:bidi="en-US"/>
        </w:rPr>
      </w:pPr>
    </w:p>
    <w:p w14:paraId="101CF6B3">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_GB2312" w:hAnsi="仿宋_GB2312" w:eastAsia="仿宋_GB2312" w:cs="仿宋_GB2312"/>
          <w:color w:val="auto"/>
          <w:sz w:val="32"/>
          <w:szCs w:val="32"/>
          <w:lang w:eastAsia="zh-CN" w:bidi="en-US"/>
        </w:rPr>
      </w:pPr>
    </w:p>
    <w:p w14:paraId="230552B1">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_GB2312" w:hAnsi="仿宋_GB2312" w:eastAsia="仿宋_GB2312" w:cs="仿宋_GB2312"/>
          <w:color w:val="auto"/>
          <w:sz w:val="32"/>
          <w:szCs w:val="32"/>
          <w:lang w:eastAsia="zh-CN" w:bidi="en-US"/>
        </w:rPr>
      </w:pPr>
    </w:p>
    <w:p w14:paraId="7D38BB4F">
      <w:pPr>
        <w:keepNext w:val="0"/>
        <w:keepLines w:val="0"/>
        <w:pageBreakBefore w:val="0"/>
        <w:widowControl w:val="0"/>
        <w:kinsoku/>
        <w:wordWrap/>
        <w:overflowPunct/>
        <w:autoSpaceDE w:val="0"/>
        <w:autoSpaceDN w:val="0"/>
        <w:bidi w:val="0"/>
        <w:adjustRightInd w:val="0"/>
        <w:snapToGrid w:val="0"/>
        <w:spacing w:line="560" w:lineRule="exact"/>
        <w:ind w:firstLine="4160" w:firstLineChars="13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14:paraId="24B5C153">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highlight w:val="none"/>
          <w:lang w:bidi="en-US"/>
        </w:rPr>
        <w:t>202</w:t>
      </w:r>
      <w:r>
        <w:rPr>
          <w:rFonts w:hint="eastAsia" w:ascii="仿宋_GB2312" w:hAnsi="仿宋_GB2312" w:eastAsia="仿宋_GB2312" w:cs="仿宋_GB2312"/>
          <w:color w:val="auto"/>
          <w:sz w:val="32"/>
          <w:szCs w:val="32"/>
          <w:highlight w:val="none"/>
          <w:lang w:val="en-US" w:eastAsia="zh-CN" w:bidi="en-US"/>
        </w:rPr>
        <w:t>6</w:t>
      </w:r>
      <w:r>
        <w:rPr>
          <w:rFonts w:hint="eastAsia" w:ascii="仿宋_GB2312" w:hAnsi="仿宋_GB2312" w:eastAsia="仿宋_GB2312" w:cs="仿宋_GB2312"/>
          <w:color w:val="auto"/>
          <w:sz w:val="32"/>
          <w:szCs w:val="32"/>
          <w:highlight w:val="none"/>
          <w:lang w:bidi="en-US"/>
        </w:rPr>
        <w:t>年</w:t>
      </w:r>
      <w:r>
        <w:rPr>
          <w:rFonts w:hint="eastAsia" w:ascii="仿宋_GB2312" w:hAnsi="仿宋_GB2312" w:eastAsia="仿宋_GB2312" w:cs="仿宋_GB2312"/>
          <w:color w:val="auto"/>
          <w:sz w:val="32"/>
          <w:szCs w:val="32"/>
          <w:highlight w:val="none"/>
          <w:lang w:val="en-US" w:eastAsia="zh-CN" w:bidi="en-US"/>
        </w:rPr>
        <w:t>5</w:t>
      </w:r>
      <w:r>
        <w:rPr>
          <w:rFonts w:hint="eastAsia" w:ascii="仿宋_GB2312" w:hAnsi="仿宋_GB2312" w:eastAsia="仿宋_GB2312" w:cs="仿宋_GB2312"/>
          <w:color w:val="auto"/>
          <w:sz w:val="32"/>
          <w:szCs w:val="32"/>
          <w:highlight w:val="none"/>
          <w:lang w:bidi="en-US"/>
        </w:rPr>
        <w:t>月</w:t>
      </w:r>
      <w:r>
        <w:rPr>
          <w:rFonts w:hint="eastAsia" w:ascii="仿宋_GB2312" w:hAnsi="仿宋_GB2312" w:eastAsia="仿宋_GB2312" w:cs="仿宋_GB2312"/>
          <w:color w:val="auto"/>
          <w:sz w:val="32"/>
          <w:szCs w:val="32"/>
          <w:highlight w:val="none"/>
          <w:lang w:val="en-US" w:eastAsia="zh-CN" w:bidi="en-US"/>
        </w:rPr>
        <w:t>13</w:t>
      </w:r>
      <w:r>
        <w:rPr>
          <w:rFonts w:hint="eastAsia" w:ascii="仿宋_GB2312" w:hAnsi="仿宋_GB2312" w:eastAsia="仿宋_GB2312" w:cs="仿宋_GB2312"/>
          <w:color w:val="auto"/>
          <w:sz w:val="32"/>
          <w:szCs w:val="32"/>
          <w:highlight w:val="none"/>
          <w:lang w:bidi="en-US"/>
        </w:rPr>
        <w:t>日</w:t>
      </w:r>
    </w:p>
    <w:p w14:paraId="180AA336">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auto"/>
          <w:sz w:val="32"/>
          <w:szCs w:val="32"/>
          <w:highlight w:val="none"/>
          <w:lang w:bidi="en-US"/>
        </w:rPr>
      </w:pPr>
    </w:p>
    <w:p w14:paraId="62F0F59F">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auto"/>
          <w:sz w:val="32"/>
          <w:szCs w:val="32"/>
          <w:highlight w:val="none"/>
          <w:lang w:bidi="en-US"/>
        </w:rPr>
      </w:pPr>
    </w:p>
    <w:p w14:paraId="14F09CD0">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auto"/>
          <w:sz w:val="32"/>
          <w:szCs w:val="32"/>
          <w:highlight w:val="none"/>
          <w:lang w:bidi="en-US"/>
        </w:rPr>
      </w:pPr>
    </w:p>
    <w:p w14:paraId="67C5F6B5">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auto"/>
          <w:sz w:val="32"/>
          <w:szCs w:val="32"/>
          <w:highlight w:val="none"/>
          <w:lang w:bidi="en-US"/>
        </w:rPr>
      </w:pPr>
    </w:p>
    <w:p w14:paraId="62F953CB">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auto"/>
          <w:sz w:val="32"/>
          <w:szCs w:val="32"/>
          <w:highlight w:val="none"/>
          <w:lang w:bidi="en-US"/>
        </w:rPr>
      </w:pPr>
    </w:p>
    <w:p w14:paraId="45C548FD">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auto"/>
          <w:sz w:val="32"/>
          <w:szCs w:val="32"/>
          <w:highlight w:val="none"/>
          <w:lang w:bidi="en-US"/>
        </w:rPr>
      </w:pPr>
    </w:p>
    <w:p w14:paraId="1555F6B6">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auto"/>
          <w:sz w:val="32"/>
          <w:szCs w:val="32"/>
          <w:highlight w:val="none"/>
          <w:lang w:bidi="en-US"/>
        </w:rPr>
      </w:pPr>
    </w:p>
    <w:p w14:paraId="21AEAE2D">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auto"/>
          <w:sz w:val="32"/>
          <w:szCs w:val="32"/>
          <w:highlight w:val="none"/>
          <w:lang w:bidi="en-US"/>
        </w:rPr>
      </w:pPr>
    </w:p>
    <w:p w14:paraId="4A92C7B7">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auto"/>
          <w:sz w:val="32"/>
          <w:szCs w:val="32"/>
          <w:highlight w:val="none"/>
          <w:lang w:bidi="en-US"/>
        </w:rPr>
      </w:pPr>
    </w:p>
    <w:p w14:paraId="0E9054CE">
      <w:pPr>
        <w:pStyle w:val="15"/>
        <w:keepNext w:val="0"/>
        <w:keepLines w:val="0"/>
        <w:pageBreakBefore w:val="0"/>
        <w:widowControl w:val="0"/>
        <w:kinsoku/>
        <w:wordWrap/>
        <w:overflowPunct/>
        <w:topLinePunct w:val="0"/>
        <w:bidi w:val="0"/>
        <w:snapToGrid/>
        <w:spacing w:line="500" w:lineRule="exact"/>
        <w:ind w:firstLine="280" w:firstLineChars="100"/>
        <w:jc w:val="both"/>
        <w:textAlignment w:val="auto"/>
        <w:rPr>
          <w:rFonts w:hint="default" w:ascii="仿宋" w:hAnsi="仿宋" w:eastAsia="仿宋" w:cs="仿宋"/>
          <w:color w:val="auto"/>
          <w:kern w:val="2"/>
          <w:sz w:val="28"/>
          <w:szCs w:val="28"/>
          <w:highlight w:val="none"/>
          <w:lang w:val="en-US" w:eastAsia="zh-CN" w:bidi="en-US"/>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w:t>
      </w:r>
      <w:r>
        <w:rPr>
          <w:rFonts w:hint="eastAsia" w:ascii="仿宋" w:hAnsi="仿宋" w:eastAsia="仿宋" w:cs="仿宋"/>
          <w:color w:val="000000" w:themeColor="text1"/>
          <w:kern w:val="2"/>
          <w:sz w:val="28"/>
          <w:szCs w:val="28"/>
          <w:highlight w:val="none"/>
          <w:lang w:bidi="en-US"/>
          <w14:textFill>
            <w14:solidFill>
              <w14:schemeClr w14:val="tx1"/>
            </w14:solidFill>
          </w14:textFill>
        </w:rPr>
        <w:t>境局</w:t>
      </w:r>
      <w:r>
        <w:rPr>
          <w:rFonts w:hint="eastAsia" w:ascii="仿宋" w:hAnsi="仿宋" w:eastAsia="仿宋" w:cs="仿宋"/>
          <w:color w:val="000000" w:themeColor="text1"/>
          <w:kern w:val="2"/>
          <w:sz w:val="28"/>
          <w:szCs w:val="28"/>
          <w:highlight w:val="none"/>
          <w:lang w:val="en-US" w:eastAsia="zh-CN" w:bidi="en-US"/>
          <w14:textFill>
            <w14:solidFill>
              <w14:schemeClr w14:val="tx1"/>
            </w14:solidFill>
          </w14:textFill>
        </w:rPr>
        <w:t>多伦县</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分</w:t>
      </w:r>
      <w:r>
        <w:rPr>
          <w:rFonts w:hint="eastAsia" w:ascii="仿宋" w:hAnsi="仿宋" w:eastAsia="仿宋" w:cs="仿宋"/>
          <w:color w:val="auto"/>
          <w:kern w:val="2"/>
          <w:sz w:val="28"/>
          <w:szCs w:val="28"/>
          <w:highlight w:val="none"/>
          <w:lang w:eastAsia="zh-CN" w:bidi="en-US"/>
        </w:rPr>
        <w:t>局。</w:t>
      </w:r>
    </w:p>
    <w:p w14:paraId="5129C6FB">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锡林郭勒盟生态环境局办公室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日印发</w:t>
      </w:r>
    </w:p>
    <w:sectPr>
      <w:footerReference r:id="rId3" w:type="default"/>
      <w:pgSz w:w="11906" w:h="16838"/>
      <w:pgMar w:top="1701" w:right="1417" w:bottom="141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07984">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D82B9">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3D82B9">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9C606F"/>
    <w:rsid w:val="033C2BF5"/>
    <w:rsid w:val="04082137"/>
    <w:rsid w:val="04D60042"/>
    <w:rsid w:val="04F03C97"/>
    <w:rsid w:val="05661F7B"/>
    <w:rsid w:val="05FD1001"/>
    <w:rsid w:val="064265FE"/>
    <w:rsid w:val="065A7A8E"/>
    <w:rsid w:val="07E80A5E"/>
    <w:rsid w:val="08125FE6"/>
    <w:rsid w:val="08935065"/>
    <w:rsid w:val="09F707CE"/>
    <w:rsid w:val="0A055186"/>
    <w:rsid w:val="0A251D3E"/>
    <w:rsid w:val="0A7809B7"/>
    <w:rsid w:val="0C7A4895"/>
    <w:rsid w:val="0D6D6C1D"/>
    <w:rsid w:val="0D9F31D6"/>
    <w:rsid w:val="0E2F5830"/>
    <w:rsid w:val="0EE27BE5"/>
    <w:rsid w:val="109F048E"/>
    <w:rsid w:val="133A3E29"/>
    <w:rsid w:val="134A4ECA"/>
    <w:rsid w:val="15F917DF"/>
    <w:rsid w:val="1618304E"/>
    <w:rsid w:val="1772A69C"/>
    <w:rsid w:val="1A9D6DBD"/>
    <w:rsid w:val="1B244243"/>
    <w:rsid w:val="1B7C0676"/>
    <w:rsid w:val="1BCF0653"/>
    <w:rsid w:val="1BF2CB73"/>
    <w:rsid w:val="1D61177E"/>
    <w:rsid w:val="1DFF5741"/>
    <w:rsid w:val="1F9C573C"/>
    <w:rsid w:val="206016CD"/>
    <w:rsid w:val="20FD21D9"/>
    <w:rsid w:val="22B733D3"/>
    <w:rsid w:val="25875AFA"/>
    <w:rsid w:val="2624159B"/>
    <w:rsid w:val="26F02945"/>
    <w:rsid w:val="281C4C20"/>
    <w:rsid w:val="29D8150D"/>
    <w:rsid w:val="2CF929A0"/>
    <w:rsid w:val="2F1F3E8C"/>
    <w:rsid w:val="2F2B74F6"/>
    <w:rsid w:val="2F7E7F6E"/>
    <w:rsid w:val="2F7F303D"/>
    <w:rsid w:val="37DB3B17"/>
    <w:rsid w:val="37DFB9CE"/>
    <w:rsid w:val="382F0AB9"/>
    <w:rsid w:val="38763ED8"/>
    <w:rsid w:val="3A1219DE"/>
    <w:rsid w:val="3A235A71"/>
    <w:rsid w:val="3AD90E3C"/>
    <w:rsid w:val="3BFB7ADD"/>
    <w:rsid w:val="3EDBBAD3"/>
    <w:rsid w:val="3FC31BD1"/>
    <w:rsid w:val="41B17C28"/>
    <w:rsid w:val="43884AE2"/>
    <w:rsid w:val="445D3A2B"/>
    <w:rsid w:val="461D4A97"/>
    <w:rsid w:val="466622E2"/>
    <w:rsid w:val="46B26845"/>
    <w:rsid w:val="4A3B72B4"/>
    <w:rsid w:val="4B6B05AE"/>
    <w:rsid w:val="4CDD40CE"/>
    <w:rsid w:val="4FFB87F7"/>
    <w:rsid w:val="501114FC"/>
    <w:rsid w:val="521F6F37"/>
    <w:rsid w:val="52D63A99"/>
    <w:rsid w:val="54CB7E3C"/>
    <w:rsid w:val="552E2FE9"/>
    <w:rsid w:val="56990422"/>
    <w:rsid w:val="58B80B09"/>
    <w:rsid w:val="59CA0623"/>
    <w:rsid w:val="5C1271C4"/>
    <w:rsid w:val="5DBE680E"/>
    <w:rsid w:val="5DF7C719"/>
    <w:rsid w:val="5DFFD6AD"/>
    <w:rsid w:val="5FA70BB0"/>
    <w:rsid w:val="5FDE5DAC"/>
    <w:rsid w:val="60C03231"/>
    <w:rsid w:val="617526E2"/>
    <w:rsid w:val="6211609C"/>
    <w:rsid w:val="62895F6A"/>
    <w:rsid w:val="6369589B"/>
    <w:rsid w:val="640E5DD6"/>
    <w:rsid w:val="640F77AC"/>
    <w:rsid w:val="6479615F"/>
    <w:rsid w:val="65980358"/>
    <w:rsid w:val="66756CCD"/>
    <w:rsid w:val="6762412B"/>
    <w:rsid w:val="67927E4C"/>
    <w:rsid w:val="68387D94"/>
    <w:rsid w:val="69CC12A6"/>
    <w:rsid w:val="6AB75B07"/>
    <w:rsid w:val="6B361121"/>
    <w:rsid w:val="6BD00E31"/>
    <w:rsid w:val="6C5E1EBA"/>
    <w:rsid w:val="6E1A4AAF"/>
    <w:rsid w:val="6FD159E5"/>
    <w:rsid w:val="6FEE6D0C"/>
    <w:rsid w:val="7019691C"/>
    <w:rsid w:val="70EA0941"/>
    <w:rsid w:val="71E5266B"/>
    <w:rsid w:val="71FFDCEE"/>
    <w:rsid w:val="737F42A4"/>
    <w:rsid w:val="73B63B15"/>
    <w:rsid w:val="740D1653"/>
    <w:rsid w:val="77483AA9"/>
    <w:rsid w:val="776575C6"/>
    <w:rsid w:val="77A04D8F"/>
    <w:rsid w:val="77A23F56"/>
    <w:rsid w:val="77DF1E38"/>
    <w:rsid w:val="77FB60A4"/>
    <w:rsid w:val="786A0221"/>
    <w:rsid w:val="78CC1696"/>
    <w:rsid w:val="795254DD"/>
    <w:rsid w:val="79F6371A"/>
    <w:rsid w:val="7B74E570"/>
    <w:rsid w:val="7BB06386"/>
    <w:rsid w:val="7BE60252"/>
    <w:rsid w:val="7C7FDDB9"/>
    <w:rsid w:val="7CE53CE8"/>
    <w:rsid w:val="7E5356DB"/>
    <w:rsid w:val="7EF94ADD"/>
    <w:rsid w:val="7F5DA376"/>
    <w:rsid w:val="7F6C2C5A"/>
    <w:rsid w:val="7F7C8CD3"/>
    <w:rsid w:val="7F7CE8F3"/>
    <w:rsid w:val="7F9F8E51"/>
    <w:rsid w:val="7FBF49B1"/>
    <w:rsid w:val="7FD6261A"/>
    <w:rsid w:val="7FDD5E1F"/>
    <w:rsid w:val="7FFF783F"/>
    <w:rsid w:val="8EFFAFD8"/>
    <w:rsid w:val="92CD1A93"/>
    <w:rsid w:val="979EC8C1"/>
    <w:rsid w:val="97FFBFF7"/>
    <w:rsid w:val="9AD73E0D"/>
    <w:rsid w:val="A7FFBEB9"/>
    <w:rsid w:val="AFDFA893"/>
    <w:rsid w:val="B6FB1ACB"/>
    <w:rsid w:val="BBD7B086"/>
    <w:rsid w:val="BBFD157B"/>
    <w:rsid w:val="BBFFB394"/>
    <w:rsid w:val="BDB9872E"/>
    <w:rsid w:val="CF77A9DB"/>
    <w:rsid w:val="DAFDAA89"/>
    <w:rsid w:val="DBAFDD4B"/>
    <w:rsid w:val="DBD5EE8A"/>
    <w:rsid w:val="DF671AB1"/>
    <w:rsid w:val="DF7B31B7"/>
    <w:rsid w:val="DFBDCEE2"/>
    <w:rsid w:val="DFF844CC"/>
    <w:rsid w:val="E7FD0A82"/>
    <w:rsid w:val="EF6F4B52"/>
    <w:rsid w:val="EFEB112C"/>
    <w:rsid w:val="F3FD86CF"/>
    <w:rsid w:val="F4FE1E3B"/>
    <w:rsid w:val="F87F4D24"/>
    <w:rsid w:val="FC7D141F"/>
    <w:rsid w:val="FE9F31A0"/>
    <w:rsid w:val="FFDD1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ascii="Times New Roman" w:hAnsi="Times New Roman" w:eastAsia="宋体"/>
      <w:szCs w:val="24"/>
    </w:rPr>
  </w:style>
  <w:style w:type="paragraph" w:styleId="4">
    <w:name w:val="Body Text First Indent 2"/>
    <w:basedOn w:val="5"/>
    <w:next w:val="1"/>
    <w:qFormat/>
    <w:uiPriority w:val="0"/>
    <w:pPr>
      <w:adjustRightInd w:val="0"/>
      <w:ind w:firstLine="420"/>
      <w:textAlignment w:val="baseline"/>
    </w:pPr>
    <w:rPr>
      <w:rFonts w:ascii="宋体" w:hAnsi="宋体"/>
      <w:sz w:val="18"/>
      <w:szCs w:val="18"/>
    </w:rPr>
  </w:style>
  <w:style w:type="paragraph" w:styleId="5">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6">
    <w:name w:val="annotation text"/>
    <w:basedOn w:val="1"/>
    <w:link w:val="24"/>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6"/>
    <w:next w:val="6"/>
    <w:link w:val="25"/>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customStyle="1" w:styleId="15">
    <w:name w:val="Default"/>
    <w:basedOn w:val="16"/>
    <w:qFormat/>
    <w:uiPriority w:val="0"/>
    <w:pPr>
      <w:widowControl w:val="0"/>
      <w:tabs>
        <w:tab w:val="left" w:pos="0"/>
        <w:tab w:val="left" w:pos="7012"/>
      </w:tabs>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环保正文"/>
    <w:basedOn w:val="1"/>
    <w:qFormat/>
    <w:uiPriority w:val="0"/>
    <w:pPr>
      <w:tabs>
        <w:tab w:val="left" w:pos="0"/>
        <w:tab w:val="left" w:pos="7012"/>
      </w:tabs>
      <w:autoSpaceDE w:val="0"/>
      <w:autoSpaceDN w:val="0"/>
      <w:spacing w:line="360" w:lineRule="auto"/>
      <w:ind w:firstLine="200" w:firstLineChars="200"/>
    </w:pPr>
    <w:rPr>
      <w:rFonts w:ascii="Times New Roman"/>
    </w:rPr>
  </w:style>
  <w:style w:type="paragraph" w:customStyle="1" w:styleId="17">
    <w:name w:val="纯文本1"/>
    <w:basedOn w:val="1"/>
    <w:qFormat/>
    <w:uiPriority w:val="0"/>
    <w:rPr>
      <w:rFonts w:ascii="宋体" w:hAnsi="Courier New"/>
      <w:szCs w:val="20"/>
    </w:rPr>
  </w:style>
  <w:style w:type="paragraph" w:customStyle="1" w:styleId="18">
    <w:name w:val="正文1"/>
    <w:basedOn w:val="15"/>
    <w:qFormat/>
    <w:uiPriority w:val="0"/>
    <w:pPr>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19">
    <w:name w:val="未处理的提及1"/>
    <w:basedOn w:val="12"/>
    <w:semiHidden/>
    <w:unhideWhenUsed/>
    <w:qFormat/>
    <w:uiPriority w:val="99"/>
    <w:rPr>
      <w:color w:val="605E5C"/>
      <w:shd w:val="clear" w:color="auto" w:fill="E1DFDD"/>
    </w:rPr>
  </w:style>
  <w:style w:type="character" w:customStyle="1" w:styleId="20">
    <w:name w:val="页眉 字符"/>
    <w:basedOn w:val="12"/>
    <w:link w:val="8"/>
    <w:qFormat/>
    <w:uiPriority w:val="99"/>
    <w:rPr>
      <w:kern w:val="2"/>
      <w:sz w:val="18"/>
      <w:szCs w:val="18"/>
    </w:rPr>
  </w:style>
  <w:style w:type="paragraph" w:customStyle="1" w:styleId="21">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2">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3">
    <w:name w:val="List Paragraph"/>
    <w:basedOn w:val="1"/>
    <w:qFormat/>
    <w:uiPriority w:val="99"/>
    <w:pPr>
      <w:ind w:firstLine="420" w:firstLineChars="200"/>
    </w:pPr>
  </w:style>
  <w:style w:type="character" w:customStyle="1" w:styleId="24">
    <w:name w:val="批注文字 字符"/>
    <w:basedOn w:val="12"/>
    <w:link w:val="6"/>
    <w:semiHidden/>
    <w:qFormat/>
    <w:uiPriority w:val="99"/>
    <w:rPr>
      <w:kern w:val="2"/>
      <w:sz w:val="21"/>
      <w:szCs w:val="22"/>
    </w:rPr>
  </w:style>
  <w:style w:type="character" w:customStyle="1" w:styleId="25">
    <w:name w:val="批注主题 字符"/>
    <w:basedOn w:val="24"/>
    <w:link w:val="10"/>
    <w:semiHidden/>
    <w:qFormat/>
    <w:uiPriority w:val="99"/>
    <w:rPr>
      <w:b/>
      <w:bCs/>
      <w:kern w:val="2"/>
      <w:sz w:val="21"/>
      <w:szCs w:val="22"/>
    </w:rPr>
  </w:style>
  <w:style w:type="paragraph" w:customStyle="1" w:styleId="26">
    <w:name w:val="高-正文"/>
    <w:basedOn w:val="1"/>
    <w:qFormat/>
    <w:uiPriority w:val="0"/>
    <w:pPr>
      <w:topLinePunct/>
      <w:adjustRightInd w:val="0"/>
      <w:snapToGrid w:val="0"/>
      <w:spacing w:line="480" w:lineRule="exact"/>
      <w:ind w:firstLine="600"/>
    </w:pPr>
    <w:rPr>
      <w:rFonts w:ascii="等线" w:hAnsi="等线" w:eastAsia="等线"/>
    </w:rPr>
  </w:style>
  <w:style w:type="paragraph" w:customStyle="1" w:styleId="27">
    <w:name w:val="报告书正文"/>
    <w:basedOn w:val="1"/>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 w:type="paragraph" w:customStyle="1" w:styleId="28">
    <w:name w:val="环评正文"/>
    <w:basedOn w:val="18"/>
    <w:qFormat/>
    <w:uiPriority w:val="0"/>
    <w:pPr>
      <w:snapToGrid w:val="0"/>
    </w:pPr>
    <w:rPr>
      <w:rFonts w:asci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69cdde-5bfc-4782-8501-420b42ceb64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1779</Words>
  <Characters>1892</Characters>
  <Lines>19</Lines>
  <Paragraphs>5</Paragraphs>
  <TotalTime>2</TotalTime>
  <ScaleCrop>false</ScaleCrop>
  <LinksUpToDate>false</LinksUpToDate>
  <CharactersWithSpaces>1919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2023-02-06T01:32:00Z</dcterms:created>
  <dc:creator>hui hui</dc:creator>
  <cp:lastModifiedBy>sunny⊙▽⊙</cp:lastModifiedBy>
  <cp:lastPrinted>2023-02-06T01:39:00Z</cp:lastPrinted>
  <dcterms:modified xsi:type="dcterms:W3CDTF">2026-05-13T06:48:44Z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43592930136A4BFB8F1128293E6087CA_13</vt:lpwstr>
  </property>
  <property fmtid="{D5CDD505-2E9C-101B-9397-08002B2CF9AE}" pid="4" name="KSOTemplateDocerSaveRecord">
    <vt:lpwstr>eyJoZGlkIjoiODdiYjFmYTBiYTIyNzU5M2Q4MmQ4Y2M2NmFiMzYxMWUiLCJ1c2VySWQiOiI0MjM0MzY5NjYifQ==</vt:lpwstr>
  </property>
</Properties>
</file>