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04" w:tblpY="68"/>
        <w:tblOverlap w:val="never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3105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32724">
            <w:pPr>
              <w:spacing w:line="300" w:lineRule="exact"/>
              <w:ind w:left="-105" w:leftChars="-50" w:right="-105" w:rightChars="-50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审批意见：   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 锡署环审表[2018]18号</w:t>
            </w:r>
          </w:p>
          <w:p w14:paraId="3507FF74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本项目位于锡林浩特市宝力根苏木乌力吉德力格尔嘎查、巴彦温都尔嘎查境内，距锡林浩特市西约36km，风电场中心地理坐标：北纬44°7′37.7″，东经115°34′16.06″。建设规模为100MW，主要建设内容包括32台3000kw风电机组、2台2000kw风电机组。配套工程包括一座220KV升压站、相应数量箱变、场内外道路及集电线路。风场范围42227.25亩。永久占地面积22638m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，其中风机机组及其配套设施用地面积为12014m2，升压站用地面积为10624m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。项目总投资77196万元，环保投资298.5万元，占项目总投资的0.39%。</w:t>
            </w:r>
          </w:p>
          <w:p w14:paraId="4AE99B37">
            <w:pPr>
              <w:spacing w:line="300" w:lineRule="exact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 xml:space="preserve">    项目符合国家产业政策。锡盟发改委对项目进行了核准（锡发改能源字[2017]44号）。在认真落实环评单位提出的各项污染防治措施后，对周围环境影响可得到控制和缓减，我局原则同意报告表所列性质、规模、地点、污染防治和生态恢复措施。</w:t>
            </w:r>
          </w:p>
          <w:p w14:paraId="39FFD988">
            <w:pPr>
              <w:spacing w:line="300" w:lineRule="exact"/>
              <w:ind w:firstLine="525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24"/>
              </w:rPr>
              <w:t>项目在建设和运营过程中应重点做好以下工作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：</w:t>
            </w:r>
          </w:p>
          <w:p w14:paraId="43CB5FA1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一、建设期</w:t>
            </w:r>
          </w:p>
          <w:p w14:paraId="4107BD80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1、要严格按照《报告表》和设计文件的要求组织施工。加强施工期的环境保护工作，严格落实建筑施工期的环保措施，施工车辆须按规定线路行驶，对施工场地、施工便道采取洒水降尘等措施，减少施工扬尘污染。</w:t>
            </w:r>
          </w:p>
          <w:p w14:paraId="2AA9C761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2、合理布局，采取低噪声设备和防噪措施，做到建筑施工场界噪声限值达标。要合理安排施工时段，避免施工噪声扰民。限制大型机械进入施工现场，防止因施工方式不当破坏生态环境；站区按分区进行措施总体布置，以控制水土流失。将对生态环境的影响降到最低，施工结束后及时进行植被的恢复工作，使植被覆盖率达到设计要求。</w:t>
            </w:r>
          </w:p>
          <w:p w14:paraId="753D3660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3、工程弃渣及建筑垃圾统一管理和处置，不得随意堆放，并不得改变原地形地貌处置。施工人员生活垃圾要定点收贮、及时清运，防止飞扬、逸散。</w:t>
            </w:r>
          </w:p>
          <w:p w14:paraId="4C16219C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二、营运期</w:t>
            </w:r>
          </w:p>
          <w:p w14:paraId="32A46002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1、项目要严格执行环境保护“三同时”制度，各项污染防治设施与主体工程做到同时设计、同时施工、同时投入使用。项目竣工后，建设单位必须按规定的标准和程序进行竣工环境保护验收，验收合格后方可正式投入使用。</w:t>
            </w:r>
          </w:p>
          <w:p w14:paraId="4FC17148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2、食堂油烟经油烟净化器处理后满足《饮食业油烟排放标准（试行）》</w:t>
            </w:r>
            <w:bookmarkStart w:id="0" w:name="_GoBack"/>
            <w:bookmarkEnd w:id="0"/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（GB18483-2001）中相关要求。</w:t>
            </w:r>
          </w:p>
          <w:p w14:paraId="4F813A16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3、噪声源应采取必要的减噪措施，厂界噪声必须满足《工业企业厂界环境噪声排放标准》（GB12348—2008）2类标准限值的要求。</w:t>
            </w:r>
          </w:p>
          <w:p w14:paraId="1FED032A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4、生活废水经处理后，出水水质满足《污水综合排放标准》（GB8978-1996）后，定期清运至锡林浩特市污水处理厂。</w:t>
            </w:r>
          </w:p>
          <w:p w14:paraId="542358EE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5、运营期产生的生活垃圾集中收集后运到垃圾处理厂；设备维修产生的废机油等危险废物，设置专用容器（暂存间渗透系数小于等于10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vertAlign w:val="superscript"/>
              </w:rPr>
              <w:t>-10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cm/s）收集后暂存，并委托有资质的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单位进行处置。</w:t>
            </w:r>
          </w:p>
          <w:p w14:paraId="6DD16DEA">
            <w:pPr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我局委托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锡林浩特市</w:t>
            </w:r>
            <w:r>
              <w:rPr>
                <w:rFonts w:hint="eastAsia" w:ascii="宋体" w:hAnsi="宋体"/>
                <w:sz w:val="24"/>
              </w:rPr>
              <w:t>环境保护局负责该项目的日常监督管理工作。</w:t>
            </w:r>
          </w:p>
          <w:p w14:paraId="0460FFA3">
            <w:pPr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1CAD5C51">
            <w:pPr>
              <w:spacing w:line="300" w:lineRule="exact"/>
              <w:ind w:firstLine="7080" w:firstLineChars="2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 w14:paraId="118A0420">
            <w:pPr>
              <w:spacing w:line="300" w:lineRule="exact"/>
              <w:ind w:left="-105" w:leftChars="-50" w:right="-105" w:rightChars="-50" w:firstLine="523" w:firstLineChars="218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</w:p>
          <w:p w14:paraId="5B2E662C">
            <w:pPr>
              <w:spacing w:line="300" w:lineRule="exact"/>
              <w:ind w:left="-105" w:leftChars="-50" w:right="-105" w:rightChars="-50" w:firstLine="523" w:firstLineChars="218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</w:p>
          <w:p w14:paraId="2C36F9E0">
            <w:pPr>
              <w:spacing w:line="300" w:lineRule="exact"/>
              <w:ind w:left="-105" w:leftChars="-50" w:right="-105" w:rightChars="-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公 章</w:t>
            </w:r>
          </w:p>
          <w:p w14:paraId="71FE8057">
            <w:pPr>
              <w:spacing w:line="300" w:lineRule="exact"/>
              <w:ind w:left="-105" w:leftChars="-50" w:right="-105" w:rightChars="-50"/>
              <w:rPr>
                <w:rFonts w:ascii="宋体" w:hAnsi="宋体"/>
                <w:sz w:val="24"/>
                <w:szCs w:val="24"/>
              </w:rPr>
            </w:pPr>
          </w:p>
          <w:p w14:paraId="303B6D46">
            <w:pPr>
              <w:spacing w:line="300" w:lineRule="exact"/>
              <w:ind w:left="-105" w:leftChars="-50" w:right="-105" w:rightChars="-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经办人：                                               2018年11月12日</w:t>
            </w:r>
          </w:p>
        </w:tc>
      </w:tr>
    </w:tbl>
    <w:p w14:paraId="6A22A3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29FB"/>
    <w:rsid w:val="00285BFC"/>
    <w:rsid w:val="005372DD"/>
    <w:rsid w:val="008329FB"/>
    <w:rsid w:val="00E23BFF"/>
    <w:rsid w:val="00E813BD"/>
    <w:rsid w:val="2CDA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1028</Words>
  <Characters>1155</Characters>
  <Lines>9</Lines>
  <Paragraphs>2</Paragraphs>
  <TotalTime>7</TotalTime>
  <ScaleCrop>false</ScaleCrop>
  <LinksUpToDate>false</LinksUpToDate>
  <CharactersWithSpaces>1304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2018-11-05T08:29:00Z</dcterms:created>
  <dc:creator>lenovo</dc:creator>
  <cp:lastModifiedBy>演示人</cp:lastModifiedBy>
  <dcterms:modified xsi:type="dcterms:W3CDTF">2025-01-06T03:37:20Z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eyJoZGlkIjoiZjYyMmM5ZWViZDE5OGI0MjM4NzczOTJkMWU3N2M1YTEifQ==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9E62A5E02D264DB886E5361E45892F96_12</vt:lpwstr>
  </property>
</Properties>
</file>