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color w:val="auto"/>
          <w:sz w:val="44"/>
          <w:szCs w:val="44"/>
          <w:highlight w:val="none"/>
          <w:lang w:eastAsia="zh-CN"/>
        </w:rPr>
      </w:pPr>
      <w:r>
        <w:rPr>
          <w:rFonts w:hint="eastAsia" w:ascii="方正小标宋简体" w:hAnsi="方正小标宋简体" w:eastAsia="方正小标宋简体" w:cs="方正小标宋简体"/>
          <w:b/>
          <w:bCs/>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color w:val="auto"/>
          <w:sz w:val="44"/>
          <w:szCs w:val="44"/>
          <w:highlight w:val="none"/>
          <w:lang w:val="en-GB" w:eastAsia="zh-CN"/>
        </w:rPr>
      </w:pPr>
      <w:r>
        <w:rPr>
          <w:rFonts w:hint="eastAsia" w:ascii="方正小标宋简体" w:hAnsi="方正小标宋简体" w:eastAsia="方正小标宋简体" w:cs="方正小标宋简体"/>
          <w:b/>
          <w:bCs/>
          <w:color w:val="auto"/>
          <w:sz w:val="44"/>
          <w:szCs w:val="44"/>
          <w:highlight w:val="none"/>
          <w:lang w:eastAsia="zh-CN"/>
        </w:rPr>
        <w:t>关</w:t>
      </w:r>
      <w:r>
        <w:rPr>
          <w:rFonts w:hint="eastAsia" w:ascii="方正小标宋简体" w:hAnsi="方正小标宋简体" w:eastAsia="方正小标宋简体" w:cs="方正小标宋简体"/>
          <w:b/>
          <w:bCs/>
          <w:color w:val="auto"/>
          <w:sz w:val="44"/>
          <w:szCs w:val="44"/>
          <w:highlight w:val="none"/>
          <w:lang w:val="en-GB" w:eastAsia="zh-CN"/>
        </w:rPr>
        <w:t>于锡林浩特伊利乳品有限责任公司液态奶</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color w:val="auto"/>
          <w:sz w:val="44"/>
          <w:szCs w:val="44"/>
          <w:highlight w:val="none"/>
          <w:lang w:val="en-GB" w:eastAsia="zh-CN"/>
        </w:rPr>
      </w:pPr>
      <w:r>
        <w:rPr>
          <w:rFonts w:hint="eastAsia" w:ascii="方正小标宋简体" w:hAnsi="方正小标宋简体" w:eastAsia="方正小标宋简体" w:cs="方正小标宋简体"/>
          <w:b/>
          <w:bCs/>
          <w:color w:val="auto"/>
          <w:sz w:val="44"/>
          <w:szCs w:val="44"/>
          <w:highlight w:val="none"/>
          <w:lang w:val="en-GB" w:eastAsia="zh-CN"/>
        </w:rPr>
        <w:t>智能工厂技术升级改造项目环境影响</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lang w:val="en-GB" w:eastAsia="zh-CN"/>
        </w:rPr>
        <w:t>报告表</w:t>
      </w:r>
      <w:r>
        <w:rPr>
          <w:rFonts w:hint="eastAsia" w:ascii="方正小标宋简体" w:hAnsi="方正小标宋简体" w:eastAsia="方正小标宋简体" w:cs="方正小标宋简体"/>
          <w:b/>
          <w:bCs/>
          <w:color w:val="auto"/>
          <w:sz w:val="44"/>
          <w:szCs w:val="44"/>
          <w:highlight w:val="none"/>
          <w:lang w:eastAsia="zh-CN"/>
        </w:rPr>
        <w:t>的批</w:t>
      </w:r>
      <w:r>
        <w:rPr>
          <w:rFonts w:hint="eastAsia" w:ascii="方正小标宋简体" w:hAnsi="方正小标宋简体" w:eastAsia="方正小标宋简体" w:cs="方正小标宋简体"/>
          <w:b/>
          <w:bCs/>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锡林浩特伊利乳品有限责任公司：</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由锡林郭勒盟中安环境技术咨询有限责任公司编制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《锡林浩特伊利乳品有限责任公司液态奶智能工厂技术升级改造项目</w:t>
      </w:r>
      <w:r>
        <w:rPr>
          <w:rFonts w:hint="eastAsia" w:ascii="仿宋_GB2312" w:hAnsi="仿宋_GB2312" w:eastAsia="仿宋_GB2312" w:cs="仿宋_GB2312"/>
          <w:color w:val="auto"/>
          <w:sz w:val="32"/>
          <w:szCs w:val="32"/>
          <w:highlight w:val="none"/>
          <w:lang w:val="en-US" w:eastAsia="zh-CN"/>
        </w:rPr>
        <w:t>环境影响</w:t>
      </w:r>
      <w:r>
        <w:rPr>
          <w:rFonts w:hint="eastAsia" w:ascii="仿宋_GB2312" w:hAnsi="仿宋_GB2312" w:eastAsia="仿宋_GB2312" w:cs="仿宋_GB2312"/>
          <w:color w:val="auto"/>
          <w:sz w:val="32"/>
          <w:szCs w:val="32"/>
          <w:highlight w:val="none"/>
          <w:lang w:val="en-GB" w:eastAsia="zh-CN"/>
        </w:rPr>
        <w:t>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该项目</w:t>
      </w:r>
      <w:r>
        <w:rPr>
          <w:rFonts w:hint="eastAsia" w:ascii="仿宋_GB2312" w:hAnsi="仿宋_GB2312" w:eastAsia="仿宋_GB2312" w:cs="仿宋_GB2312"/>
          <w:color w:val="auto"/>
          <w:kern w:val="2"/>
          <w:sz w:val="32"/>
          <w:szCs w:val="32"/>
          <w:highlight w:val="none"/>
          <w:lang w:val="en-US" w:eastAsia="zh-CN" w:bidi="ar-SA"/>
        </w:rPr>
        <w:t>位于内蒙古自治区锡林郭勒盟锡林郭勒经济技术开发区，项目坐标为：东经116度1分30.945秒，北纬43度56分17.107秒。该项目建设性质为技术改造，主要内容包括包装车间真空系统升级改造、TBA/22灌装机伺服驱动卡及电机升级改造、TBA/22灌装机PLC升级改造、CIP间电柜升级改造、待装系统、原奶系统、巴氏奶系统、配料系统自动阀阵升级改造、超高温、基料巴氏、产品巴氏清洗酸碱样自动采集改造、前处理车间RO水添加线改造、菌种顶料系统改造、金典、梦幻盖包装线升级改造、新增投料真空吸盘装置、新增采样区采样平台设备、能源区域设备升级改造等。总投资2106万元，其中环保投资32.5万元，占比1.54%。</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根据《产业结构调整指导目录（2019年本）》，该项目属于允许类。经审查符合锡林浩特市总体规划，符合“三线一单”要求。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严格落实各项大气污染防治措施。该项目主要大气污染物为施工过程中产生的道路扬尘，应当定期对路面进行清扫、洒水降尘，车辆减速行驶，同时加强对进出车辆的管理，确保各类大气污染物达标排放。</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项目主要废水为施工人员产生的生活污水和设备冲洗废水。设备冲洗废水经沉淀池处理后回用于施工过程或地面洒水降尘；生活污水依托原有项目，经污水处理站处理达标后，通过管网排入污水处理厂进一步处理。</w:t>
      </w:r>
    </w:p>
    <w:p>
      <w:pPr>
        <w:pStyle w:val="38"/>
        <w:keepNext w:val="0"/>
        <w:keepLines w:val="0"/>
        <w:pageBreakBefore w:val="0"/>
        <w:kinsoku/>
        <w:overflowPunct/>
        <w:topLinePunct w:val="0"/>
        <w:bidi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通过选用低噪声设备，做好减震装置、消声器，设立隔声罩等综合治理措施，减小噪声对敏感点的影响，通过加强机械设备的日常维护，老化和性能降低的旧设备及时更换，防止设备故障产生的非正常噪声。同时进一步加强项目建设区域绿化工作，利用树木吸声、消声作用，确保噪声达标排放。</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pStyle w:val="42"/>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2023年8月22日</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2023年8月22日印发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962978"/>
    <w:rsid w:val="00B87117"/>
    <w:rsid w:val="00E83F57"/>
    <w:rsid w:val="010428C1"/>
    <w:rsid w:val="01166DA6"/>
    <w:rsid w:val="014B0843"/>
    <w:rsid w:val="01A730E3"/>
    <w:rsid w:val="01D027C7"/>
    <w:rsid w:val="030516AD"/>
    <w:rsid w:val="03D3430C"/>
    <w:rsid w:val="046077EA"/>
    <w:rsid w:val="04A62A1C"/>
    <w:rsid w:val="04F60B67"/>
    <w:rsid w:val="05015B69"/>
    <w:rsid w:val="0536008A"/>
    <w:rsid w:val="05EE5EAB"/>
    <w:rsid w:val="05FD5DAF"/>
    <w:rsid w:val="068C7BAB"/>
    <w:rsid w:val="06C13B3D"/>
    <w:rsid w:val="06E25813"/>
    <w:rsid w:val="07D679D6"/>
    <w:rsid w:val="09D7309B"/>
    <w:rsid w:val="0A1E3055"/>
    <w:rsid w:val="0A1F2635"/>
    <w:rsid w:val="0A727E13"/>
    <w:rsid w:val="0A7D449D"/>
    <w:rsid w:val="0AF711F7"/>
    <w:rsid w:val="0B6F2EDB"/>
    <w:rsid w:val="0B8D547A"/>
    <w:rsid w:val="0C6E02C3"/>
    <w:rsid w:val="0C741368"/>
    <w:rsid w:val="0C9B2141"/>
    <w:rsid w:val="0CEF0CD8"/>
    <w:rsid w:val="0D1D73CE"/>
    <w:rsid w:val="0D502605"/>
    <w:rsid w:val="0D845DE4"/>
    <w:rsid w:val="0DC94DA4"/>
    <w:rsid w:val="0DD204B6"/>
    <w:rsid w:val="0E146C48"/>
    <w:rsid w:val="0E3D4B2E"/>
    <w:rsid w:val="0F11030D"/>
    <w:rsid w:val="10172A20"/>
    <w:rsid w:val="10773E64"/>
    <w:rsid w:val="10B1077E"/>
    <w:rsid w:val="11815149"/>
    <w:rsid w:val="119E5AF7"/>
    <w:rsid w:val="122A1D6A"/>
    <w:rsid w:val="12521974"/>
    <w:rsid w:val="130268C3"/>
    <w:rsid w:val="135651C1"/>
    <w:rsid w:val="138033BB"/>
    <w:rsid w:val="149B5516"/>
    <w:rsid w:val="15181BDE"/>
    <w:rsid w:val="15202312"/>
    <w:rsid w:val="15AA4A70"/>
    <w:rsid w:val="16F92D6D"/>
    <w:rsid w:val="177469AA"/>
    <w:rsid w:val="17AC6C55"/>
    <w:rsid w:val="18AC314E"/>
    <w:rsid w:val="18E453EE"/>
    <w:rsid w:val="1AEA175E"/>
    <w:rsid w:val="1B01027C"/>
    <w:rsid w:val="1B4F5180"/>
    <w:rsid w:val="1BDE167F"/>
    <w:rsid w:val="1BF61F13"/>
    <w:rsid w:val="1C1F33B6"/>
    <w:rsid w:val="1D503CCE"/>
    <w:rsid w:val="1DF3687A"/>
    <w:rsid w:val="1F8D59FC"/>
    <w:rsid w:val="1FE05965"/>
    <w:rsid w:val="20315438"/>
    <w:rsid w:val="204C4C91"/>
    <w:rsid w:val="20DE5961"/>
    <w:rsid w:val="21041E6B"/>
    <w:rsid w:val="2130749E"/>
    <w:rsid w:val="21E61F52"/>
    <w:rsid w:val="22DE2763"/>
    <w:rsid w:val="233353D8"/>
    <w:rsid w:val="233E3859"/>
    <w:rsid w:val="237F47FB"/>
    <w:rsid w:val="23BD04C6"/>
    <w:rsid w:val="24E22204"/>
    <w:rsid w:val="25C348F5"/>
    <w:rsid w:val="264E7B1E"/>
    <w:rsid w:val="271664C8"/>
    <w:rsid w:val="27260CC1"/>
    <w:rsid w:val="272A677C"/>
    <w:rsid w:val="273A4B0A"/>
    <w:rsid w:val="27E17743"/>
    <w:rsid w:val="292F2370"/>
    <w:rsid w:val="29A20219"/>
    <w:rsid w:val="29C15A7E"/>
    <w:rsid w:val="29CC3487"/>
    <w:rsid w:val="2A5A302F"/>
    <w:rsid w:val="2AB067B8"/>
    <w:rsid w:val="2AF85194"/>
    <w:rsid w:val="2B330DF4"/>
    <w:rsid w:val="2B5B5A5F"/>
    <w:rsid w:val="2BB03E36"/>
    <w:rsid w:val="2C1005F7"/>
    <w:rsid w:val="2C39284C"/>
    <w:rsid w:val="2C8114F5"/>
    <w:rsid w:val="2CC02721"/>
    <w:rsid w:val="2CF61AC3"/>
    <w:rsid w:val="2E38793A"/>
    <w:rsid w:val="2E4C1617"/>
    <w:rsid w:val="2E977312"/>
    <w:rsid w:val="2EBE5F33"/>
    <w:rsid w:val="2F93469D"/>
    <w:rsid w:val="2FAF6DA2"/>
    <w:rsid w:val="2FB4465A"/>
    <w:rsid w:val="306F2462"/>
    <w:rsid w:val="30EB2DA6"/>
    <w:rsid w:val="310E65CA"/>
    <w:rsid w:val="32A16812"/>
    <w:rsid w:val="333A6BDB"/>
    <w:rsid w:val="3372163A"/>
    <w:rsid w:val="33BD6B47"/>
    <w:rsid w:val="33CF625A"/>
    <w:rsid w:val="34F177D6"/>
    <w:rsid w:val="35523A2F"/>
    <w:rsid w:val="35D72A2D"/>
    <w:rsid w:val="36957FE6"/>
    <w:rsid w:val="371D70C6"/>
    <w:rsid w:val="37354BB1"/>
    <w:rsid w:val="37CE6DB1"/>
    <w:rsid w:val="37D943F6"/>
    <w:rsid w:val="37EB5A0A"/>
    <w:rsid w:val="382D42DF"/>
    <w:rsid w:val="38CD7870"/>
    <w:rsid w:val="39CE76C6"/>
    <w:rsid w:val="3A0260F2"/>
    <w:rsid w:val="3A940645"/>
    <w:rsid w:val="3B4B7B1E"/>
    <w:rsid w:val="3BC60B27"/>
    <w:rsid w:val="3CEA1116"/>
    <w:rsid w:val="3CF77C7E"/>
    <w:rsid w:val="3D497C0B"/>
    <w:rsid w:val="3DCC51DE"/>
    <w:rsid w:val="3DCD2D8A"/>
    <w:rsid w:val="3DDE2FC6"/>
    <w:rsid w:val="3F156020"/>
    <w:rsid w:val="405F6E03"/>
    <w:rsid w:val="40BC36F8"/>
    <w:rsid w:val="41911C9B"/>
    <w:rsid w:val="41924D51"/>
    <w:rsid w:val="41935450"/>
    <w:rsid w:val="41F36B45"/>
    <w:rsid w:val="42167C36"/>
    <w:rsid w:val="42A31D6D"/>
    <w:rsid w:val="42C90C42"/>
    <w:rsid w:val="43194A98"/>
    <w:rsid w:val="43776D56"/>
    <w:rsid w:val="44570A04"/>
    <w:rsid w:val="446B68BB"/>
    <w:rsid w:val="447251DD"/>
    <w:rsid w:val="459171B6"/>
    <w:rsid w:val="45921C25"/>
    <w:rsid w:val="459612D4"/>
    <w:rsid w:val="45DA1917"/>
    <w:rsid w:val="46AE19BA"/>
    <w:rsid w:val="472B6FD6"/>
    <w:rsid w:val="47E60A4C"/>
    <w:rsid w:val="47E80A50"/>
    <w:rsid w:val="48CE52B4"/>
    <w:rsid w:val="498B3846"/>
    <w:rsid w:val="49B45AEF"/>
    <w:rsid w:val="4A120DBC"/>
    <w:rsid w:val="4A5F68A6"/>
    <w:rsid w:val="4AE65F38"/>
    <w:rsid w:val="4AE66C9B"/>
    <w:rsid w:val="4B2D5499"/>
    <w:rsid w:val="4B534ADE"/>
    <w:rsid w:val="4B5E2D3C"/>
    <w:rsid w:val="4B92472D"/>
    <w:rsid w:val="4D142C43"/>
    <w:rsid w:val="4E2978F9"/>
    <w:rsid w:val="4EAA7967"/>
    <w:rsid w:val="4EF90DF2"/>
    <w:rsid w:val="4F2C48DA"/>
    <w:rsid w:val="4FA672D9"/>
    <w:rsid w:val="5142662D"/>
    <w:rsid w:val="51540173"/>
    <w:rsid w:val="52AE3DFD"/>
    <w:rsid w:val="52CE2CF0"/>
    <w:rsid w:val="53052C35"/>
    <w:rsid w:val="532F7E23"/>
    <w:rsid w:val="539E0D30"/>
    <w:rsid w:val="54933F16"/>
    <w:rsid w:val="5531510A"/>
    <w:rsid w:val="55FE0BAB"/>
    <w:rsid w:val="56585DB5"/>
    <w:rsid w:val="57387E14"/>
    <w:rsid w:val="575E7CEE"/>
    <w:rsid w:val="57A85382"/>
    <w:rsid w:val="58D316BE"/>
    <w:rsid w:val="59070489"/>
    <w:rsid w:val="59090B79"/>
    <w:rsid w:val="59D70FAC"/>
    <w:rsid w:val="5A294206"/>
    <w:rsid w:val="5B0C0216"/>
    <w:rsid w:val="5BE556CE"/>
    <w:rsid w:val="5C4001D5"/>
    <w:rsid w:val="5C635BEB"/>
    <w:rsid w:val="5CC83756"/>
    <w:rsid w:val="5CF86579"/>
    <w:rsid w:val="5D0775B6"/>
    <w:rsid w:val="5DCB6DD4"/>
    <w:rsid w:val="5DE829AC"/>
    <w:rsid w:val="5E002436"/>
    <w:rsid w:val="5E3209EA"/>
    <w:rsid w:val="5E55710C"/>
    <w:rsid w:val="5E6F0F98"/>
    <w:rsid w:val="5EBE21AB"/>
    <w:rsid w:val="5F4A3C9E"/>
    <w:rsid w:val="5FE873D0"/>
    <w:rsid w:val="602844BB"/>
    <w:rsid w:val="608E4DD3"/>
    <w:rsid w:val="60BF3BD0"/>
    <w:rsid w:val="61BF76EB"/>
    <w:rsid w:val="62291830"/>
    <w:rsid w:val="623D4D9E"/>
    <w:rsid w:val="623E6920"/>
    <w:rsid w:val="62511956"/>
    <w:rsid w:val="63971B60"/>
    <w:rsid w:val="63A21756"/>
    <w:rsid w:val="63AA1151"/>
    <w:rsid w:val="63E8362C"/>
    <w:rsid w:val="64D128B7"/>
    <w:rsid w:val="652266CA"/>
    <w:rsid w:val="65312F5D"/>
    <w:rsid w:val="65786DF3"/>
    <w:rsid w:val="66611EAB"/>
    <w:rsid w:val="66E83653"/>
    <w:rsid w:val="670A57CB"/>
    <w:rsid w:val="677D31AA"/>
    <w:rsid w:val="67B67782"/>
    <w:rsid w:val="681650AF"/>
    <w:rsid w:val="684D4516"/>
    <w:rsid w:val="68704CA1"/>
    <w:rsid w:val="68AA1AE5"/>
    <w:rsid w:val="6A6C56F5"/>
    <w:rsid w:val="6AEF61B9"/>
    <w:rsid w:val="6BA12544"/>
    <w:rsid w:val="6BD67D8A"/>
    <w:rsid w:val="6BEB1D6D"/>
    <w:rsid w:val="6C536D8E"/>
    <w:rsid w:val="6CA218CA"/>
    <w:rsid w:val="6CA80FF3"/>
    <w:rsid w:val="6CF81186"/>
    <w:rsid w:val="6D925FC5"/>
    <w:rsid w:val="6E3F7038"/>
    <w:rsid w:val="6E7E0DC8"/>
    <w:rsid w:val="6E922181"/>
    <w:rsid w:val="6EEA7AC9"/>
    <w:rsid w:val="6FD235D4"/>
    <w:rsid w:val="6FD60FB9"/>
    <w:rsid w:val="6FD96BEA"/>
    <w:rsid w:val="700B2DF3"/>
    <w:rsid w:val="701A3237"/>
    <w:rsid w:val="702F7D5E"/>
    <w:rsid w:val="7081011F"/>
    <w:rsid w:val="70885C1F"/>
    <w:rsid w:val="70A46FBF"/>
    <w:rsid w:val="70ED17EE"/>
    <w:rsid w:val="71136822"/>
    <w:rsid w:val="715C20BD"/>
    <w:rsid w:val="7179417A"/>
    <w:rsid w:val="71B41EA2"/>
    <w:rsid w:val="733379D0"/>
    <w:rsid w:val="739A6474"/>
    <w:rsid w:val="739B6B02"/>
    <w:rsid w:val="74086579"/>
    <w:rsid w:val="747344DC"/>
    <w:rsid w:val="749E0175"/>
    <w:rsid w:val="753D2C37"/>
    <w:rsid w:val="758703C2"/>
    <w:rsid w:val="75B535E3"/>
    <w:rsid w:val="75C311C4"/>
    <w:rsid w:val="75D4756D"/>
    <w:rsid w:val="764D4B3C"/>
    <w:rsid w:val="76CF69C8"/>
    <w:rsid w:val="771E6CEF"/>
    <w:rsid w:val="7779709C"/>
    <w:rsid w:val="78016A91"/>
    <w:rsid w:val="7867441F"/>
    <w:rsid w:val="799A104A"/>
    <w:rsid w:val="7B401BFC"/>
    <w:rsid w:val="7B6273C9"/>
    <w:rsid w:val="7BF368E4"/>
    <w:rsid w:val="7C3D17CD"/>
    <w:rsid w:val="7C5510E6"/>
    <w:rsid w:val="7D375301"/>
    <w:rsid w:val="7D780154"/>
    <w:rsid w:val="7D994C5A"/>
    <w:rsid w:val="7DB027AB"/>
    <w:rsid w:val="7E4744FC"/>
    <w:rsid w:val="7E5E4658"/>
    <w:rsid w:val="7E6C32B7"/>
    <w:rsid w:val="7ED06E49"/>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keepNext/>
      <w:spacing w:line="360" w:lineRule="auto"/>
      <w:ind w:firstLine="200" w:firstLineChars="200"/>
    </w:pPr>
    <w:rPr>
      <w:sz w:val="24"/>
    </w:rPr>
  </w:style>
  <w:style w:type="paragraph" w:styleId="4">
    <w:name w:val="Body Text First Indent"/>
    <w:basedOn w:val="5"/>
    <w:next w:val="1"/>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qFormat/>
    <w:uiPriority w:val="0"/>
    <w:pPr>
      <w:spacing w:line="360" w:lineRule="auto"/>
    </w:pPr>
    <w:rPr>
      <w:sz w:val="24"/>
      <w:szCs w:val="20"/>
    </w:rPr>
  </w:style>
  <w:style w:type="paragraph" w:customStyle="1" w:styleId="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qFormat/>
    <w:uiPriority w:val="0"/>
    <w:pPr>
      <w:spacing w:line="460" w:lineRule="exact"/>
      <w:ind w:firstLine="200"/>
    </w:pPr>
    <w:rPr>
      <w:sz w:val="24"/>
    </w:rPr>
  </w:style>
  <w:style w:type="paragraph" w:customStyle="1" w:styleId="9">
    <w:name w:val="文章"/>
    <w:basedOn w:val="3"/>
    <w:next w:val="10"/>
    <w:qFormat/>
    <w:uiPriority w:val="0"/>
    <w:pPr>
      <w:widowControl/>
      <w:ind w:firstLine="480"/>
      <w:jc w:val="center"/>
    </w:pPr>
    <w:rPr>
      <w:sz w:val="26"/>
    </w:rPr>
  </w:style>
  <w:style w:type="paragraph" w:styleId="10">
    <w:name w:val="List"/>
    <w:basedOn w:val="1"/>
    <w:next w:val="11"/>
    <w:qFormat/>
    <w:uiPriority w:val="0"/>
    <w:pPr>
      <w:jc w:val="center"/>
    </w:pPr>
  </w:style>
  <w:style w:type="paragraph" w:styleId="11">
    <w:name w:val="List Bullet 2"/>
    <w:basedOn w:val="1"/>
    <w:next w:val="12"/>
    <w:qFormat/>
    <w:uiPriority w:val="0"/>
    <w:pPr>
      <w:numPr>
        <w:ilvl w:val="0"/>
        <w:numId w:val="1"/>
      </w:numPr>
    </w:pPr>
  </w:style>
  <w:style w:type="paragraph" w:customStyle="1" w:styleId="12">
    <w:name w:val="xl70"/>
    <w:basedOn w:val="1"/>
    <w:next w:val="13"/>
    <w:qFormat/>
    <w:uiPriority w:val="0"/>
    <w:pPr>
      <w:widowControl/>
      <w:spacing w:before="280" w:after="280"/>
    </w:pPr>
    <w:rPr>
      <w:rFonts w:ascii="宋体"/>
    </w:rPr>
  </w:style>
  <w:style w:type="paragraph" w:customStyle="1" w:styleId="13">
    <w:name w:val="正文缩进1"/>
    <w:basedOn w:val="1"/>
    <w:next w:val="14"/>
    <w:qFormat/>
    <w:uiPriority w:val="0"/>
    <w:pPr>
      <w:ind w:firstLine="420"/>
    </w:pPr>
    <w:rPr>
      <w:szCs w:val="20"/>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Normal Indent"/>
    <w:basedOn w:val="1"/>
    <w:next w:val="16"/>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qFormat/>
    <w:uiPriority w:val="0"/>
    <w:pPr>
      <w:jc w:val="left"/>
    </w:pPr>
  </w:style>
  <w:style w:type="paragraph" w:styleId="19">
    <w:name w:val="Plain Text"/>
    <w:basedOn w:val="1"/>
    <w:qFormat/>
    <w:uiPriority w:val="0"/>
    <w:rPr>
      <w:rFonts w:ascii="宋体" w:hAnsi="Courier New" w:cs="Courier New"/>
      <w:sz w:val="21"/>
      <w:szCs w:val="21"/>
    </w:rPr>
  </w:style>
  <w:style w:type="paragraph" w:styleId="20">
    <w:name w:val="Body Text Indent 2"/>
    <w:next w:val="1"/>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qFormat/>
    <w:uiPriority w:val="99"/>
    <w:pPr>
      <w:tabs>
        <w:tab w:val="center" w:pos="4153"/>
        <w:tab w:val="right" w:pos="8306"/>
      </w:tabs>
      <w:snapToGrid w:val="0"/>
      <w:jc w:val="left"/>
    </w:pPr>
    <w:rPr>
      <w:sz w:val="18"/>
      <w:szCs w:val="18"/>
    </w:rPr>
  </w:style>
  <w:style w:type="paragraph" w:styleId="22">
    <w:name w:val="header"/>
    <w:basedOn w:val="1"/>
    <w:next w:val="1"/>
    <w:link w:val="44"/>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index heading"/>
    <w:basedOn w:val="1"/>
    <w:next w:val="25"/>
    <w:qFormat/>
    <w:uiPriority w:val="99"/>
    <w:rPr>
      <w:rFonts w:hint="eastAsia" w:ascii="Cambria" w:hAnsi="Cambria"/>
      <w:b/>
    </w:rPr>
  </w:style>
  <w:style w:type="paragraph" w:styleId="25">
    <w:name w:val="index 1"/>
    <w:basedOn w:val="1"/>
    <w:next w:val="1"/>
    <w:qFormat/>
    <w:uiPriority w:val="99"/>
  </w:style>
  <w:style w:type="paragraph" w:styleId="26">
    <w:name w:val="Body Text Indent 3"/>
    <w:basedOn w:val="1"/>
    <w:unhideWhenUsed/>
    <w:qFormat/>
    <w:uiPriority w:val="0"/>
    <w:pPr>
      <w:ind w:firstLine="570"/>
    </w:pPr>
    <w:rPr>
      <w:szCs w:val="20"/>
    </w:rPr>
  </w:style>
  <w:style w:type="paragraph" w:styleId="27">
    <w:name w:val="toc 2"/>
    <w:basedOn w:val="1"/>
    <w:next w:val="8"/>
    <w:qFormat/>
    <w:uiPriority w:val="39"/>
    <w:pPr>
      <w:ind w:left="420" w:leftChars="200"/>
    </w:pPr>
  </w:style>
  <w:style w:type="paragraph" w:styleId="28">
    <w:name w:val="Normal (Web)"/>
    <w:basedOn w:val="1"/>
    <w:qFormat/>
    <w:uiPriority w:val="0"/>
    <w:pPr>
      <w:widowControl/>
      <w:spacing w:before="100" w:beforeAutospacing="1" w:after="100" w:afterAutospacing="1"/>
      <w:jc w:val="left"/>
    </w:pPr>
    <w:rPr>
      <w:rFonts w:ascii="宋体" w:hAnsi="宋体"/>
      <w:kern w:val="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qFormat/>
    <w:uiPriority w:val="0"/>
    <w:pPr>
      <w:spacing w:line="500" w:lineRule="exact"/>
      <w:ind w:firstLine="560"/>
    </w:pPr>
    <w:rPr>
      <w:color w:val="FF0000"/>
      <w:sz w:val="24"/>
    </w:rPr>
  </w:style>
  <w:style w:type="paragraph" w:customStyle="1" w:styleId="33">
    <w:name w:val="Default"/>
    <w:basedOn w:val="34"/>
    <w:next w:val="3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qFormat/>
    <w:uiPriority w:val="0"/>
    <w:pPr>
      <w:adjustRightInd w:val="0"/>
      <w:textAlignment w:val="baseline"/>
    </w:pPr>
    <w:rPr>
      <w:rFonts w:ascii="宋体" w:hAnsi="Courier New"/>
      <w:snapToGrid w:val="0"/>
      <w:sz w:val="28"/>
    </w:rPr>
  </w:style>
  <w:style w:type="paragraph" w:customStyle="1" w:styleId="35">
    <w:name w:val="样式35"/>
    <w:basedOn w:val="36"/>
    <w:next w:val="37"/>
    <w:qFormat/>
    <w:uiPriority w:val="0"/>
    <w:pPr>
      <w:spacing w:line="312" w:lineRule="auto"/>
      <w:ind w:firstLine="567"/>
    </w:pPr>
    <w:rPr>
      <w:rFonts w:ascii="宋体"/>
    </w:rPr>
  </w:style>
  <w:style w:type="paragraph" w:customStyle="1" w:styleId="36">
    <w:name w:val="表 内容"/>
    <w:basedOn w:val="1"/>
    <w:qFormat/>
    <w:uiPriority w:val="0"/>
    <w:pPr>
      <w:spacing w:line="240" w:lineRule="atLeast"/>
      <w:jc w:val="center"/>
    </w:pPr>
  </w:style>
  <w:style w:type="paragraph" w:customStyle="1" w:styleId="37">
    <w:name w:val="font6"/>
    <w:basedOn w:val="1"/>
    <w:next w:val="27"/>
    <w:qFormat/>
    <w:uiPriority w:val="0"/>
    <w:pPr>
      <w:widowControl/>
      <w:spacing w:before="280" w:after="280"/>
    </w:pPr>
  </w:style>
  <w:style w:type="paragraph" w:customStyle="1" w:styleId="38">
    <w:name w:val="[1]正文"/>
    <w:basedOn w:val="1"/>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qFormat/>
    <w:uiPriority w:val="0"/>
    <w:pPr>
      <w:ind w:firstLine="480" w:firstLineChars="200"/>
    </w:pPr>
    <w:rPr>
      <w:rFonts w:eastAsia="楷体"/>
      <w:sz w:val="24"/>
    </w:rPr>
  </w:style>
  <w:style w:type="paragraph" w:customStyle="1" w:styleId="41">
    <w:name w:val="高-正文"/>
    <w:basedOn w:val="1"/>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qFormat/>
    <w:uiPriority w:val="34"/>
    <w:pPr>
      <w:ind w:firstLine="420" w:firstLineChars="200"/>
    </w:pPr>
  </w:style>
  <w:style w:type="paragraph" w:customStyle="1" w:styleId="43">
    <w:name w:val="a正文"/>
    <w:basedOn w:val="1"/>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qFormat/>
    <w:uiPriority w:val="0"/>
    <w:rPr>
      <w:kern w:val="2"/>
      <w:sz w:val="18"/>
      <w:szCs w:val="18"/>
    </w:rPr>
  </w:style>
  <w:style w:type="character" w:customStyle="1" w:styleId="45">
    <w:name w:val="页脚 Char"/>
    <w:basedOn w:val="31"/>
    <w:link w:val="21"/>
    <w:qFormat/>
    <w:uiPriority w:val="99"/>
    <w:rPr>
      <w:kern w:val="2"/>
      <w:sz w:val="18"/>
      <w:szCs w:val="18"/>
    </w:rPr>
  </w:style>
  <w:style w:type="paragraph" w:customStyle="1" w:styleId="46">
    <w:name w:val="表 正文"/>
    <w:basedOn w:val="1"/>
    <w:qFormat/>
    <w:uiPriority w:val="0"/>
    <w:pPr>
      <w:spacing w:line="360" w:lineRule="auto"/>
      <w:ind w:firstLine="480" w:firstLineChars="200"/>
    </w:pPr>
    <w:rPr>
      <w:sz w:val="24"/>
      <w:szCs w:val="21"/>
    </w:rPr>
  </w:style>
  <w:style w:type="paragraph" w:customStyle="1" w:styleId="47">
    <w:name w:val="Body text|1"/>
    <w:basedOn w:val="1"/>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1232</Words>
  <Characters>1285</Characters>
  <Lines>20</Lines>
  <Paragraphs>5</Paragraphs>
  <TotalTime>9</TotalTime>
  <ScaleCrop>false</ScaleCrop>
  <LinksUpToDate>false</LinksUpToDate>
  <CharactersWithSpaces>1303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2022-02-28T06:47:00Z</cp:lastPrinted>
  <dcterms:modified xsi:type="dcterms:W3CDTF">2023-08-14T03:12:37Z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