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bookmarkStart w:id="0" w:name="_Hlk124747957"/>
    </w:p>
    <w:p>
      <w:pPr>
        <w:adjustRightInd w:val="0"/>
        <w:snapToGrid w:val="0"/>
        <w:spacing w:line="360" w:lineRule="auto"/>
        <w:jc w:val="center"/>
        <w:rPr>
          <w:b/>
          <w:bCs/>
          <w:sz w:val="32"/>
          <w:szCs w:val="32"/>
        </w:rPr>
      </w:pPr>
    </w:p>
    <w:p>
      <w:pPr>
        <w:pStyle w:val="7"/>
        <w:rPr>
          <w:b/>
          <w:bCs/>
          <w:sz w:val="32"/>
          <w:szCs w:val="32"/>
        </w:rPr>
      </w:pPr>
    </w:p>
    <w:p>
      <w:pPr>
        <w:rPr>
          <w:b/>
          <w:bCs/>
          <w:sz w:val="32"/>
          <w:szCs w:val="32"/>
        </w:rPr>
      </w:pPr>
    </w:p>
    <w:p>
      <w:pPr>
        <w:pStyle w:val="7"/>
        <w:rPr>
          <w:b/>
          <w:bCs/>
          <w:sz w:val="32"/>
          <w:szCs w:val="32"/>
        </w:rPr>
      </w:pPr>
    </w:p>
    <w:p>
      <w:pPr>
        <w:rPr>
          <w:b/>
          <w:bCs/>
          <w:sz w:val="32"/>
          <w:szCs w:val="32"/>
        </w:rPr>
      </w:pPr>
    </w:p>
    <w:p>
      <w:pPr>
        <w:pStyle w:val="7"/>
        <w:rPr>
          <w:b/>
          <w:bCs/>
          <w:sz w:val="32"/>
          <w:szCs w:val="32"/>
        </w:rPr>
      </w:pPr>
    </w:p>
    <w:p/>
    <w:p>
      <w:pPr>
        <w:pStyle w:val="7"/>
      </w:pPr>
    </w:p>
    <w:bookmarkEnd w:id="0"/>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西环审表〔202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w:t>
      </w:r>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p>
    <w:p>
      <w:pPr>
        <w:spacing w:line="598" w:lineRule="exact"/>
        <w:jc w:val="center"/>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firstLine="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锡林郭勒盟生态环境局</w:t>
      </w:r>
    </w:p>
    <w:p>
      <w:pPr>
        <w:keepNext w:val="0"/>
        <w:keepLines w:val="0"/>
        <w:pageBreakBefore w:val="0"/>
        <w:widowControl w:val="0"/>
        <w:kinsoku/>
        <w:wordWrap/>
        <w:overflowPunct/>
        <w:topLinePunct w:val="0"/>
        <w:autoSpaceDE/>
        <w:autoSpaceDN/>
        <w:bidi w:val="0"/>
        <w:adjustRightInd/>
        <w:snapToGrid/>
        <w:spacing w:line="640" w:lineRule="exact"/>
        <w:ind w:left="0" w:firstLine="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关于锡林郭勒盟西乌珠穆沁旗前湖电力电缆及铝导线项目环境影响报告表的批复</w:t>
      </w:r>
    </w:p>
    <w:p>
      <w:pPr>
        <w:spacing w:line="598" w:lineRule="exact"/>
        <w:jc w:val="left"/>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内蒙古前湖科技有限公司</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你单位报送</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highlight w:val="none"/>
          <w:lang w:val="en-US" w:eastAsia="zh-CN"/>
        </w:rPr>
        <w:t>锡林郭勒盟西乌珠穆沁旗前湖电力电缆及铝导线项目</w:t>
      </w:r>
      <w:r>
        <w:rPr>
          <w:rFonts w:hint="eastAsia" w:ascii="仿宋_GB2312" w:hAnsi="仿宋_GB2312" w:eastAsia="仿宋_GB2312" w:cs="仿宋_GB2312"/>
          <w:color w:val="auto"/>
          <w:sz w:val="32"/>
          <w:szCs w:val="32"/>
          <w:lang w:val="en-US" w:eastAsia="zh-CN"/>
        </w:rPr>
        <w:t>环境</w:t>
      </w:r>
      <w:r>
        <w:rPr>
          <w:rFonts w:hint="eastAsia" w:ascii="仿宋_GB2312" w:hAnsi="仿宋_GB2312" w:eastAsia="仿宋_GB2312" w:cs="仿宋_GB2312"/>
          <w:color w:val="auto"/>
          <w:sz w:val="32"/>
          <w:szCs w:val="32"/>
          <w:lang w:eastAsia="zh-CN"/>
        </w:rPr>
        <w:t>影响报告表</w:t>
      </w:r>
      <w:r>
        <w:rPr>
          <w:rFonts w:hint="eastAsia" w:ascii="仿宋_GB2312" w:hAnsi="仿宋_GB2312" w:eastAsia="仿宋_GB2312" w:cs="仿宋_GB2312"/>
          <w:color w:val="auto"/>
          <w:sz w:val="32"/>
          <w:szCs w:val="32"/>
        </w:rPr>
        <w:t>》（以下简称《报告</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已收悉。</w:t>
      </w:r>
      <w:r>
        <w:rPr>
          <w:rFonts w:hint="eastAsia" w:ascii="仿宋_GB2312" w:hAnsi="仿宋_GB2312" w:eastAsia="仿宋_GB2312" w:cs="仿宋_GB2312"/>
          <w:sz w:val="32"/>
          <w:szCs w:val="32"/>
        </w:rPr>
        <w:t>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auto"/>
          <w:kern w:val="0"/>
          <w:sz w:val="32"/>
          <w:szCs w:val="32"/>
          <w:lang w:val="en-US" w:eastAsia="zh-CN"/>
        </w:rPr>
        <w:t>锡环投评估表〔2023〕34号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color w:val="auto"/>
          <w:sz w:val="32"/>
          <w:szCs w:val="32"/>
          <w:lang w:val="en-US" w:eastAsia="zh-CN"/>
        </w:rPr>
        <w:t>研究，现批复如下：</w:t>
      </w:r>
    </w:p>
    <w:p>
      <w:pPr>
        <w:pStyle w:val="1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一、本</w:t>
      </w:r>
      <w:r>
        <w:rPr>
          <w:rFonts w:hint="eastAsia" w:ascii="仿宋_GB2312" w:hAnsi="仿宋_GB2312" w:eastAsia="仿宋_GB2312" w:cs="仿宋_GB2312"/>
          <w:snapToGrid/>
          <w:color w:val="auto"/>
          <w:kern w:val="0"/>
          <w:sz w:val="32"/>
          <w:szCs w:val="32"/>
          <w:lang w:val="en-US" w:eastAsia="zh-CN" w:bidi="ar"/>
        </w:rPr>
        <w:t>项目</w:t>
      </w:r>
      <w:r>
        <w:rPr>
          <w:rFonts w:hint="eastAsia" w:ascii="仿宋_GB2312" w:hAnsi="仿宋_GB2312" w:eastAsia="仿宋_GB2312" w:cs="仿宋_GB2312"/>
          <w:color w:val="auto"/>
          <w:kern w:val="0"/>
          <w:sz w:val="32"/>
          <w:szCs w:val="32"/>
          <w:highlight w:val="none"/>
          <w:lang w:val="en-US" w:eastAsia="zh-CN" w:bidi="ar"/>
        </w:rPr>
        <w:t>位于</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内蒙古锡林郭勒</w:t>
      </w:r>
      <w:r>
        <w:rPr>
          <w:rFonts w:hint="default" w:ascii="仿宋_GB2312" w:hAnsi="仿宋_GB2312" w:eastAsia="仿宋_GB2312" w:cs="仿宋_GB2312"/>
          <w:color w:val="auto"/>
          <w:kern w:val="0"/>
          <w:sz w:val="32"/>
          <w:szCs w:val="32"/>
          <w:highlight w:val="none"/>
          <w:lang w:val="en-US" w:eastAsia="zh-CN" w:bidi="ar"/>
        </w:rPr>
        <w:t>白音华经济开发区白音华产业园</w:t>
      </w:r>
      <w:r>
        <w:rPr>
          <w:rFonts w:hint="eastAsia" w:ascii="仿宋_GB2312" w:hAnsi="仿宋_GB2312" w:eastAsia="仿宋_GB2312" w:cs="仿宋_GB2312"/>
          <w:color w:val="auto"/>
          <w:kern w:val="0"/>
          <w:sz w:val="32"/>
          <w:szCs w:val="32"/>
          <w:highlight w:val="none"/>
          <w:lang w:val="en-US" w:eastAsia="zh-CN" w:bidi="ar"/>
        </w:rPr>
        <w:t>，项目</w:t>
      </w:r>
      <w:r>
        <w:rPr>
          <w:rFonts w:hint="eastAsia" w:ascii="仿宋_GB2312" w:hAnsi="仿宋_GB2312" w:eastAsia="仿宋_GB2312" w:cs="仿宋_GB2312"/>
          <w:snapToGrid/>
          <w:color w:val="auto"/>
          <w:kern w:val="0"/>
          <w:sz w:val="32"/>
          <w:szCs w:val="32"/>
          <w:lang w:val="en-US" w:eastAsia="zh-CN" w:bidi="ar"/>
        </w:rPr>
        <w:t>占地类型为工业用地，厂区为租赁。</w:t>
      </w:r>
      <w:r>
        <w:rPr>
          <w:rFonts w:hint="eastAsia" w:ascii="仿宋_GB2312" w:hAnsi="仿宋_GB2312" w:eastAsia="仿宋_GB2312" w:cs="仿宋_GB2312"/>
          <w:color w:val="auto"/>
          <w:kern w:val="0"/>
          <w:sz w:val="32"/>
          <w:szCs w:val="32"/>
          <w:highlight w:val="none"/>
          <w:lang w:val="en-US" w:eastAsia="zh-CN" w:bidi="ar"/>
        </w:rPr>
        <w:t>项目建成后，年产聚氯乙烯绝缘电力电缆1万吨；年产聚氯乙烯绝缘控制电缆、各种矿用阻燃电缆0.3万吨；年产铝导线4万吨；年产钢丝铠装电缆0.1万吨；年产耐火、防水、耐高温电缆、架空线、布电线0.1万吨。主要建设内容包括：1</w:t>
      </w:r>
      <w:r>
        <w:rPr>
          <w:rFonts w:hint="eastAsia" w:ascii="仿宋_GB2312" w:hAnsi="仿宋_GB2312" w:eastAsia="仿宋_GB2312" w:cs="仿宋_GB2312"/>
          <w:color w:val="auto"/>
          <w:kern w:val="0"/>
          <w:sz w:val="32"/>
          <w:szCs w:val="32"/>
          <w:highlight w:val="none"/>
          <w:vertAlign w:val="superscript"/>
          <w:lang w:val="en-US" w:eastAsia="zh-CN" w:bidi="ar"/>
        </w:rPr>
        <w:t>#</w:t>
      </w:r>
      <w:r>
        <w:rPr>
          <w:rFonts w:hint="eastAsia" w:ascii="仿宋_GB2312" w:hAnsi="仿宋_GB2312" w:eastAsia="仿宋_GB2312" w:cs="仿宋_GB2312"/>
          <w:color w:val="auto"/>
          <w:kern w:val="0"/>
          <w:sz w:val="32"/>
          <w:szCs w:val="32"/>
          <w:highlight w:val="none"/>
          <w:lang w:val="en-US" w:eastAsia="zh-CN" w:bidi="ar"/>
        </w:rPr>
        <w:t>车间占地面积为4800㎡；2</w:t>
      </w:r>
      <w:r>
        <w:rPr>
          <w:rFonts w:hint="eastAsia" w:ascii="仿宋_GB2312" w:hAnsi="仿宋_GB2312" w:eastAsia="仿宋_GB2312" w:cs="仿宋_GB2312"/>
          <w:color w:val="auto"/>
          <w:kern w:val="0"/>
          <w:sz w:val="32"/>
          <w:szCs w:val="32"/>
          <w:highlight w:val="none"/>
          <w:vertAlign w:val="superscript"/>
          <w:lang w:val="en-US" w:eastAsia="zh-CN" w:bidi="ar"/>
        </w:rPr>
        <w:t>#</w:t>
      </w:r>
      <w:r>
        <w:rPr>
          <w:rFonts w:hint="eastAsia" w:ascii="仿宋_GB2312" w:hAnsi="仿宋_GB2312" w:eastAsia="仿宋_GB2312" w:cs="仿宋_GB2312"/>
          <w:color w:val="auto"/>
          <w:kern w:val="0"/>
          <w:sz w:val="32"/>
          <w:szCs w:val="32"/>
          <w:highlight w:val="none"/>
          <w:lang w:val="en-US" w:eastAsia="zh-CN" w:bidi="ar"/>
        </w:rPr>
        <w:t>车间占地面积为10000㎡；3</w:t>
      </w:r>
      <w:r>
        <w:rPr>
          <w:rFonts w:hint="eastAsia" w:ascii="仿宋_GB2312" w:hAnsi="仿宋_GB2312" w:eastAsia="仿宋_GB2312" w:cs="仿宋_GB2312"/>
          <w:color w:val="auto"/>
          <w:kern w:val="0"/>
          <w:sz w:val="32"/>
          <w:szCs w:val="32"/>
          <w:highlight w:val="none"/>
          <w:vertAlign w:val="superscript"/>
          <w:lang w:val="en-US" w:eastAsia="zh-CN" w:bidi="ar"/>
        </w:rPr>
        <w:t>#</w:t>
      </w:r>
      <w:r>
        <w:rPr>
          <w:rFonts w:hint="eastAsia" w:ascii="仿宋_GB2312" w:hAnsi="仿宋_GB2312" w:eastAsia="仿宋_GB2312" w:cs="仿宋_GB2312"/>
          <w:color w:val="auto"/>
          <w:kern w:val="0"/>
          <w:sz w:val="32"/>
          <w:szCs w:val="32"/>
          <w:highlight w:val="none"/>
          <w:lang w:val="en-US" w:eastAsia="zh-CN" w:bidi="ar"/>
        </w:rPr>
        <w:t>车间占地面积为5200㎡。内设12条生产线设备及附属设备，并进行水、电、暖等配套设施的建设</w:t>
      </w:r>
      <w:r>
        <w:rPr>
          <w:rFonts w:hint="eastAsia" w:ascii="仿宋_GB2312" w:hAnsi="仿宋_GB2312" w:eastAsia="仿宋_GB2312" w:cs="仿宋_GB2312"/>
          <w:snapToGrid/>
          <w:color w:val="auto"/>
          <w:kern w:val="0"/>
          <w:sz w:val="32"/>
          <w:szCs w:val="32"/>
          <w:lang w:val="en-US" w:eastAsia="zh-CN" w:bidi="ar"/>
        </w:rPr>
        <w:t>。</w:t>
      </w:r>
      <w:r>
        <w:rPr>
          <w:rFonts w:hint="eastAsia" w:ascii="仿宋_GB2312" w:hAnsi="仿宋_GB2312" w:eastAsia="仿宋_GB2312" w:cs="仿宋_GB2312"/>
          <w:color w:val="auto"/>
          <w:kern w:val="0"/>
          <w:sz w:val="32"/>
          <w:szCs w:val="32"/>
          <w:highlight w:val="none"/>
          <w:lang w:val="en-US" w:eastAsia="zh-CN" w:bidi="ar"/>
        </w:rPr>
        <w:t>项目</w:t>
      </w:r>
      <w:r>
        <w:rPr>
          <w:rFonts w:hint="eastAsia" w:ascii="仿宋_GB2312" w:hAnsi="仿宋_GB2312" w:eastAsia="仿宋_GB2312" w:cs="仿宋_GB2312"/>
          <w:color w:val="auto"/>
          <w:kern w:val="0"/>
          <w:sz w:val="32"/>
          <w:szCs w:val="32"/>
          <w:highlight w:val="none"/>
          <w:lang w:val="zh-CN" w:eastAsia="zh-CN" w:bidi="ar"/>
        </w:rPr>
        <w:t>总投资</w:t>
      </w:r>
      <w:r>
        <w:rPr>
          <w:rFonts w:hint="eastAsia" w:ascii="仿宋_GB2312" w:hAnsi="仿宋_GB2312" w:eastAsia="仿宋_GB2312" w:cs="仿宋_GB2312"/>
          <w:color w:val="auto"/>
          <w:kern w:val="0"/>
          <w:sz w:val="32"/>
          <w:szCs w:val="32"/>
          <w:highlight w:val="none"/>
          <w:lang w:val="en-US" w:eastAsia="zh-CN" w:bidi="ar"/>
        </w:rPr>
        <w:t>26433.81</w:t>
      </w:r>
      <w:r>
        <w:rPr>
          <w:rFonts w:hint="eastAsia" w:ascii="仿宋_GB2312" w:hAnsi="仿宋_GB2312" w:eastAsia="仿宋_GB2312" w:cs="仿宋_GB2312"/>
          <w:color w:val="auto"/>
          <w:kern w:val="0"/>
          <w:sz w:val="32"/>
          <w:szCs w:val="32"/>
          <w:highlight w:val="none"/>
          <w:lang w:val="zh-CN" w:eastAsia="zh-CN" w:bidi="ar"/>
        </w:rPr>
        <w:t>万元，环保投资</w:t>
      </w:r>
      <w:r>
        <w:rPr>
          <w:rFonts w:hint="eastAsia" w:ascii="仿宋_GB2312" w:hAnsi="仿宋_GB2312" w:eastAsia="仿宋_GB2312" w:cs="仿宋_GB2312"/>
          <w:color w:val="auto"/>
          <w:kern w:val="0"/>
          <w:sz w:val="32"/>
          <w:szCs w:val="32"/>
          <w:highlight w:val="none"/>
          <w:lang w:val="en-US" w:eastAsia="zh-CN" w:bidi="ar"/>
        </w:rPr>
        <w:t>42</w:t>
      </w:r>
      <w:r>
        <w:rPr>
          <w:rFonts w:hint="eastAsia" w:ascii="仿宋_GB2312" w:hAnsi="仿宋_GB2312" w:eastAsia="仿宋_GB2312" w:cs="仿宋_GB2312"/>
          <w:color w:val="auto"/>
          <w:kern w:val="0"/>
          <w:sz w:val="32"/>
          <w:szCs w:val="32"/>
          <w:highlight w:val="none"/>
          <w:lang w:val="zh-CN" w:eastAsia="zh-CN" w:bidi="ar"/>
        </w:rPr>
        <w:t>万元，占总投资比例</w:t>
      </w:r>
      <w:r>
        <w:rPr>
          <w:rFonts w:hint="eastAsia" w:ascii="仿宋_GB2312" w:hAnsi="仿宋_GB2312" w:eastAsia="仿宋_GB2312" w:cs="仿宋_GB2312"/>
          <w:color w:val="auto"/>
          <w:kern w:val="0"/>
          <w:sz w:val="32"/>
          <w:szCs w:val="32"/>
          <w:highlight w:val="none"/>
          <w:lang w:val="en-US" w:eastAsia="zh-CN" w:bidi="ar"/>
        </w:rPr>
        <w:t>0.16</w:t>
      </w:r>
      <w:r>
        <w:rPr>
          <w:rFonts w:hint="eastAsia" w:ascii="仿宋_GB2312" w:hAnsi="仿宋_GB2312" w:eastAsia="仿宋_GB2312" w:cs="仿宋_GB2312"/>
          <w:color w:val="auto"/>
          <w:kern w:val="0"/>
          <w:sz w:val="32"/>
          <w:szCs w:val="32"/>
          <w:highlight w:val="none"/>
          <w:lang w:val="zh-CN" w:eastAsia="zh-CN" w:bidi="ar"/>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《报告表》认为，根据《产业结构调整指导目录》（2019年本），本项目</w:t>
      </w:r>
      <w:r>
        <w:rPr>
          <w:rFonts w:hint="eastAsia" w:ascii="仿宋_GB2312" w:hAnsi="仿宋_GB2312" w:eastAsia="仿宋_GB2312" w:cs="仿宋_GB2312"/>
          <w:bCs/>
          <w:sz w:val="32"/>
          <w:szCs w:val="32"/>
        </w:rPr>
        <w:t>属于</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color w:val="auto"/>
          <w:kern w:val="2"/>
          <w:sz w:val="32"/>
          <w:szCs w:val="32"/>
          <w:lang w:val="en-US" w:eastAsia="zh-CN" w:bidi="ar-SA"/>
        </w:rPr>
        <w:t>允许类”，符合国</w:t>
      </w:r>
      <w:r>
        <w:rPr>
          <w:rFonts w:hint="eastAsia" w:ascii="仿宋_GB2312" w:hAnsi="仿宋_GB2312" w:eastAsia="仿宋_GB2312" w:cs="仿宋_GB2312"/>
          <w:bCs/>
          <w:sz w:val="32"/>
          <w:szCs w:val="32"/>
          <w:lang w:val="en-US" w:eastAsia="zh-CN"/>
        </w:rPr>
        <w:t>家产业政策</w:t>
      </w:r>
      <w:r>
        <w:rPr>
          <w:rFonts w:hint="eastAsia" w:ascii="仿宋_GB2312" w:hAnsi="仿宋_GB2312" w:eastAsia="仿宋_GB2312" w:cs="仿宋_GB2312"/>
          <w:b w:val="0"/>
          <w:bCs w:val="0"/>
          <w:color w:val="auto"/>
          <w:spacing w:val="0"/>
          <w:kern w:val="2"/>
          <w:sz w:val="32"/>
          <w:szCs w:val="32"/>
          <w:lang w:val="en-US" w:eastAsia="zh-CN" w:bidi="ar-SA"/>
        </w:rPr>
        <w:t>。该</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项目位于内蒙古锡林郭勒白音华经济开发区-白音华产业园，根据锡林郭勒盟环境管控单元图对照，属于重点管控单元范围(管控单元代码为</w:t>
      </w:r>
      <w: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ZH15252620002</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auto"/>
          <w:sz w:val="32"/>
          <w:szCs w:val="32"/>
          <w:lang w:val="en-US" w:eastAsia="zh-CN"/>
        </w:rPr>
        <w:t>项目区不在生态保护红线范围内，符合生态保护红线要求。通过对该项目“三线一单”符合性分析，项目的建设符合“生态保护红线、环境质量底线、资源利用上线及锡林郭勒盟生态环境准入清单”的相关管控要求。</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二、项目在设计、建设和运营过程中应做好以下工作。</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（一）严格落实各项大气污染防治措施。</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施工期废气主要为厂房装修及设备安装过程少量粉尘以及运输车辆产生的尾气等。施工单位应合理安排施工机械，尽量减少使用次数；加快施工进度，缩短工期，减少影响时间，最大限度降低对周围大气环境的影响。运营期主要大气污染物为挤塑（挤出绝缘、挤出护套）废气、喷码工序产生的有机废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聚氯乙烯材料和PVG材料下料粉尘</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及运输车辆产生的道路扬尘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default" w:ascii="仿宋_GB2312" w:hAnsi="仿宋_GB2312" w:eastAsia="仿宋_GB2312" w:cs="仿宋_GB2312"/>
          <w:kern w:val="0"/>
          <w:sz w:val="32"/>
          <w:szCs w:val="32"/>
          <w:lang w:val="en-US" w:eastAsia="zh-CN" w:bidi="ar"/>
        </w:rPr>
        <w:t>项目挤塑生产工序采用高压挤塑，挤塑过程会产生氯化氢和非甲烷总烃。</w:t>
      </w:r>
      <w:r>
        <w:rPr>
          <w:rFonts w:hint="eastAsia" w:ascii="仿宋_GB2312" w:hAnsi="仿宋_GB2312" w:eastAsia="仿宋_GB2312" w:cs="仿宋_GB2312"/>
          <w:color w:val="auto"/>
          <w:sz w:val="32"/>
          <w:szCs w:val="32"/>
          <w:lang w:val="en-US" w:eastAsia="zh-CN"/>
        </w:rPr>
        <w:t>建设单位应</w:t>
      </w:r>
      <w:r>
        <w:rPr>
          <w:rFonts w:hint="default" w:ascii="仿宋_GB2312" w:hAnsi="仿宋_GB2312" w:eastAsia="仿宋_GB2312" w:cs="仿宋_GB2312"/>
          <w:kern w:val="0"/>
          <w:sz w:val="32"/>
          <w:szCs w:val="32"/>
          <w:lang w:val="en-US" w:eastAsia="zh-CN" w:bidi="ar"/>
        </w:rPr>
        <w:t>在</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vertAlign w:val="superscript"/>
          <w:lang w:val="en-US" w:eastAsia="zh-CN" w:bidi="ar"/>
        </w:rPr>
        <w:t>#</w:t>
      </w:r>
      <w:r>
        <w:rPr>
          <w:rFonts w:hint="eastAsia" w:ascii="仿宋_GB2312" w:hAnsi="仿宋_GB2312" w:eastAsia="仿宋_GB2312" w:cs="仿宋_GB2312"/>
          <w:kern w:val="0"/>
          <w:sz w:val="32"/>
          <w:szCs w:val="32"/>
          <w:lang w:val="en-US" w:eastAsia="zh-CN" w:bidi="ar"/>
        </w:rPr>
        <w:t>车间挤塑机、喷码机和</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vertAlign w:val="superscript"/>
          <w:lang w:val="en-US" w:eastAsia="zh-CN"/>
        </w:rPr>
        <w:t>#</w:t>
      </w:r>
      <w:r>
        <w:rPr>
          <w:rFonts w:hint="eastAsia" w:ascii="仿宋_GB2312" w:hAnsi="仿宋_GB2312" w:eastAsia="仿宋_GB2312" w:cs="仿宋_GB2312"/>
          <w:kern w:val="0"/>
          <w:sz w:val="32"/>
          <w:szCs w:val="32"/>
          <w:lang w:val="en-US" w:eastAsia="zh-CN" w:bidi="ar"/>
        </w:rPr>
        <w:t>车间挤塑机</w:t>
      </w:r>
      <w:r>
        <w:rPr>
          <w:rFonts w:hint="default" w:ascii="仿宋_GB2312" w:hAnsi="仿宋_GB2312" w:eastAsia="仿宋_GB2312" w:cs="仿宋_GB2312"/>
          <w:kern w:val="0"/>
          <w:sz w:val="32"/>
          <w:szCs w:val="32"/>
          <w:lang w:val="en-US" w:eastAsia="zh-CN" w:bidi="ar"/>
        </w:rPr>
        <w:t>上方设置集气罩，集气罩设置在有机废气产生点的上方，</w:t>
      </w:r>
      <w:r>
        <w:rPr>
          <w:rFonts w:hint="eastAsia" w:ascii="仿宋_GB2312" w:hAnsi="仿宋_GB2312" w:eastAsia="仿宋_GB2312" w:cs="仿宋_GB2312"/>
          <w:kern w:val="0"/>
          <w:sz w:val="32"/>
          <w:szCs w:val="32"/>
          <w:lang w:val="en-US" w:eastAsia="zh-CN" w:bidi="ar"/>
        </w:rPr>
        <w:t>集中收集</w:t>
      </w:r>
      <w:r>
        <w:rPr>
          <w:rFonts w:hint="default" w:ascii="仿宋_GB2312" w:hAnsi="仿宋_GB2312" w:eastAsia="仿宋_GB2312" w:cs="仿宋_GB2312"/>
          <w:kern w:val="0"/>
          <w:sz w:val="32"/>
          <w:szCs w:val="32"/>
          <w:lang w:val="en-US" w:eastAsia="zh-CN" w:bidi="ar"/>
        </w:rPr>
        <w:t>经活性炭吸附装置处理后</w:t>
      </w:r>
      <w:r>
        <w:rPr>
          <w:rFonts w:hint="eastAsia" w:ascii="仿宋_GB2312" w:hAnsi="仿宋_GB2312" w:eastAsia="仿宋_GB2312" w:cs="仿宋_GB2312"/>
          <w:kern w:val="0"/>
          <w:sz w:val="32"/>
          <w:szCs w:val="32"/>
          <w:lang w:val="en-US" w:eastAsia="zh-CN" w:bidi="ar"/>
        </w:rPr>
        <w:t>分别</w:t>
      </w:r>
      <w:r>
        <w:rPr>
          <w:rFonts w:hint="default" w:ascii="仿宋_GB2312" w:hAnsi="仿宋_GB2312" w:eastAsia="仿宋_GB2312" w:cs="仿宋_GB2312"/>
          <w:kern w:val="0"/>
          <w:sz w:val="32"/>
          <w:szCs w:val="32"/>
          <w:lang w:val="en-US" w:eastAsia="zh-CN" w:bidi="ar"/>
        </w:rPr>
        <w:t>由</w:t>
      </w: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根15米高（DA001</w:t>
      </w:r>
      <w:r>
        <w:rPr>
          <w:rFonts w:hint="eastAsia" w:ascii="仿宋_GB2312" w:hAnsi="仿宋_GB2312" w:eastAsia="仿宋_GB2312" w:cs="仿宋_GB2312"/>
          <w:kern w:val="0"/>
          <w:sz w:val="32"/>
          <w:szCs w:val="32"/>
          <w:lang w:val="en-US" w:eastAsia="zh-CN" w:bidi="ar"/>
        </w:rPr>
        <w:t>和</w:t>
      </w:r>
      <w:r>
        <w:rPr>
          <w:rFonts w:hint="default" w:ascii="仿宋_GB2312" w:hAnsi="仿宋_GB2312" w:eastAsia="仿宋_GB2312" w:cs="仿宋_GB2312"/>
          <w:kern w:val="0"/>
          <w:sz w:val="32"/>
          <w:szCs w:val="32"/>
          <w:lang w:val="en-US" w:eastAsia="zh-CN" w:bidi="ar"/>
        </w:rPr>
        <w:t>DA00</w:t>
      </w:r>
      <w:r>
        <w:rPr>
          <w:rFonts w:hint="eastAsia" w:ascii="仿宋_GB2312" w:hAnsi="仿宋_GB2312" w:eastAsia="仿宋_GB2312" w:cs="仿宋_GB2312"/>
          <w:kern w:val="0"/>
          <w:sz w:val="32"/>
          <w:szCs w:val="32"/>
          <w:lang w:val="en-US" w:eastAsia="zh-CN" w:bidi="ar"/>
        </w:rPr>
        <w:t>2</w:t>
      </w:r>
      <w:r>
        <w:rPr>
          <w:rFonts w:hint="default" w:ascii="仿宋_GB2312" w:hAnsi="仿宋_GB2312" w:eastAsia="仿宋_GB2312" w:cs="仿宋_GB2312"/>
          <w:kern w:val="0"/>
          <w:sz w:val="32"/>
          <w:szCs w:val="32"/>
          <w:lang w:val="en-US" w:eastAsia="zh-CN" w:bidi="ar"/>
        </w:rPr>
        <w:t>）排气筒</w:t>
      </w:r>
      <w:r>
        <w:rPr>
          <w:rFonts w:hint="eastAsia" w:ascii="仿宋_GB2312" w:hAnsi="仿宋_GB2312" w:eastAsia="仿宋_GB2312" w:cs="仿宋_GB2312"/>
          <w:kern w:val="0"/>
          <w:sz w:val="32"/>
          <w:szCs w:val="32"/>
          <w:lang w:val="en-US" w:eastAsia="zh-CN" w:bidi="ar"/>
        </w:rPr>
        <w:t>达标</w:t>
      </w:r>
      <w:r>
        <w:rPr>
          <w:rFonts w:hint="default" w:ascii="仿宋_GB2312" w:hAnsi="仿宋_GB2312" w:eastAsia="仿宋_GB2312" w:cs="仿宋_GB2312"/>
          <w:kern w:val="0"/>
          <w:sz w:val="32"/>
          <w:szCs w:val="32"/>
          <w:lang w:val="en-US" w:eastAsia="zh-CN" w:bidi="ar"/>
        </w:rPr>
        <w:t>排放</w:t>
      </w:r>
      <w:r>
        <w:rPr>
          <w:rFonts w:hint="eastAsia" w:ascii="仿宋_GB2312" w:hAnsi="仿宋_GB2312" w:eastAsia="仿宋_GB2312" w:cs="仿宋_GB2312"/>
          <w:kern w:val="0"/>
          <w:sz w:val="32"/>
          <w:szCs w:val="32"/>
          <w:lang w:val="en-US" w:eastAsia="zh-CN" w:bidi="ar"/>
        </w:rPr>
        <w:t>。项目聚氯乙烯材料和PVG材料下料过程应在封闭车间内进行，通过自然通风，减轻对周边环境的影响。同时，要求厂区内道路硬化，路面定期进行清扫、洒水降尘，车辆减速行驶，加强对进出车辆的管理。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highlight w:val="none"/>
          <w:lang w:val="en-US" w:eastAsia="zh-CN"/>
        </w:rPr>
        <w:t>（二）</w:t>
      </w:r>
      <w:r>
        <w:rPr>
          <w:rFonts w:hint="eastAsia" w:ascii="Times New Roman" w:hAnsi="Times New Roman" w:eastAsia="仿宋_GB2312" w:cs="Times New Roman"/>
          <w:b w:val="0"/>
          <w:bCs w:val="0"/>
          <w:color w:val="auto"/>
          <w:spacing w:val="0"/>
          <w:kern w:val="2"/>
          <w:sz w:val="32"/>
          <w:szCs w:val="32"/>
          <w:lang w:val="en-US" w:eastAsia="zh-CN" w:bidi="ar-SA"/>
        </w:rPr>
        <w:t>严格落实各项水污染防治。</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项目施工期污水主要</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b w:val="0"/>
          <w:bCs w:val="0"/>
          <w:color w:val="000000" w:themeColor="text1"/>
          <w:sz w:val="32"/>
          <w:szCs w:val="32"/>
          <w14:textFill>
            <w14:solidFill>
              <w14:schemeClr w14:val="tx1"/>
            </w14:solidFill>
          </w14:textFill>
        </w:rPr>
        <w:t>施工人员产生的生活污水</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生活污水经园区防渗化粪池收集处理后排入污水管网，最终纳入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园区</w:t>
      </w:r>
      <w:r>
        <w:rPr>
          <w:rFonts w:hint="eastAsia" w:ascii="仿宋_GB2312" w:hAnsi="仿宋_GB2312" w:eastAsia="仿宋_GB2312" w:cs="仿宋_GB2312"/>
          <w:b w:val="0"/>
          <w:bCs w:val="0"/>
          <w:color w:val="000000" w:themeColor="text1"/>
          <w:sz w:val="32"/>
          <w:szCs w:val="32"/>
          <w14:textFill>
            <w14:solidFill>
              <w14:schemeClr w14:val="tx1"/>
            </w14:solidFill>
          </w14:textFill>
        </w:rPr>
        <w:t>污水处理厂进行进一步处理。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运营期</w:t>
      </w:r>
      <w:r>
        <w:rPr>
          <w:rFonts w:hint="default" w:ascii="仿宋_GB2312" w:hAnsi="仿宋_GB2312" w:eastAsia="仿宋_GB2312" w:cs="仿宋_GB2312"/>
          <w:b w:val="0"/>
          <w:bCs w:val="0"/>
          <w:color w:val="000000" w:themeColor="text1"/>
          <w:sz w:val="32"/>
          <w:szCs w:val="32"/>
          <w14:textFill>
            <w14:solidFill>
              <w14:schemeClr w14:val="tx1"/>
            </w14:solidFill>
          </w14:textFill>
        </w:rPr>
        <w:t>用水主要为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职工</w:t>
      </w:r>
      <w:r>
        <w:rPr>
          <w:rFonts w:hint="default" w:ascii="仿宋_GB2312" w:hAnsi="仿宋_GB2312" w:eastAsia="仿宋_GB2312" w:cs="仿宋_GB2312"/>
          <w:b w:val="0"/>
          <w:bCs w:val="0"/>
          <w:color w:val="000000" w:themeColor="text1"/>
          <w:sz w:val="32"/>
          <w:szCs w:val="32"/>
          <w14:textFill>
            <w14:solidFill>
              <w14:schemeClr w14:val="tx1"/>
            </w14:solidFill>
          </w14:textFill>
        </w:rPr>
        <w:t>生活用水</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和循环冷却水池补充水。</w:t>
      </w:r>
      <w:r>
        <w:rPr>
          <w:rFonts w:hint="default" w:ascii="仿宋_GB2312" w:hAnsi="仿宋_GB2312" w:eastAsia="仿宋_GB2312" w:cs="仿宋_GB2312"/>
          <w:b w:val="0"/>
          <w:bCs w:val="0"/>
          <w:color w:val="000000" w:themeColor="text1"/>
          <w:sz w:val="32"/>
          <w:szCs w:val="32"/>
          <w14:textFill>
            <w14:solidFill>
              <w14:schemeClr w14:val="tx1"/>
            </w14:solidFill>
          </w14:textFill>
        </w:rPr>
        <w:t>生活污水</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经</w:t>
      </w:r>
      <w:r>
        <w:rPr>
          <w:rFonts w:hint="default" w:ascii="仿宋_GB2312" w:hAnsi="仿宋_GB2312" w:eastAsia="仿宋_GB2312" w:cs="仿宋_GB2312"/>
          <w:b w:val="0"/>
          <w:bCs w:val="0"/>
          <w:color w:val="000000" w:themeColor="text1"/>
          <w:sz w:val="32"/>
          <w:szCs w:val="32"/>
          <w14:textFill>
            <w14:solidFill>
              <w14:schemeClr w14:val="tx1"/>
            </w14:solidFill>
          </w14:textFill>
        </w:rPr>
        <w:t>化粪池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收集</w:t>
      </w:r>
      <w:r>
        <w:rPr>
          <w:rFonts w:hint="default" w:ascii="仿宋_GB2312" w:hAnsi="仿宋_GB2312" w:eastAsia="仿宋_GB2312" w:cs="仿宋_GB2312"/>
          <w:b w:val="0"/>
          <w:bCs w:val="0"/>
          <w:color w:val="000000" w:themeColor="text1"/>
          <w:sz w:val="32"/>
          <w:szCs w:val="32"/>
          <w14:textFill>
            <w14:solidFill>
              <w14:schemeClr w14:val="tx1"/>
            </w14:solidFill>
          </w14:textFill>
        </w:rPr>
        <w:t>后</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，由污水管网排至园区污水处理厂；</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设置循环冷却水池，循环冷却水应循环使用，不得外排。</w:t>
      </w:r>
    </w:p>
    <w:p>
      <w:pPr>
        <w:pStyle w:val="3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bidi="en-US"/>
        </w:rPr>
        <w:t>严格落实</w:t>
      </w:r>
      <w:r>
        <w:rPr>
          <w:rFonts w:hint="eastAsia" w:ascii="仿宋_GB2312" w:hAnsi="仿宋_GB2312" w:eastAsia="仿宋_GB2312" w:cs="仿宋_GB2312"/>
          <w:b w:val="0"/>
          <w:bCs w:val="0"/>
          <w:color w:val="auto"/>
          <w:sz w:val="32"/>
          <w:szCs w:val="32"/>
        </w:rPr>
        <w:t>固体废物处理措施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施工期固体废物主要为施工人员产生的生活垃圾。施工过程中对施工人员产生的生活垃圾进行收集，交由环卫部门进行处置。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运营期主要固废为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废包装材料、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废铝和铝渣、绝缘废料、不合格产品、</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生活垃圾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、废活性炭、废油墨瓶、废机油及废油桶等。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废包装材料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应统一收集后</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可利用部分外售，其余部分定期交由环卫部门进行处理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；拔丝过程中产生的废铝及铝渣、电缆生产过程中产生得绝缘废料及检验过程中产生的不合格产品，应集中</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收集后外售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综合利用；</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在厂区内设置垃圾箱，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生活垃圾</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集中收集后交由环卫部门进行处理。废活性炭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、废油墨瓶及废</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机油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均</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属于危险废物，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应按《危险废物贮存污染控制标准》（GB18597-2023）规范要求建设一座10m</w:t>
      </w:r>
      <w:r>
        <w:rPr>
          <w:rFonts w:hint="eastAsia" w:ascii="仿宋_GB2312" w:hAnsi="仿宋_GB2312" w:eastAsia="仿宋_GB2312" w:cs="仿宋_GB2312"/>
          <w:color w:val="000000" w:themeColor="text1"/>
          <w:sz w:val="32"/>
          <w:szCs w:val="32"/>
          <w:vertAlign w:val="superscript"/>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的危险废物暂存间，集中</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收集至危废暂存间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，定期交由有资质的单位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处置，并按要求</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设置警示标志、贴标签加以详细标注。</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（四）严</w:t>
      </w:r>
      <w:r>
        <w:rPr>
          <w:rFonts w:hint="eastAsia" w:ascii="仿宋_GB2312" w:hAnsi="仿宋_GB2312" w:eastAsia="仿宋_GB2312" w:cs="仿宋_GB2312"/>
          <w:sz w:val="32"/>
          <w:szCs w:val="32"/>
          <w:highlight w:val="none"/>
          <w:lang w:bidi="en-US"/>
        </w:rPr>
        <w:t>格落实</w:t>
      </w:r>
      <w:r>
        <w:rPr>
          <w:rFonts w:hint="eastAsia" w:ascii="仿宋_GB2312" w:hAnsi="仿宋_GB2312" w:eastAsia="仿宋_GB2312" w:cs="仿宋_GB2312"/>
          <w:sz w:val="32"/>
          <w:szCs w:val="32"/>
          <w:lang w:val="en-US" w:eastAsia="zh-CN"/>
        </w:rPr>
        <w:t>噪声防治措施。</w:t>
      </w:r>
      <w:r>
        <w:rPr>
          <w:rFonts w:hint="eastAsia" w:ascii="仿宋_GB2312" w:hAnsi="仿宋_GB2312" w:eastAsia="仿宋_GB2312" w:cs="仿宋_GB2312"/>
          <w:kern w:val="0"/>
          <w:sz w:val="32"/>
          <w:szCs w:val="32"/>
          <w:lang w:val="en-US" w:eastAsia="zh-CN" w:bidi="ar"/>
        </w:rPr>
        <w:t>项目施工期噪声主要为施工机械设备噪声和交通噪声等。施工单位应合理安排施工时间，且设备安装均在封闭厂房内进行。对于交通噪声，来往车辆采取限制车速、禁止鸣笛等措施。</w:t>
      </w:r>
      <w:r>
        <w:rPr>
          <w:rFonts w:hint="eastAsia" w:ascii="仿宋_GB2312" w:hAnsi="仿宋_GB2312" w:eastAsia="仿宋_GB2312" w:cs="仿宋_GB2312"/>
          <w:color w:val="000000" w:themeColor="text1"/>
          <w:sz w:val="32"/>
          <w:szCs w:val="32"/>
          <w14:textFill>
            <w14:solidFill>
              <w14:schemeClr w14:val="tx1"/>
            </w14:solidFill>
          </w14:textFill>
        </w:rPr>
        <w:t>营运期噪声主要来源于</w:t>
      </w:r>
      <w:r>
        <w:rPr>
          <w:rFonts w:hint="default" w:ascii="仿宋_GB2312" w:hAnsi="仿宋_GB2312" w:eastAsia="仿宋_GB2312" w:cs="仿宋_GB2312"/>
          <w:color w:val="000000" w:themeColor="text1"/>
          <w:sz w:val="32"/>
          <w:szCs w:val="32"/>
          <w:lang w:eastAsia="zh-CN"/>
          <w14:textFill>
            <w14:solidFill>
              <w14:schemeClr w14:val="tx1"/>
            </w14:solidFill>
          </w14:textFill>
        </w:rPr>
        <w:t>各机加工设备、风机等</w:t>
      </w:r>
      <w:r>
        <w:rPr>
          <w:rFonts w:hint="eastAsia" w:ascii="仿宋_GB2312" w:hAnsi="仿宋_GB2312" w:eastAsia="仿宋_GB2312" w:cs="仿宋_GB2312"/>
          <w:color w:val="000000" w:themeColor="text1"/>
          <w:sz w:val="32"/>
          <w:szCs w:val="32"/>
          <w14:textFill>
            <w14:solidFill>
              <w14:schemeClr w14:val="tx1"/>
            </w14:solidFill>
          </w14:textFill>
        </w:rPr>
        <w:t>。项目周围50m范围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内无</w:t>
      </w:r>
      <w:r>
        <w:rPr>
          <w:rFonts w:hint="eastAsia" w:ascii="仿宋_GB2312" w:hAnsi="仿宋_GB2312" w:eastAsia="仿宋_GB2312" w:cs="仿宋_GB2312"/>
          <w:color w:val="000000" w:themeColor="text1"/>
          <w:sz w:val="32"/>
          <w:szCs w:val="32"/>
          <w14:textFill>
            <w14:solidFill>
              <w14:schemeClr w14:val="tx1"/>
            </w14:solidFill>
          </w14:textFill>
        </w:rPr>
        <w:t>声环境敏感目标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对于机械性噪声设备，建设单位应优先选用低噪声设备，并采取基础减振、消声等措施</w:t>
      </w:r>
      <w:r>
        <w:rPr>
          <w:rFonts w:hint="eastAsia" w:ascii="仿宋_GB2312" w:hAnsi="仿宋_GB2312" w:eastAsia="仿宋_GB2312" w:cs="仿宋_GB2312"/>
          <w:b w:val="0"/>
          <w:bCs w:val="0"/>
          <w:color w:val="auto"/>
          <w:spacing w:val="0"/>
          <w:kern w:val="2"/>
          <w:sz w:val="32"/>
          <w:szCs w:val="32"/>
          <w:lang w:val="en-US" w:eastAsia="zh-CN" w:bidi="ar-SA"/>
        </w:rPr>
        <w:t xml:space="preserve">，最大限度地降低对周围环境的影响。  </w:t>
      </w: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三、项目建设必须严格执行环境保护设施与主体工程同时设计、同时施工、同时投入使用的环境保护“三同时”制度。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（一）要将环境保护措施纳入初步设计报告并落实环保设施投资概算。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（二）要将环境保护设施建设纳入施工合同，保证环境保护设施建设进度和资金。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（三）项目竣工后须按规定程序实施竣工环境保护验收，验收合格后方可正式投运。</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highlight w:val="none"/>
          <w:lang w:bidi="en-US"/>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highlight w:val="none"/>
          <w:lang w:bidi="en-US"/>
        </w:rPr>
        <w:t>我局委托锡林郭勒盟生态环境局</w:t>
      </w:r>
      <w:r>
        <w:rPr>
          <w:rFonts w:hint="eastAsia" w:ascii="仿宋_GB2312" w:hAnsi="仿宋_GB2312" w:eastAsia="仿宋_GB2312" w:cs="仿宋_GB2312"/>
          <w:sz w:val="32"/>
          <w:szCs w:val="32"/>
          <w:highlight w:val="none"/>
          <w:lang w:val="en-US" w:bidi="en-US"/>
        </w:rPr>
        <w:t>西乌旗</w:t>
      </w:r>
      <w:r>
        <w:rPr>
          <w:rFonts w:hint="eastAsia" w:ascii="仿宋_GB2312" w:hAnsi="仿宋_GB2312" w:eastAsia="仿宋_GB2312" w:cs="仿宋_GB2312"/>
          <w:sz w:val="32"/>
          <w:szCs w:val="32"/>
          <w:highlight w:val="none"/>
          <w:lang w:bidi="en-US"/>
        </w:rPr>
        <w:t>分局对该项目各项污染防治措施落实情况进行监督检查和管理。</w:t>
      </w:r>
    </w:p>
    <w:p>
      <w:pPr>
        <w:pStyle w:val="14"/>
        <w:keepNext w:val="0"/>
        <w:keepLines w:val="0"/>
        <w:pageBreakBefore w:val="0"/>
        <w:widowControl w:val="0"/>
        <w:kinsoku/>
        <w:wordWrap/>
        <w:overflowPunct/>
        <w:topLinePunct w:val="0"/>
        <w:bidi w:val="0"/>
        <w:spacing w:line="600" w:lineRule="exact"/>
        <w:textAlignment w:val="auto"/>
        <w:rPr>
          <w:rFonts w:hint="eastAsia"/>
          <w:lang w:eastAsia="zh-CN"/>
        </w:rPr>
      </w:pPr>
    </w:p>
    <w:p>
      <w:pPr>
        <w:pStyle w:val="14"/>
        <w:keepNext w:val="0"/>
        <w:keepLines w:val="0"/>
        <w:pageBreakBefore w:val="0"/>
        <w:widowControl w:val="0"/>
        <w:kinsoku/>
        <w:wordWrap/>
        <w:overflowPunct/>
        <w:topLinePunct w:val="0"/>
        <w:bidi w:val="0"/>
        <w:spacing w:line="600" w:lineRule="exact"/>
        <w:textAlignment w:val="auto"/>
        <w:rPr>
          <w:rFonts w:hint="eastAsia"/>
          <w:lang w:eastAsia="zh-CN"/>
        </w:rPr>
      </w:pPr>
    </w:p>
    <w:p>
      <w:pPr>
        <w:pStyle w:val="14"/>
        <w:keepNext w:val="0"/>
        <w:keepLines w:val="0"/>
        <w:pageBreakBefore w:val="0"/>
        <w:widowControl w:val="0"/>
        <w:kinsoku/>
        <w:wordWrap/>
        <w:overflowPunct/>
        <w:topLinePunct w:val="0"/>
        <w:bidi w:val="0"/>
        <w:spacing w:line="600" w:lineRule="exact"/>
        <w:textAlignment w:val="auto"/>
        <w:rPr>
          <w:rFonts w:hint="eastAsia"/>
          <w:lang w:eastAsia="zh-CN"/>
        </w:rPr>
      </w:pPr>
    </w:p>
    <w:p>
      <w:pPr>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4800" w:firstLineChars="1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bidi="en-US"/>
        </w:rPr>
        <w:t>锡林郭勒盟生态环境局</w:t>
      </w:r>
    </w:p>
    <w:p>
      <w:pPr>
        <w:keepNext w:val="0"/>
        <w:keepLines w:val="0"/>
        <w:pageBreakBefore w:val="0"/>
        <w:widowControl w:val="0"/>
        <w:kinsoku/>
        <w:wordWrap/>
        <w:overflowPunct/>
        <w:topLinePunct w:val="0"/>
        <w:autoSpaceDE/>
        <w:autoSpaceDN/>
        <w:bidi w:val="0"/>
        <w:adjustRightInd/>
        <w:snapToGrid/>
        <w:spacing w:line="600" w:lineRule="exact"/>
        <w:ind w:left="0" w:firstLine="5280" w:firstLineChars="16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日</w:t>
      </w: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rPr>
        <w:t>抄送：盟生态环境综合行政执法支队、盟生态环境局西乌旗分局</w:t>
      </w:r>
    </w:p>
    <w:p>
      <w:pPr>
        <w:pBdr>
          <w:top w:val="single" w:color="auto" w:sz="4" w:space="1"/>
          <w:left w:val="none" w:color="auto" w:sz="0" w:space="0"/>
          <w:bottom w:val="single" w:color="auto" w:sz="4" w:space="1"/>
          <w:right w:val="none" w:color="auto" w:sz="0" w:space="0"/>
        </w:pBdr>
        <w:spacing w:line="540" w:lineRule="exact"/>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bookmarkStart w:id="1" w:name="_GoBack"/>
      <w:bookmarkEnd w:id="1"/>
      <w:r>
        <w:rPr>
          <w:rFonts w:hint="eastAsia" w:ascii="仿宋_GB2312" w:hAnsi="仿宋_GB2312" w:eastAsia="仿宋_GB2312" w:cs="仿宋_GB2312"/>
          <w:spacing w:val="-2"/>
          <w:w w:val="90"/>
          <w:sz w:val="32"/>
          <w:szCs w:val="32"/>
          <w:highlight w:val="none"/>
        </w:rPr>
        <w:t xml:space="preserve">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202</w:t>
      </w:r>
      <w:r>
        <w:rPr>
          <w:rFonts w:hint="eastAsia" w:ascii="仿宋_GB2312" w:hAnsi="仿宋_GB2312" w:eastAsia="仿宋_GB2312" w:cs="仿宋_GB2312"/>
          <w:spacing w:val="-2"/>
          <w:w w:val="90"/>
          <w:sz w:val="32"/>
          <w:szCs w:val="32"/>
          <w:highlight w:val="none"/>
          <w:lang w:val="en-US" w:eastAsia="zh-CN"/>
        </w:rPr>
        <w:t>4</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1</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4</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兰亭黑_GBK">
    <w:altName w:val="微软雅黑"/>
    <w:panose1 w:val="02000000000000000000"/>
    <w:charset w:val="86"/>
    <w:family w:val="script"/>
    <w:pitch w:val="default"/>
    <w:sig w:usb0="00000000" w:usb1="00000000" w:usb2="0008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MjU3ZmEwNDIzNjk0ZmFmNzQwYWZkZWY1MGM3N2JmMjMifQ=="/>
    <w:docVar w:name="KSO_WPS_MARK_KEY" w:val="09d15ec7-0bf2-44f8-8c61-ef6b5d062c09"/>
  </w:docVars>
  <w:rsids>
    <w:rsidRoot w:val="00000000"/>
    <w:rsid w:val="089A2B4A"/>
    <w:rsid w:val="094F4D5A"/>
    <w:rsid w:val="12636DBD"/>
    <w:rsid w:val="195E6292"/>
    <w:rsid w:val="24EA60F0"/>
    <w:rsid w:val="272322F7"/>
    <w:rsid w:val="28C478E9"/>
    <w:rsid w:val="3416496E"/>
    <w:rsid w:val="425E2867"/>
    <w:rsid w:val="453F38A4"/>
    <w:rsid w:val="48733940"/>
    <w:rsid w:val="4B8509C1"/>
    <w:rsid w:val="4DA028C8"/>
    <w:rsid w:val="4F93316A"/>
    <w:rsid w:val="50B475C5"/>
    <w:rsid w:val="51701D94"/>
    <w:rsid w:val="51AD2550"/>
    <w:rsid w:val="568C1CAA"/>
    <w:rsid w:val="5AF96D93"/>
    <w:rsid w:val="5DD01A81"/>
    <w:rsid w:val="5E9E35AD"/>
    <w:rsid w:val="61001FE0"/>
    <w:rsid w:val="64245C53"/>
    <w:rsid w:val="64682077"/>
    <w:rsid w:val="66CB1EF3"/>
    <w:rsid w:val="6DF70C7A"/>
    <w:rsid w:val="70DD6E17"/>
    <w:rsid w:val="72E93CEA"/>
    <w:rsid w:val="76C06E0E"/>
    <w:rsid w:val="7B1F5E6F"/>
    <w:rsid w:val="7BB57CD1"/>
    <w:rsid w:val="7E5F304E"/>
    <w:rsid w:val="7FD338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5">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22">
    <w:name w:val="Default Paragraph Font"/>
    <w:autoRedefine/>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customStyle="1" w:styleId="2">
    <w:name w:val="111"/>
    <w:basedOn w:val="1"/>
    <w:qFormat/>
    <w:uiPriority w:val="99"/>
    <w:pPr>
      <w:widowControl/>
      <w:spacing w:before="100" w:beforeAutospacing="1" w:after="100" w:afterAutospacing="1"/>
      <w:jc w:val="left"/>
    </w:pPr>
    <w:rPr>
      <w:rFonts w:ascii="宋体" w:hAnsi="宋体" w:cs="宋体"/>
      <w:kern w:val="0"/>
      <w:sz w:val="24"/>
    </w:rPr>
  </w:style>
  <w:style w:type="paragraph" w:styleId="6">
    <w:name w:val="Normal Indent"/>
    <w:basedOn w:val="1"/>
    <w:next w:val="7"/>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7">
    <w:name w:val="Body Text First Indent 2"/>
    <w:basedOn w:val="8"/>
    <w:next w:val="1"/>
    <w:autoRedefine/>
    <w:qFormat/>
    <w:uiPriority w:val="0"/>
    <w:pPr>
      <w:adjustRightInd w:val="0"/>
      <w:ind w:firstLine="420"/>
      <w:textAlignment w:val="baseline"/>
    </w:pPr>
    <w:rPr>
      <w:rFonts w:ascii="宋体"/>
      <w:sz w:val="18"/>
      <w:szCs w:val="18"/>
    </w:rPr>
  </w:style>
  <w:style w:type="paragraph" w:styleId="8">
    <w:name w:val="Body Text Indent"/>
    <w:basedOn w:val="1"/>
    <w:next w:val="1"/>
    <w:autoRedefine/>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widowControl w:val="0"/>
      <w:spacing w:after="120" w:afterAutospacing="0"/>
      <w:jc w:val="both"/>
    </w:pPr>
    <w:rPr>
      <w:rFonts w:ascii="Times New Roman" w:hAnsi="Times New Roman" w:eastAsia="宋体" w:cs="Arial"/>
      <w:kern w:val="2"/>
      <w:sz w:val="21"/>
      <w:szCs w:val="24"/>
      <w:lang w:val="en-US" w:eastAsia="zh-CN" w:bidi="ar-SA"/>
    </w:rPr>
  </w:style>
  <w:style w:type="paragraph" w:styleId="11">
    <w:name w:val="Body Text Indent 2"/>
    <w:basedOn w:val="1"/>
    <w:next w:val="12"/>
    <w:autoRedefine/>
    <w:qFormat/>
    <w:uiPriority w:val="0"/>
    <w:pPr>
      <w:widowControl w:val="0"/>
      <w:spacing w:line="600" w:lineRule="exact"/>
      <w:ind w:firstLine="600"/>
      <w:jc w:val="both"/>
    </w:pPr>
    <w:rPr>
      <w:rFonts w:ascii="Times New Roman" w:hAnsi="Times New Roman" w:eastAsia="仿宋" w:cs="Times New Roman"/>
      <w:color w:val="000000"/>
      <w:kern w:val="2"/>
      <w:sz w:val="30"/>
      <w:szCs w:val="22"/>
      <w:lang w:val="en-US" w:eastAsia="zh-CN" w:bidi="ar-SA"/>
    </w:rPr>
  </w:style>
  <w:style w:type="paragraph" w:customStyle="1" w:styleId="12">
    <w:name w:val="表格文字"/>
    <w:basedOn w:val="13"/>
    <w:next w:val="1"/>
    <w:qFormat/>
    <w:uiPriority w:val="0"/>
    <w:pPr>
      <w:widowControl w:val="0"/>
      <w:snapToGrid w:val="0"/>
      <w:spacing w:line="20" w:lineRule="atLeast"/>
      <w:ind w:firstLine="0"/>
      <w:jc w:val="center"/>
    </w:pPr>
    <w:rPr>
      <w:rFonts w:ascii="Times New Roman" w:hAnsi="Times New Roman" w:eastAsia="楷体" w:cs="Times New Roman"/>
      <w:w w:val="95"/>
      <w:kern w:val="2"/>
      <w:sz w:val="24"/>
      <w:szCs w:val="22"/>
      <w:lang w:val="en-US" w:eastAsia="zh-CN" w:bidi="ar-SA"/>
    </w:rPr>
  </w:style>
  <w:style w:type="paragraph" w:customStyle="1" w:styleId="13">
    <w:name w:val="表格编号"/>
    <w:basedOn w:val="1"/>
    <w:next w:val="12"/>
    <w:autoRedefine/>
    <w:qFormat/>
    <w:uiPriority w:val="0"/>
    <w:pPr>
      <w:snapToGrid w:val="0"/>
      <w:spacing w:line="20" w:lineRule="atLeast"/>
      <w:ind w:firstLine="0" w:firstLineChars="0"/>
    </w:pPr>
    <w:rPr>
      <w:sz w:val="21"/>
    </w:rPr>
  </w:style>
  <w:style w:type="paragraph" w:styleId="14">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pPr>
      <w:tabs>
        <w:tab w:val="left" w:pos="284"/>
        <w:tab w:val="right" w:leader="dot" w:pos="8296"/>
      </w:tabs>
    </w:pPr>
  </w:style>
  <w:style w:type="paragraph" w:styleId="17">
    <w:name w:val="Body Text Indent 3"/>
    <w:basedOn w:val="1"/>
    <w:unhideWhenUsed/>
    <w:qFormat/>
    <w:uiPriority w:val="0"/>
    <w:pPr>
      <w:ind w:firstLine="570"/>
    </w:pPr>
    <w:rPr>
      <w:szCs w:val="20"/>
    </w:rPr>
  </w:style>
  <w:style w:type="paragraph" w:styleId="18">
    <w:name w:val="toc 2"/>
    <w:basedOn w:val="1"/>
    <w:next w:val="1"/>
    <w:autoRedefine/>
    <w:qFormat/>
    <w:uiPriority w:val="0"/>
    <w:pPr>
      <w:widowControl w:val="0"/>
      <w:ind w:left="200" w:leftChars="200"/>
      <w:jc w:val="both"/>
    </w:pPr>
    <w:rPr>
      <w:rFonts w:ascii="Times New Roman" w:hAnsi="Times New Roman" w:eastAsia="宋体" w:cs="Times New Roman"/>
      <w:kern w:val="2"/>
      <w:sz w:val="21"/>
      <w:szCs w:val="22"/>
      <w:lang w:val="en-US" w:eastAsia="zh-CN" w:bidi="ar-SA"/>
    </w:rPr>
  </w:style>
  <w:style w:type="paragraph" w:styleId="19">
    <w:name w:val="Normal (Web)"/>
    <w:basedOn w:val="1"/>
    <w:autoRedefine/>
    <w:qFormat/>
    <w:uiPriority w:val="0"/>
    <w:pPr>
      <w:widowControl w:val="0"/>
      <w:spacing w:before="0" w:beforeAutospacing="1" w:after="0" w:afterAutospacing="1"/>
      <w:ind w:left="0" w:right="0"/>
      <w:jc w:val="left"/>
    </w:pPr>
    <w:rPr>
      <w:rFonts w:ascii="Times New Roman" w:hAnsi="Times New Roman" w:eastAsia="宋体" w:cs="Times New Roman"/>
      <w:kern w:val="0"/>
      <w:sz w:val="24"/>
      <w:szCs w:val="22"/>
      <w:lang w:val="en-US" w:eastAsia="zh-CN" w:bidi="ar-SA"/>
    </w:rPr>
  </w:style>
  <w:style w:type="paragraph" w:styleId="20">
    <w:name w:val="Body Text First Indent"/>
    <w:basedOn w:val="10"/>
    <w:next w:val="1"/>
    <w:autoRedefine/>
    <w:qFormat/>
    <w:uiPriority w:val="0"/>
    <w:pPr>
      <w:widowControl w:val="0"/>
      <w:spacing w:before="120" w:after="240" w:afterAutospacing="0"/>
      <w:ind w:firstLine="100" w:firstLineChars="100"/>
      <w:jc w:val="both"/>
    </w:pPr>
    <w:rPr>
      <w:rFonts w:ascii="宋体" w:eastAsia="宋体" w:cs="Arial"/>
      <w:kern w:val="2"/>
      <w:sz w:val="21"/>
      <w:szCs w:val="28"/>
      <w:lang w:val="en-US" w:bidi="ar-SA"/>
    </w:rPr>
  </w:style>
  <w:style w:type="character" w:styleId="23">
    <w:name w:val="Hyperlink"/>
    <w:basedOn w:val="22"/>
    <w:qFormat/>
    <w:uiPriority w:val="0"/>
    <w:rPr>
      <w:color w:val="0563C1"/>
      <w:u w:val="single"/>
    </w:rPr>
  </w:style>
  <w:style w:type="paragraph" w:customStyle="1" w:styleId="24">
    <w:name w:val="A样式 小四 行距: 1.5 倍行距 首行缩进:  2 字符"/>
    <w:basedOn w:val="1"/>
    <w:autoRedefine/>
    <w:qFormat/>
    <w:uiPriority w:val="0"/>
    <w:pPr>
      <w:ind w:firstLine="480"/>
    </w:pPr>
    <w:rPr>
      <w:rFonts w:cs="宋体"/>
      <w:szCs w:val="22"/>
    </w:rPr>
  </w:style>
  <w:style w:type="paragraph" w:styleId="25">
    <w:name w:val="Intense Quote"/>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26">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bCs/>
      <w:kern w:val="0"/>
      <w:sz w:val="20"/>
      <w:szCs w:val="32"/>
    </w:rPr>
  </w:style>
  <w:style w:type="character" w:customStyle="1" w:styleId="27">
    <w:name w:val="未处理的提及1"/>
    <w:basedOn w:val="22"/>
    <w:autoRedefine/>
    <w:qFormat/>
    <w:uiPriority w:val="0"/>
    <w:rPr>
      <w:color w:val="605E5C"/>
      <w:shd w:val="clear" w:color="auto" w:fill="E1DFDD"/>
    </w:rPr>
  </w:style>
  <w:style w:type="paragraph" w:customStyle="1" w:styleId="2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正文】"/>
    <w:basedOn w:val="1"/>
    <w:autoRedefine/>
    <w:qFormat/>
    <w:uiPriority w:val="0"/>
    <w:pPr>
      <w:spacing w:line="500" w:lineRule="exact"/>
      <w:ind w:firstLine="200" w:firstLineChars="200"/>
    </w:pPr>
    <w:rPr>
      <w:sz w:val="24"/>
      <w:szCs w:val="20"/>
    </w:rPr>
  </w:style>
  <w:style w:type="paragraph" w:customStyle="1" w:styleId="30">
    <w:name w:val="1正文"/>
    <w:basedOn w:val="1"/>
    <w:autoRedefine/>
    <w:qFormat/>
    <w:uiPriority w:val="0"/>
    <w:pPr>
      <w:ind w:firstLine="200"/>
    </w:pPr>
    <w:rPr>
      <w:rFonts w:ascii="Calibri" w:hAnsi="Calibri"/>
    </w:rPr>
  </w:style>
  <w:style w:type="paragraph" w:customStyle="1" w:styleId="31">
    <w:name w:val="样式5"/>
    <w:basedOn w:val="1"/>
    <w:autoRedefine/>
    <w:qFormat/>
    <w:uiPriority w:val="0"/>
    <w:pPr>
      <w:snapToGrid w:val="0"/>
      <w:spacing w:line="360" w:lineRule="auto"/>
      <w:ind w:firstLine="510"/>
    </w:pPr>
    <w:rPr>
      <w:rFonts w:cs="Times New Roman"/>
      <w:sz w:val="24"/>
      <w:szCs w:val="24"/>
    </w:rPr>
  </w:style>
  <w:style w:type="paragraph" w:customStyle="1" w:styleId="32">
    <w:name w:val="文章正文"/>
    <w:basedOn w:val="1"/>
    <w:autoRedefine/>
    <w:qFormat/>
    <w:uiPriority w:val="0"/>
    <w:pPr>
      <w:spacing w:line="440" w:lineRule="exact"/>
      <w:ind w:firstLine="600" w:firstLineChars="200"/>
    </w:pPr>
    <w:rPr>
      <w:kern w:val="0"/>
      <w:sz w:val="24"/>
    </w:rPr>
  </w:style>
  <w:style w:type="paragraph" w:customStyle="1" w:styleId="33">
    <w:name w:val="正文01"/>
    <w:basedOn w:val="1"/>
    <w:autoRedefine/>
    <w:qFormat/>
    <w:uiPriority w:val="0"/>
    <w:pPr>
      <w:spacing w:line="460" w:lineRule="exact"/>
      <w:ind w:firstLine="200" w:firstLineChars="200"/>
    </w:pPr>
    <w:rPr>
      <w:sz w:val="24"/>
    </w:rPr>
  </w:style>
  <w:style w:type="paragraph" w:customStyle="1" w:styleId="34">
    <w:name w:val="报告表111"/>
    <w:basedOn w:val="1"/>
    <w:autoRedefine/>
    <w:qFormat/>
    <w:uiPriority w:val="0"/>
    <w:pPr>
      <w:spacing w:line="360" w:lineRule="auto"/>
      <w:ind w:firstLine="560" w:firstLineChars="200"/>
    </w:pPr>
  </w:style>
  <w:style w:type="paragraph" w:customStyle="1" w:styleId="35">
    <w:name w:val="报告正文"/>
    <w:basedOn w:val="1"/>
    <w:autoRedefine/>
    <w:qFormat/>
    <w:uiPriority w:val="0"/>
    <w:pPr>
      <w:adjustRightInd w:val="0"/>
      <w:snapToGrid w:val="0"/>
      <w:spacing w:line="360" w:lineRule="auto"/>
      <w:ind w:firstLine="200" w:firstLineChars="200"/>
    </w:pPr>
    <w:rPr>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Pages>
  <Words>2868</Words>
  <Characters>2942</Characters>
  <Lines>124</Lines>
  <Paragraphs>22</Paragraphs>
  <TotalTime>11</TotalTime>
  <ScaleCrop>false</ScaleCrop>
  <LinksUpToDate>false</LinksUpToDate>
  <CharactersWithSpaces>2954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2023-01-29T20:14:00Z</dcterms:created>
  <dc:creator>hui hui</dc:creator>
  <cp:lastModifiedBy>WPS_1696990880</cp:lastModifiedBy>
  <dcterms:modified xsi:type="dcterms:W3CDTF">2024-01-03T06:40:07Z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3E2C08FCC3BC42849C828D1082E04C9E_13</vt:lpwstr>
  </property>
</Properties>
</file>