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BFFCB"/>
  <w:body>
    <w:p>
      <w:pPr>
        <w:rPr>
          <w:rFonts w:cs="仿宋_GB2312"/>
          <w:sz w:val="36"/>
          <w:szCs w:val="36"/>
        </w:rPr>
      </w:pPr>
    </w:p>
    <w:p>
      <w:pPr>
        <w:rPr>
          <w:rFonts w:cs="仿宋_GB2312"/>
          <w:sz w:val="36"/>
          <w:szCs w:val="36"/>
        </w:rPr>
      </w:pPr>
    </w:p>
    <w:p>
      <w:pPr>
        <w:rPr>
          <w:rFonts w:cs="仿宋_GB2312"/>
          <w:sz w:val="36"/>
          <w:szCs w:val="36"/>
        </w:rPr>
      </w:pPr>
    </w:p>
    <w:p>
      <w:pPr>
        <w:rPr>
          <w:rFonts w:cs="仿宋_GB2312"/>
          <w:sz w:val="36"/>
          <w:szCs w:val="36"/>
        </w:rPr>
      </w:pPr>
    </w:p>
    <w:p>
      <w:pPr>
        <w:adjustRightInd w:val="0"/>
        <w:snapToGrid w:val="0"/>
        <w:jc w:val="center"/>
        <w:outlineLvl w:val="0"/>
        <w:rPr>
          <w:bCs/>
          <w:sz w:val="72"/>
          <w:szCs w:val="72"/>
        </w:rPr>
      </w:pPr>
      <w:r>
        <w:rPr>
          <w:rFonts w:hint="eastAsia"/>
          <w:bCs/>
          <w:sz w:val="72"/>
          <w:szCs w:val="72"/>
        </w:rPr>
        <w:t>建设项目环境影响报告表</w:t>
      </w:r>
    </w:p>
    <w:p>
      <w:pPr>
        <w:adjustRightInd w:val="0"/>
        <w:snapToGrid w:val="0"/>
        <w:spacing w:before="192" w:beforeLines="80"/>
        <w:jc w:val="center"/>
        <w:rPr>
          <w:bCs/>
          <w:sz w:val="48"/>
          <w:szCs w:val="48"/>
        </w:rPr>
      </w:pPr>
      <w:r>
        <w:rPr>
          <w:rFonts w:hint="eastAsia"/>
          <w:bCs/>
          <w:sz w:val="48"/>
          <w:szCs w:val="48"/>
        </w:rPr>
        <w:t>（污染影响类）</w:t>
      </w:r>
    </w:p>
    <w:p>
      <w:pPr>
        <w:adjustRightInd w:val="0"/>
        <w:snapToGrid w:val="0"/>
        <w:spacing w:line="288" w:lineRule="auto"/>
        <w:rPr>
          <w:rFonts w:cs="华文仿宋"/>
          <w:kern w:val="44"/>
          <w:sz w:val="44"/>
          <w:szCs w:val="44"/>
        </w:rPr>
      </w:pPr>
    </w:p>
    <w:p>
      <w:pPr>
        <w:adjustRightInd w:val="0"/>
        <w:snapToGrid w:val="0"/>
        <w:spacing w:line="288" w:lineRule="auto"/>
        <w:rPr>
          <w:rFonts w:cs="华文仿宋"/>
          <w:kern w:val="44"/>
          <w:sz w:val="44"/>
          <w:szCs w:val="44"/>
        </w:rPr>
      </w:pPr>
    </w:p>
    <w:p>
      <w:pPr>
        <w:adjustRightInd w:val="0"/>
        <w:snapToGrid w:val="0"/>
        <w:spacing w:line="288" w:lineRule="auto"/>
        <w:rPr>
          <w:rFonts w:cs="华文仿宋"/>
          <w:kern w:val="44"/>
          <w:sz w:val="44"/>
          <w:szCs w:val="44"/>
        </w:rPr>
      </w:pPr>
    </w:p>
    <w:p>
      <w:pPr>
        <w:adjustRightInd w:val="0"/>
        <w:snapToGrid w:val="0"/>
        <w:spacing w:line="288" w:lineRule="auto"/>
        <w:rPr>
          <w:rFonts w:cs="华文仿宋"/>
          <w:kern w:val="44"/>
          <w:sz w:val="44"/>
          <w:szCs w:val="44"/>
        </w:rPr>
      </w:pPr>
    </w:p>
    <w:p>
      <w:pPr>
        <w:wordWrap w:val="0"/>
        <w:adjustRightInd w:val="0"/>
        <w:snapToGrid w:val="0"/>
        <w:spacing w:line="288" w:lineRule="auto"/>
        <w:ind w:left="1800" w:hanging="1800" w:hangingChars="500"/>
        <w:rPr>
          <w:sz w:val="36"/>
          <w:szCs w:val="36"/>
          <w:u w:val="single"/>
        </w:rPr>
      </w:pPr>
      <w:r>
        <w:rPr>
          <w:rFonts w:hint="eastAsia"/>
          <w:sz w:val="36"/>
          <w:szCs w:val="36"/>
        </w:rPr>
        <w:t>项目名称：</w:t>
      </w:r>
      <w:r>
        <w:rPr>
          <w:rFonts w:hint="eastAsia"/>
          <w:sz w:val="36"/>
          <w:szCs w:val="36"/>
          <w:u w:val="single"/>
        </w:rPr>
        <w:t>内蒙古荣丰食品香料有限公司乳制品精深加工项目</w:t>
      </w:r>
    </w:p>
    <w:p>
      <w:pPr>
        <w:wordWrap w:val="0"/>
        <w:adjustRightInd w:val="0"/>
        <w:snapToGrid w:val="0"/>
        <w:spacing w:line="288" w:lineRule="auto"/>
        <w:rPr>
          <w:sz w:val="36"/>
          <w:szCs w:val="36"/>
        </w:rPr>
      </w:pPr>
      <w:r>
        <w:rPr>
          <w:rFonts w:hint="eastAsia"/>
          <w:sz w:val="36"/>
          <w:szCs w:val="36"/>
        </w:rPr>
        <w:t xml:space="preserve">建设单位： </w:t>
      </w:r>
      <w:r>
        <w:rPr>
          <w:rFonts w:hint="eastAsia"/>
          <w:sz w:val="36"/>
          <w:szCs w:val="36"/>
          <w:u w:val="single"/>
        </w:rPr>
        <w:t xml:space="preserve">内蒙古荣丰食品香料有限公司 </w:t>
      </w:r>
    </w:p>
    <w:p>
      <w:pPr>
        <w:wordWrap w:val="0"/>
        <w:adjustRightInd w:val="0"/>
        <w:snapToGrid w:val="0"/>
        <w:spacing w:line="288" w:lineRule="auto"/>
        <w:rPr>
          <w:sz w:val="36"/>
          <w:szCs w:val="36"/>
          <w:u w:val="single"/>
        </w:rPr>
      </w:pPr>
      <w:r>
        <w:rPr>
          <w:rFonts w:hint="eastAsia"/>
          <w:sz w:val="36"/>
          <w:szCs w:val="36"/>
        </w:rPr>
        <w:t>编制日期：</w:t>
      </w:r>
      <w:r>
        <w:rPr>
          <w:rFonts w:hint="eastAsia"/>
          <w:sz w:val="36"/>
          <w:szCs w:val="36"/>
          <w:u w:val="single"/>
        </w:rPr>
        <w:t xml:space="preserve"> </w:t>
      </w:r>
      <w:r>
        <w:rPr>
          <w:sz w:val="36"/>
          <w:szCs w:val="36"/>
          <w:u w:val="single"/>
        </w:rPr>
        <w:t xml:space="preserve">           2024</w:t>
      </w:r>
      <w:r>
        <w:rPr>
          <w:rFonts w:hint="eastAsia"/>
          <w:sz w:val="36"/>
          <w:szCs w:val="36"/>
          <w:u w:val="single"/>
        </w:rPr>
        <w:t>年</w:t>
      </w:r>
      <w:r>
        <w:rPr>
          <w:sz w:val="36"/>
          <w:szCs w:val="36"/>
          <w:u w:val="single"/>
        </w:rPr>
        <w:t>1</w:t>
      </w:r>
      <w:r>
        <w:rPr>
          <w:rFonts w:hint="eastAsia"/>
          <w:sz w:val="36"/>
          <w:szCs w:val="36"/>
          <w:u w:val="single"/>
        </w:rPr>
        <w:t xml:space="preserve">月 </w:t>
      </w:r>
      <w:r>
        <w:rPr>
          <w:sz w:val="36"/>
          <w:szCs w:val="36"/>
          <w:u w:val="single"/>
        </w:rPr>
        <w:t xml:space="preserve">              </w:t>
      </w:r>
      <w:r>
        <w:rPr>
          <w:rFonts w:hint="eastAsia"/>
          <w:sz w:val="36"/>
          <w:szCs w:val="36"/>
        </w:rPr>
        <w:t xml:space="preserve">  </w:t>
      </w:r>
      <w:r>
        <w:rPr>
          <w:sz w:val="36"/>
          <w:szCs w:val="36"/>
        </w:rPr>
        <w:t xml:space="preserve">                      </w:t>
      </w:r>
      <w:r>
        <w:rPr>
          <w:rFonts w:hint="eastAsia"/>
          <w:sz w:val="36"/>
          <w:szCs w:val="36"/>
        </w:rPr>
        <w:t xml:space="preserve"> </w:t>
      </w:r>
      <w:r>
        <w:rPr>
          <w:sz w:val="36"/>
          <w:szCs w:val="36"/>
        </w:rPr>
        <w:t xml:space="preserve"> </w:t>
      </w:r>
      <w:r>
        <w:rPr>
          <w:rFonts w:hint="eastAsia"/>
          <w:sz w:val="36"/>
          <w:szCs w:val="36"/>
        </w:rPr>
        <w:t xml:space="preserve"> </w:t>
      </w:r>
      <w:r>
        <w:rPr>
          <w:sz w:val="36"/>
          <w:szCs w:val="36"/>
        </w:rPr>
        <w:t xml:space="preserve"> </w:t>
      </w:r>
    </w:p>
    <w:p>
      <w:pPr>
        <w:adjustRightInd w:val="0"/>
        <w:snapToGrid w:val="0"/>
        <w:spacing w:line="288" w:lineRule="auto"/>
        <w:jc w:val="center"/>
        <w:rPr>
          <w:sz w:val="36"/>
          <w:szCs w:val="36"/>
          <w:u w:val="single"/>
        </w:rPr>
      </w:pPr>
      <w:r>
        <w:rPr>
          <w:rFonts w:hint="eastAsia"/>
          <w:sz w:val="36"/>
          <w:szCs w:val="36"/>
        </w:rPr>
        <w:t>中华人民共和国生态环境部制</w:t>
      </w:r>
    </w:p>
    <w:p>
      <w:pPr>
        <w:adjustRightInd w:val="0"/>
        <w:snapToGrid w:val="0"/>
        <w:spacing w:line="288" w:lineRule="auto"/>
        <w:ind w:firstLine="1040"/>
        <w:rPr>
          <w:sz w:val="36"/>
          <w:szCs w:val="36"/>
        </w:rPr>
      </w:pPr>
    </w:p>
    <w:p>
      <w:pPr>
        <w:rPr>
          <w:sz w:val="36"/>
          <w:szCs w:val="36"/>
        </w:rPr>
      </w:pPr>
      <w:r>
        <w:rPr>
          <w:sz w:val="36"/>
          <w:szCs w:val="36"/>
        </w:rPr>
        <w:br w:type="page"/>
      </w:r>
    </w:p>
    <w:p>
      <w:pPr>
        <w:pStyle w:val="2"/>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pPr>
        <w:pStyle w:val="3"/>
        <w:rPr>
          <w:rFonts w:hint="eastAsia" w:eastAsia="宋体"/>
          <w:lang w:eastAsia="zh-CN"/>
        </w:rPr>
        <w:sectPr>
          <w:pgSz w:w="11906" w:h="16838"/>
          <w:pgMar w:top="1701" w:right="1531" w:bottom="1701" w:left="1531" w:header="851" w:footer="1077" w:gutter="0"/>
          <w:pgNumType w:start="1"/>
          <w:cols w:space="720" w:num="1"/>
          <w:docGrid w:linePitch="312" w:charSpace="0"/>
        </w:sectPr>
      </w:pPr>
      <w:r>
        <w:rPr>
          <w:rFonts w:hint="eastAsia" w:eastAsia="宋体"/>
          <w:lang w:eastAsia="zh-CN"/>
        </w:rPr>
        <w:drawing>
          <wp:anchor distT="0" distB="0" distL="114300" distR="114300" simplePos="0" relativeHeight="251689984" behindDoc="0" locked="0" layoutInCell="1" allowOverlap="1">
            <wp:simplePos x="0" y="0"/>
            <wp:positionH relativeFrom="column">
              <wp:posOffset>-959485</wp:posOffset>
            </wp:positionH>
            <wp:positionV relativeFrom="paragraph">
              <wp:posOffset>-1094105</wp:posOffset>
            </wp:positionV>
            <wp:extent cx="7585075" cy="10727690"/>
            <wp:effectExtent l="0" t="0" r="15875" b="16510"/>
            <wp:wrapNone/>
            <wp:docPr id="1" name="图片 1" descr="镶黄旗奶食品项目报批稿PD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镶黄旗奶食品项目报批稿PDF_01"/>
                    <pic:cNvPicPr>
                      <a:picLocks noChangeAspect="1"/>
                    </pic:cNvPicPr>
                  </pic:nvPicPr>
                  <pic:blipFill>
                    <a:blip r:embed="rId11"/>
                    <a:stretch>
                      <a:fillRect/>
                    </a:stretch>
                  </pic:blipFill>
                  <pic:spPr>
                    <a:xfrm>
                      <a:off x="0" y="0"/>
                      <a:ext cx="7585075" cy="10727690"/>
                    </a:xfrm>
                    <a:prstGeom prst="rect">
                      <a:avLst/>
                    </a:prstGeom>
                  </pic:spPr>
                </pic:pic>
              </a:graphicData>
            </a:graphic>
          </wp:anchor>
        </w:drawing>
      </w:r>
    </w:p>
    <w:p>
      <w:pPr>
        <w:pStyle w:val="19"/>
        <w:jc w:val="center"/>
        <w:outlineLvl w:val="0"/>
        <w:rPr>
          <w:rFonts w:ascii="Times New Roman" w:hAnsi="Times New Roman"/>
          <w:b/>
          <w:bCs/>
          <w:snapToGrid w:val="0"/>
          <w:sz w:val="30"/>
          <w:szCs w:val="30"/>
        </w:rPr>
      </w:pPr>
      <w:r>
        <w:rPr>
          <w:rFonts w:hint="eastAsia" w:ascii="Times New Roman" w:hAnsi="Times New Roman"/>
          <w:b/>
          <w:bCs/>
          <w:snapToGrid w:val="0"/>
          <w:sz w:val="30"/>
          <w:szCs w:val="30"/>
        </w:rPr>
        <w:t>一、建设项目基本情况</w:t>
      </w:r>
    </w:p>
    <w:tbl>
      <w:tblPr>
        <w:tblStyle w:val="21"/>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72"/>
        <w:gridCol w:w="1857"/>
        <w:gridCol w:w="2230"/>
        <w:gridCol w:w="32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建设项目名称</w:t>
            </w:r>
          </w:p>
        </w:tc>
        <w:tc>
          <w:tcPr>
            <w:tcW w:w="6488" w:type="dxa"/>
            <w:gridSpan w:val="3"/>
            <w:vAlign w:val="center"/>
          </w:tcPr>
          <w:p>
            <w:pPr>
              <w:adjustRightInd w:val="0"/>
              <w:snapToGrid w:val="0"/>
              <w:jc w:val="center"/>
              <w:rPr>
                <w:rFonts w:cs="宋体"/>
                <w:sz w:val="24"/>
              </w:rPr>
            </w:pPr>
            <w:r>
              <w:rPr>
                <w:rFonts w:hint="eastAsia" w:cs="宋体"/>
                <w:sz w:val="24"/>
              </w:rPr>
              <w:t>内蒙古荣丰食品香料有限公司乳制品精深加工项目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项目代码</w:t>
            </w:r>
          </w:p>
        </w:tc>
        <w:tc>
          <w:tcPr>
            <w:tcW w:w="6488" w:type="dxa"/>
            <w:gridSpan w:val="3"/>
            <w:vAlign w:val="center"/>
          </w:tcPr>
          <w:p>
            <w:pPr>
              <w:adjustRightInd w:val="0"/>
              <w:snapToGrid w:val="0"/>
              <w:jc w:val="center"/>
              <w:rPr>
                <w:rFonts w:cs="宋体"/>
                <w:sz w:val="24"/>
              </w:rPr>
            </w:pPr>
            <w:r>
              <w:rPr>
                <w:rFonts w:hint="eastAsia"/>
              </w:rPr>
              <w:t>2304-152528-04-05-150065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建设单位联系人</w:t>
            </w:r>
          </w:p>
        </w:tc>
        <w:tc>
          <w:tcPr>
            <w:tcW w:w="1637" w:type="dxa"/>
            <w:vAlign w:val="center"/>
          </w:tcPr>
          <w:p>
            <w:pPr>
              <w:adjustRightInd w:val="0"/>
              <w:snapToGrid w:val="0"/>
              <w:jc w:val="center"/>
              <w:rPr>
                <w:rFonts w:cs="宋体"/>
                <w:sz w:val="24"/>
              </w:rPr>
            </w:pPr>
            <w:r>
              <w:rPr>
                <w:rFonts w:hint="eastAsia" w:cs="宋体"/>
                <w:sz w:val="24"/>
              </w:rPr>
              <w:t>那日苏</w:t>
            </w:r>
          </w:p>
        </w:tc>
        <w:tc>
          <w:tcPr>
            <w:tcW w:w="2090" w:type="dxa"/>
            <w:vAlign w:val="center"/>
          </w:tcPr>
          <w:p>
            <w:pPr>
              <w:adjustRightInd w:val="0"/>
              <w:snapToGrid w:val="0"/>
              <w:jc w:val="center"/>
              <w:rPr>
                <w:rFonts w:cs="宋体"/>
                <w:sz w:val="24"/>
              </w:rPr>
            </w:pPr>
            <w:r>
              <w:rPr>
                <w:rFonts w:hint="eastAsia" w:cs="宋体"/>
                <w:sz w:val="24"/>
              </w:rPr>
              <w:t>联系方式</w:t>
            </w:r>
          </w:p>
        </w:tc>
        <w:tc>
          <w:tcPr>
            <w:tcW w:w="2761" w:type="dxa"/>
            <w:vAlign w:val="center"/>
          </w:tcPr>
          <w:p>
            <w:pPr>
              <w:adjustRightInd w:val="0"/>
              <w:snapToGrid w:val="0"/>
              <w:jc w:val="center"/>
              <w:rPr>
                <w:rFonts w:cs="宋体"/>
                <w:sz w:val="24"/>
              </w:rPr>
            </w:pPr>
            <w:r>
              <w:rPr>
                <w:rFonts w:hint="eastAsia" w:cs="宋体"/>
                <w:sz w:val="24"/>
              </w:rPr>
              <w:t>18620356393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建设地点</w:t>
            </w:r>
          </w:p>
        </w:tc>
        <w:tc>
          <w:tcPr>
            <w:tcW w:w="6488" w:type="dxa"/>
            <w:gridSpan w:val="3"/>
            <w:vAlign w:val="center"/>
          </w:tcPr>
          <w:p>
            <w:pPr>
              <w:pStyle w:val="2"/>
              <w:ind w:firstLine="0" w:firstLineChars="0"/>
            </w:pPr>
            <w:r>
              <w:rPr>
                <w:rFonts w:hint="eastAsia" w:cs="宋体"/>
                <w:sz w:val="24"/>
                <w:u w:val="single"/>
              </w:rPr>
              <w:t>内蒙古</w:t>
            </w:r>
            <w:r>
              <w:rPr>
                <w:rFonts w:cs="宋体"/>
                <w:sz w:val="24"/>
                <w:u w:val="single"/>
              </w:rPr>
              <w:t xml:space="preserve"> </w:t>
            </w:r>
            <w:r>
              <w:rPr>
                <w:rFonts w:hint="eastAsia" w:cs="宋体"/>
                <w:sz w:val="24"/>
              </w:rPr>
              <w:t>省（自治区）</w:t>
            </w:r>
            <w:r>
              <w:rPr>
                <w:rFonts w:cs="宋体"/>
                <w:sz w:val="24"/>
                <w:u w:val="single"/>
              </w:rPr>
              <w:t xml:space="preserve">  </w:t>
            </w:r>
            <w:r>
              <w:rPr>
                <w:rFonts w:hint="eastAsia" w:cs="宋体"/>
                <w:sz w:val="24"/>
                <w:u w:val="single"/>
              </w:rPr>
              <w:t>锡林郭勒盟</w:t>
            </w:r>
            <w:r>
              <w:rPr>
                <w:rFonts w:cs="宋体"/>
                <w:sz w:val="24"/>
                <w:u w:val="single"/>
              </w:rPr>
              <w:t xml:space="preserve">  </w:t>
            </w:r>
            <w:r>
              <w:rPr>
                <w:rFonts w:hint="eastAsia" w:cs="宋体"/>
                <w:sz w:val="24"/>
              </w:rPr>
              <w:t>市</w:t>
            </w:r>
            <w:r>
              <w:rPr>
                <w:rFonts w:cs="宋体"/>
                <w:sz w:val="24"/>
                <w:u w:val="single"/>
              </w:rPr>
              <w:t xml:space="preserve"> </w:t>
            </w:r>
            <w:r>
              <w:rPr>
                <w:rFonts w:hint="eastAsia" w:cs="宋体"/>
                <w:sz w:val="24"/>
                <w:u w:val="single"/>
              </w:rPr>
              <w:t>镶黄旗</w:t>
            </w:r>
            <w:r>
              <w:rPr>
                <w:rFonts w:cs="宋体"/>
                <w:sz w:val="24"/>
                <w:u w:val="single"/>
              </w:rPr>
              <w:t xml:space="preserve"> </w:t>
            </w:r>
            <w:r>
              <w:rPr>
                <w:rFonts w:hint="eastAsia" w:cs="宋体"/>
                <w:sz w:val="24"/>
              </w:rPr>
              <w:t>县（区）</w:t>
            </w:r>
            <w:r>
              <w:rPr>
                <w:rFonts w:hint="eastAsia"/>
                <w:sz w:val="24"/>
                <w:u w:val="single"/>
              </w:rPr>
              <w:t>镶黄旗民族传统奶制品产业园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地理坐标</w:t>
            </w:r>
          </w:p>
        </w:tc>
        <w:tc>
          <w:tcPr>
            <w:tcW w:w="6488" w:type="dxa"/>
            <w:gridSpan w:val="3"/>
            <w:vAlign w:val="center"/>
          </w:tcPr>
          <w:p>
            <w:pPr>
              <w:jc w:val="center"/>
              <w:rPr>
                <w:rFonts w:cs="宋体"/>
                <w:sz w:val="24"/>
              </w:rPr>
            </w:pPr>
            <w:r>
              <w:rPr>
                <w:rFonts w:hint="eastAsia" w:cs="宋体"/>
                <w:sz w:val="24"/>
              </w:rPr>
              <w:t>东经113°50′41.</w:t>
            </w:r>
            <w:r>
              <w:rPr>
                <w:rFonts w:cs="宋体"/>
                <w:sz w:val="24"/>
              </w:rPr>
              <w:t>494</w:t>
            </w:r>
            <w:r>
              <w:rPr>
                <w:rFonts w:hint="eastAsia" w:cs="宋体"/>
                <w:sz w:val="24"/>
              </w:rPr>
              <w:t>″,北纬 42°14′38.</w:t>
            </w:r>
            <w:r>
              <w:rPr>
                <w:rFonts w:cs="宋体"/>
                <w:sz w:val="24"/>
              </w:rPr>
              <w:t>663</w:t>
            </w:r>
            <w:r>
              <w:rPr>
                <w:rFonts w:hint="eastAsia"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国民经济</w:t>
            </w:r>
          </w:p>
          <w:p>
            <w:pPr>
              <w:adjustRightInd w:val="0"/>
              <w:snapToGrid w:val="0"/>
              <w:jc w:val="center"/>
              <w:rPr>
                <w:rFonts w:cs="宋体"/>
                <w:sz w:val="24"/>
              </w:rPr>
            </w:pPr>
            <w:r>
              <w:rPr>
                <w:rFonts w:hint="eastAsia" w:cs="宋体"/>
                <w:sz w:val="24"/>
              </w:rPr>
              <w:t>行业类别</w:t>
            </w:r>
          </w:p>
        </w:tc>
        <w:tc>
          <w:tcPr>
            <w:tcW w:w="1637" w:type="dxa"/>
            <w:vAlign w:val="center"/>
          </w:tcPr>
          <w:p>
            <w:pPr>
              <w:rPr>
                <w:sz w:val="24"/>
              </w:rPr>
            </w:pPr>
          </w:p>
          <w:p>
            <w:pPr>
              <w:rPr>
                <w:sz w:val="24"/>
              </w:rPr>
            </w:pPr>
            <w:r>
              <w:rPr>
                <w:sz w:val="24"/>
              </w:rPr>
              <w:t>C1444</w:t>
            </w:r>
            <w:r>
              <w:rPr>
                <w:rFonts w:hint="eastAsia"/>
                <w:sz w:val="24"/>
              </w:rPr>
              <w:t>其他乳制品制造；</w:t>
            </w:r>
          </w:p>
          <w:p>
            <w:pPr>
              <w:rPr>
                <w:sz w:val="24"/>
              </w:rPr>
            </w:pPr>
            <w:r>
              <w:rPr>
                <w:rFonts w:hint="eastAsia"/>
                <w:sz w:val="24"/>
              </w:rPr>
              <w:t>C</w:t>
            </w:r>
            <w:r>
              <w:rPr>
                <w:sz w:val="24"/>
              </w:rPr>
              <w:t xml:space="preserve">1469 </w:t>
            </w:r>
            <w:r>
              <w:rPr>
                <w:rFonts w:hint="eastAsia"/>
                <w:sz w:val="24"/>
              </w:rPr>
              <w:t>其他调味品、发酵制品制造；</w:t>
            </w:r>
          </w:p>
          <w:p>
            <w:pPr>
              <w:pStyle w:val="2"/>
              <w:ind w:firstLine="0" w:firstLineChars="0"/>
            </w:pPr>
            <w:r>
              <w:rPr>
                <w:rFonts w:hint="eastAsia"/>
                <w:sz w:val="24"/>
              </w:rPr>
              <w:t>C</w:t>
            </w:r>
            <w:r>
              <w:rPr>
                <w:sz w:val="24"/>
              </w:rPr>
              <w:t>2684</w:t>
            </w:r>
            <w:r>
              <w:rPr>
                <w:rFonts w:hint="eastAsia"/>
                <w:sz w:val="24"/>
              </w:rPr>
              <w:t>香料、香精制造</w:t>
            </w:r>
          </w:p>
        </w:tc>
        <w:tc>
          <w:tcPr>
            <w:tcW w:w="2090" w:type="dxa"/>
            <w:vAlign w:val="center"/>
          </w:tcPr>
          <w:p>
            <w:pPr>
              <w:adjustRightInd w:val="0"/>
              <w:snapToGrid w:val="0"/>
              <w:jc w:val="center"/>
              <w:rPr>
                <w:rFonts w:cs="宋体"/>
                <w:sz w:val="24"/>
              </w:rPr>
            </w:pPr>
            <w:bookmarkStart w:id="0" w:name="_Hlk49843745"/>
            <w:r>
              <w:rPr>
                <w:rFonts w:hint="eastAsia" w:cs="宋体"/>
                <w:sz w:val="24"/>
              </w:rPr>
              <w:t>建设项目</w:t>
            </w:r>
          </w:p>
          <w:p>
            <w:pPr>
              <w:adjustRightInd w:val="0"/>
              <w:snapToGrid w:val="0"/>
              <w:jc w:val="center"/>
              <w:rPr>
                <w:rFonts w:cs="宋体"/>
                <w:sz w:val="24"/>
              </w:rPr>
            </w:pPr>
            <w:r>
              <w:rPr>
                <w:rFonts w:hint="eastAsia" w:cs="宋体"/>
                <w:sz w:val="24"/>
              </w:rPr>
              <w:t>行业类别</w:t>
            </w:r>
            <w:bookmarkEnd w:id="0"/>
          </w:p>
        </w:tc>
        <w:tc>
          <w:tcPr>
            <w:tcW w:w="2761" w:type="dxa"/>
            <w:vAlign w:val="center"/>
          </w:tcPr>
          <w:p>
            <w:pPr>
              <w:adjustRightInd w:val="0"/>
              <w:snapToGrid w:val="0"/>
              <w:rPr>
                <w:rFonts w:cs="宋体"/>
                <w:sz w:val="24"/>
              </w:rPr>
            </w:pPr>
            <w:r>
              <w:rPr>
                <w:rFonts w:hint="eastAsia" w:cs="宋体"/>
                <w:sz w:val="24"/>
              </w:rPr>
              <w:t>十一、食品制造业1</w:t>
            </w:r>
            <w:r>
              <w:rPr>
                <w:rFonts w:cs="宋体"/>
                <w:sz w:val="24"/>
              </w:rPr>
              <w:t>4</w:t>
            </w:r>
            <w:r>
              <w:rPr>
                <w:rFonts w:hint="eastAsia" w:cs="宋体"/>
                <w:sz w:val="24"/>
              </w:rPr>
              <w:t>，2</w:t>
            </w:r>
            <w:r>
              <w:rPr>
                <w:rFonts w:cs="宋体"/>
                <w:sz w:val="24"/>
              </w:rPr>
              <w:t>2</w:t>
            </w:r>
            <w:r>
              <w:rPr>
                <w:rFonts w:hint="eastAsia" w:cs="宋体"/>
                <w:sz w:val="24"/>
              </w:rPr>
              <w:t>乳制品制造1</w:t>
            </w:r>
            <w:r>
              <w:rPr>
                <w:rFonts w:cs="宋体"/>
                <w:sz w:val="24"/>
              </w:rPr>
              <w:t>44</w:t>
            </w:r>
            <w:r>
              <w:rPr>
                <w:rFonts w:hint="eastAsia" w:cs="宋体"/>
                <w:sz w:val="24"/>
              </w:rPr>
              <w:t xml:space="preserve"> 除单纯混合、分装外；2</w:t>
            </w:r>
            <w:r>
              <w:rPr>
                <w:rFonts w:cs="宋体"/>
                <w:sz w:val="24"/>
              </w:rPr>
              <w:t>3</w:t>
            </w:r>
            <w:r>
              <w:rPr>
                <w:rFonts w:hint="eastAsia" w:cs="宋体"/>
                <w:sz w:val="24"/>
              </w:rPr>
              <w:t>调味品、发酵制品制造1</w:t>
            </w:r>
            <w:r>
              <w:rPr>
                <w:rFonts w:cs="宋体"/>
                <w:sz w:val="24"/>
              </w:rPr>
              <w:t>46</w:t>
            </w:r>
            <w:r>
              <w:rPr>
                <w:rFonts w:hint="eastAsia" w:cs="宋体"/>
                <w:sz w:val="24"/>
              </w:rPr>
              <w:t xml:space="preserve"> 其他；</w:t>
            </w:r>
            <w:r>
              <w:rPr>
                <w:rFonts w:cs="宋体"/>
                <w:sz w:val="24"/>
              </w:rPr>
              <w:t xml:space="preserve"> </w:t>
            </w:r>
          </w:p>
          <w:p>
            <w:pPr>
              <w:pStyle w:val="2"/>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建设性质</w:t>
            </w:r>
          </w:p>
        </w:tc>
        <w:tc>
          <w:tcPr>
            <w:tcW w:w="1637" w:type="dxa"/>
            <w:vAlign w:val="center"/>
          </w:tcPr>
          <w:p>
            <w:pPr>
              <w:jc w:val="left"/>
              <w:rPr>
                <w:rFonts w:cs="宋体"/>
                <w:sz w:val="24"/>
              </w:rPr>
            </w:pPr>
            <w:r>
              <w:rPr>
                <w:rFonts w:cs="宋体"/>
                <w:sz w:val="24"/>
              </w:rPr>
              <w:fldChar w:fldCharType="begin"/>
            </w:r>
            <w:r>
              <w:rPr>
                <w:rFonts w:cs="宋体"/>
                <w:sz w:val="24"/>
              </w:rPr>
              <w:instrText xml:space="preserve"> </w:instrText>
            </w:r>
            <w:r>
              <w:rPr>
                <w:rFonts w:hint="eastAsia" w:cs="宋体"/>
                <w:sz w:val="24"/>
              </w:rPr>
              <w:instrText xml:space="preserve">eq \o\ac(□,√)</w:instrText>
            </w:r>
            <w:r>
              <w:rPr>
                <w:rFonts w:cs="宋体"/>
                <w:sz w:val="24"/>
              </w:rPr>
              <w:fldChar w:fldCharType="end"/>
            </w:r>
            <w:r>
              <w:rPr>
                <w:rFonts w:hint="eastAsia" w:cs="宋体"/>
                <w:sz w:val="24"/>
              </w:rPr>
              <w:t>新建（迁建）</w:t>
            </w:r>
          </w:p>
          <w:p>
            <w:pPr>
              <w:jc w:val="left"/>
              <w:rPr>
                <w:rFonts w:cs="宋体"/>
                <w:sz w:val="24"/>
              </w:rPr>
            </w:pPr>
            <w:r>
              <w:rPr>
                <w:rFonts w:hint="eastAsia" w:cs="宋体"/>
                <w:sz w:val="24"/>
              </w:rPr>
              <w:t>□改建</w:t>
            </w:r>
          </w:p>
          <w:p>
            <w:pPr>
              <w:jc w:val="left"/>
              <w:rPr>
                <w:rFonts w:cs="宋体"/>
                <w:sz w:val="24"/>
              </w:rPr>
            </w:pPr>
            <w:r>
              <w:rPr>
                <w:rFonts w:hint="eastAsia" w:cs="宋体"/>
                <w:sz w:val="24"/>
              </w:rPr>
              <w:t>□扩建</w:t>
            </w:r>
          </w:p>
          <w:p>
            <w:pPr>
              <w:jc w:val="left"/>
              <w:rPr>
                <w:rFonts w:cs="宋体"/>
                <w:sz w:val="24"/>
              </w:rPr>
            </w:pPr>
            <w:r>
              <w:rPr>
                <w:rFonts w:hint="eastAsia" w:cs="宋体"/>
                <w:sz w:val="24"/>
              </w:rPr>
              <w:t>□技术改造</w:t>
            </w:r>
          </w:p>
        </w:tc>
        <w:tc>
          <w:tcPr>
            <w:tcW w:w="2090" w:type="dxa"/>
            <w:vAlign w:val="center"/>
          </w:tcPr>
          <w:p>
            <w:pPr>
              <w:adjustRightInd w:val="0"/>
              <w:snapToGrid w:val="0"/>
              <w:jc w:val="center"/>
              <w:rPr>
                <w:rFonts w:cs="宋体"/>
                <w:sz w:val="24"/>
              </w:rPr>
            </w:pPr>
            <w:r>
              <w:rPr>
                <w:rFonts w:hint="eastAsia" w:cs="宋体"/>
                <w:sz w:val="24"/>
              </w:rPr>
              <w:t>建设项目</w:t>
            </w:r>
          </w:p>
          <w:p>
            <w:pPr>
              <w:adjustRightInd w:val="0"/>
              <w:snapToGrid w:val="0"/>
              <w:jc w:val="center"/>
              <w:rPr>
                <w:rFonts w:cs="宋体"/>
                <w:sz w:val="24"/>
              </w:rPr>
            </w:pPr>
            <w:r>
              <w:rPr>
                <w:rFonts w:hint="eastAsia" w:cs="宋体"/>
                <w:sz w:val="24"/>
              </w:rPr>
              <w:t>申报情形</w:t>
            </w:r>
          </w:p>
        </w:tc>
        <w:tc>
          <w:tcPr>
            <w:tcW w:w="2761" w:type="dxa"/>
            <w:vAlign w:val="center"/>
          </w:tcPr>
          <w:p>
            <w:pPr>
              <w:jc w:val="left"/>
              <w:rPr>
                <w:rFonts w:cs="宋体"/>
                <w:sz w:val="24"/>
              </w:rPr>
            </w:pPr>
            <w:r>
              <w:rPr>
                <w:rFonts w:cs="宋体"/>
                <w:sz w:val="24"/>
              </w:rPr>
              <w:fldChar w:fldCharType="begin"/>
            </w:r>
            <w:r>
              <w:rPr>
                <w:rFonts w:cs="宋体"/>
                <w:sz w:val="24"/>
              </w:rPr>
              <w:instrText xml:space="preserve"> </w:instrText>
            </w:r>
            <w:r>
              <w:rPr>
                <w:rFonts w:hint="eastAsia" w:cs="宋体"/>
                <w:sz w:val="24"/>
              </w:rPr>
              <w:instrText xml:space="preserve">eq \o\ac(□,√)</w:instrText>
            </w:r>
            <w:r>
              <w:rPr>
                <w:rFonts w:cs="宋体"/>
                <w:sz w:val="24"/>
              </w:rPr>
              <w:fldChar w:fldCharType="end"/>
            </w:r>
            <w:r>
              <w:rPr>
                <w:rFonts w:hint="eastAsia" w:cs="宋体"/>
                <w:sz w:val="24"/>
              </w:rPr>
              <w:t>首次申报项目</w:t>
            </w:r>
          </w:p>
          <w:p>
            <w:pPr>
              <w:jc w:val="left"/>
              <w:rPr>
                <w:rFonts w:cs="宋体"/>
                <w:sz w:val="24"/>
              </w:rPr>
            </w:pPr>
            <w:r>
              <w:rPr>
                <w:rFonts w:hint="eastAsia" w:cs="宋体"/>
                <w:sz w:val="24"/>
              </w:rPr>
              <w:t>□不予批准后再次申报项目</w:t>
            </w:r>
          </w:p>
          <w:p>
            <w:pPr>
              <w:jc w:val="left"/>
              <w:rPr>
                <w:rFonts w:cs="宋体"/>
                <w:sz w:val="24"/>
              </w:rPr>
            </w:pPr>
            <w:r>
              <w:rPr>
                <w:rFonts w:hint="eastAsia" w:cs="宋体"/>
                <w:sz w:val="24"/>
              </w:rPr>
              <w:sym w:font="Wingdings 2" w:char="00A3"/>
            </w:r>
            <w:r>
              <w:rPr>
                <w:rFonts w:hint="eastAsia" w:cs="宋体"/>
                <w:sz w:val="24"/>
              </w:rPr>
              <w:t>超五年重新审核项目</w:t>
            </w:r>
          </w:p>
          <w:p>
            <w:pPr>
              <w:jc w:val="left"/>
              <w:rPr>
                <w:rFonts w:cs="宋体"/>
                <w:sz w:val="24"/>
              </w:rPr>
            </w:pPr>
            <w:r>
              <w:rPr>
                <w:rFonts w:hint="eastAsia"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项目审批（核准</w:t>
            </w:r>
            <w:r>
              <w:rPr>
                <w:rFonts w:cs="宋体"/>
                <w:sz w:val="24"/>
              </w:rPr>
              <w:t>/</w:t>
            </w:r>
          </w:p>
          <w:p>
            <w:pPr>
              <w:adjustRightInd w:val="0"/>
              <w:snapToGrid w:val="0"/>
              <w:jc w:val="center"/>
              <w:rPr>
                <w:rFonts w:cs="宋体"/>
                <w:sz w:val="24"/>
              </w:rPr>
            </w:pPr>
            <w:r>
              <w:rPr>
                <w:rFonts w:hint="eastAsia" w:cs="宋体"/>
                <w:sz w:val="24"/>
              </w:rPr>
              <w:t>备案）部门（选填）</w:t>
            </w:r>
          </w:p>
        </w:tc>
        <w:tc>
          <w:tcPr>
            <w:tcW w:w="1637" w:type="dxa"/>
            <w:vAlign w:val="center"/>
          </w:tcPr>
          <w:p>
            <w:pPr>
              <w:adjustRightInd w:val="0"/>
              <w:snapToGrid w:val="0"/>
              <w:jc w:val="center"/>
              <w:rPr>
                <w:rFonts w:cs="宋体"/>
                <w:sz w:val="24"/>
              </w:rPr>
            </w:pPr>
            <w:r>
              <w:rPr>
                <w:rFonts w:hint="eastAsia" w:cs="宋体"/>
                <w:sz w:val="24"/>
              </w:rPr>
              <w:t>/</w:t>
            </w:r>
          </w:p>
        </w:tc>
        <w:tc>
          <w:tcPr>
            <w:tcW w:w="2090" w:type="dxa"/>
            <w:vAlign w:val="center"/>
          </w:tcPr>
          <w:p>
            <w:pPr>
              <w:adjustRightInd w:val="0"/>
              <w:snapToGrid w:val="0"/>
              <w:jc w:val="center"/>
              <w:rPr>
                <w:rFonts w:cs="宋体"/>
                <w:sz w:val="24"/>
              </w:rPr>
            </w:pPr>
            <w:r>
              <w:rPr>
                <w:rFonts w:hint="eastAsia" w:cs="宋体"/>
                <w:sz w:val="24"/>
              </w:rPr>
              <w:t>项目审批（核准</w:t>
            </w:r>
            <w:r>
              <w:rPr>
                <w:rFonts w:cs="宋体"/>
                <w:sz w:val="24"/>
              </w:rPr>
              <w:t>/</w:t>
            </w:r>
          </w:p>
          <w:p>
            <w:pPr>
              <w:adjustRightInd w:val="0"/>
              <w:snapToGrid w:val="0"/>
              <w:jc w:val="center"/>
              <w:rPr>
                <w:rFonts w:cs="宋体"/>
                <w:sz w:val="24"/>
              </w:rPr>
            </w:pPr>
            <w:r>
              <w:rPr>
                <w:rFonts w:hint="eastAsia" w:cs="宋体"/>
                <w:sz w:val="24"/>
              </w:rPr>
              <w:t>备案）文号（选填）</w:t>
            </w:r>
          </w:p>
        </w:tc>
        <w:tc>
          <w:tcPr>
            <w:tcW w:w="2761" w:type="dxa"/>
            <w:vAlign w:val="center"/>
          </w:tcPr>
          <w:p>
            <w:pPr>
              <w:adjustRightInd w:val="0"/>
              <w:snapToGrid w:val="0"/>
              <w:jc w:val="center"/>
              <w:rPr>
                <w:rFonts w:cs="宋体"/>
                <w:sz w:val="24"/>
              </w:rPr>
            </w:pPr>
            <w:r>
              <w:rPr>
                <w:rFonts w:hint="eastAsia"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总投资（万元）</w:t>
            </w:r>
          </w:p>
        </w:tc>
        <w:tc>
          <w:tcPr>
            <w:tcW w:w="1637" w:type="dxa"/>
            <w:vAlign w:val="center"/>
          </w:tcPr>
          <w:p>
            <w:pPr>
              <w:adjustRightInd w:val="0"/>
              <w:snapToGrid w:val="0"/>
              <w:jc w:val="center"/>
              <w:rPr>
                <w:rFonts w:cs="宋体"/>
                <w:sz w:val="24"/>
              </w:rPr>
            </w:pPr>
            <w:r>
              <w:rPr>
                <w:rFonts w:hint="eastAsia" w:cs="宋体"/>
                <w:sz w:val="24"/>
              </w:rPr>
              <w:t>500</w:t>
            </w:r>
          </w:p>
        </w:tc>
        <w:tc>
          <w:tcPr>
            <w:tcW w:w="2090" w:type="dxa"/>
            <w:tcMar>
              <w:top w:w="16" w:type="dxa"/>
              <w:left w:w="16" w:type="dxa"/>
              <w:right w:w="16" w:type="dxa"/>
            </w:tcMar>
            <w:vAlign w:val="center"/>
          </w:tcPr>
          <w:p>
            <w:pPr>
              <w:adjustRightInd w:val="0"/>
              <w:snapToGrid w:val="0"/>
              <w:jc w:val="center"/>
              <w:rPr>
                <w:rFonts w:cs="宋体"/>
                <w:sz w:val="24"/>
              </w:rPr>
            </w:pPr>
            <w:r>
              <w:rPr>
                <w:rFonts w:hint="eastAsia" w:cs="宋体"/>
                <w:sz w:val="24"/>
              </w:rPr>
              <w:t>环保投资（万元）</w:t>
            </w:r>
          </w:p>
        </w:tc>
        <w:tc>
          <w:tcPr>
            <w:tcW w:w="2761" w:type="dxa"/>
            <w:vAlign w:val="center"/>
          </w:tcPr>
          <w:p>
            <w:pPr>
              <w:adjustRightInd w:val="0"/>
              <w:snapToGrid w:val="0"/>
              <w:jc w:val="center"/>
              <w:rPr>
                <w:rFonts w:cs="宋体"/>
                <w:sz w:val="24"/>
              </w:rPr>
            </w:pPr>
            <w:r>
              <w:rPr>
                <w:rFonts w:cs="宋体"/>
                <w:sz w:val="24"/>
              </w:rPr>
              <w:t>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环保投资占比（</w:t>
            </w:r>
            <w:r>
              <w:rPr>
                <w:rFonts w:cs="宋体"/>
                <w:sz w:val="24"/>
              </w:rPr>
              <w:t>%</w:t>
            </w:r>
            <w:r>
              <w:rPr>
                <w:rFonts w:hint="eastAsia" w:cs="宋体"/>
                <w:sz w:val="24"/>
              </w:rPr>
              <w:t>）</w:t>
            </w:r>
          </w:p>
        </w:tc>
        <w:tc>
          <w:tcPr>
            <w:tcW w:w="1637" w:type="dxa"/>
            <w:vAlign w:val="center"/>
          </w:tcPr>
          <w:p>
            <w:pPr>
              <w:adjustRightInd w:val="0"/>
              <w:snapToGrid w:val="0"/>
              <w:jc w:val="center"/>
              <w:rPr>
                <w:rFonts w:cs="宋体"/>
                <w:sz w:val="24"/>
              </w:rPr>
            </w:pPr>
            <w:r>
              <w:rPr>
                <w:rFonts w:hint="eastAsia" w:cs="宋体"/>
                <w:sz w:val="24"/>
              </w:rPr>
              <w:t>7</w:t>
            </w:r>
            <w:r>
              <w:rPr>
                <w:rFonts w:cs="宋体"/>
                <w:sz w:val="24"/>
              </w:rPr>
              <w:t>.4</w:t>
            </w:r>
          </w:p>
        </w:tc>
        <w:tc>
          <w:tcPr>
            <w:tcW w:w="2090" w:type="dxa"/>
            <w:tcMar>
              <w:top w:w="16" w:type="dxa"/>
              <w:left w:w="16" w:type="dxa"/>
              <w:right w:w="16" w:type="dxa"/>
            </w:tcMar>
            <w:vAlign w:val="center"/>
          </w:tcPr>
          <w:p>
            <w:pPr>
              <w:adjustRightInd w:val="0"/>
              <w:snapToGrid w:val="0"/>
              <w:jc w:val="center"/>
              <w:rPr>
                <w:rFonts w:cs="宋体"/>
                <w:sz w:val="24"/>
              </w:rPr>
            </w:pPr>
            <w:r>
              <w:rPr>
                <w:rFonts w:hint="eastAsia" w:cs="宋体"/>
                <w:sz w:val="24"/>
              </w:rPr>
              <w:t>施工工期</w:t>
            </w:r>
          </w:p>
        </w:tc>
        <w:tc>
          <w:tcPr>
            <w:tcW w:w="2761" w:type="dxa"/>
            <w:vAlign w:val="center"/>
          </w:tcPr>
          <w:p>
            <w:pPr>
              <w:adjustRightInd w:val="0"/>
              <w:snapToGrid w:val="0"/>
              <w:jc w:val="center"/>
              <w:rPr>
                <w:rFonts w:cs="宋体"/>
                <w:sz w:val="24"/>
              </w:rPr>
            </w:pPr>
            <w:r>
              <w:rPr>
                <w:rFonts w:hint="eastAsia" w:cs="宋体"/>
                <w:sz w:val="24"/>
              </w:rPr>
              <w:t>10个月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cs="宋体"/>
                <w:sz w:val="24"/>
              </w:rPr>
            </w:pPr>
            <w:r>
              <w:rPr>
                <w:rFonts w:hint="eastAsia" w:cs="宋体"/>
                <w:sz w:val="24"/>
              </w:rPr>
              <w:t>是否开工建设</w:t>
            </w:r>
          </w:p>
        </w:tc>
        <w:tc>
          <w:tcPr>
            <w:tcW w:w="1637" w:type="dxa"/>
            <w:vAlign w:val="center"/>
          </w:tcPr>
          <w:p>
            <w:pPr>
              <w:adjustRightInd w:val="0"/>
              <w:snapToGrid w:val="0"/>
              <w:rPr>
                <w:rFonts w:cs="宋体"/>
                <w:sz w:val="24"/>
              </w:rPr>
            </w:pPr>
            <w:r>
              <w:rPr>
                <w:rFonts w:cs="宋体"/>
                <w:sz w:val="24"/>
              </w:rPr>
              <w:fldChar w:fldCharType="begin"/>
            </w:r>
            <w:r>
              <w:rPr>
                <w:rFonts w:cs="宋体"/>
                <w:sz w:val="24"/>
              </w:rPr>
              <w:instrText xml:space="preserve"> </w:instrText>
            </w:r>
            <w:r>
              <w:rPr>
                <w:rFonts w:hint="eastAsia" w:cs="宋体"/>
                <w:sz w:val="24"/>
              </w:rPr>
              <w:instrText xml:space="preserve">eq \o\ac(□,√)</w:instrText>
            </w:r>
            <w:r>
              <w:rPr>
                <w:rFonts w:cs="宋体"/>
                <w:sz w:val="24"/>
              </w:rPr>
              <w:fldChar w:fldCharType="end"/>
            </w:r>
            <w:r>
              <w:rPr>
                <w:rFonts w:hint="eastAsia" w:cs="宋体"/>
                <w:sz w:val="24"/>
              </w:rPr>
              <w:t>否</w:t>
            </w:r>
          </w:p>
          <w:p>
            <w:pPr>
              <w:adjustRightInd w:val="0"/>
              <w:snapToGrid w:val="0"/>
              <w:rPr>
                <w:rFonts w:cs="宋体"/>
                <w:sz w:val="24"/>
              </w:rPr>
            </w:pPr>
            <w:r>
              <w:rPr>
                <w:rFonts w:hint="eastAsia" w:cs="宋体"/>
                <w:sz w:val="24"/>
              </w:rPr>
              <w:sym w:font="Wingdings 2" w:char="00A3"/>
            </w:r>
            <w:r>
              <w:rPr>
                <w:rFonts w:hint="eastAsia" w:cs="宋体"/>
                <w:sz w:val="24"/>
              </w:rPr>
              <w:t>是：</w:t>
            </w:r>
          </w:p>
        </w:tc>
        <w:tc>
          <w:tcPr>
            <w:tcW w:w="2090" w:type="dxa"/>
            <w:tcMar>
              <w:top w:w="16" w:type="dxa"/>
              <w:left w:w="16" w:type="dxa"/>
              <w:right w:w="16" w:type="dxa"/>
            </w:tcMar>
            <w:vAlign w:val="center"/>
          </w:tcPr>
          <w:p>
            <w:pPr>
              <w:adjustRightInd w:val="0"/>
              <w:snapToGrid w:val="0"/>
              <w:jc w:val="center"/>
              <w:rPr>
                <w:rFonts w:cs="宋体"/>
                <w:spacing w:val="-6"/>
                <w:sz w:val="24"/>
              </w:rPr>
            </w:pPr>
            <w:r>
              <w:rPr>
                <w:rFonts w:hint="eastAsia" w:cs="宋体"/>
                <w:spacing w:val="-6"/>
                <w:sz w:val="24"/>
              </w:rPr>
              <w:t>用地（用海）</w:t>
            </w:r>
          </w:p>
          <w:p>
            <w:pPr>
              <w:adjustRightInd w:val="0"/>
              <w:snapToGrid w:val="0"/>
              <w:jc w:val="center"/>
              <w:rPr>
                <w:rFonts w:cs="宋体"/>
                <w:sz w:val="24"/>
              </w:rPr>
            </w:pPr>
            <w:r>
              <w:rPr>
                <w:rFonts w:hint="eastAsia" w:cs="宋体"/>
                <w:spacing w:val="-6"/>
                <w:sz w:val="24"/>
              </w:rPr>
              <w:t>面积（</w:t>
            </w:r>
            <w:r>
              <w:rPr>
                <w:rFonts w:cs="宋体"/>
                <w:spacing w:val="-6"/>
                <w:sz w:val="24"/>
              </w:rPr>
              <w:t>m</w:t>
            </w:r>
            <w:r>
              <w:rPr>
                <w:rFonts w:cs="宋体"/>
                <w:spacing w:val="-6"/>
                <w:sz w:val="24"/>
                <w:vertAlign w:val="superscript"/>
              </w:rPr>
              <w:t>2</w:t>
            </w:r>
            <w:r>
              <w:rPr>
                <w:rFonts w:hint="eastAsia" w:cs="宋体"/>
                <w:spacing w:val="-6"/>
                <w:sz w:val="24"/>
              </w:rPr>
              <w:t>）</w:t>
            </w:r>
          </w:p>
        </w:tc>
        <w:tc>
          <w:tcPr>
            <w:tcW w:w="2761" w:type="dxa"/>
            <w:tcBorders>
              <w:right w:val="single" w:color="auto" w:sz="4" w:space="0"/>
            </w:tcBorders>
            <w:vAlign w:val="center"/>
          </w:tcPr>
          <w:p>
            <w:pPr>
              <w:tabs>
                <w:tab w:val="center" w:pos="1375"/>
              </w:tabs>
              <w:adjustRightInd w:val="0"/>
              <w:snapToGrid w:val="0"/>
              <w:jc w:val="center"/>
              <w:rPr>
                <w:rFonts w:cs="宋体"/>
                <w:sz w:val="24"/>
              </w:rPr>
            </w:pPr>
            <w:r>
              <w:rPr>
                <w:rFonts w:hint="eastAsia" w:cs="宋体"/>
                <w:sz w:val="24"/>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cs="宋体"/>
                <w:kern w:val="0"/>
                <w:sz w:val="24"/>
              </w:rPr>
            </w:pPr>
            <w:r>
              <w:rPr>
                <w:rFonts w:hint="eastAsia" w:cs="宋体"/>
                <w:kern w:val="0"/>
                <w:sz w:val="24"/>
              </w:rPr>
              <w:t>专项评价设置情况</w:t>
            </w:r>
          </w:p>
        </w:tc>
        <w:tc>
          <w:tcPr>
            <w:tcW w:w="6488" w:type="dxa"/>
            <w:gridSpan w:val="3"/>
            <w:vAlign w:val="center"/>
          </w:tcPr>
          <w:p>
            <w:pPr>
              <w:autoSpaceDE w:val="0"/>
              <w:autoSpaceDN w:val="0"/>
              <w:adjustRightInd w:val="0"/>
              <w:snapToGrid w:val="0"/>
              <w:jc w:val="center"/>
              <w:rPr>
                <w:rFonts w:cs="宋体"/>
                <w:kern w:val="0"/>
                <w:sz w:val="24"/>
              </w:rPr>
            </w:pPr>
            <w:r>
              <w:rPr>
                <w:rFonts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cs="宋体"/>
                <w:kern w:val="0"/>
                <w:sz w:val="24"/>
              </w:rPr>
            </w:pPr>
            <w:r>
              <w:rPr>
                <w:rFonts w:hint="eastAsia" w:cs="宋体"/>
                <w:sz w:val="24"/>
              </w:rPr>
              <w:t>规划情况</w:t>
            </w:r>
          </w:p>
        </w:tc>
        <w:tc>
          <w:tcPr>
            <w:tcW w:w="6488" w:type="dxa"/>
            <w:gridSpan w:val="3"/>
            <w:vAlign w:val="center"/>
          </w:tcPr>
          <w:p>
            <w:pPr>
              <w:autoSpaceDE w:val="0"/>
              <w:autoSpaceDN w:val="0"/>
              <w:adjustRightInd w:val="0"/>
              <w:snapToGrid w:val="0"/>
              <w:spacing w:line="360" w:lineRule="auto"/>
              <w:jc w:val="center"/>
              <w:rPr>
                <w:rFonts w:cs="宋体"/>
                <w:kern w:val="0"/>
                <w:sz w:val="24"/>
              </w:rPr>
            </w:pPr>
            <w:r>
              <w:rPr>
                <w:rFonts w:hint="eastAsia" w:cs="宋体"/>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82" w:type="dxa"/>
            <w:vAlign w:val="center"/>
          </w:tcPr>
          <w:p>
            <w:pPr>
              <w:adjustRightInd w:val="0"/>
              <w:snapToGrid w:val="0"/>
              <w:jc w:val="center"/>
              <w:rPr>
                <w:rFonts w:cs="宋体"/>
                <w:kern w:val="0"/>
                <w:sz w:val="24"/>
              </w:rPr>
            </w:pPr>
            <w:r>
              <w:rPr>
                <w:rFonts w:hint="eastAsia" w:cs="宋体"/>
                <w:sz w:val="24"/>
              </w:rPr>
              <w:t>规划环境影响评价情况</w:t>
            </w:r>
          </w:p>
        </w:tc>
        <w:tc>
          <w:tcPr>
            <w:tcW w:w="6488" w:type="dxa"/>
            <w:gridSpan w:val="3"/>
            <w:vAlign w:val="center"/>
          </w:tcPr>
          <w:p>
            <w:pPr>
              <w:autoSpaceDE w:val="0"/>
              <w:autoSpaceDN w:val="0"/>
              <w:adjustRightInd w:val="0"/>
              <w:snapToGrid w:val="0"/>
              <w:spacing w:line="360" w:lineRule="auto"/>
              <w:jc w:val="center"/>
              <w:rPr>
                <w:rFonts w:cs="宋体"/>
                <w:kern w:val="0"/>
                <w:sz w:val="24"/>
              </w:rPr>
            </w:pPr>
          </w:p>
          <w:p>
            <w:pPr>
              <w:autoSpaceDE w:val="0"/>
              <w:autoSpaceDN w:val="0"/>
              <w:adjustRightInd w:val="0"/>
              <w:snapToGrid w:val="0"/>
              <w:spacing w:line="360" w:lineRule="auto"/>
              <w:jc w:val="center"/>
              <w:rPr>
                <w:rFonts w:cs="宋体"/>
                <w:kern w:val="0"/>
                <w:sz w:val="24"/>
              </w:rPr>
            </w:pPr>
          </w:p>
          <w:p>
            <w:pPr>
              <w:autoSpaceDE w:val="0"/>
              <w:autoSpaceDN w:val="0"/>
              <w:adjustRightInd w:val="0"/>
              <w:snapToGrid w:val="0"/>
              <w:spacing w:line="360" w:lineRule="auto"/>
              <w:jc w:val="center"/>
              <w:rPr>
                <w:rFonts w:cs="宋体"/>
                <w:kern w:val="0"/>
                <w:sz w:val="24"/>
              </w:rPr>
            </w:pPr>
          </w:p>
          <w:p>
            <w:pPr>
              <w:autoSpaceDE w:val="0"/>
              <w:autoSpaceDN w:val="0"/>
              <w:adjustRightInd w:val="0"/>
              <w:snapToGrid w:val="0"/>
              <w:spacing w:line="360" w:lineRule="auto"/>
              <w:jc w:val="center"/>
              <w:rPr>
                <w:rFonts w:cs="宋体"/>
                <w:kern w:val="0"/>
                <w:sz w:val="24"/>
              </w:rPr>
            </w:pPr>
          </w:p>
          <w:p>
            <w:pPr>
              <w:autoSpaceDE w:val="0"/>
              <w:autoSpaceDN w:val="0"/>
              <w:adjustRightInd w:val="0"/>
              <w:snapToGrid w:val="0"/>
              <w:spacing w:line="360" w:lineRule="auto"/>
              <w:jc w:val="center"/>
              <w:rPr>
                <w:rFonts w:cs="宋体"/>
                <w:kern w:val="0"/>
                <w:sz w:val="24"/>
              </w:rPr>
            </w:pPr>
          </w:p>
          <w:p>
            <w:pPr>
              <w:autoSpaceDE w:val="0"/>
              <w:autoSpaceDN w:val="0"/>
              <w:adjustRightInd w:val="0"/>
              <w:snapToGrid w:val="0"/>
              <w:spacing w:line="360" w:lineRule="auto"/>
              <w:jc w:val="center"/>
              <w:rPr>
                <w:rFonts w:cs="宋体"/>
                <w:kern w:val="0"/>
                <w:sz w:val="24"/>
              </w:rPr>
            </w:pPr>
            <w:r>
              <w:rPr>
                <w:rFonts w:hint="eastAsia" w:cs="宋体"/>
                <w:kern w:val="0"/>
                <w:sz w:val="24"/>
              </w:rPr>
              <w:t>无</w:t>
            </w:r>
          </w:p>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2382" w:type="dxa"/>
            <w:vAlign w:val="center"/>
          </w:tcPr>
          <w:p>
            <w:pPr>
              <w:autoSpaceDE w:val="0"/>
              <w:autoSpaceDN w:val="0"/>
              <w:adjustRightInd w:val="0"/>
              <w:snapToGrid w:val="0"/>
              <w:jc w:val="center"/>
              <w:rPr>
                <w:rFonts w:cs="宋体"/>
                <w:kern w:val="0"/>
                <w:sz w:val="24"/>
              </w:rPr>
            </w:pPr>
            <w:r>
              <w:rPr>
                <w:rFonts w:hint="eastAsia" w:cs="宋体"/>
                <w:kern w:val="0"/>
                <w:sz w:val="24"/>
              </w:rPr>
              <w:t>规划及规划环境影响评价符合性分析</w:t>
            </w:r>
          </w:p>
        </w:tc>
        <w:tc>
          <w:tcPr>
            <w:tcW w:w="6488" w:type="dxa"/>
            <w:gridSpan w:val="3"/>
            <w:vAlign w:val="center"/>
          </w:tcPr>
          <w:p>
            <w:pPr>
              <w:pStyle w:val="2"/>
            </w:pPr>
          </w:p>
          <w:p>
            <w:pPr>
              <w:pStyle w:val="3"/>
            </w:pPr>
          </w:p>
          <w:p/>
          <w:p>
            <w:pPr>
              <w:pStyle w:val="2"/>
            </w:pPr>
          </w:p>
          <w:p>
            <w:pPr>
              <w:pStyle w:val="3"/>
            </w:pPr>
          </w:p>
          <w:p/>
          <w:p>
            <w:pPr>
              <w:pStyle w:val="2"/>
            </w:pPr>
          </w:p>
          <w:p>
            <w:pPr>
              <w:pStyle w:val="3"/>
            </w:pPr>
          </w:p>
          <w:p/>
          <w:p>
            <w:pPr>
              <w:pStyle w:val="2"/>
              <w:jc w:val="center"/>
            </w:pPr>
            <w:r>
              <w:rPr>
                <w:rFonts w:hint="eastAsia"/>
              </w:rPr>
              <w:t>无</w:t>
            </w: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Pr>
              <w:pStyle w:val="3"/>
            </w:pPr>
          </w:p>
          <w:p/>
          <w:p>
            <w:pPr>
              <w:pStyle w:val="2"/>
            </w:pPr>
          </w:p>
          <w:p/>
          <w:p>
            <w:pPr>
              <w:pStyle w:val="2"/>
            </w:pPr>
          </w:p>
          <w:p>
            <w:pPr>
              <w:pStyle w:val="3"/>
            </w:pPr>
          </w:p>
          <w:p>
            <w:pPr>
              <w:pStyle w:val="2"/>
            </w:pPr>
          </w:p>
          <w:p>
            <w:pPr>
              <w:pStyle w:val="3"/>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7" w:hRule="atLeast"/>
          <w:jc w:val="center"/>
        </w:trPr>
        <w:tc>
          <w:tcPr>
            <w:tcW w:w="2382" w:type="dxa"/>
            <w:vAlign w:val="center"/>
          </w:tcPr>
          <w:p>
            <w:pPr>
              <w:autoSpaceDE w:val="0"/>
              <w:autoSpaceDN w:val="0"/>
              <w:adjustRightInd w:val="0"/>
              <w:snapToGrid w:val="0"/>
              <w:jc w:val="center"/>
              <w:rPr>
                <w:rFonts w:cs="宋体"/>
                <w:kern w:val="0"/>
                <w:sz w:val="24"/>
              </w:rPr>
            </w:pPr>
            <w:r>
              <w:rPr>
                <w:rFonts w:hint="eastAsia" w:cs="宋体"/>
                <w:kern w:val="0"/>
                <w:sz w:val="24"/>
              </w:rPr>
              <w:t>其他符合性分析</w:t>
            </w:r>
          </w:p>
        </w:tc>
        <w:tc>
          <w:tcPr>
            <w:tcW w:w="6488" w:type="dxa"/>
            <w:gridSpan w:val="3"/>
            <w:vAlign w:val="center"/>
          </w:tcPr>
          <w:p>
            <w:pPr>
              <w:numPr>
                <w:ilvl w:val="0"/>
                <w:numId w:val="1"/>
              </w:num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产业及相关政策符合性分析</w:t>
            </w:r>
          </w:p>
          <w:p>
            <w:pPr>
              <w:keepLines/>
              <w:spacing w:line="360" w:lineRule="auto"/>
              <w:ind w:firstLine="482" w:firstLineChars="200"/>
              <w:rPr>
                <w:b/>
                <w:sz w:val="24"/>
              </w:rPr>
            </w:pPr>
            <w:r>
              <w:rPr>
                <w:rFonts w:hint="eastAsia"/>
                <w:b/>
                <w:sz w:val="24"/>
              </w:rPr>
              <w:t>1.1本项目与《产业结构调整指导目录（2019年本）》符合性</w:t>
            </w:r>
          </w:p>
          <w:p>
            <w:pPr>
              <w:keepLines/>
              <w:spacing w:line="360" w:lineRule="auto"/>
              <w:ind w:firstLine="480" w:firstLineChars="200"/>
              <w:rPr>
                <w:sz w:val="24"/>
              </w:rPr>
            </w:pPr>
            <w:r>
              <w:rPr>
                <w:rFonts w:hint="eastAsia"/>
                <w:bCs/>
                <w:sz w:val="24"/>
              </w:rPr>
              <w:t>根据《产业结构调整指导目录（2019年本）》，本项目属于</w:t>
            </w:r>
          </w:p>
          <w:p>
            <w:pPr>
              <w:keepLines/>
              <w:spacing w:line="360" w:lineRule="auto"/>
              <w:ind w:firstLine="480" w:firstLineChars="200"/>
              <w:rPr>
                <w:sz w:val="24"/>
              </w:rPr>
            </w:pPr>
            <w:r>
              <w:rPr>
                <w:rFonts w:hint="eastAsia"/>
                <w:sz w:val="24"/>
              </w:rPr>
              <w:t>C1444其他乳制品制造；C1469 其他调味品、发酵制品制造；C2684香料、香精制造</w:t>
            </w:r>
            <w:r>
              <w:rPr>
                <w:rFonts w:hint="eastAsia"/>
                <w:bCs/>
                <w:sz w:val="24"/>
              </w:rPr>
              <w:t>，不属于该名录中的鼓励类、限制类和淘汰类所规定的内容，属于允许类。</w:t>
            </w:r>
          </w:p>
          <w:p>
            <w:pPr>
              <w:numPr>
                <w:ilvl w:val="0"/>
                <w:numId w:val="1"/>
              </w:num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选址合理性分析</w:t>
            </w:r>
          </w:p>
          <w:p>
            <w:pPr>
              <w:keepLines/>
              <w:spacing w:line="360" w:lineRule="auto"/>
              <w:ind w:firstLine="482" w:firstLineChars="200"/>
              <w:rPr>
                <w:b/>
                <w:sz w:val="24"/>
              </w:rPr>
            </w:pPr>
            <w:r>
              <w:rPr>
                <w:rFonts w:hint="eastAsia"/>
                <w:b/>
                <w:sz w:val="24"/>
              </w:rPr>
              <w:t>2.1 产业发展符合性</w:t>
            </w:r>
          </w:p>
          <w:p>
            <w:pPr>
              <w:keepLines/>
              <w:spacing w:line="360" w:lineRule="auto"/>
              <w:ind w:firstLine="480" w:firstLineChars="200"/>
              <w:rPr>
                <w:bCs/>
                <w:sz w:val="24"/>
              </w:rPr>
            </w:pPr>
            <w:r>
              <w:rPr>
                <w:rFonts w:hint="eastAsia"/>
                <w:bCs/>
                <w:sz w:val="24"/>
              </w:rPr>
              <w:t>本项目厂址位于锡林郭勒盟镶黄旗奶制品产业园内，镶黄旗工业和信息化局出具本项目符合当地产业发展规划和产业定位的说明，该项目符合《镶黄旗传统民族奶食品加工业发展规划（</w:t>
            </w:r>
            <w:r>
              <w:rPr>
                <w:bCs/>
                <w:sz w:val="24"/>
              </w:rPr>
              <w:t>2020-2024</w:t>
            </w:r>
            <w:r>
              <w:rPr>
                <w:rFonts w:hint="eastAsia"/>
                <w:bCs/>
                <w:sz w:val="24"/>
              </w:rPr>
              <w:t>年）》，详见附件。</w:t>
            </w:r>
          </w:p>
          <w:p>
            <w:pPr>
              <w:keepLines/>
              <w:spacing w:line="360" w:lineRule="auto"/>
              <w:ind w:firstLine="482" w:firstLineChars="200"/>
              <w:rPr>
                <w:b/>
                <w:sz w:val="24"/>
              </w:rPr>
            </w:pPr>
            <w:r>
              <w:rPr>
                <w:rFonts w:hint="eastAsia"/>
                <w:b/>
                <w:sz w:val="24"/>
              </w:rPr>
              <w:t>2</w:t>
            </w:r>
            <w:r>
              <w:rPr>
                <w:b/>
                <w:sz w:val="24"/>
              </w:rPr>
              <w:t xml:space="preserve">.2 </w:t>
            </w:r>
            <w:r>
              <w:rPr>
                <w:rFonts w:hint="eastAsia"/>
                <w:b/>
                <w:sz w:val="24"/>
              </w:rPr>
              <w:t>用地符合性</w:t>
            </w:r>
          </w:p>
          <w:p>
            <w:pPr>
              <w:keepLines/>
              <w:spacing w:line="360" w:lineRule="auto"/>
              <w:ind w:firstLine="480" w:firstLineChars="200"/>
              <w:rPr>
                <w:bCs/>
                <w:sz w:val="24"/>
              </w:rPr>
            </w:pPr>
            <w:r>
              <w:rPr>
                <w:rFonts w:hint="eastAsia"/>
                <w:bCs/>
                <w:sz w:val="24"/>
              </w:rPr>
              <w:t>本项目已获得国有建设用地出让合同，详见附件，项目土地用途为工业用地，符合当地用地规划。</w:t>
            </w:r>
          </w:p>
          <w:p>
            <w:pPr>
              <w:keepLines/>
              <w:spacing w:line="360" w:lineRule="auto"/>
              <w:ind w:firstLine="480" w:firstLineChars="200"/>
              <w:rPr>
                <w:bCs/>
                <w:sz w:val="24"/>
              </w:rPr>
            </w:pPr>
            <w:r>
              <w:rPr>
                <w:rFonts w:hint="eastAsia"/>
                <w:bCs/>
                <w:sz w:val="24"/>
              </w:rPr>
              <w:t>项目周边</w:t>
            </w:r>
            <w:r>
              <w:rPr>
                <w:bCs/>
                <w:sz w:val="24"/>
              </w:rPr>
              <w:t>不涉及自然保护区、风景名胜区、文物（考古）保护区、生活饮用水源保护区、供水远景规划区等特别保护区域；项目周边也无特殊保护军事设施。</w:t>
            </w:r>
            <w:r>
              <w:rPr>
                <w:rFonts w:hint="eastAsia"/>
                <w:bCs/>
                <w:sz w:val="24"/>
              </w:rPr>
              <w:t>因此用地符合当地用地规划。</w:t>
            </w:r>
          </w:p>
          <w:p>
            <w:pPr>
              <w:keepLines/>
              <w:spacing w:line="360" w:lineRule="auto"/>
              <w:ind w:firstLine="482" w:firstLineChars="200"/>
              <w:rPr>
                <w:b/>
                <w:sz w:val="24"/>
              </w:rPr>
            </w:pPr>
            <w:r>
              <w:rPr>
                <w:rFonts w:hint="eastAsia"/>
                <w:b/>
                <w:sz w:val="24"/>
              </w:rPr>
              <w:t>2.</w:t>
            </w:r>
            <w:r>
              <w:rPr>
                <w:b/>
                <w:sz w:val="24"/>
              </w:rPr>
              <w:t>3</w:t>
            </w:r>
            <w:r>
              <w:rPr>
                <w:rFonts w:hint="eastAsia"/>
                <w:b/>
                <w:sz w:val="24"/>
              </w:rPr>
              <w:t xml:space="preserve"> 环境保护角度</w:t>
            </w:r>
          </w:p>
          <w:p>
            <w:pPr>
              <w:spacing w:line="360" w:lineRule="auto"/>
              <w:ind w:firstLine="480" w:firstLineChars="200"/>
              <w:rPr>
                <w:sz w:val="24"/>
                <w:szCs w:val="22"/>
              </w:rPr>
            </w:pPr>
            <w:r>
              <w:rPr>
                <w:rFonts w:hint="eastAsia"/>
                <w:sz w:val="24"/>
                <w:szCs w:val="22"/>
              </w:rPr>
              <w:t>项目运营期污染物均配套设置环保措施，可以实现达标排放，环境影响预测结果显示，在严格落实各项环保措施的前提下，项目建设对周围环境的影响较小，在可接受范围内。</w:t>
            </w:r>
          </w:p>
          <w:p>
            <w:pPr>
              <w:spacing w:line="360" w:lineRule="auto"/>
              <w:ind w:firstLine="480" w:firstLineChars="200"/>
              <w:rPr>
                <w:sz w:val="24"/>
                <w:szCs w:val="22"/>
              </w:rPr>
            </w:pPr>
            <w:r>
              <w:rPr>
                <w:rFonts w:hint="eastAsia"/>
                <w:sz w:val="24"/>
                <w:szCs w:val="22"/>
              </w:rPr>
              <w:t>因此，从环保角度，项目选址合理可行。</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3、环境保护“三线一单”符合性分析</w:t>
            </w:r>
          </w:p>
          <w:p>
            <w:pPr>
              <w:pStyle w:val="2"/>
              <w:ind w:firstLine="482"/>
              <w:jc w:val="center"/>
              <w:rPr>
                <w:b/>
                <w:bCs/>
                <w:sz w:val="24"/>
              </w:rPr>
            </w:pPr>
          </w:p>
          <w:p>
            <w:pPr>
              <w:pStyle w:val="2"/>
              <w:ind w:firstLine="482"/>
              <w:jc w:val="center"/>
              <w:rPr>
                <w:b/>
                <w:bCs/>
                <w:sz w:val="24"/>
              </w:rPr>
            </w:pPr>
          </w:p>
          <w:p>
            <w:pPr>
              <w:pStyle w:val="2"/>
              <w:ind w:firstLine="482"/>
              <w:jc w:val="center"/>
              <w:rPr>
                <w:b/>
                <w:bCs/>
                <w:sz w:val="24"/>
              </w:rPr>
            </w:pPr>
          </w:p>
          <w:p>
            <w:pPr>
              <w:pStyle w:val="2"/>
              <w:ind w:firstLine="482"/>
              <w:jc w:val="center"/>
              <w:rPr>
                <w:b/>
                <w:bCs/>
                <w:sz w:val="24"/>
              </w:rPr>
            </w:pPr>
          </w:p>
          <w:p>
            <w:pPr>
              <w:pStyle w:val="2"/>
              <w:ind w:firstLine="482"/>
              <w:jc w:val="center"/>
              <w:rPr>
                <w:b/>
                <w:bCs/>
                <w:sz w:val="24"/>
              </w:rPr>
            </w:pPr>
          </w:p>
          <w:p>
            <w:pPr>
              <w:pStyle w:val="2"/>
              <w:ind w:firstLine="482"/>
              <w:jc w:val="center"/>
              <w:rPr>
                <w:b/>
                <w:bCs/>
                <w:sz w:val="24"/>
              </w:rPr>
            </w:pPr>
          </w:p>
          <w:p>
            <w:pPr>
              <w:pStyle w:val="2"/>
              <w:ind w:firstLine="482"/>
              <w:jc w:val="center"/>
              <w:rPr>
                <w:b/>
                <w:bCs/>
                <w:sz w:val="24"/>
              </w:rPr>
            </w:pPr>
          </w:p>
          <w:p>
            <w:pPr>
              <w:pStyle w:val="2"/>
              <w:ind w:firstLine="482"/>
              <w:jc w:val="center"/>
              <w:rPr>
                <w:b/>
                <w:bCs/>
                <w:sz w:val="24"/>
              </w:rPr>
            </w:pPr>
            <w:r>
              <w:rPr>
                <w:rFonts w:hint="eastAsia"/>
                <w:b/>
                <w:bCs/>
                <w:sz w:val="24"/>
              </w:rPr>
              <w:t>表1</w:t>
            </w:r>
            <w:r>
              <w:rPr>
                <w:b/>
                <w:bCs/>
                <w:sz w:val="24"/>
              </w:rPr>
              <w:t xml:space="preserve">-1 </w:t>
            </w:r>
            <w:r>
              <w:rPr>
                <w:rFonts w:hint="eastAsia"/>
                <w:b/>
                <w:bCs/>
                <w:sz w:val="24"/>
              </w:rPr>
              <w:t>三线一单符合性分析</w:t>
            </w:r>
          </w:p>
          <w:tbl>
            <w:tblPr>
              <w:tblStyle w:val="21"/>
              <w:tblW w:w="7072" w:type="dxa"/>
              <w:tblInd w:w="11"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3271"/>
              <w:gridCol w:w="2061"/>
              <w:gridCol w:w="689"/>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vAlign w:val="center"/>
                </w:tcPr>
                <w:p>
                  <w:pPr>
                    <w:pStyle w:val="9"/>
                    <w:spacing w:after="0"/>
                    <w:jc w:val="center"/>
                    <w:rPr>
                      <w:rFonts w:cs="宋体"/>
                      <w:sz w:val="21"/>
                      <w:szCs w:val="21"/>
                    </w:rPr>
                  </w:pPr>
                  <w:r>
                    <w:rPr>
                      <w:rFonts w:hint="eastAsia" w:cs="宋体"/>
                      <w:sz w:val="21"/>
                      <w:szCs w:val="21"/>
                    </w:rPr>
                    <w:t>三线一单</w:t>
                  </w:r>
                </w:p>
              </w:tc>
              <w:tc>
                <w:tcPr>
                  <w:tcW w:w="2312" w:type="pct"/>
                  <w:vAlign w:val="center"/>
                </w:tcPr>
                <w:p>
                  <w:pPr>
                    <w:pStyle w:val="9"/>
                    <w:spacing w:after="0"/>
                    <w:jc w:val="center"/>
                    <w:rPr>
                      <w:rFonts w:cs="宋体"/>
                      <w:sz w:val="21"/>
                      <w:szCs w:val="21"/>
                    </w:rPr>
                  </w:pPr>
                  <w:r>
                    <w:rPr>
                      <w:rFonts w:hint="eastAsia" w:cs="宋体"/>
                      <w:sz w:val="21"/>
                      <w:szCs w:val="21"/>
                    </w:rPr>
                    <w:t>本项目实际情况</w:t>
                  </w:r>
                </w:p>
              </w:tc>
              <w:tc>
                <w:tcPr>
                  <w:tcW w:w="1456" w:type="pct"/>
                </w:tcPr>
                <w:p>
                  <w:pPr>
                    <w:pStyle w:val="9"/>
                    <w:spacing w:after="0"/>
                    <w:jc w:val="center"/>
                    <w:rPr>
                      <w:rFonts w:cs="宋体"/>
                      <w:sz w:val="21"/>
                      <w:szCs w:val="21"/>
                    </w:rPr>
                  </w:pPr>
                  <w:r>
                    <w:rPr>
                      <w:rFonts w:hint="eastAsia" w:cs="宋体"/>
                      <w:sz w:val="21"/>
                      <w:szCs w:val="21"/>
                    </w:rPr>
                    <w:t>本项目</w:t>
                  </w:r>
                </w:p>
              </w:tc>
              <w:tc>
                <w:tcPr>
                  <w:tcW w:w="487" w:type="pct"/>
                  <w:vAlign w:val="center"/>
                </w:tcPr>
                <w:p>
                  <w:pPr>
                    <w:pStyle w:val="9"/>
                    <w:spacing w:after="0"/>
                    <w:jc w:val="center"/>
                    <w:rPr>
                      <w:rFonts w:cs="宋体"/>
                      <w:sz w:val="21"/>
                      <w:szCs w:val="21"/>
                    </w:rPr>
                  </w:pPr>
                  <w:r>
                    <w:rPr>
                      <w:rFonts w:hint="eastAsia" w:cs="宋体"/>
                      <w:sz w:val="21"/>
                      <w:szCs w:val="21"/>
                    </w:rPr>
                    <w:t>相符性</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743" w:type="pct"/>
                  <w:vAlign w:val="center"/>
                </w:tcPr>
                <w:p>
                  <w:pPr>
                    <w:pStyle w:val="9"/>
                    <w:jc w:val="center"/>
                    <w:rPr>
                      <w:rFonts w:cs="宋体"/>
                      <w:sz w:val="21"/>
                      <w:szCs w:val="21"/>
                    </w:rPr>
                  </w:pPr>
                  <w:r>
                    <w:rPr>
                      <w:rFonts w:hint="eastAsia" w:cs="宋体"/>
                      <w:sz w:val="21"/>
                      <w:szCs w:val="21"/>
                    </w:rPr>
                    <w:t>生态保护红线</w:t>
                  </w:r>
                </w:p>
              </w:tc>
              <w:tc>
                <w:tcPr>
                  <w:tcW w:w="2312" w:type="pct"/>
                  <w:vAlign w:val="center"/>
                </w:tcPr>
                <w:p>
                  <w:pPr>
                    <w:pStyle w:val="9"/>
                    <w:spacing w:before="0" w:after="0" w:line="260" w:lineRule="auto"/>
                    <w:ind w:right="0" w:firstLine="420" w:firstLineChars="200"/>
                    <w:jc w:val="left"/>
                    <w:rPr>
                      <w:rFonts w:cs="宋体"/>
                      <w:sz w:val="21"/>
                      <w:szCs w:val="21"/>
                    </w:rPr>
                  </w:pPr>
                  <w:r>
                    <w:rPr>
                      <w:rFonts w:cs="宋体"/>
                      <w:sz w:val="21"/>
                      <w:szCs w:val="21"/>
                    </w:rPr>
                    <w:t>2021年10月31日，锡林郭勒盟行政公署发布了《锡林郭勒盟行政公署关于实施“三线一单”生态环境分区管控的意见》（发署</w:t>
                  </w:r>
                  <w:r>
                    <w:rPr>
                      <w:rFonts w:hint="eastAsia" w:ascii="宋体" w:hAnsi="宋体" w:cs="宋体"/>
                      <w:sz w:val="21"/>
                      <w:szCs w:val="21"/>
                    </w:rPr>
                    <w:t>〔</w:t>
                  </w:r>
                  <w:r>
                    <w:rPr>
                      <w:rFonts w:cs="宋体"/>
                      <w:sz w:val="21"/>
                      <w:szCs w:val="21"/>
                    </w:rPr>
                    <w:t>2021</w:t>
                  </w:r>
                  <w:r>
                    <w:rPr>
                      <w:rFonts w:hint="eastAsia" w:ascii="宋体" w:hAnsi="宋体" w:cs="宋体"/>
                      <w:sz w:val="21"/>
                      <w:szCs w:val="21"/>
                    </w:rPr>
                    <w:t>〕</w:t>
                  </w:r>
                  <w:r>
                    <w:rPr>
                      <w:rFonts w:cs="宋体"/>
                      <w:sz w:val="21"/>
                      <w:szCs w:val="21"/>
                    </w:rPr>
                    <w:t>117号），全盟共划定环境管控单元154个，包括优先保护单元、重点管控单元、一般管控单元三类。其中优先保护单元共76个，面积占全盟国土总面积的76.84%，主要包括生态保护红线、自然保护地、集中式饮用水水源保护区等生态功能重要区和生态环境敏感区。重点管控单元共66个，面积占全盟国土总面积的21.45%,主要包括工业园区、矿区、城镇开发边界内等开发强度高、污染排放量大、环境问题相对集中的区域。一般管控单元共12个,面积占全盟国土面积的1.71%，为优先保护单元、重点管控单元之外的其他区域。</w:t>
                  </w:r>
                </w:p>
                <w:p>
                  <w:pPr>
                    <w:pStyle w:val="9"/>
                    <w:spacing w:before="0" w:after="0" w:line="260" w:lineRule="auto"/>
                    <w:ind w:right="0" w:firstLine="420" w:firstLineChars="200"/>
                    <w:jc w:val="left"/>
                    <w:rPr>
                      <w:rFonts w:cs="宋体"/>
                      <w:sz w:val="21"/>
                      <w:szCs w:val="21"/>
                    </w:rPr>
                  </w:pPr>
                  <w:r>
                    <w:rPr>
                      <w:rFonts w:hint="eastAsia" w:cs="宋体"/>
                      <w:sz w:val="21"/>
                      <w:szCs w:val="21"/>
                    </w:rPr>
                    <w:t>重</w:t>
                  </w:r>
                  <w:r>
                    <w:rPr>
                      <w:rFonts w:cs="宋体"/>
                      <w:sz w:val="21"/>
                      <w:szCs w:val="21"/>
                    </w:rPr>
                    <w:t>点管控单元以产业高质量发展和环境保护协调为主,优化空间布局,加强污染物排放控制和环境风险防控,不断提升资源利用效率。</w:t>
                  </w:r>
                </w:p>
              </w:tc>
              <w:tc>
                <w:tcPr>
                  <w:tcW w:w="1456" w:type="pct"/>
                  <w:vAlign w:val="center"/>
                </w:tcPr>
                <w:p>
                  <w:pPr>
                    <w:pStyle w:val="9"/>
                    <w:spacing w:before="0" w:after="0" w:line="260" w:lineRule="auto"/>
                    <w:ind w:right="0" w:firstLine="420" w:firstLineChars="200"/>
                    <w:rPr>
                      <w:rFonts w:cs="宋体"/>
                      <w:sz w:val="21"/>
                      <w:szCs w:val="21"/>
                    </w:rPr>
                  </w:pPr>
                  <w:r>
                    <w:rPr>
                      <w:rFonts w:cs="宋体"/>
                      <w:sz w:val="21"/>
                      <w:szCs w:val="21"/>
                    </w:rPr>
                    <w:t>本项目位于</w:t>
                  </w:r>
                  <w:r>
                    <w:rPr>
                      <w:rFonts w:hint="eastAsia" w:cs="宋体"/>
                      <w:sz w:val="21"/>
                      <w:szCs w:val="21"/>
                    </w:rPr>
                    <w:t>锡林郭勒盟镶黄旗奶制品产业园区</w:t>
                  </w:r>
                  <w:r>
                    <w:rPr>
                      <w:rFonts w:cs="宋体"/>
                      <w:sz w:val="21"/>
                      <w:szCs w:val="21"/>
                    </w:rPr>
                    <w:t>，属于重点管控单元，且周边无自然保护区，饮用水源保护区等生态保护目标，不属于生态保护红线范围内。</w:t>
                  </w:r>
                </w:p>
                <w:p>
                  <w:pPr>
                    <w:pStyle w:val="9"/>
                    <w:rPr>
                      <w:rFonts w:cs="宋体"/>
                      <w:sz w:val="21"/>
                      <w:szCs w:val="21"/>
                    </w:rPr>
                  </w:pPr>
                </w:p>
              </w:tc>
              <w:tc>
                <w:tcPr>
                  <w:tcW w:w="487" w:type="pct"/>
                  <w:vAlign w:val="center"/>
                </w:tcPr>
                <w:p>
                  <w:pPr>
                    <w:pStyle w:val="9"/>
                    <w:jc w:val="left"/>
                    <w:rPr>
                      <w:rFonts w:cs="宋体"/>
                      <w:sz w:val="21"/>
                      <w:szCs w:val="21"/>
                    </w:rPr>
                  </w:pPr>
                  <w:r>
                    <w:rPr>
                      <w:rFonts w:hint="eastAsia" w:cs="宋体"/>
                      <w:sz w:val="21"/>
                      <w:szCs w:val="21"/>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vAlign w:val="center"/>
                </w:tcPr>
                <w:p>
                  <w:pPr>
                    <w:pStyle w:val="9"/>
                    <w:jc w:val="center"/>
                    <w:rPr>
                      <w:rFonts w:cs="宋体"/>
                      <w:sz w:val="21"/>
                      <w:szCs w:val="21"/>
                    </w:rPr>
                  </w:pPr>
                  <w:r>
                    <w:rPr>
                      <w:rFonts w:cs="宋体"/>
                      <w:sz w:val="21"/>
                      <w:szCs w:val="21"/>
                    </w:rPr>
                    <w:t>环境质量底线</w:t>
                  </w:r>
                </w:p>
              </w:tc>
              <w:tc>
                <w:tcPr>
                  <w:tcW w:w="2312" w:type="pct"/>
                  <w:vAlign w:val="center"/>
                </w:tcPr>
                <w:p>
                  <w:pPr>
                    <w:pStyle w:val="9"/>
                    <w:spacing w:before="0" w:after="0" w:line="260" w:lineRule="auto"/>
                    <w:ind w:right="0" w:firstLine="420" w:firstLineChars="200"/>
                    <w:jc w:val="left"/>
                    <w:rPr>
                      <w:rFonts w:cs="宋体"/>
                      <w:sz w:val="21"/>
                      <w:szCs w:val="21"/>
                    </w:rPr>
                  </w:pPr>
                  <w:r>
                    <w:rPr>
                      <w:rFonts w:hint="eastAsia" w:cs="宋体"/>
                      <w:sz w:val="21"/>
                      <w:szCs w:val="21"/>
                    </w:rPr>
                    <w:t>根据202</w:t>
                  </w:r>
                  <w:r>
                    <w:rPr>
                      <w:rFonts w:cs="宋体"/>
                      <w:sz w:val="21"/>
                      <w:szCs w:val="21"/>
                    </w:rPr>
                    <w:t>2</w:t>
                  </w:r>
                  <w:r>
                    <w:rPr>
                      <w:rFonts w:hint="eastAsia" w:cs="宋体"/>
                      <w:sz w:val="21"/>
                      <w:szCs w:val="21"/>
                    </w:rPr>
                    <w:t>年内蒙古自治区生态环境状况公报，项目区域属于达标区。</w:t>
                  </w:r>
                </w:p>
                <w:p>
                  <w:pPr>
                    <w:pStyle w:val="9"/>
                    <w:spacing w:before="0" w:after="0" w:line="260" w:lineRule="auto"/>
                    <w:ind w:right="0" w:firstLine="420"/>
                    <w:jc w:val="left"/>
                    <w:rPr>
                      <w:rFonts w:cs="宋体"/>
                      <w:sz w:val="21"/>
                      <w:szCs w:val="21"/>
                    </w:rPr>
                  </w:pPr>
                </w:p>
              </w:tc>
              <w:tc>
                <w:tcPr>
                  <w:tcW w:w="1456" w:type="pct"/>
                  <w:vAlign w:val="center"/>
                </w:tcPr>
                <w:p>
                  <w:pPr>
                    <w:pStyle w:val="9"/>
                    <w:rPr>
                      <w:rFonts w:cs="宋体"/>
                      <w:sz w:val="21"/>
                      <w:szCs w:val="21"/>
                    </w:rPr>
                  </w:pPr>
                  <w:r>
                    <w:rPr>
                      <w:rFonts w:cs="宋体"/>
                      <w:sz w:val="21"/>
                      <w:szCs w:val="21"/>
                    </w:rPr>
                    <w:t>根据本项目所在地环境质量现状监测报告可知，本项目所在地环境质量现状良好。</w:t>
                  </w:r>
                  <w:r>
                    <w:rPr>
                      <w:rFonts w:hint="eastAsia" w:cs="宋体"/>
                      <w:sz w:val="21"/>
                      <w:szCs w:val="21"/>
                    </w:rPr>
                    <w:t>本项目为食品制造业，废气产生量少，加强机械通风，生活污水排入化粪池预处理，生产废水包括设备清洗废水排入厂区污水处理站预处理后排入镶黄旗污水处理厂进一步处理，</w:t>
                  </w:r>
                  <w:r>
                    <w:rPr>
                      <w:rFonts w:cs="宋体"/>
                      <w:sz w:val="21"/>
                      <w:szCs w:val="21"/>
                    </w:rPr>
                    <w:t>不直接排向外环境，对地表水环境的影响较小；</w:t>
                  </w:r>
                  <w:r>
                    <w:rPr>
                      <w:rFonts w:hint="eastAsia" w:cs="宋体"/>
                      <w:sz w:val="21"/>
                      <w:szCs w:val="21"/>
                    </w:rPr>
                    <w:t>根据噪声预测结果，四周厂界可满足《工业企业厂界环境噪声排放标准》中的</w:t>
                  </w:r>
                  <w:r>
                    <w:rPr>
                      <w:rFonts w:cs="宋体"/>
                      <w:sz w:val="21"/>
                      <w:szCs w:val="21"/>
                    </w:rPr>
                    <w:t>3</w:t>
                  </w:r>
                  <w:r>
                    <w:rPr>
                      <w:rFonts w:hint="eastAsia" w:cs="宋体"/>
                      <w:sz w:val="21"/>
                      <w:szCs w:val="21"/>
                    </w:rPr>
                    <w:t>类标准要求，对周围环境影响较小；</w:t>
                  </w:r>
                  <w:r>
                    <w:rPr>
                      <w:rFonts w:cs="宋体"/>
                      <w:sz w:val="21"/>
                      <w:szCs w:val="21"/>
                    </w:rPr>
                    <w:t>项目各种固体废物均能得到有效处置，对周围环境的影响较小。因此，本项目的建设不会改变环境功能要求，满足环境质量底线要求。</w:t>
                  </w:r>
                </w:p>
              </w:tc>
              <w:tc>
                <w:tcPr>
                  <w:tcW w:w="487" w:type="pct"/>
                  <w:vAlign w:val="center"/>
                </w:tcPr>
                <w:p>
                  <w:pPr>
                    <w:pStyle w:val="9"/>
                    <w:jc w:val="center"/>
                    <w:rPr>
                      <w:rFonts w:cs="宋体"/>
                      <w:sz w:val="21"/>
                      <w:szCs w:val="21"/>
                    </w:rPr>
                  </w:pPr>
                  <w:r>
                    <w:rPr>
                      <w:rFonts w:hint="eastAsia" w:cs="宋体"/>
                      <w:sz w:val="21"/>
                      <w:szCs w:val="21"/>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743" w:type="pct"/>
                  <w:vAlign w:val="center"/>
                </w:tcPr>
                <w:p>
                  <w:pPr>
                    <w:pStyle w:val="9"/>
                    <w:jc w:val="center"/>
                    <w:rPr>
                      <w:rFonts w:cs="宋体"/>
                      <w:sz w:val="21"/>
                      <w:szCs w:val="21"/>
                    </w:rPr>
                  </w:pPr>
                  <w:r>
                    <w:rPr>
                      <w:rFonts w:cs="宋体"/>
                      <w:sz w:val="21"/>
                      <w:szCs w:val="21"/>
                    </w:rPr>
                    <w:t>资源利用上限</w:t>
                  </w:r>
                </w:p>
              </w:tc>
              <w:tc>
                <w:tcPr>
                  <w:tcW w:w="3769" w:type="pct"/>
                  <w:gridSpan w:val="2"/>
                  <w:vAlign w:val="center"/>
                </w:tcPr>
                <w:p>
                  <w:pPr>
                    <w:pStyle w:val="9"/>
                    <w:rPr>
                      <w:rFonts w:cs="宋体"/>
                      <w:sz w:val="21"/>
                      <w:szCs w:val="21"/>
                    </w:rPr>
                  </w:pPr>
                  <w:r>
                    <w:rPr>
                      <w:rFonts w:cs="宋体"/>
                      <w:sz w:val="21"/>
                      <w:szCs w:val="21"/>
                    </w:rPr>
                    <w:t>本项目</w:t>
                  </w:r>
                  <w:r>
                    <w:rPr>
                      <w:rFonts w:hint="eastAsia" w:cs="宋体"/>
                      <w:sz w:val="21"/>
                      <w:szCs w:val="21"/>
                    </w:rPr>
                    <w:t>主要资源为水和电资源</w:t>
                  </w:r>
                  <w:r>
                    <w:rPr>
                      <w:rFonts w:cs="宋体"/>
                      <w:sz w:val="21"/>
                      <w:szCs w:val="21"/>
                    </w:rPr>
                    <w:t>，</w:t>
                  </w:r>
                  <w:r>
                    <w:rPr>
                      <w:rFonts w:hint="eastAsia" w:cs="宋体"/>
                      <w:sz w:val="21"/>
                      <w:szCs w:val="21"/>
                    </w:rPr>
                    <w:t>用量较小，在区域可控范围内</w:t>
                  </w:r>
                  <w:r>
                    <w:rPr>
                      <w:rFonts w:cs="宋体"/>
                      <w:sz w:val="21"/>
                      <w:szCs w:val="21"/>
                    </w:rPr>
                    <w:t>，故符合资源利用上线要求。</w:t>
                  </w:r>
                </w:p>
              </w:tc>
              <w:tc>
                <w:tcPr>
                  <w:tcW w:w="487" w:type="pct"/>
                  <w:vAlign w:val="center"/>
                </w:tcPr>
                <w:p>
                  <w:pPr>
                    <w:pStyle w:val="9"/>
                    <w:jc w:val="center"/>
                    <w:rPr>
                      <w:rFonts w:cs="宋体"/>
                      <w:sz w:val="21"/>
                      <w:szCs w:val="21"/>
                    </w:rPr>
                  </w:pPr>
                  <w:r>
                    <w:rPr>
                      <w:rFonts w:cs="宋体"/>
                      <w:sz w:val="21"/>
                      <w:szCs w:val="21"/>
                    </w:rPr>
                    <w:t>符合</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43" w:type="pct"/>
                  <w:vAlign w:val="center"/>
                </w:tcPr>
                <w:p>
                  <w:pPr>
                    <w:pStyle w:val="9"/>
                    <w:jc w:val="center"/>
                    <w:rPr>
                      <w:rFonts w:cs="宋体"/>
                      <w:sz w:val="21"/>
                      <w:szCs w:val="21"/>
                    </w:rPr>
                  </w:pPr>
                  <w:r>
                    <w:rPr>
                      <w:rFonts w:hint="eastAsia" w:cs="宋体"/>
                      <w:sz w:val="21"/>
                      <w:szCs w:val="21"/>
                    </w:rPr>
                    <w:t>生态环境准入清单</w:t>
                  </w:r>
                </w:p>
              </w:tc>
              <w:tc>
                <w:tcPr>
                  <w:tcW w:w="2312" w:type="pct"/>
                  <w:vAlign w:val="center"/>
                </w:tcPr>
                <w:p>
                  <w:pPr>
                    <w:pStyle w:val="9"/>
                    <w:spacing w:before="0" w:after="0" w:line="260" w:lineRule="auto"/>
                    <w:ind w:right="0"/>
                    <w:rPr>
                      <w:rFonts w:cs="宋体"/>
                      <w:sz w:val="21"/>
                      <w:szCs w:val="21"/>
                    </w:rPr>
                  </w:pPr>
                  <w:r>
                    <w:rPr>
                      <w:rFonts w:cs="宋体"/>
                      <w:sz w:val="21"/>
                      <w:szCs w:val="21"/>
                    </w:rPr>
                    <w:t>根据《</w:t>
                  </w:r>
                  <w:r>
                    <w:rPr>
                      <w:rFonts w:hint="eastAsia" w:cs="宋体"/>
                      <w:sz w:val="21"/>
                      <w:szCs w:val="21"/>
                    </w:rPr>
                    <w:t>锡林郭勒盟生</w:t>
                  </w:r>
                  <w:r>
                    <w:rPr>
                      <w:rFonts w:cs="宋体"/>
                      <w:sz w:val="21"/>
                      <w:szCs w:val="21"/>
                    </w:rPr>
                    <w:t>态</w:t>
                  </w:r>
                  <w:r>
                    <w:rPr>
                      <w:rFonts w:hint="eastAsia" w:cs="宋体"/>
                      <w:sz w:val="21"/>
                      <w:szCs w:val="21"/>
                    </w:rPr>
                    <w:t>环境准入清单</w:t>
                  </w:r>
                  <w:r>
                    <w:rPr>
                      <w:rFonts w:cs="宋体"/>
                      <w:sz w:val="21"/>
                      <w:szCs w:val="21"/>
                    </w:rPr>
                    <w:t>》（</w:t>
                  </w:r>
                  <w:r>
                    <w:rPr>
                      <w:rFonts w:hint="eastAsia" w:cs="宋体"/>
                      <w:sz w:val="21"/>
                      <w:szCs w:val="21"/>
                    </w:rPr>
                    <w:t>2021年10月</w:t>
                  </w:r>
                  <w:r>
                    <w:rPr>
                      <w:rFonts w:cs="宋体"/>
                      <w:sz w:val="21"/>
                      <w:szCs w:val="21"/>
                    </w:rPr>
                    <w:t>）</w:t>
                  </w:r>
                  <w:r>
                    <w:rPr>
                      <w:rFonts w:hint="eastAsia" w:cs="宋体"/>
                      <w:sz w:val="21"/>
                      <w:szCs w:val="21"/>
                    </w:rPr>
                    <w:t>，阿巴嘎旗、苏尼特左旗、苏尼特右旗、东乌珠穆沁旗、西乌珠穆沁旗、太仆寺旗、正镶白旗、镶黄旗、正蓝旗、多伦县国家重点生态功能区严格贯彻执行《内蒙古自治区国家重点生态功能区产业准入负面清单（试行）》，限制类产业要在规模产量、生产工艺、区位布局、清洁生产水平等方面严格执行有关规定，鼓励和引导市场主体对既有项目改造升级、入园入区。禁止类产业要严禁市场主体准入，行政机关不予审批、核准，不得办理有关手续。</w:t>
                  </w:r>
                </w:p>
                <w:p>
                  <w:pPr>
                    <w:pStyle w:val="9"/>
                    <w:spacing w:before="0" w:after="0" w:line="260" w:lineRule="auto"/>
                    <w:ind w:right="0" w:firstLine="420" w:firstLineChars="200"/>
                    <w:rPr>
                      <w:rFonts w:cs="宋体"/>
                      <w:sz w:val="21"/>
                      <w:szCs w:val="21"/>
                    </w:rPr>
                  </w:pPr>
                </w:p>
              </w:tc>
              <w:tc>
                <w:tcPr>
                  <w:tcW w:w="1456" w:type="pct"/>
                  <w:vAlign w:val="center"/>
                </w:tcPr>
                <w:p>
                  <w:pPr>
                    <w:pStyle w:val="9"/>
                    <w:rPr>
                      <w:rFonts w:cs="宋体"/>
                      <w:sz w:val="21"/>
                      <w:szCs w:val="21"/>
                    </w:rPr>
                  </w:pPr>
                  <w:r>
                    <w:rPr>
                      <w:rFonts w:cs="宋体"/>
                      <w:sz w:val="21"/>
                      <w:szCs w:val="21"/>
                    </w:rPr>
                    <w:t>本项目所在的</w:t>
                  </w:r>
                  <w:r>
                    <w:rPr>
                      <w:rFonts w:hint="eastAsia" w:cs="宋体"/>
                      <w:sz w:val="21"/>
                      <w:szCs w:val="21"/>
                    </w:rPr>
                    <w:t>镶黄旗</w:t>
                  </w:r>
                  <w:r>
                    <w:rPr>
                      <w:rFonts w:cs="宋体"/>
                      <w:sz w:val="21"/>
                      <w:szCs w:val="21"/>
                    </w:rPr>
                    <w:t>属于国家级重点生态功能区，项目未被列入《内蒙古自治区国家重点生态功能区产业准入负面清单</w:t>
                  </w:r>
                  <w:r>
                    <w:rPr>
                      <w:rFonts w:hint="eastAsia" w:cs="宋体"/>
                      <w:sz w:val="21"/>
                      <w:szCs w:val="21"/>
                    </w:rPr>
                    <w:t>-镶黄旗国家重点生态功能区产业准入负面清单</w:t>
                  </w:r>
                  <w:r>
                    <w:rPr>
                      <w:rFonts w:cs="宋体"/>
                      <w:sz w:val="21"/>
                      <w:szCs w:val="21"/>
                    </w:rPr>
                    <w:t>（试行）》（内政发</w:t>
                  </w:r>
                  <w:r>
                    <w:rPr>
                      <w:rFonts w:hint="eastAsia" w:ascii="宋体" w:hAnsi="宋体" w:cs="宋体"/>
                      <w:sz w:val="21"/>
                      <w:szCs w:val="21"/>
                    </w:rPr>
                    <w:t>〔</w:t>
                  </w:r>
                  <w:r>
                    <w:rPr>
                      <w:rFonts w:cs="宋体"/>
                      <w:sz w:val="21"/>
                      <w:szCs w:val="21"/>
                    </w:rPr>
                    <w:t>2018</w:t>
                  </w:r>
                  <w:r>
                    <w:rPr>
                      <w:rFonts w:hint="eastAsia" w:ascii="宋体" w:hAnsi="宋体" w:cs="宋体"/>
                      <w:sz w:val="21"/>
                      <w:szCs w:val="21"/>
                    </w:rPr>
                    <w:t>〕</w:t>
                  </w:r>
                  <w:r>
                    <w:rPr>
                      <w:rFonts w:cs="宋体"/>
                      <w:sz w:val="21"/>
                      <w:szCs w:val="21"/>
                    </w:rPr>
                    <w:t>11号）负面清单内，不属于国家法律法规和政策规定的淘汰类和限制类项目，不违背环境准入负面清单的原则要求。</w:t>
                  </w:r>
                </w:p>
              </w:tc>
              <w:tc>
                <w:tcPr>
                  <w:tcW w:w="487" w:type="pct"/>
                  <w:vAlign w:val="center"/>
                </w:tcPr>
                <w:p>
                  <w:pPr>
                    <w:pStyle w:val="9"/>
                    <w:jc w:val="center"/>
                    <w:rPr>
                      <w:rFonts w:cs="宋体"/>
                      <w:sz w:val="21"/>
                      <w:szCs w:val="21"/>
                    </w:rPr>
                  </w:pPr>
                  <w:r>
                    <w:rPr>
                      <w:rFonts w:hint="eastAsia" w:cs="宋体"/>
                      <w:sz w:val="21"/>
                      <w:szCs w:val="21"/>
                    </w:rPr>
                    <w:t>符合</w:t>
                  </w:r>
                </w:p>
              </w:tc>
            </w:tr>
          </w:tbl>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4、其他相关环保政策符合性分析</w:t>
            </w:r>
          </w:p>
          <w:p>
            <w:pPr>
              <w:pStyle w:val="32"/>
              <w:ind w:firstLine="480"/>
              <w:rPr>
                <w:bCs/>
              </w:rPr>
            </w:pPr>
            <w:r>
              <w:rPr>
                <w:rFonts w:hint="eastAsia"/>
                <w:bCs/>
              </w:rPr>
              <w:t>（1）锡林郭勒盟“十四五”生态环境保护规划符合性</w:t>
            </w:r>
          </w:p>
          <w:p>
            <w:pPr>
              <w:pStyle w:val="32"/>
              <w:ind w:firstLine="480"/>
              <w:rPr>
                <w:bCs/>
              </w:rPr>
            </w:pPr>
            <w:r>
              <w:rPr>
                <w:bCs/>
              </w:rPr>
              <w:t>严格工业产业准入条件。对标碳达峰、碳中和与节能减排目标要求，坚决遏制高耗能高排放项目扩张。“十四五”期间，不再审批铁合金、电解铝等新增产能项目。提高新建项目节能环保准入标准，新建高耗能项目工艺技术装备、能效水平、治理水平等须达到国内先进水平。</w:t>
            </w:r>
          </w:p>
          <w:p>
            <w:pPr>
              <w:pStyle w:val="3"/>
              <w:ind w:firstLine="31"/>
            </w:pPr>
            <w:r>
              <w:rPr>
                <w:rFonts w:hint="eastAsia"/>
              </w:rPr>
              <w:t>本项目为食品相关加工行业，均不属于以上高耗能项目。</w:t>
            </w:r>
          </w:p>
          <w:p>
            <w:pPr>
              <w:pStyle w:val="32"/>
              <w:ind w:firstLine="480"/>
            </w:pPr>
          </w:p>
          <w:p>
            <w:pPr>
              <w:pStyle w:val="32"/>
              <w:ind w:firstLine="480"/>
            </w:pPr>
          </w:p>
        </w:tc>
      </w:tr>
    </w:tbl>
    <w:p>
      <w:pPr>
        <w:pStyle w:val="19"/>
        <w:jc w:val="center"/>
        <w:outlineLvl w:val="0"/>
        <w:rPr>
          <w:rFonts w:ascii="Times New Roman" w:hAnsi="Times New Roman"/>
          <w:snapToGrid w:val="0"/>
          <w:sz w:val="30"/>
          <w:szCs w:val="30"/>
        </w:rPr>
      </w:pPr>
      <w:r>
        <w:rPr>
          <w:rFonts w:hint="eastAsia" w:ascii="Times New Roman" w:hAnsi="Times New Roman"/>
          <w:snapToGrid w:val="0"/>
          <w:sz w:val="30"/>
          <w:szCs w:val="30"/>
        </w:rPr>
        <w:t>二、建设项目工程分析</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106" w:hRule="atLeast"/>
          <w:jc w:val="center"/>
        </w:trPr>
        <w:tc>
          <w:tcPr>
            <w:tcW w:w="1021" w:type="dxa"/>
            <w:vAlign w:val="center"/>
          </w:tcPr>
          <w:p>
            <w:pPr>
              <w:pStyle w:val="19"/>
              <w:adjustRightInd w:val="0"/>
              <w:snapToGrid w:val="0"/>
              <w:spacing w:before="0" w:beforeAutospacing="0" w:after="0" w:afterAutospacing="0"/>
              <w:jc w:val="center"/>
              <w:rPr>
                <w:rFonts w:ascii="Times New Roman" w:hAnsi="Times New Roman" w:cs="宋体"/>
                <w:b/>
                <w:bCs/>
                <w:szCs w:val="24"/>
              </w:rPr>
            </w:pPr>
            <w:r>
              <w:rPr>
                <w:rFonts w:hint="eastAsia" w:ascii="Times New Roman" w:hAnsi="Times New Roman" w:cs="宋体"/>
                <w:b/>
                <w:bCs/>
                <w:szCs w:val="24"/>
              </w:rPr>
              <w:t>建设内容</w:t>
            </w:r>
          </w:p>
        </w:tc>
        <w:tc>
          <w:tcPr>
            <w:tcW w:w="7983" w:type="dxa"/>
          </w:tcPr>
          <w:p>
            <w:pPr>
              <w:pStyle w:val="32"/>
              <w:ind w:firstLine="482"/>
              <w:rPr>
                <w:b/>
              </w:rPr>
            </w:pPr>
            <w:r>
              <w:rPr>
                <w:rFonts w:hint="eastAsia"/>
                <w:b/>
              </w:rPr>
              <w:t>一、项目由来</w:t>
            </w:r>
          </w:p>
          <w:p>
            <w:pPr>
              <w:pStyle w:val="32"/>
              <w:ind w:firstLine="480"/>
              <w:rPr>
                <w:rFonts w:cs="宋体"/>
              </w:rPr>
            </w:pPr>
            <w:r>
              <w:rPr>
                <w:rFonts w:hint="eastAsia"/>
                <w:bCs/>
              </w:rPr>
              <w:t>随着我国经济发展，人民生活水平提高，对乳制品需求增加，促使奶业发展进入高速发展阶段，奶业健康发展不仅可以改善居民膳食结构增强体质，还能增加农牧民收入、促进地区经济发展。</w:t>
            </w:r>
            <w:r>
              <w:rPr>
                <w:bCs/>
              </w:rPr>
              <w:t>我国乳制品消费不断增加的市场空间下，</w:t>
            </w:r>
            <w:r>
              <w:rPr>
                <w:rFonts w:hint="eastAsia"/>
                <w:bCs/>
              </w:rPr>
              <w:t>内蒙古荣丰食品香料有限公司依</w:t>
            </w:r>
            <w:r>
              <w:rPr>
                <w:bCs/>
              </w:rPr>
              <w:t>托内蒙古自治区得天独厚的奶业发展优势，在</w:t>
            </w:r>
            <w:r>
              <w:rPr>
                <w:rFonts w:hint="eastAsia"/>
                <w:bCs/>
              </w:rPr>
              <w:t>镶黄旗</w:t>
            </w:r>
            <w:r>
              <w:rPr>
                <w:rFonts w:hint="eastAsia" w:cs="宋体"/>
              </w:rPr>
              <w:t>旧蒙中奶制品产业园东侧</w:t>
            </w:r>
            <w:r>
              <w:rPr>
                <w:rFonts w:hint="eastAsia"/>
                <w:bCs/>
              </w:rPr>
              <w:t>建设“</w:t>
            </w:r>
            <w:r>
              <w:rPr>
                <w:rFonts w:hint="eastAsia" w:cs="宋体"/>
              </w:rPr>
              <w:t>内蒙古荣丰食品香料有限公司乳制品精深加工项目”</w:t>
            </w:r>
            <w:r>
              <w:rPr>
                <w:rFonts w:hint="eastAsia"/>
                <w:bCs/>
              </w:rPr>
              <w:t>（以下简称“本项目”）</w:t>
            </w:r>
            <w:bookmarkStart w:id="1" w:name="_Hlk77151329"/>
            <w:r>
              <w:rPr>
                <w:rFonts w:hint="eastAsia"/>
                <w:bCs/>
              </w:rPr>
              <w:t>。内蒙古荣丰食品香料有限公司于2023年6月在镶黄旗发展和改革委员会备案，建设项目分两期建设，其中一期工程奶油制品约2</w:t>
            </w:r>
            <w:r>
              <w:rPr>
                <w:bCs/>
              </w:rPr>
              <w:t>00</w:t>
            </w:r>
            <w:r>
              <w:rPr>
                <w:rFonts w:hint="eastAsia"/>
                <w:bCs/>
              </w:rPr>
              <w:t>吨、复合调味料约2</w:t>
            </w:r>
            <w:r>
              <w:rPr>
                <w:bCs/>
              </w:rPr>
              <w:t>0</w:t>
            </w:r>
            <w:r>
              <w:rPr>
                <w:rFonts w:hint="eastAsia"/>
                <w:bCs/>
              </w:rPr>
              <w:t>吨、食品添加剂（食品用香精）约1</w:t>
            </w:r>
            <w:r>
              <w:rPr>
                <w:bCs/>
              </w:rPr>
              <w:t>00</w:t>
            </w:r>
            <w:r>
              <w:rPr>
                <w:rFonts w:hint="eastAsia"/>
                <w:bCs/>
              </w:rPr>
              <w:t>吨，二期工程奶油制品约8</w:t>
            </w:r>
            <w:r>
              <w:rPr>
                <w:bCs/>
              </w:rPr>
              <w:t>00</w:t>
            </w:r>
            <w:r>
              <w:rPr>
                <w:rFonts w:hint="eastAsia"/>
                <w:bCs/>
              </w:rPr>
              <w:t>吨、复合调味品约8</w:t>
            </w:r>
            <w:r>
              <w:rPr>
                <w:bCs/>
              </w:rPr>
              <w:t>0</w:t>
            </w:r>
            <w:r>
              <w:rPr>
                <w:rFonts w:hint="eastAsia"/>
                <w:bCs/>
              </w:rPr>
              <w:t>吨。一期工程建设生产车间</w:t>
            </w:r>
            <w:r>
              <w:rPr>
                <w:bCs/>
              </w:rPr>
              <w:t>1</w:t>
            </w:r>
            <w:r>
              <w:rPr>
                <w:rFonts w:hint="eastAsia"/>
                <w:bCs/>
              </w:rPr>
              <w:t>座（</w:t>
            </w:r>
            <w:r>
              <w:rPr>
                <w:bCs/>
              </w:rPr>
              <w:t>2F</w:t>
            </w:r>
            <w:r>
              <w:rPr>
                <w:rFonts w:hint="eastAsia"/>
                <w:bCs/>
              </w:rPr>
              <w:t>），二期工程建设生产车间1座（</w:t>
            </w:r>
            <w:r>
              <w:rPr>
                <w:bCs/>
              </w:rPr>
              <w:t>1F</w:t>
            </w:r>
            <w:r>
              <w:rPr>
                <w:rFonts w:hint="eastAsia"/>
                <w:bCs/>
              </w:rPr>
              <w:t>），</w:t>
            </w:r>
            <w:r>
              <w:rPr>
                <w:rFonts w:hint="eastAsia" w:cs="宋体"/>
                <w:lang w:val="zh-CN"/>
              </w:rPr>
              <w:t>项目已取得了镶黄旗发展改革局出具的企业投资项目备案。项目代码</w:t>
            </w:r>
            <w:r>
              <w:rPr>
                <w:rFonts w:hint="eastAsia"/>
              </w:rPr>
              <w:t>2304-152528-04-05-150065</w:t>
            </w:r>
            <w:r>
              <w:rPr>
                <w:rFonts w:cs="宋体"/>
                <w:lang w:val="zh-CN"/>
              </w:rPr>
              <w:t>。</w:t>
            </w:r>
          </w:p>
          <w:p>
            <w:pPr>
              <w:pStyle w:val="32"/>
              <w:ind w:firstLine="480"/>
              <w:rPr>
                <w:rFonts w:cs="宋体"/>
                <w:bCs/>
              </w:rPr>
            </w:pPr>
            <w:r>
              <w:rPr>
                <w:rFonts w:hint="eastAsia" w:cs="宋体"/>
                <w:bCs/>
              </w:rPr>
              <w:t>根据《建设项目环境影响评价分类管理名录（2</w:t>
            </w:r>
            <w:r>
              <w:rPr>
                <w:rFonts w:cs="宋体"/>
                <w:bCs/>
              </w:rPr>
              <w:t>021</w:t>
            </w:r>
            <w:r>
              <w:rPr>
                <w:rFonts w:hint="eastAsia" w:cs="宋体"/>
                <w:bCs/>
              </w:rPr>
              <w:t>年版）》，本项目属于《建设项目环境影响评价分类管理名录（2</w:t>
            </w:r>
            <w:r>
              <w:rPr>
                <w:rFonts w:cs="宋体"/>
                <w:bCs/>
              </w:rPr>
              <w:t>021</w:t>
            </w:r>
            <w:r>
              <w:rPr>
                <w:rFonts w:hint="eastAsia" w:cs="宋体"/>
                <w:bCs/>
              </w:rPr>
              <w:t>年版）》中“十一、食品制造业1</w:t>
            </w:r>
            <w:r>
              <w:rPr>
                <w:rFonts w:cs="宋体"/>
                <w:bCs/>
              </w:rPr>
              <w:t>4，</w:t>
            </w:r>
            <w:r>
              <w:rPr>
                <w:rFonts w:hint="eastAsia" w:cs="宋体"/>
                <w:bCs/>
              </w:rPr>
              <w:t>2</w:t>
            </w:r>
            <w:r>
              <w:rPr>
                <w:rFonts w:cs="宋体"/>
                <w:bCs/>
              </w:rPr>
              <w:t>2乳制品制造</w:t>
            </w:r>
            <w:r>
              <w:rPr>
                <w:rFonts w:hint="eastAsia" w:cs="宋体"/>
                <w:bCs/>
              </w:rPr>
              <w:t>1</w:t>
            </w:r>
            <w:r>
              <w:rPr>
                <w:rFonts w:cs="宋体"/>
                <w:bCs/>
              </w:rPr>
              <w:t>44除</w:t>
            </w:r>
            <w:r>
              <w:rPr>
                <w:rFonts w:hint="eastAsia" w:cs="宋体"/>
                <w:bCs/>
              </w:rPr>
              <w:t>单纯混合、分装外； 2</w:t>
            </w:r>
            <w:r>
              <w:rPr>
                <w:rFonts w:cs="宋体"/>
                <w:bCs/>
              </w:rPr>
              <w:t>3调味品、发酵制品制造</w:t>
            </w:r>
            <w:r>
              <w:rPr>
                <w:rFonts w:hint="eastAsia" w:cs="宋体"/>
                <w:bCs/>
              </w:rPr>
              <w:t>1</w:t>
            </w:r>
            <w:r>
              <w:rPr>
                <w:rFonts w:cs="宋体"/>
                <w:bCs/>
              </w:rPr>
              <w:t>46其他；</w:t>
            </w:r>
            <w:r>
              <w:rPr>
                <w:rFonts w:hint="eastAsia" w:cs="宋体"/>
                <w:bCs/>
              </w:rPr>
              <w:t>2</w:t>
            </w:r>
            <w:r>
              <w:rPr>
                <w:rFonts w:cs="宋体"/>
                <w:bCs/>
              </w:rPr>
              <w:t>4其他食品制造</w:t>
            </w:r>
            <w:r>
              <w:rPr>
                <w:rFonts w:hint="eastAsia" w:cs="宋体"/>
                <w:bCs/>
              </w:rPr>
              <w:t>1</w:t>
            </w:r>
            <w:r>
              <w:rPr>
                <w:rFonts w:cs="宋体"/>
                <w:bCs/>
              </w:rPr>
              <w:t>49无发酵工艺的食品级饲料添加剂制造</w:t>
            </w:r>
            <w:r>
              <w:rPr>
                <w:rFonts w:hint="eastAsia" w:cs="宋体"/>
                <w:bCs/>
              </w:rPr>
              <w:t>，应编制环境影响报告表。受建设单位委托，我单位承担该项目环境影响评价的编制工作。接受委托后，我单位立即开展了现场踏勘、资料收集等工作，并按照《建设项目环境影响报告表编制技术指南（污染影响类）》（试行）的要求编制完成了本项目。</w:t>
            </w:r>
          </w:p>
          <w:bookmarkEnd w:id="1"/>
          <w:p>
            <w:pPr>
              <w:pStyle w:val="72"/>
              <w:numPr>
                <w:ilvl w:val="0"/>
                <w:numId w:val="2"/>
              </w:numPr>
              <w:adjustRightInd w:val="0"/>
              <w:snapToGrid w:val="0"/>
              <w:spacing w:line="360" w:lineRule="auto"/>
              <w:ind w:firstLineChars="0"/>
              <w:rPr>
                <w:rFonts w:cs="宋体"/>
                <w:b/>
                <w:sz w:val="24"/>
              </w:rPr>
            </w:pPr>
            <w:r>
              <w:rPr>
                <w:rFonts w:hint="eastAsia" w:cs="宋体"/>
                <w:b/>
                <w:sz w:val="24"/>
              </w:rPr>
              <w:t>建设项目概况</w:t>
            </w:r>
          </w:p>
          <w:p>
            <w:pPr>
              <w:adjustRightInd w:val="0"/>
              <w:snapToGrid w:val="0"/>
              <w:spacing w:line="360" w:lineRule="auto"/>
              <w:ind w:left="482"/>
              <w:rPr>
                <w:rFonts w:cs="宋体"/>
                <w:b/>
                <w:sz w:val="24"/>
              </w:rPr>
            </w:pPr>
            <w:r>
              <w:rPr>
                <w:rFonts w:hint="eastAsia" w:cs="宋体"/>
                <w:b/>
                <w:sz w:val="24"/>
              </w:rPr>
              <w:t>2</w:t>
            </w:r>
            <w:r>
              <w:rPr>
                <w:rFonts w:cs="宋体"/>
                <w:b/>
                <w:sz w:val="24"/>
              </w:rPr>
              <w:t>.1</w:t>
            </w:r>
            <w:r>
              <w:rPr>
                <w:rFonts w:hint="eastAsia" w:cs="宋体"/>
                <w:b/>
                <w:sz w:val="24"/>
              </w:rPr>
              <w:t>项目位置及周围环境</w:t>
            </w:r>
          </w:p>
          <w:p>
            <w:pPr>
              <w:pStyle w:val="32"/>
              <w:ind w:firstLine="480"/>
              <w:rPr>
                <w:bCs/>
              </w:rPr>
            </w:pPr>
            <w:r>
              <w:rPr>
                <w:rFonts w:hint="eastAsia"/>
              </w:rPr>
              <w:t>本项目位于</w:t>
            </w:r>
            <w:r>
              <w:rPr>
                <w:rFonts w:hint="eastAsia"/>
                <w:bCs/>
              </w:rPr>
              <w:t>镶黄旗奶制品产业园东侧，项目中心地理坐标为东经113°50′41.</w:t>
            </w:r>
            <w:r>
              <w:rPr>
                <w:bCs/>
              </w:rPr>
              <w:t>494</w:t>
            </w:r>
            <w:r>
              <w:rPr>
                <w:rFonts w:hint="eastAsia"/>
                <w:bCs/>
              </w:rPr>
              <w:t>″,北纬 42°14′38.</w:t>
            </w:r>
            <w:r>
              <w:rPr>
                <w:bCs/>
              </w:rPr>
              <w:t>663</w:t>
            </w:r>
            <w:r>
              <w:rPr>
                <w:rFonts w:hint="eastAsia"/>
                <w:bCs/>
              </w:rPr>
              <w:t>″。项目周边零散棚户居住户已基本搬迁完毕，项目区西南侧</w:t>
            </w:r>
            <w:r>
              <w:rPr>
                <w:bCs/>
              </w:rPr>
              <w:t>350</w:t>
            </w:r>
            <w:r>
              <w:rPr>
                <w:rFonts w:hint="eastAsia"/>
                <w:bCs/>
              </w:rPr>
              <w:t>m为新宝拉格镇居民，西南侧</w:t>
            </w:r>
            <w:r>
              <w:rPr>
                <w:bCs/>
              </w:rPr>
              <w:t>387</w:t>
            </w:r>
            <w:r>
              <w:rPr>
                <w:rFonts w:hint="eastAsia"/>
                <w:bCs/>
              </w:rPr>
              <w:t>m为塔泰小区。本项目地理位置、厂区四邻图见附图。</w:t>
            </w:r>
          </w:p>
          <w:p>
            <w:pPr>
              <w:pStyle w:val="32"/>
              <w:ind w:firstLine="482"/>
              <w:rPr>
                <w:rFonts w:cs="宋体"/>
                <w:b/>
              </w:rPr>
            </w:pPr>
            <w:r>
              <w:rPr>
                <w:rFonts w:hint="eastAsia" w:cs="宋体"/>
                <w:b/>
              </w:rPr>
              <w:t>2</w:t>
            </w:r>
            <w:r>
              <w:rPr>
                <w:rFonts w:cs="宋体"/>
                <w:b/>
              </w:rPr>
              <w:t>.2</w:t>
            </w:r>
            <w:r>
              <w:rPr>
                <w:rFonts w:hint="eastAsia" w:cs="宋体"/>
                <w:b/>
              </w:rPr>
              <w:t>项目组成情况</w:t>
            </w:r>
          </w:p>
          <w:p>
            <w:pPr>
              <w:pStyle w:val="32"/>
              <w:ind w:firstLine="480"/>
              <w:rPr>
                <w:bCs/>
              </w:rPr>
            </w:pPr>
            <w:r>
              <w:rPr>
                <w:rFonts w:hint="eastAsia"/>
                <w:bCs/>
              </w:rPr>
              <w:t>本项目占地面积为1500m</w:t>
            </w:r>
            <w:r>
              <w:rPr>
                <w:rFonts w:hint="eastAsia"/>
                <w:bCs/>
                <w:vertAlign w:val="superscript"/>
              </w:rPr>
              <w:t>2</w:t>
            </w:r>
            <w:r>
              <w:rPr>
                <w:rFonts w:hint="eastAsia"/>
                <w:bCs/>
              </w:rPr>
              <w:t>，分两期建设，每期建1栋厂房。一期建设的厂房：包含生产区域、办公区、原料仓、成品仓、包材仓、检验室、会议室，卫生间，建筑面积</w:t>
            </w:r>
            <w:r>
              <w:rPr>
                <w:bCs/>
              </w:rPr>
              <w:t>800</w:t>
            </w:r>
            <w:r>
              <w:rPr>
                <w:rFonts w:hint="eastAsia"/>
                <w:bCs/>
              </w:rPr>
              <w:t>m</w:t>
            </w:r>
            <w:r>
              <w:rPr>
                <w:bCs/>
                <w:vertAlign w:val="superscript"/>
              </w:rPr>
              <w:t>2</w:t>
            </w:r>
            <w:r>
              <w:rPr>
                <w:rFonts w:hint="eastAsia"/>
                <w:bCs/>
              </w:rPr>
              <w:t>；二期建设的厂房：只包含生产区域、原料仓、成品仓、包材仓，二期建筑面积7</w:t>
            </w:r>
            <w:r>
              <w:rPr>
                <w:bCs/>
              </w:rPr>
              <w:t>25</w:t>
            </w:r>
            <w:r>
              <w:rPr>
                <w:rFonts w:hint="eastAsia"/>
                <w:bCs/>
              </w:rPr>
              <w:t>m</w:t>
            </w:r>
            <w:r>
              <w:rPr>
                <w:bCs/>
                <w:vertAlign w:val="superscript"/>
              </w:rPr>
              <w:t>2</w:t>
            </w:r>
            <w:r>
              <w:rPr>
                <w:rFonts w:hint="eastAsia"/>
                <w:bCs/>
              </w:rPr>
              <w:t>。</w:t>
            </w:r>
          </w:p>
          <w:p>
            <w:pPr>
              <w:pStyle w:val="32"/>
              <w:ind w:firstLine="480"/>
              <w:rPr>
                <w:bCs/>
              </w:rPr>
            </w:pPr>
            <w:r>
              <w:rPr>
                <w:rFonts w:hint="eastAsia"/>
                <w:bCs/>
              </w:rPr>
              <w:t>一期预计2024年6月竣工，二期预计202</w:t>
            </w:r>
            <w:r>
              <w:rPr>
                <w:bCs/>
              </w:rPr>
              <w:t>6</w:t>
            </w:r>
            <w:r>
              <w:rPr>
                <w:rFonts w:hint="eastAsia"/>
                <w:bCs/>
              </w:rPr>
              <w:t>年12月竣工。其中一期工程主要产品方案为奶油制品约200吨，复合调味料约20吨，食品添加剂（食品用香精）约100吨，二期工程主要产品方案奶油制品</w:t>
            </w:r>
            <w:r>
              <w:rPr>
                <w:rFonts w:hint="eastAsia"/>
                <w:bCs/>
              </w:rPr>
              <w:tab/>
            </w:r>
            <w:r>
              <w:rPr>
                <w:rFonts w:hint="eastAsia"/>
                <w:bCs/>
              </w:rPr>
              <w:t>约800吨，复合调味料，约80吨。</w:t>
            </w:r>
          </w:p>
          <w:p>
            <w:pPr>
              <w:pStyle w:val="32"/>
              <w:ind w:firstLine="480"/>
              <w:rPr>
                <w:bCs/>
              </w:rPr>
            </w:pPr>
            <w:r>
              <w:rPr>
                <w:rFonts w:hint="eastAsia"/>
                <w:bCs/>
              </w:rPr>
              <w:t>本项目建设内容组成见下表。</w:t>
            </w:r>
          </w:p>
          <w:p>
            <w:pPr>
              <w:adjustRightInd w:val="0"/>
              <w:snapToGrid w:val="0"/>
              <w:spacing w:line="400" w:lineRule="exact"/>
              <w:jc w:val="center"/>
              <w:rPr>
                <w:b/>
                <w:sz w:val="24"/>
              </w:rPr>
            </w:pPr>
            <w:r>
              <w:rPr>
                <w:rFonts w:hint="eastAsia"/>
                <w:b/>
                <w:sz w:val="24"/>
              </w:rPr>
              <w:t>表2-1 一期项目组成一览表</w:t>
            </w:r>
          </w:p>
          <w:tbl>
            <w:tblPr>
              <w:tblStyle w:val="21"/>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693"/>
              <w:gridCol w:w="189"/>
              <w:gridCol w:w="521"/>
              <w:gridCol w:w="1093"/>
              <w:gridCol w:w="4082"/>
              <w:gridCol w:w="10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tcBorders>
                    <w:tl2br w:val="nil"/>
                    <w:tr2bl w:val="nil"/>
                  </w:tcBorders>
                  <w:vAlign w:val="center"/>
                </w:tcPr>
                <w:p>
                  <w:pPr>
                    <w:spacing w:line="240" w:lineRule="atLeast"/>
                    <w:jc w:val="center"/>
                    <w:rPr>
                      <w:b/>
                      <w:bCs/>
                      <w:szCs w:val="21"/>
                    </w:rPr>
                  </w:pPr>
                  <w:r>
                    <w:rPr>
                      <w:b/>
                      <w:bCs/>
                      <w:szCs w:val="21"/>
                    </w:rPr>
                    <w:t>工程类别</w:t>
                  </w:r>
                </w:p>
              </w:tc>
              <w:tc>
                <w:tcPr>
                  <w:tcW w:w="1490" w:type="pct"/>
                  <w:gridSpan w:val="4"/>
                  <w:tcBorders>
                    <w:tl2br w:val="nil"/>
                    <w:tr2bl w:val="nil"/>
                  </w:tcBorders>
                  <w:vAlign w:val="center"/>
                </w:tcPr>
                <w:p>
                  <w:pPr>
                    <w:spacing w:line="240" w:lineRule="atLeast"/>
                    <w:jc w:val="center"/>
                    <w:rPr>
                      <w:b/>
                      <w:bCs/>
                      <w:szCs w:val="21"/>
                    </w:rPr>
                  </w:pPr>
                  <w:r>
                    <w:rPr>
                      <w:b/>
                      <w:bCs/>
                      <w:szCs w:val="21"/>
                    </w:rPr>
                    <w:t>项目内容</w:t>
                  </w:r>
                </w:p>
              </w:tc>
              <w:tc>
                <w:tcPr>
                  <w:tcW w:w="2438" w:type="pct"/>
                  <w:tcBorders>
                    <w:tl2br w:val="nil"/>
                    <w:tr2bl w:val="nil"/>
                  </w:tcBorders>
                  <w:vAlign w:val="center"/>
                </w:tcPr>
                <w:p>
                  <w:pPr>
                    <w:spacing w:line="240" w:lineRule="atLeast"/>
                    <w:jc w:val="center"/>
                    <w:rPr>
                      <w:b/>
                      <w:bCs/>
                      <w:szCs w:val="21"/>
                    </w:rPr>
                  </w:pPr>
                  <w:r>
                    <w:rPr>
                      <w:b/>
                      <w:bCs/>
                      <w:szCs w:val="21"/>
                    </w:rPr>
                    <w:t>项目组成及规模</w:t>
                  </w:r>
                </w:p>
              </w:tc>
              <w:tc>
                <w:tcPr>
                  <w:tcW w:w="600" w:type="pct"/>
                  <w:tcBorders>
                    <w:tl2br w:val="nil"/>
                    <w:tr2bl w:val="nil"/>
                  </w:tcBorders>
                  <w:vAlign w:val="center"/>
                </w:tcPr>
                <w:p>
                  <w:pPr>
                    <w:spacing w:line="240" w:lineRule="atLeast"/>
                    <w:ind w:left="-21" w:leftChars="-10" w:right="-21" w:rightChars="-10"/>
                    <w:jc w:val="center"/>
                    <w:rPr>
                      <w:b/>
                      <w:bCs/>
                      <w:szCs w:val="21"/>
                    </w:rPr>
                  </w:pPr>
                  <w:r>
                    <w:rPr>
                      <w:rFonts w:hint="eastAsia"/>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tcBorders>
                    <w:tl2br w:val="nil"/>
                    <w:tr2bl w:val="nil"/>
                  </w:tcBorders>
                  <w:vAlign w:val="center"/>
                </w:tcPr>
                <w:p>
                  <w:pPr>
                    <w:spacing w:line="240" w:lineRule="atLeast"/>
                    <w:jc w:val="center"/>
                    <w:rPr>
                      <w:szCs w:val="21"/>
                    </w:rPr>
                  </w:pPr>
                  <w:r>
                    <w:rPr>
                      <w:szCs w:val="21"/>
                    </w:rPr>
                    <w:t>主体工程</w:t>
                  </w:r>
                </w:p>
              </w:tc>
              <w:tc>
                <w:tcPr>
                  <w:tcW w:w="527" w:type="pct"/>
                  <w:gridSpan w:val="2"/>
                  <w:vMerge w:val="restart"/>
                  <w:tcBorders>
                    <w:tl2br w:val="nil"/>
                    <w:tr2bl w:val="nil"/>
                  </w:tcBorders>
                  <w:vAlign w:val="center"/>
                </w:tcPr>
                <w:p>
                  <w:pPr>
                    <w:spacing w:line="240" w:lineRule="atLeast"/>
                    <w:jc w:val="center"/>
                    <w:rPr>
                      <w:szCs w:val="21"/>
                    </w:rPr>
                  </w:pPr>
                  <w:r>
                    <w:rPr>
                      <w:rFonts w:hint="eastAsia"/>
                      <w:szCs w:val="21"/>
                    </w:rPr>
                    <w:t>生产车间1（</w:t>
                  </w:r>
                  <w:r>
                    <w:rPr>
                      <w:szCs w:val="21"/>
                    </w:rPr>
                    <w:t>2F</w:t>
                  </w:r>
                  <w:r>
                    <w:rPr>
                      <w:rFonts w:hint="eastAsia"/>
                      <w:szCs w:val="21"/>
                    </w:rPr>
                    <w:t>，钢结构，地面为钢筋混凝土）</w:t>
                  </w:r>
                </w:p>
              </w:tc>
              <w:tc>
                <w:tcPr>
                  <w:tcW w:w="311" w:type="pct"/>
                  <w:vMerge w:val="restart"/>
                  <w:tcBorders>
                    <w:tl2br w:val="nil"/>
                    <w:tr2bl w:val="nil"/>
                  </w:tcBorders>
                  <w:vAlign w:val="center"/>
                </w:tcPr>
                <w:p>
                  <w:pPr>
                    <w:spacing w:line="240" w:lineRule="atLeast"/>
                    <w:jc w:val="center"/>
                    <w:rPr>
                      <w:szCs w:val="21"/>
                    </w:rPr>
                  </w:pPr>
                  <w:r>
                    <w:rPr>
                      <w:szCs w:val="21"/>
                    </w:rPr>
                    <w:t>1</w:t>
                  </w:r>
                  <w:r>
                    <w:rPr>
                      <w:rFonts w:hint="eastAsia"/>
                      <w:szCs w:val="21"/>
                    </w:rPr>
                    <w:t>层</w:t>
                  </w:r>
                </w:p>
              </w:tc>
              <w:tc>
                <w:tcPr>
                  <w:tcW w:w="653" w:type="pct"/>
                  <w:tcBorders>
                    <w:tl2br w:val="nil"/>
                    <w:tr2bl w:val="nil"/>
                  </w:tcBorders>
                  <w:vAlign w:val="center"/>
                </w:tcPr>
                <w:p>
                  <w:pPr>
                    <w:spacing w:line="240" w:lineRule="atLeast"/>
                    <w:jc w:val="center"/>
                    <w:rPr>
                      <w:szCs w:val="21"/>
                    </w:rPr>
                  </w:pPr>
                  <w:r>
                    <w:rPr>
                      <w:rFonts w:hint="eastAsia"/>
                      <w:szCs w:val="21"/>
                    </w:rPr>
                    <w:t>酶解车间</w:t>
                  </w:r>
                </w:p>
              </w:tc>
              <w:tc>
                <w:tcPr>
                  <w:tcW w:w="2438" w:type="pct"/>
                  <w:tcBorders>
                    <w:tl2br w:val="nil"/>
                    <w:tr2bl w:val="nil"/>
                  </w:tcBorders>
                  <w:vAlign w:val="center"/>
                </w:tcPr>
                <w:p>
                  <w:pPr>
                    <w:spacing w:line="240" w:lineRule="atLeast"/>
                    <w:jc w:val="left"/>
                    <w:rPr>
                      <w:szCs w:val="21"/>
                    </w:rPr>
                  </w:pPr>
                  <w:r>
                    <w:rPr>
                      <w:rFonts w:hint="eastAsia"/>
                      <w:szCs w:val="21"/>
                    </w:rPr>
                    <w:t>1个酶解车间，建筑面积78.09m</w:t>
                  </w:r>
                  <w:r>
                    <w:rPr>
                      <w:rFonts w:hint="eastAsia"/>
                      <w:szCs w:val="21"/>
                      <w:vertAlign w:val="superscript"/>
                    </w:rPr>
                    <w:t>2</w:t>
                  </w:r>
                  <w:r>
                    <w:rPr>
                      <w:rFonts w:hint="eastAsia"/>
                      <w:szCs w:val="21"/>
                    </w:rPr>
                    <w:t>；内设1个200L的发酵罐、1个1000L发酵罐、离心机1台（1500L/H），主要用于各种风味奶油制品工序；</w:t>
                  </w:r>
                </w:p>
              </w:tc>
              <w:tc>
                <w:tcPr>
                  <w:tcW w:w="600" w:type="pct"/>
                  <w:vMerge w:val="restart"/>
                  <w:tcBorders>
                    <w:tl2br w:val="nil"/>
                    <w:tr2bl w:val="nil"/>
                  </w:tcBorders>
                  <w:vAlign w:val="center"/>
                </w:tcPr>
                <w:p>
                  <w:pPr>
                    <w:spacing w:line="240" w:lineRule="atLeast"/>
                    <w:ind w:left="-21" w:leftChars="-10" w:right="-21" w:rightChars="-10"/>
                    <w:rPr>
                      <w:szCs w:val="21"/>
                    </w:rPr>
                  </w:pPr>
                  <w:r>
                    <w:rPr>
                      <w:rFonts w:hint="eastAsia"/>
                      <w:szCs w:val="21"/>
                    </w:rPr>
                    <w:t>主要生产奶油制品、复合调味品和香精生产，部分设备三种产品共用。黄油车间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pPr>
                </w:p>
              </w:tc>
              <w:tc>
                <w:tcPr>
                  <w:tcW w:w="527" w:type="pct"/>
                  <w:gridSpan w:val="2"/>
                  <w:vMerge w:val="continue"/>
                  <w:tcBorders>
                    <w:tl2br w:val="nil"/>
                    <w:tr2bl w:val="nil"/>
                  </w:tcBorders>
                  <w:vAlign w:val="center"/>
                </w:tcPr>
                <w:p>
                  <w:pPr>
                    <w:spacing w:line="240" w:lineRule="atLeast"/>
                    <w:jc w:val="center"/>
                  </w:pPr>
                </w:p>
              </w:tc>
              <w:tc>
                <w:tcPr>
                  <w:tcW w:w="311" w:type="pct"/>
                  <w:vMerge w:val="continue"/>
                  <w:tcBorders>
                    <w:tl2br w:val="nil"/>
                    <w:tr2bl w:val="nil"/>
                  </w:tcBorders>
                  <w:vAlign w:val="center"/>
                </w:tcPr>
                <w:p>
                  <w:pPr>
                    <w:spacing w:line="240" w:lineRule="atLeast"/>
                    <w:jc w:val="center"/>
                  </w:pPr>
                </w:p>
              </w:tc>
              <w:tc>
                <w:tcPr>
                  <w:tcW w:w="653" w:type="pct"/>
                  <w:tcBorders>
                    <w:tl2br w:val="nil"/>
                    <w:tr2bl w:val="nil"/>
                  </w:tcBorders>
                  <w:vAlign w:val="center"/>
                </w:tcPr>
                <w:p>
                  <w:pPr>
                    <w:spacing w:line="240" w:lineRule="atLeast"/>
                    <w:jc w:val="center"/>
                  </w:pPr>
                  <w:r>
                    <w:rPr>
                      <w:rFonts w:hint="eastAsia"/>
                      <w:szCs w:val="21"/>
                    </w:rPr>
                    <w:t>黄油车间/食品用香精车间</w:t>
                  </w:r>
                </w:p>
              </w:tc>
              <w:tc>
                <w:tcPr>
                  <w:tcW w:w="2438" w:type="pct"/>
                  <w:tcBorders>
                    <w:tl2br w:val="nil"/>
                    <w:tr2bl w:val="nil"/>
                  </w:tcBorders>
                  <w:vAlign w:val="center"/>
                </w:tcPr>
                <w:p>
                  <w:pPr>
                    <w:spacing w:line="240" w:lineRule="atLeast"/>
                    <w:jc w:val="left"/>
                    <w:rPr>
                      <w:szCs w:val="21"/>
                    </w:rPr>
                  </w:pPr>
                  <w:r>
                    <w:rPr>
                      <w:rFonts w:hint="eastAsia"/>
                      <w:szCs w:val="21"/>
                    </w:rPr>
                    <w:t>1个黄油车间，建筑面积17.48m</w:t>
                  </w:r>
                  <w:r>
                    <w:rPr>
                      <w:rFonts w:hint="eastAsia"/>
                      <w:szCs w:val="21"/>
                      <w:vertAlign w:val="superscript"/>
                    </w:rPr>
                    <w:t>2</w:t>
                  </w:r>
                  <w:r>
                    <w:rPr>
                      <w:rFonts w:hint="eastAsia"/>
                      <w:szCs w:val="21"/>
                    </w:rPr>
                    <w:t>，可用于食品用香精的生产。根据情况调整，如果不生产食品用香精，就主要用于各种奶油制品生产，里面就会放置2台200L</w:t>
                  </w:r>
                  <w:r>
                    <w:rPr>
                      <w:rFonts w:cs="宋体"/>
                      <w:szCs w:val="21"/>
                    </w:rPr>
                    <w:t>可倾电加热搅拌夹层锅</w:t>
                  </w:r>
                  <w:r>
                    <w:rPr>
                      <w:rFonts w:hint="eastAsia" w:cs="宋体"/>
                      <w:szCs w:val="21"/>
                    </w:rPr>
                    <w:t>。</w:t>
                  </w:r>
                </w:p>
              </w:tc>
              <w:tc>
                <w:tcPr>
                  <w:tcW w:w="600" w:type="pct"/>
                  <w:vMerge w:val="continue"/>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灌装间</w:t>
                  </w:r>
                </w:p>
              </w:tc>
              <w:tc>
                <w:tcPr>
                  <w:tcW w:w="2438" w:type="pct"/>
                  <w:tcBorders>
                    <w:tl2br w:val="nil"/>
                    <w:tr2bl w:val="nil"/>
                  </w:tcBorders>
                  <w:vAlign w:val="center"/>
                </w:tcPr>
                <w:p>
                  <w:pPr>
                    <w:spacing w:line="240" w:lineRule="atLeast"/>
                    <w:jc w:val="left"/>
                    <w:rPr>
                      <w:szCs w:val="21"/>
                    </w:rPr>
                  </w:pPr>
                  <w:r>
                    <w:rPr>
                      <w:rFonts w:hint="eastAsia"/>
                      <w:szCs w:val="21"/>
                    </w:rPr>
                    <w:t>1个灌装间，建筑面积19.6m</w:t>
                  </w:r>
                  <w:r>
                    <w:rPr>
                      <w:rFonts w:hint="eastAsia"/>
                      <w:szCs w:val="21"/>
                      <w:vertAlign w:val="superscript"/>
                    </w:rPr>
                    <w:t>2</w:t>
                  </w:r>
                  <w:r>
                    <w:rPr>
                      <w:rFonts w:hint="eastAsia"/>
                      <w:szCs w:val="21"/>
                    </w:rPr>
                    <w:t>，主要用于复合调味品和香精生产。</w:t>
                  </w:r>
                </w:p>
              </w:tc>
              <w:tc>
                <w:tcPr>
                  <w:tcW w:w="600" w:type="pct"/>
                  <w:vMerge w:val="continue"/>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tcBorders>
                    <w:tl2br w:val="nil"/>
                    <w:tr2bl w:val="nil"/>
                  </w:tcBorders>
                  <w:vAlign w:val="center"/>
                </w:tcPr>
                <w:p>
                  <w:pPr>
                    <w:spacing w:line="240" w:lineRule="atLeast"/>
                    <w:jc w:val="center"/>
                    <w:rPr>
                      <w:szCs w:val="21"/>
                    </w:rPr>
                  </w:pPr>
                  <w:r>
                    <w:rPr>
                      <w:rFonts w:hint="eastAsia"/>
                      <w:szCs w:val="21"/>
                    </w:rPr>
                    <w:t>辅助</w:t>
                  </w:r>
                  <w:r>
                    <w:rPr>
                      <w:szCs w:val="21"/>
                    </w:rPr>
                    <w:t>工程</w:t>
                  </w: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成品仓</w:t>
                  </w:r>
                </w:p>
              </w:tc>
              <w:tc>
                <w:tcPr>
                  <w:tcW w:w="2438" w:type="pct"/>
                  <w:tcBorders>
                    <w:tl2br w:val="nil"/>
                    <w:tr2bl w:val="nil"/>
                  </w:tcBorders>
                  <w:vAlign w:val="center"/>
                </w:tcPr>
                <w:p>
                  <w:pPr>
                    <w:spacing w:line="240" w:lineRule="atLeast"/>
                    <w:jc w:val="left"/>
                    <w:rPr>
                      <w:szCs w:val="21"/>
                    </w:rPr>
                  </w:pPr>
                  <w:r>
                    <w:rPr>
                      <w:rFonts w:hint="eastAsia"/>
                      <w:szCs w:val="21"/>
                    </w:rPr>
                    <w:t>1个成品仓，建筑面积</w:t>
                  </w:r>
                  <w:r>
                    <w:rPr>
                      <w:szCs w:val="21"/>
                    </w:rPr>
                    <w:t>45.56</w:t>
                  </w:r>
                  <w:r>
                    <w:rPr>
                      <w:rFonts w:hint="eastAsia"/>
                      <w:szCs w:val="21"/>
                    </w:rPr>
                    <w:t>m</w:t>
                  </w:r>
                  <w:r>
                    <w:rPr>
                      <w:rFonts w:hint="eastAsia"/>
                      <w:szCs w:val="21"/>
                      <w:vertAlign w:val="superscript"/>
                    </w:rPr>
                    <w:t>2</w:t>
                  </w:r>
                  <w:r>
                    <w:rPr>
                      <w:rFonts w:hint="eastAsia"/>
                      <w:szCs w:val="21"/>
                    </w:rPr>
                    <w:t>，主要用于成品储存；内设</w:t>
                  </w:r>
                  <w:r>
                    <w:rPr>
                      <w:rFonts w:hint="eastAsia"/>
                    </w:rPr>
                    <w:t>冰箱、卡板、货架、板车。但是，主要是用园区的冷冻库。</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原料仓</w:t>
                  </w:r>
                </w:p>
              </w:tc>
              <w:tc>
                <w:tcPr>
                  <w:tcW w:w="2438" w:type="pct"/>
                  <w:tcBorders>
                    <w:tl2br w:val="nil"/>
                    <w:tr2bl w:val="nil"/>
                  </w:tcBorders>
                  <w:vAlign w:val="center"/>
                </w:tcPr>
                <w:p>
                  <w:pPr>
                    <w:spacing w:line="240" w:lineRule="atLeast"/>
                    <w:rPr>
                      <w:szCs w:val="21"/>
                    </w:rPr>
                  </w:pPr>
                  <w:r>
                    <w:rPr>
                      <w:rFonts w:hint="eastAsia"/>
                      <w:szCs w:val="21"/>
                    </w:rPr>
                    <w:t>1个原料仓，建筑面积39.55m</w:t>
                  </w:r>
                  <w:r>
                    <w:rPr>
                      <w:rFonts w:hint="eastAsia"/>
                      <w:szCs w:val="21"/>
                      <w:vertAlign w:val="superscript"/>
                    </w:rPr>
                    <w:t>2</w:t>
                  </w:r>
                  <w:r>
                    <w:rPr>
                      <w:rFonts w:hint="eastAsia"/>
                      <w:szCs w:val="21"/>
                    </w:rPr>
                    <w:t>，主要用于原料储存；内设</w:t>
                  </w:r>
                  <w:r>
                    <w:rPr>
                      <w:rFonts w:hint="eastAsia"/>
                    </w:rPr>
                    <w:t>冰箱、卡板、货架、板车</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包材仓</w:t>
                  </w:r>
                </w:p>
              </w:tc>
              <w:tc>
                <w:tcPr>
                  <w:tcW w:w="2438" w:type="pct"/>
                  <w:tcBorders>
                    <w:tl2br w:val="nil"/>
                    <w:tr2bl w:val="nil"/>
                  </w:tcBorders>
                  <w:vAlign w:val="center"/>
                </w:tcPr>
                <w:p>
                  <w:pPr>
                    <w:spacing w:line="240" w:lineRule="atLeast"/>
                    <w:jc w:val="left"/>
                    <w:rPr>
                      <w:szCs w:val="21"/>
                    </w:rPr>
                  </w:pPr>
                  <w:r>
                    <w:rPr>
                      <w:rFonts w:hint="eastAsia"/>
                      <w:szCs w:val="21"/>
                    </w:rPr>
                    <w:t>1个包材仓，建筑面积34.17m</w:t>
                  </w:r>
                  <w:r>
                    <w:rPr>
                      <w:rFonts w:hint="eastAsia"/>
                      <w:szCs w:val="21"/>
                      <w:vertAlign w:val="superscript"/>
                    </w:rPr>
                    <w:t>2</w:t>
                  </w:r>
                  <w:r>
                    <w:rPr>
                      <w:rFonts w:hint="eastAsia"/>
                      <w:szCs w:val="21"/>
                    </w:rPr>
                    <w:t>，主要用于包材储存；</w:t>
                  </w:r>
                  <w:r>
                    <w:rPr>
                      <w:rFonts w:hint="eastAsia"/>
                    </w:rPr>
                    <w:t>比如：纸箱、桶、瓶</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rPr>
                    <w:t>更衣室</w:t>
                  </w:r>
                </w:p>
              </w:tc>
              <w:tc>
                <w:tcPr>
                  <w:tcW w:w="2438" w:type="pct"/>
                  <w:tcBorders>
                    <w:tl2br w:val="nil"/>
                    <w:tr2bl w:val="nil"/>
                  </w:tcBorders>
                  <w:vAlign w:val="center"/>
                </w:tcPr>
                <w:p>
                  <w:pPr>
                    <w:spacing w:line="240" w:lineRule="atLeast"/>
                    <w:jc w:val="left"/>
                    <w:rPr>
                      <w:szCs w:val="21"/>
                    </w:rPr>
                  </w:pPr>
                  <w:r>
                    <w:rPr>
                      <w:rFonts w:hint="eastAsia"/>
                      <w:szCs w:val="21"/>
                    </w:rPr>
                    <w:t>占地面积10.5m</w:t>
                  </w:r>
                  <w:r>
                    <w:rPr>
                      <w:rFonts w:hint="eastAsia"/>
                      <w:szCs w:val="21"/>
                      <w:vertAlign w:val="superscript"/>
                    </w:rPr>
                    <w:t>2</w:t>
                  </w:r>
                  <w:r>
                    <w:rPr>
                      <w:rFonts w:hint="eastAsia"/>
                      <w:szCs w:val="21"/>
                    </w:rPr>
                    <w:t>，主要用于人员更换工服</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restart"/>
                  <w:tcBorders>
                    <w:tl2br w:val="nil"/>
                    <w:tr2bl w:val="nil"/>
                  </w:tcBorders>
                  <w:vAlign w:val="center"/>
                </w:tcPr>
                <w:p>
                  <w:pPr>
                    <w:spacing w:line="240" w:lineRule="atLeast"/>
                    <w:jc w:val="center"/>
                    <w:rPr>
                      <w:szCs w:val="21"/>
                    </w:rPr>
                  </w:pPr>
                  <w:r>
                    <w:rPr>
                      <w:szCs w:val="21"/>
                    </w:rPr>
                    <w:t>2</w:t>
                  </w:r>
                  <w:r>
                    <w:rPr>
                      <w:rFonts w:hint="eastAsia"/>
                      <w:szCs w:val="21"/>
                    </w:rPr>
                    <w:t>层</w:t>
                  </w:r>
                </w:p>
              </w:tc>
              <w:tc>
                <w:tcPr>
                  <w:tcW w:w="653" w:type="pct"/>
                  <w:tcBorders>
                    <w:tl2br w:val="nil"/>
                    <w:tr2bl w:val="nil"/>
                  </w:tcBorders>
                  <w:vAlign w:val="center"/>
                </w:tcPr>
                <w:p>
                  <w:pPr>
                    <w:spacing w:line="240" w:lineRule="atLeast"/>
                    <w:jc w:val="center"/>
                    <w:rPr>
                      <w:szCs w:val="21"/>
                    </w:rPr>
                  </w:pPr>
                  <w:r>
                    <w:rPr>
                      <w:rFonts w:hint="eastAsia"/>
                      <w:szCs w:val="21"/>
                    </w:rPr>
                    <w:t>品管室</w:t>
                  </w:r>
                </w:p>
              </w:tc>
              <w:tc>
                <w:tcPr>
                  <w:tcW w:w="2438" w:type="pct"/>
                  <w:tcBorders>
                    <w:tl2br w:val="nil"/>
                    <w:tr2bl w:val="nil"/>
                  </w:tcBorders>
                  <w:vAlign w:val="center"/>
                </w:tcPr>
                <w:p>
                  <w:pPr>
                    <w:spacing w:line="240" w:lineRule="atLeast"/>
                    <w:jc w:val="left"/>
                    <w:rPr>
                      <w:szCs w:val="21"/>
                    </w:rPr>
                  </w:pPr>
                  <w:r>
                    <w:rPr>
                      <w:rFonts w:hint="eastAsia"/>
                      <w:szCs w:val="21"/>
                    </w:rPr>
                    <w:t>建筑面积3</w:t>
                  </w:r>
                  <w:r>
                    <w:rPr>
                      <w:szCs w:val="21"/>
                    </w:rPr>
                    <w:t>7.98</w:t>
                  </w:r>
                  <w:r>
                    <w:rPr>
                      <w:rFonts w:hint="eastAsia"/>
                      <w:szCs w:val="21"/>
                    </w:rPr>
                    <w:t>m</w:t>
                  </w:r>
                  <w:r>
                    <w:rPr>
                      <w:rFonts w:hint="eastAsia"/>
                      <w:szCs w:val="21"/>
                      <w:vertAlign w:val="superscript"/>
                    </w:rPr>
                    <w:t>2</w:t>
                  </w:r>
                  <w:r>
                    <w:rPr>
                      <w:szCs w:val="21"/>
                    </w:rPr>
                    <w:t xml:space="preserve"> </w:t>
                  </w:r>
                  <w:r>
                    <w:rPr>
                      <w:rFonts w:hint="eastAsia"/>
                      <w:szCs w:val="21"/>
                    </w:rPr>
                    <w:t>，主要品质管理室</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微生物室</w:t>
                  </w:r>
                </w:p>
              </w:tc>
              <w:tc>
                <w:tcPr>
                  <w:tcW w:w="2438" w:type="pct"/>
                  <w:tcBorders>
                    <w:tl2br w:val="nil"/>
                    <w:tr2bl w:val="nil"/>
                  </w:tcBorders>
                  <w:vAlign w:val="center"/>
                </w:tcPr>
                <w:p>
                  <w:pPr>
                    <w:spacing w:line="240" w:lineRule="atLeast"/>
                    <w:jc w:val="left"/>
                    <w:rPr>
                      <w:szCs w:val="21"/>
                    </w:rPr>
                  </w:pPr>
                  <w:r>
                    <w:rPr>
                      <w:rFonts w:hint="eastAsia"/>
                      <w:szCs w:val="21"/>
                    </w:rPr>
                    <w:t>建筑面积</w:t>
                  </w:r>
                  <w:r>
                    <w:rPr>
                      <w:szCs w:val="21"/>
                    </w:rPr>
                    <w:t>11</w:t>
                  </w:r>
                  <w:r>
                    <w:rPr>
                      <w:rFonts w:hint="eastAsia"/>
                      <w:szCs w:val="21"/>
                    </w:rPr>
                    <w:t>m</w:t>
                  </w:r>
                  <w:r>
                    <w:rPr>
                      <w:rFonts w:hint="eastAsia"/>
                      <w:szCs w:val="21"/>
                      <w:vertAlign w:val="superscript"/>
                    </w:rPr>
                    <w:t>2</w:t>
                  </w:r>
                  <w:r>
                    <w:rPr>
                      <w:rFonts w:hint="eastAsia"/>
                      <w:szCs w:val="21"/>
                    </w:rPr>
                    <w:t>，内设1台净化工作台、2台高压蒸汽灭菌锅，用于产品出厂检验，主要检测香精的各类感官要求、物理指标和化学指标，主要包括色泽状态、香气香味、相对密度、折光指数、重金属（以Pb计）、总砷、过氧化值、甲醇含量、菌落总数、大肠菌群等，奶油制品检测项目主要包括色泽、滋味和气味、形态、水分、脂肪、非脂乳固体、铅含量、苯并[</w:t>
                  </w:r>
                  <w:r>
                    <w:rPr>
                      <w:szCs w:val="21"/>
                    </w:rPr>
                    <w:t>a]</w:t>
                  </w:r>
                  <w:r>
                    <w:rPr>
                      <w:rFonts w:hint="eastAsia"/>
                      <w:szCs w:val="21"/>
                    </w:rPr>
                    <w:t>芘、黄曲霉毒素、菌落总数、大肠菌群、沙门氏、霉菌；复合调味品料出厂检验指标包括色泽、滋味、状态、重金属（以Pb计）、总砷、无机砷、锡、3</w:t>
                  </w:r>
                  <w:r>
                    <w:rPr>
                      <w:szCs w:val="21"/>
                    </w:rPr>
                    <w:t>-</w:t>
                  </w:r>
                  <w:r>
                    <w:rPr>
                      <w:rFonts w:hint="eastAsia"/>
                      <w:szCs w:val="21"/>
                    </w:rPr>
                    <w:t>氯-</w:t>
                  </w:r>
                  <w:r>
                    <w:rPr>
                      <w:szCs w:val="21"/>
                    </w:rPr>
                    <w:t>4,2-</w:t>
                  </w:r>
                  <w:r>
                    <w:rPr>
                      <w:rFonts w:hint="eastAsia"/>
                      <w:szCs w:val="21"/>
                    </w:rPr>
                    <w:t>丙二醇、沙门氏菌、金黄色葡萄球菌、副溶血性弧菌</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留样间</w:t>
                  </w:r>
                </w:p>
              </w:tc>
              <w:tc>
                <w:tcPr>
                  <w:tcW w:w="2438" w:type="pct"/>
                  <w:tcBorders>
                    <w:tl2br w:val="nil"/>
                    <w:tr2bl w:val="nil"/>
                  </w:tcBorders>
                  <w:vAlign w:val="center"/>
                </w:tcPr>
                <w:p>
                  <w:pPr>
                    <w:spacing w:line="240" w:lineRule="atLeast"/>
                    <w:jc w:val="left"/>
                    <w:rPr>
                      <w:szCs w:val="21"/>
                      <w:vertAlign w:val="subscript"/>
                    </w:rPr>
                  </w:pPr>
                  <w:r>
                    <w:rPr>
                      <w:rFonts w:hint="eastAsia"/>
                      <w:szCs w:val="21"/>
                    </w:rPr>
                    <w:t>建筑面积3</w:t>
                  </w:r>
                  <w:r>
                    <w:rPr>
                      <w:szCs w:val="21"/>
                    </w:rPr>
                    <w:t>7.98</w:t>
                  </w:r>
                  <w:r>
                    <w:rPr>
                      <w:rFonts w:hint="eastAsia"/>
                      <w:szCs w:val="21"/>
                    </w:rPr>
                    <w:t>m</w:t>
                  </w:r>
                  <w:r>
                    <w:rPr>
                      <w:rFonts w:hint="eastAsia"/>
                      <w:szCs w:val="21"/>
                      <w:vertAlign w:val="superscript"/>
                    </w:rPr>
                    <w:t>2</w:t>
                  </w:r>
                  <w:r>
                    <w:rPr>
                      <w:rFonts w:hint="eastAsia"/>
                      <w:szCs w:val="21"/>
                    </w:rPr>
                    <w:t>，用于检验样品的临时存放。</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杂物间</w:t>
                  </w:r>
                </w:p>
              </w:tc>
              <w:tc>
                <w:tcPr>
                  <w:tcW w:w="2438" w:type="pct"/>
                  <w:tcBorders>
                    <w:tl2br w:val="nil"/>
                    <w:tr2bl w:val="nil"/>
                  </w:tcBorders>
                  <w:vAlign w:val="center"/>
                </w:tcPr>
                <w:p>
                  <w:pPr>
                    <w:spacing w:line="240" w:lineRule="atLeast"/>
                    <w:jc w:val="left"/>
                    <w:rPr>
                      <w:szCs w:val="21"/>
                    </w:rPr>
                  </w:pPr>
                  <w:r>
                    <w:rPr>
                      <w:rFonts w:hint="eastAsia"/>
                      <w:szCs w:val="21"/>
                    </w:rPr>
                    <w:t>建筑面积21.48m</w:t>
                  </w:r>
                  <w:r>
                    <w:rPr>
                      <w:rFonts w:hint="eastAsia"/>
                      <w:szCs w:val="21"/>
                      <w:vertAlign w:val="superscript"/>
                    </w:rPr>
                    <w:t>2</w:t>
                  </w:r>
                  <w:r>
                    <w:rPr>
                      <w:rFonts w:hint="eastAsia"/>
                      <w:szCs w:val="21"/>
                    </w:rPr>
                    <w:t>，主要用于杂物存放；</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资料室</w:t>
                  </w:r>
                </w:p>
              </w:tc>
              <w:tc>
                <w:tcPr>
                  <w:tcW w:w="2438" w:type="pct"/>
                  <w:tcBorders>
                    <w:tl2br w:val="nil"/>
                    <w:tr2bl w:val="nil"/>
                  </w:tcBorders>
                  <w:vAlign w:val="center"/>
                </w:tcPr>
                <w:p>
                  <w:pPr>
                    <w:spacing w:line="240" w:lineRule="atLeast"/>
                    <w:jc w:val="left"/>
                    <w:rPr>
                      <w:szCs w:val="21"/>
                    </w:rPr>
                  </w:pPr>
                  <w:r>
                    <w:rPr>
                      <w:rFonts w:hint="eastAsia"/>
                      <w:szCs w:val="21"/>
                    </w:rPr>
                    <w:t>建筑面积40.11m</w:t>
                  </w:r>
                  <w:r>
                    <w:rPr>
                      <w:rFonts w:hint="eastAsia"/>
                      <w:szCs w:val="21"/>
                      <w:vertAlign w:val="superscript"/>
                    </w:rPr>
                    <w:t>2</w:t>
                  </w:r>
                  <w:r>
                    <w:rPr>
                      <w:rFonts w:hint="eastAsia"/>
                      <w:szCs w:val="21"/>
                    </w:rPr>
                    <w:t>，主要用于资料存放；</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办公室</w:t>
                  </w:r>
                </w:p>
              </w:tc>
              <w:tc>
                <w:tcPr>
                  <w:tcW w:w="2438" w:type="pct"/>
                  <w:tcBorders>
                    <w:tl2br w:val="nil"/>
                    <w:tr2bl w:val="nil"/>
                  </w:tcBorders>
                  <w:vAlign w:val="center"/>
                </w:tcPr>
                <w:p>
                  <w:pPr>
                    <w:spacing w:line="240" w:lineRule="atLeast"/>
                    <w:jc w:val="left"/>
                    <w:rPr>
                      <w:szCs w:val="21"/>
                    </w:rPr>
                  </w:pPr>
                  <w:r>
                    <w:rPr>
                      <w:rFonts w:hint="eastAsia"/>
                      <w:szCs w:val="21"/>
                    </w:rPr>
                    <w:t>建筑面积</w:t>
                  </w:r>
                  <w:r>
                    <w:rPr>
                      <w:szCs w:val="21"/>
                    </w:rPr>
                    <w:t>83.12</w:t>
                  </w:r>
                  <w:r>
                    <w:rPr>
                      <w:rFonts w:hint="eastAsia"/>
                      <w:szCs w:val="21"/>
                    </w:rPr>
                    <w:t>m</w:t>
                  </w:r>
                  <w:r>
                    <w:rPr>
                      <w:rFonts w:hint="eastAsia"/>
                      <w:szCs w:val="21"/>
                      <w:vertAlign w:val="superscript"/>
                    </w:rPr>
                    <w:t>2</w:t>
                  </w:r>
                  <w:r>
                    <w:rPr>
                      <w:rFonts w:hint="eastAsia"/>
                      <w:szCs w:val="21"/>
                    </w:rPr>
                    <w:t>，主要用于人员办公；</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会议室</w:t>
                  </w:r>
                </w:p>
              </w:tc>
              <w:tc>
                <w:tcPr>
                  <w:tcW w:w="2438" w:type="pct"/>
                  <w:tcBorders>
                    <w:tl2br w:val="nil"/>
                    <w:tr2bl w:val="nil"/>
                  </w:tcBorders>
                  <w:vAlign w:val="center"/>
                </w:tcPr>
                <w:p>
                  <w:pPr>
                    <w:spacing w:line="240" w:lineRule="atLeast"/>
                    <w:jc w:val="left"/>
                    <w:rPr>
                      <w:szCs w:val="21"/>
                    </w:rPr>
                  </w:pPr>
                  <w:r>
                    <w:rPr>
                      <w:rFonts w:hint="eastAsia"/>
                      <w:szCs w:val="21"/>
                    </w:rPr>
                    <w:t>建筑面积</w:t>
                  </w:r>
                  <w:r>
                    <w:rPr>
                      <w:szCs w:val="21"/>
                    </w:rPr>
                    <w:t>34.75</w:t>
                  </w:r>
                  <w:r>
                    <w:rPr>
                      <w:rFonts w:hint="eastAsia"/>
                      <w:szCs w:val="21"/>
                    </w:rPr>
                    <w:t>m</w:t>
                  </w:r>
                  <w:r>
                    <w:rPr>
                      <w:rFonts w:hint="eastAsia"/>
                      <w:szCs w:val="21"/>
                      <w:vertAlign w:val="superscript"/>
                    </w:rPr>
                    <w:t>2</w:t>
                  </w:r>
                  <w:r>
                    <w:rPr>
                      <w:rFonts w:hint="eastAsia"/>
                      <w:szCs w:val="21"/>
                    </w:rPr>
                    <w:t>，主要用于会议；</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527" w:type="pct"/>
                  <w:gridSpan w:val="2"/>
                  <w:vMerge w:val="continue"/>
                  <w:tcBorders>
                    <w:tl2br w:val="nil"/>
                    <w:tr2bl w:val="nil"/>
                  </w:tcBorders>
                  <w:vAlign w:val="center"/>
                </w:tcPr>
                <w:p>
                  <w:pPr>
                    <w:spacing w:line="240" w:lineRule="atLeast"/>
                    <w:jc w:val="center"/>
                    <w:rPr>
                      <w:szCs w:val="21"/>
                    </w:rPr>
                  </w:pPr>
                </w:p>
              </w:tc>
              <w:tc>
                <w:tcPr>
                  <w:tcW w:w="311" w:type="pct"/>
                  <w:vMerge w:val="continue"/>
                  <w:tcBorders>
                    <w:tl2br w:val="nil"/>
                    <w:tr2bl w:val="nil"/>
                  </w:tcBorders>
                  <w:vAlign w:val="center"/>
                </w:tcPr>
                <w:p>
                  <w:pPr>
                    <w:spacing w:line="240" w:lineRule="atLeast"/>
                    <w:jc w:val="center"/>
                    <w:rPr>
                      <w:szCs w:val="21"/>
                    </w:rPr>
                  </w:pPr>
                </w:p>
              </w:tc>
              <w:tc>
                <w:tcPr>
                  <w:tcW w:w="653" w:type="pct"/>
                  <w:tcBorders>
                    <w:tl2br w:val="nil"/>
                    <w:tr2bl w:val="nil"/>
                  </w:tcBorders>
                  <w:vAlign w:val="center"/>
                </w:tcPr>
                <w:p>
                  <w:pPr>
                    <w:spacing w:line="240" w:lineRule="atLeast"/>
                    <w:jc w:val="center"/>
                    <w:rPr>
                      <w:szCs w:val="21"/>
                    </w:rPr>
                  </w:pPr>
                  <w:r>
                    <w:rPr>
                      <w:rFonts w:hint="eastAsia"/>
                      <w:szCs w:val="21"/>
                    </w:rPr>
                    <w:t>接待室</w:t>
                  </w:r>
                </w:p>
              </w:tc>
              <w:tc>
                <w:tcPr>
                  <w:tcW w:w="2438" w:type="pct"/>
                  <w:tcBorders>
                    <w:tl2br w:val="nil"/>
                    <w:tr2bl w:val="nil"/>
                  </w:tcBorders>
                  <w:vAlign w:val="center"/>
                </w:tcPr>
                <w:p>
                  <w:pPr>
                    <w:spacing w:line="240" w:lineRule="atLeast"/>
                    <w:jc w:val="left"/>
                    <w:rPr>
                      <w:szCs w:val="21"/>
                    </w:rPr>
                  </w:pPr>
                  <w:r>
                    <w:rPr>
                      <w:rFonts w:hint="eastAsia"/>
                      <w:szCs w:val="21"/>
                    </w:rPr>
                    <w:t>建筑面积</w:t>
                  </w:r>
                  <w:r>
                    <w:rPr>
                      <w:szCs w:val="21"/>
                    </w:rPr>
                    <w:t>11.01</w:t>
                  </w:r>
                  <w:r>
                    <w:rPr>
                      <w:rFonts w:hint="eastAsia"/>
                      <w:szCs w:val="21"/>
                    </w:rPr>
                    <w:t>m</w:t>
                  </w:r>
                  <w:r>
                    <w:rPr>
                      <w:rFonts w:hint="eastAsia"/>
                      <w:szCs w:val="21"/>
                      <w:vertAlign w:val="superscript"/>
                    </w:rPr>
                    <w:t>2</w:t>
                  </w:r>
                  <w:r>
                    <w:rPr>
                      <w:rFonts w:hint="eastAsia"/>
                      <w:szCs w:val="21"/>
                    </w:rPr>
                    <w:t>，主要用于人员客人接待；</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tcBorders>
                    <w:tl2br w:val="nil"/>
                    <w:tr2bl w:val="nil"/>
                  </w:tcBorders>
                  <w:vAlign w:val="center"/>
                </w:tcPr>
                <w:p>
                  <w:pPr>
                    <w:spacing w:line="240" w:lineRule="atLeast"/>
                    <w:jc w:val="center"/>
                    <w:rPr>
                      <w:szCs w:val="21"/>
                    </w:rPr>
                  </w:pPr>
                  <w:r>
                    <w:rPr>
                      <w:szCs w:val="21"/>
                    </w:rPr>
                    <w:t>公用工程</w:t>
                  </w:r>
                </w:p>
              </w:tc>
              <w:tc>
                <w:tcPr>
                  <w:tcW w:w="1490" w:type="pct"/>
                  <w:gridSpan w:val="4"/>
                  <w:tcBorders>
                    <w:tl2br w:val="nil"/>
                    <w:tr2bl w:val="nil"/>
                  </w:tcBorders>
                  <w:vAlign w:val="center"/>
                </w:tcPr>
                <w:p>
                  <w:pPr>
                    <w:spacing w:line="240" w:lineRule="atLeast"/>
                    <w:jc w:val="center"/>
                    <w:rPr>
                      <w:szCs w:val="21"/>
                    </w:rPr>
                  </w:pPr>
                  <w:r>
                    <w:rPr>
                      <w:szCs w:val="21"/>
                    </w:rPr>
                    <w:t>给水</w:t>
                  </w:r>
                </w:p>
              </w:tc>
              <w:tc>
                <w:tcPr>
                  <w:tcW w:w="2438" w:type="pct"/>
                  <w:tcBorders>
                    <w:tl2br w:val="nil"/>
                    <w:tr2bl w:val="nil"/>
                  </w:tcBorders>
                  <w:vAlign w:val="center"/>
                </w:tcPr>
                <w:p>
                  <w:pPr>
                    <w:spacing w:line="240" w:lineRule="atLeast"/>
                    <w:jc w:val="center"/>
                    <w:rPr>
                      <w:szCs w:val="21"/>
                    </w:rPr>
                  </w:pPr>
                  <w:r>
                    <w:rPr>
                      <w:rFonts w:hint="eastAsia"/>
                      <w:szCs w:val="21"/>
                    </w:rPr>
                    <w:t>园区自来水，主要用水为生产工艺用水、设备清洗用水和生活用水。</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1490" w:type="pct"/>
                  <w:gridSpan w:val="4"/>
                  <w:tcBorders>
                    <w:tl2br w:val="nil"/>
                    <w:tr2bl w:val="nil"/>
                  </w:tcBorders>
                  <w:vAlign w:val="center"/>
                </w:tcPr>
                <w:p>
                  <w:pPr>
                    <w:spacing w:line="240" w:lineRule="atLeast"/>
                    <w:jc w:val="center"/>
                    <w:rPr>
                      <w:szCs w:val="21"/>
                    </w:rPr>
                  </w:pPr>
                  <w:r>
                    <w:rPr>
                      <w:szCs w:val="21"/>
                    </w:rPr>
                    <w:t>排水</w:t>
                  </w:r>
                </w:p>
              </w:tc>
              <w:tc>
                <w:tcPr>
                  <w:tcW w:w="2438" w:type="pct"/>
                  <w:tcBorders>
                    <w:tl2br w:val="nil"/>
                    <w:tr2bl w:val="nil"/>
                  </w:tcBorders>
                  <w:vAlign w:val="center"/>
                </w:tcPr>
                <w:p>
                  <w:pPr>
                    <w:spacing w:line="240" w:lineRule="atLeast"/>
                    <w:jc w:val="center"/>
                  </w:pPr>
                  <w:r>
                    <w:rPr>
                      <w:rFonts w:hint="eastAsia"/>
                    </w:rPr>
                    <w:t>自建污水处理站一座，处理规模</w:t>
                  </w:r>
                  <w:r>
                    <w:t>10</w:t>
                  </w:r>
                  <w:r>
                    <w:rPr>
                      <w:rFonts w:hint="eastAsia"/>
                    </w:rPr>
                    <w:t>m</w:t>
                  </w:r>
                  <w:r>
                    <w:rPr>
                      <w:rFonts w:hint="eastAsia"/>
                      <w:vertAlign w:val="superscript"/>
                    </w:rPr>
                    <w:t>3</w:t>
                  </w:r>
                  <w:r>
                    <w:rPr>
                      <w:rFonts w:hint="eastAsia"/>
                    </w:rPr>
                    <w:t>/d，处理后排入市政管网，之后排入镶黄旗污水处理厂进一步处理；待园区集中污水处理厂投入运行后，接入园区污水处理厂集中处置。生活污水经化粪池处理后排市政管网，之后排入镶黄旗污水处理厂进一步处理。</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1490" w:type="pct"/>
                  <w:gridSpan w:val="4"/>
                  <w:tcBorders>
                    <w:tl2br w:val="nil"/>
                    <w:tr2bl w:val="nil"/>
                  </w:tcBorders>
                  <w:vAlign w:val="center"/>
                </w:tcPr>
                <w:p>
                  <w:pPr>
                    <w:spacing w:line="240" w:lineRule="atLeast"/>
                    <w:jc w:val="center"/>
                    <w:rPr>
                      <w:szCs w:val="21"/>
                    </w:rPr>
                  </w:pPr>
                  <w:r>
                    <w:rPr>
                      <w:szCs w:val="21"/>
                    </w:rPr>
                    <w:t>供热</w:t>
                  </w:r>
                </w:p>
              </w:tc>
              <w:tc>
                <w:tcPr>
                  <w:tcW w:w="2438" w:type="pct"/>
                  <w:tcBorders>
                    <w:tl2br w:val="nil"/>
                    <w:tr2bl w:val="nil"/>
                  </w:tcBorders>
                  <w:vAlign w:val="center"/>
                </w:tcPr>
                <w:p>
                  <w:pPr>
                    <w:spacing w:line="240" w:lineRule="atLeast"/>
                    <w:jc w:val="center"/>
                    <w:rPr>
                      <w:szCs w:val="21"/>
                    </w:rPr>
                  </w:pPr>
                  <w:r>
                    <w:rPr>
                      <w:rFonts w:hint="eastAsia"/>
                      <w:szCs w:val="21"/>
                    </w:rPr>
                    <w:t>供暖由当地供暖系统提供</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1490" w:type="pct"/>
                  <w:gridSpan w:val="4"/>
                  <w:tcBorders>
                    <w:tl2br w:val="nil"/>
                    <w:tr2bl w:val="nil"/>
                  </w:tcBorders>
                  <w:vAlign w:val="center"/>
                </w:tcPr>
                <w:p>
                  <w:pPr>
                    <w:spacing w:line="240" w:lineRule="atLeast"/>
                    <w:jc w:val="center"/>
                    <w:rPr>
                      <w:szCs w:val="21"/>
                    </w:rPr>
                  </w:pPr>
                  <w:r>
                    <w:rPr>
                      <w:szCs w:val="21"/>
                    </w:rPr>
                    <w:t>供电</w:t>
                  </w:r>
                </w:p>
              </w:tc>
              <w:tc>
                <w:tcPr>
                  <w:tcW w:w="2438" w:type="pct"/>
                  <w:tcBorders>
                    <w:tl2br w:val="nil"/>
                    <w:tr2bl w:val="nil"/>
                  </w:tcBorders>
                  <w:vAlign w:val="center"/>
                </w:tcPr>
                <w:p>
                  <w:pPr>
                    <w:spacing w:line="240" w:lineRule="atLeast"/>
                    <w:jc w:val="center"/>
                    <w:rPr>
                      <w:szCs w:val="21"/>
                    </w:rPr>
                  </w:pPr>
                  <w:r>
                    <w:rPr>
                      <w:szCs w:val="21"/>
                    </w:rPr>
                    <w:t>供电</w:t>
                  </w:r>
                  <w:r>
                    <w:rPr>
                      <w:rFonts w:hint="eastAsia"/>
                      <w:szCs w:val="21"/>
                    </w:rPr>
                    <w:t>由当地供电系统提供</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restart"/>
                  <w:tcBorders>
                    <w:tl2br w:val="nil"/>
                    <w:tr2bl w:val="nil"/>
                  </w:tcBorders>
                  <w:vAlign w:val="center"/>
                </w:tcPr>
                <w:p>
                  <w:pPr>
                    <w:spacing w:line="240" w:lineRule="atLeast"/>
                    <w:jc w:val="center"/>
                    <w:rPr>
                      <w:szCs w:val="21"/>
                    </w:rPr>
                  </w:pPr>
                  <w:r>
                    <w:rPr>
                      <w:szCs w:val="21"/>
                    </w:rPr>
                    <w:t>环保工程</w:t>
                  </w:r>
                </w:p>
              </w:tc>
              <w:tc>
                <w:tcPr>
                  <w:tcW w:w="414" w:type="pct"/>
                  <w:vMerge w:val="restart"/>
                  <w:tcBorders>
                    <w:tl2br w:val="nil"/>
                    <w:tr2bl w:val="nil"/>
                  </w:tcBorders>
                  <w:vAlign w:val="center"/>
                </w:tcPr>
                <w:p>
                  <w:pPr>
                    <w:spacing w:line="240" w:lineRule="atLeast"/>
                    <w:jc w:val="center"/>
                    <w:rPr>
                      <w:szCs w:val="21"/>
                    </w:rPr>
                  </w:pPr>
                  <w:r>
                    <w:rPr>
                      <w:szCs w:val="21"/>
                    </w:rPr>
                    <w:t>废气</w:t>
                  </w:r>
                </w:p>
              </w:tc>
              <w:tc>
                <w:tcPr>
                  <w:tcW w:w="1076" w:type="pct"/>
                  <w:gridSpan w:val="3"/>
                  <w:tcBorders>
                    <w:tl2br w:val="nil"/>
                    <w:tr2bl w:val="nil"/>
                  </w:tcBorders>
                  <w:vAlign w:val="center"/>
                </w:tcPr>
                <w:p>
                  <w:pPr>
                    <w:spacing w:line="240" w:lineRule="atLeast"/>
                    <w:jc w:val="center"/>
                    <w:rPr>
                      <w:szCs w:val="21"/>
                    </w:rPr>
                  </w:pPr>
                  <w:r>
                    <w:rPr>
                      <w:rFonts w:hint="eastAsia"/>
                      <w:szCs w:val="21"/>
                    </w:rPr>
                    <w:t>调味品投料粉尘</w:t>
                  </w:r>
                </w:p>
              </w:tc>
              <w:tc>
                <w:tcPr>
                  <w:tcW w:w="2438" w:type="pct"/>
                  <w:tcBorders>
                    <w:tl2br w:val="nil"/>
                    <w:tr2bl w:val="nil"/>
                  </w:tcBorders>
                  <w:vAlign w:val="center"/>
                </w:tcPr>
                <w:p>
                  <w:pPr>
                    <w:spacing w:line="240" w:lineRule="atLeast"/>
                    <w:jc w:val="center"/>
                    <w:rPr>
                      <w:szCs w:val="21"/>
                    </w:rPr>
                  </w:pPr>
                  <w:r>
                    <w:rPr>
                      <w:rFonts w:hint="eastAsia"/>
                      <w:szCs w:val="21"/>
                    </w:rPr>
                    <w:t>湿式原料混合投入和搅拌</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rPr>
                      <w:szCs w:val="21"/>
                    </w:rPr>
                  </w:pPr>
                  <w:r>
                    <w:rPr>
                      <w:rFonts w:hint="eastAsia"/>
                      <w:szCs w:val="21"/>
                    </w:rPr>
                    <w:t>香精投料粉尘</w:t>
                  </w:r>
                </w:p>
              </w:tc>
              <w:tc>
                <w:tcPr>
                  <w:tcW w:w="2438" w:type="pct"/>
                  <w:vMerge w:val="restart"/>
                  <w:tcBorders>
                    <w:tl2br w:val="nil"/>
                    <w:tr2bl w:val="nil"/>
                  </w:tcBorders>
                  <w:vAlign w:val="center"/>
                </w:tcPr>
                <w:p>
                  <w:pPr>
                    <w:spacing w:line="240" w:lineRule="atLeast"/>
                    <w:jc w:val="center"/>
                    <w:rPr>
                      <w:szCs w:val="21"/>
                    </w:rPr>
                  </w:pPr>
                  <w:r>
                    <w:rPr>
                      <w:rFonts w:hint="eastAsia"/>
                      <w:szCs w:val="21"/>
                    </w:rPr>
                    <w:t>加强通风</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rPr>
                      <w:szCs w:val="21"/>
                    </w:rPr>
                  </w:pPr>
                  <w:r>
                    <w:rPr>
                      <w:rFonts w:hint="eastAsia"/>
                      <w:szCs w:val="21"/>
                    </w:rPr>
                    <w:t>香精生产有机废气和异味</w:t>
                  </w:r>
                </w:p>
              </w:tc>
              <w:tc>
                <w:tcPr>
                  <w:tcW w:w="2438" w:type="pct"/>
                  <w:vMerge w:val="continue"/>
                  <w:tcBorders>
                    <w:tl2br w:val="nil"/>
                    <w:tr2bl w:val="nil"/>
                  </w:tcBorders>
                  <w:vAlign w:val="center"/>
                </w:tcPr>
                <w:p>
                  <w:pPr>
                    <w:spacing w:line="240" w:lineRule="atLeast"/>
                    <w:jc w:val="center"/>
                    <w:rPr>
                      <w:szCs w:val="21"/>
                    </w:rPr>
                  </w:pP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restart"/>
                  <w:tcBorders>
                    <w:tl2br w:val="nil"/>
                    <w:tr2bl w:val="nil"/>
                  </w:tcBorders>
                  <w:vAlign w:val="center"/>
                </w:tcPr>
                <w:p>
                  <w:pPr>
                    <w:spacing w:line="240" w:lineRule="atLeast"/>
                    <w:jc w:val="center"/>
                    <w:rPr>
                      <w:szCs w:val="21"/>
                    </w:rPr>
                  </w:pPr>
                  <w:r>
                    <w:rPr>
                      <w:szCs w:val="21"/>
                    </w:rPr>
                    <w:t>废水</w:t>
                  </w:r>
                </w:p>
              </w:tc>
              <w:tc>
                <w:tcPr>
                  <w:tcW w:w="1076" w:type="pct"/>
                  <w:gridSpan w:val="3"/>
                  <w:tcBorders>
                    <w:tl2br w:val="nil"/>
                    <w:tr2bl w:val="nil"/>
                  </w:tcBorders>
                  <w:vAlign w:val="center"/>
                </w:tcPr>
                <w:p>
                  <w:pPr>
                    <w:spacing w:line="240" w:lineRule="atLeast"/>
                    <w:jc w:val="center"/>
                    <w:rPr>
                      <w:szCs w:val="21"/>
                    </w:rPr>
                  </w:pPr>
                  <w:r>
                    <w:rPr>
                      <w:rFonts w:hint="eastAsia"/>
                      <w:szCs w:val="21"/>
                    </w:rPr>
                    <w:t>生产废水</w:t>
                  </w:r>
                </w:p>
              </w:tc>
              <w:tc>
                <w:tcPr>
                  <w:tcW w:w="2438" w:type="pct"/>
                  <w:tcBorders>
                    <w:tl2br w:val="nil"/>
                    <w:tr2bl w:val="nil"/>
                  </w:tcBorders>
                  <w:vAlign w:val="center"/>
                </w:tcPr>
                <w:p>
                  <w:pPr>
                    <w:spacing w:line="240" w:lineRule="atLeast"/>
                    <w:rPr>
                      <w:szCs w:val="21"/>
                    </w:rPr>
                  </w:pPr>
                  <w:r>
                    <w:rPr>
                      <w:rFonts w:hint="eastAsia"/>
                    </w:rPr>
                    <w:t>自建污水处理站一座，处理规模</w:t>
                  </w:r>
                  <w:r>
                    <w:t>10</w:t>
                  </w:r>
                  <w:r>
                    <w:rPr>
                      <w:rFonts w:hint="eastAsia"/>
                    </w:rPr>
                    <w:t xml:space="preserve"> m</w:t>
                  </w:r>
                  <w:r>
                    <w:rPr>
                      <w:rFonts w:hint="eastAsia"/>
                      <w:vertAlign w:val="superscript"/>
                    </w:rPr>
                    <w:t>3</w:t>
                  </w:r>
                  <w:r>
                    <w:rPr>
                      <w:rFonts w:hint="eastAsia"/>
                    </w:rPr>
                    <w:t>/d，处理后排入排入镶黄旗污水处理厂进一步处理；待园区集中污水处理厂投入运行后，接入园区污水处理厂集中处置。</w:t>
                  </w:r>
                  <w:r>
                    <w:rPr>
                      <w:szCs w:val="21"/>
                    </w:rPr>
                    <w:t xml:space="preserve"> </w:t>
                  </w:r>
                </w:p>
              </w:tc>
              <w:tc>
                <w:tcPr>
                  <w:tcW w:w="600" w:type="pct"/>
                  <w:vMerge w:val="restar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rPr>
                      <w:szCs w:val="21"/>
                    </w:rPr>
                  </w:pPr>
                  <w:r>
                    <w:rPr>
                      <w:rFonts w:hint="eastAsia"/>
                      <w:szCs w:val="21"/>
                    </w:rPr>
                    <w:t>生活污水</w:t>
                  </w:r>
                </w:p>
              </w:tc>
              <w:tc>
                <w:tcPr>
                  <w:tcW w:w="2438" w:type="pct"/>
                  <w:tcBorders>
                    <w:tl2br w:val="nil"/>
                    <w:tr2bl w:val="nil"/>
                  </w:tcBorders>
                  <w:vAlign w:val="center"/>
                </w:tcPr>
                <w:p>
                  <w:pPr>
                    <w:spacing w:line="240" w:lineRule="atLeast"/>
                  </w:pPr>
                  <w:r>
                    <w:rPr>
                      <w:rFonts w:hint="eastAsia"/>
                    </w:rPr>
                    <w:t>生活污水经化粪池处理后排市政管网，之后排入镶黄旗污水处理厂进一步处理。</w:t>
                  </w:r>
                </w:p>
              </w:tc>
              <w:tc>
                <w:tcPr>
                  <w:tcW w:w="600" w:type="pct"/>
                  <w:vMerge w:val="continue"/>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1490" w:type="pct"/>
                  <w:gridSpan w:val="4"/>
                  <w:tcBorders>
                    <w:tl2br w:val="nil"/>
                    <w:tr2bl w:val="nil"/>
                  </w:tcBorders>
                  <w:vAlign w:val="center"/>
                </w:tcPr>
                <w:p>
                  <w:pPr>
                    <w:spacing w:line="240" w:lineRule="atLeast"/>
                    <w:jc w:val="center"/>
                    <w:rPr>
                      <w:szCs w:val="21"/>
                    </w:rPr>
                  </w:pPr>
                  <w:r>
                    <w:rPr>
                      <w:rFonts w:hint="eastAsia"/>
                      <w:szCs w:val="21"/>
                    </w:rPr>
                    <w:t>噪声</w:t>
                  </w:r>
                </w:p>
              </w:tc>
              <w:tc>
                <w:tcPr>
                  <w:tcW w:w="2438" w:type="pct"/>
                  <w:tcBorders>
                    <w:tl2br w:val="nil"/>
                    <w:tr2bl w:val="nil"/>
                  </w:tcBorders>
                  <w:vAlign w:val="center"/>
                </w:tcPr>
                <w:p>
                  <w:pPr>
                    <w:spacing w:line="240" w:lineRule="atLeast"/>
                    <w:jc w:val="center"/>
                    <w:rPr>
                      <w:szCs w:val="21"/>
                    </w:rPr>
                  </w:pPr>
                  <w:r>
                    <w:rPr>
                      <w:szCs w:val="21"/>
                    </w:rPr>
                    <w:t>室内隔声</w:t>
                  </w:r>
                  <w:r>
                    <w:rPr>
                      <w:rFonts w:hint="eastAsia"/>
                      <w:szCs w:val="21"/>
                    </w:rPr>
                    <w:t>、基础减震</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restart"/>
                  <w:tcBorders>
                    <w:tl2br w:val="nil"/>
                    <w:tr2bl w:val="nil"/>
                  </w:tcBorders>
                  <w:vAlign w:val="center"/>
                </w:tcPr>
                <w:p>
                  <w:pPr>
                    <w:spacing w:line="240" w:lineRule="atLeast"/>
                    <w:jc w:val="center"/>
                    <w:rPr>
                      <w:szCs w:val="21"/>
                    </w:rPr>
                  </w:pPr>
                  <w:r>
                    <w:rPr>
                      <w:szCs w:val="21"/>
                    </w:rPr>
                    <w:t>固废</w:t>
                  </w:r>
                </w:p>
              </w:tc>
              <w:tc>
                <w:tcPr>
                  <w:tcW w:w="1076" w:type="pct"/>
                  <w:gridSpan w:val="3"/>
                  <w:tcBorders>
                    <w:tl2br w:val="nil"/>
                    <w:tr2bl w:val="nil"/>
                  </w:tcBorders>
                  <w:vAlign w:val="center"/>
                </w:tcPr>
                <w:p>
                  <w:pPr>
                    <w:spacing w:line="240" w:lineRule="atLeast"/>
                    <w:jc w:val="center"/>
                    <w:rPr>
                      <w:szCs w:val="21"/>
                    </w:rPr>
                  </w:pPr>
                  <w:r>
                    <w:rPr>
                      <w:rFonts w:hint="eastAsia"/>
                      <w:szCs w:val="21"/>
                    </w:rPr>
                    <w:t>奶制品加工过滤奶渣</w:t>
                  </w:r>
                </w:p>
              </w:tc>
              <w:tc>
                <w:tcPr>
                  <w:tcW w:w="2438" w:type="pct"/>
                  <w:tcBorders>
                    <w:tl2br w:val="nil"/>
                    <w:tr2bl w:val="nil"/>
                  </w:tcBorders>
                  <w:vAlign w:val="center"/>
                </w:tcPr>
                <w:p>
                  <w:pPr>
                    <w:pStyle w:val="2"/>
                    <w:ind w:firstLine="0" w:firstLineChars="0"/>
                    <w:jc w:val="left"/>
                  </w:pPr>
                  <w:r>
                    <w:rPr>
                      <w:rFonts w:hint="eastAsia"/>
                    </w:rPr>
                    <w:t>奶制品加工过程过滤奶渣，主要成成分为奶渣、水、蛋白质、黄油，收集后作为餐厨垃圾处理</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rPr>
                      <w:szCs w:val="21"/>
                    </w:rPr>
                  </w:pPr>
                  <w:r>
                    <w:rPr>
                      <w:rFonts w:hint="eastAsia"/>
                    </w:rPr>
                    <w:t>复合调味品鸡蛋壳和过滤物</w:t>
                  </w:r>
                </w:p>
              </w:tc>
              <w:tc>
                <w:tcPr>
                  <w:tcW w:w="2438" w:type="pct"/>
                  <w:tcBorders>
                    <w:tl2br w:val="nil"/>
                    <w:tr2bl w:val="nil"/>
                  </w:tcBorders>
                  <w:vAlign w:val="center"/>
                </w:tcPr>
                <w:p>
                  <w:pPr>
                    <w:pStyle w:val="2"/>
                    <w:ind w:firstLine="0" w:firstLineChars="0"/>
                    <w:jc w:val="left"/>
                  </w:pPr>
                  <w:r>
                    <w:rPr>
                      <w:rFonts w:hint="eastAsia"/>
                    </w:rPr>
                    <w:t>过滤物主要蛋白质和油脂类的滤纸，与生活垃圾一同交环卫部门处置。</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rPr>
                      <w:szCs w:val="21"/>
                    </w:rPr>
                  </w:pPr>
                  <w:r>
                    <w:rPr>
                      <w:rFonts w:hint="eastAsia"/>
                    </w:rPr>
                    <w:t>香精生产过滤物</w:t>
                  </w:r>
                </w:p>
              </w:tc>
              <w:tc>
                <w:tcPr>
                  <w:tcW w:w="2438" w:type="pct"/>
                  <w:tcBorders>
                    <w:tl2br w:val="nil"/>
                    <w:tr2bl w:val="nil"/>
                  </w:tcBorders>
                  <w:vAlign w:val="center"/>
                </w:tcPr>
                <w:p>
                  <w:pPr>
                    <w:pStyle w:val="2"/>
                    <w:ind w:firstLine="0" w:firstLineChars="0"/>
                    <w:jc w:val="left"/>
                  </w:pPr>
                  <w:r>
                    <w:rPr>
                      <w:rFonts w:hint="eastAsia"/>
                    </w:rPr>
                    <w:t>沾染香精原料的滤纸，危废间暂存，定期交有资质单位处置。</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pPr>
                  <w:r>
                    <w:rPr>
                      <w:rFonts w:hint="eastAsia" w:cs="宋体"/>
                      <w:szCs w:val="21"/>
                    </w:rPr>
                    <w:t>奶制品、香精（除丙二醇和丁酸类之外）、复合调味料废包装物桶类和瓶装类</w:t>
                  </w:r>
                </w:p>
              </w:tc>
              <w:tc>
                <w:tcPr>
                  <w:tcW w:w="2438" w:type="pct"/>
                  <w:tcBorders>
                    <w:tl2br w:val="nil"/>
                    <w:tr2bl w:val="nil"/>
                  </w:tcBorders>
                  <w:vAlign w:val="center"/>
                </w:tcPr>
                <w:p>
                  <w:pPr>
                    <w:adjustRightInd w:val="0"/>
                    <w:snapToGrid w:val="0"/>
                    <w:rPr>
                      <w:rFonts w:cs="宋体"/>
                      <w:szCs w:val="21"/>
                    </w:rPr>
                  </w:pPr>
                  <w:r>
                    <w:rPr>
                      <w:rFonts w:hint="eastAsia" w:cs="宋体"/>
                      <w:szCs w:val="21"/>
                    </w:rPr>
                    <w:t>部分返回厂家回收处理，剩余部分收集外卖废品处理；</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rPr>
                      <w:szCs w:val="21"/>
                    </w:rPr>
                  </w:pPr>
                  <w:r>
                    <w:rPr>
                      <w:rFonts w:hint="eastAsia"/>
                    </w:rPr>
                    <w:t>污水处理站污泥</w:t>
                  </w:r>
                </w:p>
              </w:tc>
              <w:tc>
                <w:tcPr>
                  <w:tcW w:w="2438" w:type="pct"/>
                  <w:tcBorders>
                    <w:tl2br w:val="nil"/>
                    <w:tr2bl w:val="nil"/>
                  </w:tcBorders>
                  <w:vAlign w:val="center"/>
                </w:tcPr>
                <w:p>
                  <w:pPr>
                    <w:pStyle w:val="2"/>
                    <w:ind w:firstLine="0" w:firstLineChars="0"/>
                    <w:jc w:val="left"/>
                  </w:pPr>
                  <w:r>
                    <w:rPr>
                      <w:rFonts w:hint="eastAsia"/>
                    </w:rPr>
                    <w:t>收集后定期交环卫部门处置。</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pPr>
                  <w:r>
                    <w:rPr>
                      <w:rFonts w:hint="eastAsia"/>
                    </w:rPr>
                    <w:t>实验室废物、废包装物（沾染毒性、感染性危险废物）</w:t>
                  </w:r>
                </w:p>
              </w:tc>
              <w:tc>
                <w:tcPr>
                  <w:tcW w:w="2438" w:type="pct"/>
                  <w:tcBorders>
                    <w:tl2br w:val="nil"/>
                    <w:tr2bl w:val="nil"/>
                  </w:tcBorders>
                  <w:vAlign w:val="center"/>
                </w:tcPr>
                <w:p>
                  <w:pPr>
                    <w:pStyle w:val="2"/>
                    <w:ind w:firstLine="0" w:firstLineChars="0"/>
                    <w:jc w:val="left"/>
                  </w:pPr>
                  <w:r>
                    <w:rPr>
                      <w:rFonts w:hint="eastAsia"/>
                    </w:rPr>
                    <w:t>危废间暂存，定期交有资质单位处置</w:t>
                  </w:r>
                </w:p>
              </w:tc>
              <w:tc>
                <w:tcPr>
                  <w:tcW w:w="600"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2" w:type="pct"/>
                  <w:vMerge w:val="continue"/>
                  <w:tcBorders>
                    <w:tl2br w:val="nil"/>
                    <w:tr2bl w:val="nil"/>
                  </w:tcBorders>
                  <w:vAlign w:val="center"/>
                </w:tcPr>
                <w:p>
                  <w:pPr>
                    <w:spacing w:line="240" w:lineRule="atLeast"/>
                    <w:jc w:val="center"/>
                    <w:rPr>
                      <w:szCs w:val="21"/>
                    </w:rPr>
                  </w:pPr>
                </w:p>
              </w:tc>
              <w:tc>
                <w:tcPr>
                  <w:tcW w:w="414" w:type="pct"/>
                  <w:vMerge w:val="continue"/>
                  <w:tcBorders>
                    <w:tl2br w:val="nil"/>
                    <w:tr2bl w:val="nil"/>
                  </w:tcBorders>
                  <w:vAlign w:val="center"/>
                </w:tcPr>
                <w:p>
                  <w:pPr>
                    <w:spacing w:line="240" w:lineRule="atLeast"/>
                    <w:jc w:val="center"/>
                    <w:rPr>
                      <w:szCs w:val="21"/>
                    </w:rPr>
                  </w:pPr>
                </w:p>
              </w:tc>
              <w:tc>
                <w:tcPr>
                  <w:tcW w:w="1076" w:type="pct"/>
                  <w:gridSpan w:val="3"/>
                  <w:tcBorders>
                    <w:tl2br w:val="nil"/>
                    <w:tr2bl w:val="nil"/>
                  </w:tcBorders>
                  <w:vAlign w:val="center"/>
                </w:tcPr>
                <w:p>
                  <w:pPr>
                    <w:spacing w:line="240" w:lineRule="atLeast"/>
                    <w:jc w:val="center"/>
                    <w:rPr>
                      <w:szCs w:val="21"/>
                    </w:rPr>
                  </w:pPr>
                  <w:r>
                    <w:rPr>
                      <w:rFonts w:hint="eastAsia"/>
                      <w:szCs w:val="21"/>
                    </w:rPr>
                    <w:t>生活垃圾</w:t>
                  </w:r>
                </w:p>
              </w:tc>
              <w:tc>
                <w:tcPr>
                  <w:tcW w:w="2438" w:type="pct"/>
                  <w:tcBorders>
                    <w:tl2br w:val="nil"/>
                    <w:tr2bl w:val="nil"/>
                  </w:tcBorders>
                  <w:vAlign w:val="center"/>
                </w:tcPr>
                <w:p>
                  <w:pPr>
                    <w:spacing w:line="240" w:lineRule="atLeast"/>
                    <w:jc w:val="center"/>
                    <w:rPr>
                      <w:szCs w:val="21"/>
                    </w:rPr>
                  </w:pPr>
                  <w:r>
                    <w:rPr>
                      <w:rFonts w:hint="eastAsia"/>
                      <w:szCs w:val="21"/>
                    </w:rPr>
                    <w:t>厂区垃圾桶内，集中收集后定期由当地环卫部门统一清运；</w:t>
                  </w:r>
                </w:p>
              </w:tc>
              <w:tc>
                <w:tcPr>
                  <w:tcW w:w="600" w:type="pct"/>
                  <w:tcBorders>
                    <w:tl2br w:val="nil"/>
                    <w:tr2bl w:val="nil"/>
                  </w:tcBorders>
                  <w:vAlign w:val="center"/>
                </w:tcPr>
                <w:p>
                  <w:pPr>
                    <w:spacing w:line="240" w:lineRule="atLeast"/>
                    <w:ind w:left="-21" w:leftChars="-10" w:right="-21" w:rightChars="-10"/>
                    <w:jc w:val="center"/>
                    <w:rPr>
                      <w:szCs w:val="21"/>
                    </w:rPr>
                  </w:pPr>
                </w:p>
              </w:tc>
            </w:tr>
          </w:tbl>
          <w:p>
            <w:pPr>
              <w:adjustRightInd w:val="0"/>
              <w:snapToGrid w:val="0"/>
              <w:spacing w:line="400" w:lineRule="exact"/>
              <w:jc w:val="center"/>
              <w:rPr>
                <w:b/>
                <w:sz w:val="24"/>
              </w:rPr>
            </w:pPr>
            <w:r>
              <w:rPr>
                <w:rFonts w:hint="eastAsia"/>
                <w:b/>
                <w:sz w:val="24"/>
              </w:rPr>
              <w:t>表2-2</w:t>
            </w:r>
            <w:r>
              <w:rPr>
                <w:b/>
                <w:sz w:val="24"/>
              </w:rPr>
              <w:t xml:space="preserve"> </w:t>
            </w:r>
            <w:r>
              <w:rPr>
                <w:rFonts w:hint="eastAsia"/>
                <w:b/>
                <w:sz w:val="24"/>
              </w:rPr>
              <w:t>二期项目组成一览表</w:t>
            </w:r>
          </w:p>
          <w:tbl>
            <w:tblPr>
              <w:tblStyle w:val="21"/>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876"/>
              <w:gridCol w:w="1132"/>
              <w:gridCol w:w="4920"/>
              <w:gridCol w:w="8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tcBorders>
                    <w:tl2br w:val="nil"/>
                    <w:tr2bl w:val="nil"/>
                  </w:tcBorders>
                  <w:vAlign w:val="center"/>
                </w:tcPr>
                <w:p>
                  <w:pPr>
                    <w:spacing w:line="240" w:lineRule="atLeast"/>
                    <w:jc w:val="center"/>
                    <w:rPr>
                      <w:b/>
                      <w:bCs/>
                      <w:szCs w:val="21"/>
                    </w:rPr>
                  </w:pPr>
                  <w:r>
                    <w:rPr>
                      <w:b/>
                      <w:bCs/>
                      <w:szCs w:val="21"/>
                    </w:rPr>
                    <w:t>工程类别</w:t>
                  </w:r>
                </w:p>
              </w:tc>
              <w:tc>
                <w:tcPr>
                  <w:tcW w:w="1199" w:type="pct"/>
                  <w:gridSpan w:val="2"/>
                  <w:tcBorders>
                    <w:tl2br w:val="nil"/>
                    <w:tr2bl w:val="nil"/>
                  </w:tcBorders>
                  <w:vAlign w:val="center"/>
                </w:tcPr>
                <w:p>
                  <w:pPr>
                    <w:spacing w:line="240" w:lineRule="atLeast"/>
                    <w:jc w:val="center"/>
                    <w:rPr>
                      <w:b/>
                      <w:bCs/>
                      <w:szCs w:val="21"/>
                    </w:rPr>
                  </w:pPr>
                  <w:r>
                    <w:rPr>
                      <w:b/>
                      <w:bCs/>
                      <w:szCs w:val="21"/>
                    </w:rPr>
                    <w:t>项目内容</w:t>
                  </w:r>
                </w:p>
              </w:tc>
              <w:tc>
                <w:tcPr>
                  <w:tcW w:w="2939" w:type="pct"/>
                  <w:tcBorders>
                    <w:tl2br w:val="nil"/>
                    <w:tr2bl w:val="nil"/>
                  </w:tcBorders>
                  <w:vAlign w:val="center"/>
                </w:tcPr>
                <w:p>
                  <w:pPr>
                    <w:spacing w:line="240" w:lineRule="atLeast"/>
                    <w:jc w:val="center"/>
                    <w:rPr>
                      <w:b/>
                      <w:bCs/>
                      <w:szCs w:val="21"/>
                    </w:rPr>
                  </w:pPr>
                  <w:r>
                    <w:rPr>
                      <w:b/>
                      <w:bCs/>
                      <w:szCs w:val="21"/>
                    </w:rPr>
                    <w:t>项目组成及规模</w:t>
                  </w:r>
                </w:p>
              </w:tc>
              <w:tc>
                <w:tcPr>
                  <w:tcW w:w="517" w:type="pct"/>
                  <w:tcBorders>
                    <w:tl2br w:val="nil"/>
                    <w:tr2bl w:val="nil"/>
                  </w:tcBorders>
                  <w:vAlign w:val="center"/>
                </w:tcPr>
                <w:p>
                  <w:pPr>
                    <w:spacing w:line="240" w:lineRule="atLeast"/>
                    <w:ind w:left="-21" w:leftChars="-10" w:right="-21" w:rightChars="-10"/>
                    <w:jc w:val="center"/>
                    <w:rPr>
                      <w:b/>
                      <w:bCs/>
                      <w:szCs w:val="21"/>
                    </w:rPr>
                  </w:pPr>
                  <w:r>
                    <w:rPr>
                      <w:rFonts w:hint="eastAsia"/>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345" w:type="pct"/>
                  <w:vMerge w:val="restart"/>
                  <w:tcBorders>
                    <w:tl2br w:val="nil"/>
                    <w:tr2bl w:val="nil"/>
                  </w:tcBorders>
                  <w:vAlign w:val="center"/>
                </w:tcPr>
                <w:p>
                  <w:pPr>
                    <w:spacing w:line="240" w:lineRule="atLeast"/>
                    <w:jc w:val="center"/>
                    <w:rPr>
                      <w:szCs w:val="21"/>
                    </w:rPr>
                  </w:pPr>
                  <w:r>
                    <w:rPr>
                      <w:szCs w:val="21"/>
                    </w:rPr>
                    <w:t>主体工程</w:t>
                  </w:r>
                </w:p>
              </w:tc>
              <w:tc>
                <w:tcPr>
                  <w:tcW w:w="523" w:type="pct"/>
                  <w:vMerge w:val="restart"/>
                  <w:tcBorders>
                    <w:tl2br w:val="nil"/>
                    <w:tr2bl w:val="nil"/>
                  </w:tcBorders>
                  <w:vAlign w:val="center"/>
                </w:tcPr>
                <w:p>
                  <w:pPr>
                    <w:spacing w:line="240" w:lineRule="atLeast"/>
                    <w:jc w:val="center"/>
                    <w:rPr>
                      <w:szCs w:val="21"/>
                    </w:rPr>
                  </w:pPr>
                  <w:r>
                    <w:rPr>
                      <w:rFonts w:hint="eastAsia"/>
                      <w:szCs w:val="21"/>
                    </w:rPr>
                    <w:t>生产车间2（</w:t>
                  </w:r>
                  <w:r>
                    <w:rPr>
                      <w:szCs w:val="21"/>
                    </w:rPr>
                    <w:t>1F</w:t>
                  </w:r>
                  <w:r>
                    <w:rPr>
                      <w:rFonts w:hint="eastAsia"/>
                      <w:szCs w:val="21"/>
                    </w:rPr>
                    <w:t>，钢结构，地面钢筋混凝土）</w:t>
                  </w:r>
                </w:p>
              </w:tc>
              <w:tc>
                <w:tcPr>
                  <w:tcW w:w="676" w:type="pct"/>
                  <w:tcBorders>
                    <w:tl2br w:val="nil"/>
                    <w:tr2bl w:val="nil"/>
                  </w:tcBorders>
                  <w:vAlign w:val="center"/>
                </w:tcPr>
                <w:p>
                  <w:pPr>
                    <w:spacing w:line="240" w:lineRule="atLeast"/>
                    <w:jc w:val="center"/>
                    <w:rPr>
                      <w:szCs w:val="21"/>
                    </w:rPr>
                  </w:pPr>
                  <w:r>
                    <w:rPr>
                      <w:rFonts w:hint="eastAsia"/>
                      <w:szCs w:val="21"/>
                    </w:rPr>
                    <w:t>酶解车间</w:t>
                  </w:r>
                </w:p>
              </w:tc>
              <w:tc>
                <w:tcPr>
                  <w:tcW w:w="2939" w:type="pct"/>
                  <w:tcBorders>
                    <w:tl2br w:val="nil"/>
                    <w:tr2bl w:val="nil"/>
                  </w:tcBorders>
                  <w:vAlign w:val="center"/>
                </w:tcPr>
                <w:p>
                  <w:pPr>
                    <w:spacing w:line="240" w:lineRule="atLeast"/>
                    <w:jc w:val="left"/>
                    <w:rPr>
                      <w:szCs w:val="21"/>
                    </w:rPr>
                  </w:pPr>
                  <w:r>
                    <w:rPr>
                      <w:rFonts w:hint="eastAsia"/>
                      <w:szCs w:val="21"/>
                    </w:rPr>
                    <w:t>1个，269m</w:t>
                  </w:r>
                  <w:r>
                    <w:rPr>
                      <w:rFonts w:hint="eastAsia"/>
                      <w:szCs w:val="21"/>
                      <w:vertAlign w:val="superscript"/>
                    </w:rPr>
                    <w:t>2</w:t>
                  </w:r>
                  <w:r>
                    <w:rPr>
                      <w:rFonts w:hint="eastAsia"/>
                      <w:szCs w:val="21"/>
                    </w:rPr>
                    <w:t>，内设4个200L的发酵罐、1个500L发酵罐，4个1000L发酵罐、离心机4台（1500L/H），主要用于酶解黄油制品加工工序；</w:t>
                  </w:r>
                </w:p>
              </w:tc>
              <w:tc>
                <w:tcPr>
                  <w:tcW w:w="517" w:type="pct"/>
                  <w:vMerge w:val="restart"/>
                  <w:tcBorders>
                    <w:tl2br w:val="nil"/>
                    <w:tr2bl w:val="nil"/>
                  </w:tcBorders>
                  <w:vAlign w:val="center"/>
                </w:tcPr>
                <w:p>
                  <w:pPr>
                    <w:spacing w:line="240" w:lineRule="atLeast"/>
                    <w:ind w:left="-21" w:leftChars="-10" w:right="-21" w:rightChars="-10"/>
                    <w:jc w:val="center"/>
                    <w:rPr>
                      <w:szCs w:val="21"/>
                    </w:rPr>
                  </w:pPr>
                  <w:r>
                    <w:rPr>
                      <w:rFonts w:hint="eastAsia"/>
                      <w:szCs w:val="21"/>
                    </w:rPr>
                    <w:t>主要生产奶油制品和复合调味品料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黄油车间</w:t>
                  </w:r>
                </w:p>
              </w:tc>
              <w:tc>
                <w:tcPr>
                  <w:tcW w:w="2939" w:type="pct"/>
                  <w:tcBorders>
                    <w:tl2br w:val="nil"/>
                    <w:tr2bl w:val="nil"/>
                  </w:tcBorders>
                  <w:vAlign w:val="center"/>
                </w:tcPr>
                <w:p>
                  <w:pPr>
                    <w:spacing w:line="240" w:lineRule="atLeast"/>
                    <w:jc w:val="left"/>
                    <w:rPr>
                      <w:szCs w:val="21"/>
                    </w:rPr>
                  </w:pPr>
                  <w:r>
                    <w:rPr>
                      <w:rFonts w:hint="eastAsia"/>
                      <w:szCs w:val="21"/>
                    </w:rPr>
                    <w:t>1个，95m</w:t>
                  </w:r>
                  <w:r>
                    <w:rPr>
                      <w:rFonts w:hint="eastAsia"/>
                      <w:szCs w:val="21"/>
                      <w:vertAlign w:val="superscript"/>
                    </w:rPr>
                    <w:t>2</w:t>
                  </w:r>
                  <w:r>
                    <w:rPr>
                      <w:rFonts w:hint="eastAsia"/>
                      <w:szCs w:val="21"/>
                    </w:rPr>
                    <w:t>，内设</w:t>
                  </w:r>
                  <w:r>
                    <w:rPr>
                      <w:rFonts w:cs="宋体"/>
                      <w:szCs w:val="21"/>
                    </w:rPr>
                    <w:t>可倾电加热搅拌夹层锅</w:t>
                  </w:r>
                  <w:r>
                    <w:rPr>
                      <w:rFonts w:hint="eastAsia"/>
                      <w:szCs w:val="21"/>
                    </w:rPr>
                    <w:t>200L4台，主要用于黄油制品工序；</w:t>
                  </w:r>
                </w:p>
              </w:tc>
              <w:tc>
                <w:tcPr>
                  <w:tcW w:w="517" w:type="pct"/>
                  <w:vMerge w:val="continue"/>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灌装间</w:t>
                  </w:r>
                </w:p>
              </w:tc>
              <w:tc>
                <w:tcPr>
                  <w:tcW w:w="2939" w:type="pct"/>
                  <w:tcBorders>
                    <w:tl2br w:val="nil"/>
                    <w:tr2bl w:val="nil"/>
                  </w:tcBorders>
                  <w:vAlign w:val="center"/>
                </w:tcPr>
                <w:p>
                  <w:pPr>
                    <w:spacing w:line="240" w:lineRule="atLeast"/>
                    <w:jc w:val="left"/>
                    <w:rPr>
                      <w:szCs w:val="21"/>
                    </w:rPr>
                  </w:pPr>
                  <w:r>
                    <w:rPr>
                      <w:rFonts w:hint="eastAsia"/>
                      <w:szCs w:val="21"/>
                    </w:rPr>
                    <w:t>1个灌装车间区，57m</w:t>
                  </w:r>
                  <w:r>
                    <w:rPr>
                      <w:rFonts w:hint="eastAsia"/>
                      <w:szCs w:val="21"/>
                      <w:vertAlign w:val="superscript"/>
                    </w:rPr>
                    <w:t>2</w:t>
                  </w:r>
                  <w:r>
                    <w:rPr>
                      <w:rFonts w:hint="eastAsia"/>
                      <w:szCs w:val="21"/>
                    </w:rPr>
                    <w:t>，主要用于成品的分装打包工序；</w:t>
                  </w:r>
                </w:p>
              </w:tc>
              <w:tc>
                <w:tcPr>
                  <w:tcW w:w="517" w:type="pct"/>
                  <w:vMerge w:val="continue"/>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vMerge w:val="restart"/>
                  <w:tcBorders>
                    <w:tl2br w:val="nil"/>
                    <w:tr2bl w:val="nil"/>
                  </w:tcBorders>
                  <w:vAlign w:val="center"/>
                </w:tcPr>
                <w:p>
                  <w:pPr>
                    <w:spacing w:line="240" w:lineRule="atLeast"/>
                    <w:jc w:val="center"/>
                    <w:rPr>
                      <w:szCs w:val="21"/>
                    </w:rPr>
                  </w:pPr>
                  <w:r>
                    <w:rPr>
                      <w:rFonts w:hint="eastAsia"/>
                      <w:szCs w:val="21"/>
                    </w:rPr>
                    <w:t>辅助</w:t>
                  </w:r>
                  <w:r>
                    <w:rPr>
                      <w:szCs w:val="21"/>
                    </w:rPr>
                    <w:t>工程</w:t>
                  </w: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成品仓</w:t>
                  </w:r>
                </w:p>
              </w:tc>
              <w:tc>
                <w:tcPr>
                  <w:tcW w:w="2939" w:type="pct"/>
                  <w:tcBorders>
                    <w:tl2br w:val="nil"/>
                    <w:tr2bl w:val="nil"/>
                  </w:tcBorders>
                  <w:vAlign w:val="center"/>
                </w:tcPr>
                <w:p>
                  <w:pPr>
                    <w:spacing w:line="240" w:lineRule="atLeast"/>
                    <w:jc w:val="left"/>
                    <w:rPr>
                      <w:szCs w:val="21"/>
                    </w:rPr>
                  </w:pPr>
                  <w:r>
                    <w:rPr>
                      <w:rFonts w:hint="eastAsia"/>
                      <w:szCs w:val="21"/>
                    </w:rPr>
                    <w:t>1个成品仓，232.5m</w:t>
                  </w:r>
                  <w:r>
                    <w:rPr>
                      <w:rFonts w:hint="eastAsia"/>
                      <w:szCs w:val="21"/>
                      <w:vertAlign w:val="superscript"/>
                    </w:rPr>
                    <w:t>2</w:t>
                  </w:r>
                  <w:r>
                    <w:rPr>
                      <w:rFonts w:hint="eastAsia"/>
                      <w:szCs w:val="21"/>
                    </w:rPr>
                    <w:t>，主要用于成品储存；</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原料仓</w:t>
                  </w:r>
                </w:p>
              </w:tc>
              <w:tc>
                <w:tcPr>
                  <w:tcW w:w="2939" w:type="pct"/>
                  <w:tcBorders>
                    <w:tl2br w:val="nil"/>
                    <w:tr2bl w:val="nil"/>
                  </w:tcBorders>
                  <w:vAlign w:val="center"/>
                </w:tcPr>
                <w:p>
                  <w:pPr>
                    <w:spacing w:line="240" w:lineRule="atLeast"/>
                    <w:rPr>
                      <w:szCs w:val="21"/>
                    </w:rPr>
                  </w:pPr>
                  <w:r>
                    <w:rPr>
                      <w:rFonts w:hint="eastAsia"/>
                      <w:szCs w:val="21"/>
                    </w:rPr>
                    <w:t>1个原料仓，142.5m</w:t>
                  </w:r>
                  <w:r>
                    <w:rPr>
                      <w:rFonts w:hint="eastAsia"/>
                      <w:szCs w:val="21"/>
                      <w:vertAlign w:val="superscript"/>
                    </w:rPr>
                    <w:t>2</w:t>
                  </w:r>
                  <w:r>
                    <w:rPr>
                      <w:rFonts w:hint="eastAsia"/>
                      <w:szCs w:val="21"/>
                    </w:rPr>
                    <w:t>，主要用于原料储存；</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包材仓</w:t>
                  </w:r>
                </w:p>
              </w:tc>
              <w:tc>
                <w:tcPr>
                  <w:tcW w:w="2939" w:type="pct"/>
                  <w:tcBorders>
                    <w:tl2br w:val="nil"/>
                    <w:tr2bl w:val="nil"/>
                  </w:tcBorders>
                  <w:vAlign w:val="center"/>
                </w:tcPr>
                <w:p>
                  <w:pPr>
                    <w:spacing w:line="240" w:lineRule="atLeast"/>
                    <w:jc w:val="left"/>
                    <w:rPr>
                      <w:szCs w:val="21"/>
                    </w:rPr>
                  </w:pPr>
                  <w:r>
                    <w:rPr>
                      <w:rFonts w:hint="eastAsia"/>
                      <w:szCs w:val="21"/>
                    </w:rPr>
                    <w:t>1个包材仓，76m</w:t>
                  </w:r>
                  <w:r>
                    <w:rPr>
                      <w:rFonts w:hint="eastAsia"/>
                      <w:szCs w:val="21"/>
                      <w:vertAlign w:val="superscript"/>
                    </w:rPr>
                    <w:t>2</w:t>
                  </w:r>
                  <w:r>
                    <w:rPr>
                      <w:rFonts w:hint="eastAsia"/>
                      <w:szCs w:val="21"/>
                    </w:rPr>
                    <w:t>，主要用于包材储存；</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备用间</w:t>
                  </w:r>
                </w:p>
              </w:tc>
              <w:tc>
                <w:tcPr>
                  <w:tcW w:w="2939" w:type="pct"/>
                  <w:tcBorders>
                    <w:tl2br w:val="nil"/>
                    <w:tr2bl w:val="nil"/>
                  </w:tcBorders>
                  <w:vAlign w:val="center"/>
                </w:tcPr>
                <w:p>
                  <w:pPr>
                    <w:spacing w:line="240" w:lineRule="atLeast"/>
                    <w:jc w:val="left"/>
                    <w:rPr>
                      <w:szCs w:val="21"/>
                    </w:rPr>
                  </w:pPr>
                  <w:r>
                    <w:rPr>
                      <w:rFonts w:hint="eastAsia"/>
                      <w:szCs w:val="21"/>
                    </w:rPr>
                    <w:t>209m</w:t>
                  </w:r>
                  <w:r>
                    <w:rPr>
                      <w:rFonts w:hint="eastAsia"/>
                      <w:szCs w:val="21"/>
                      <w:vertAlign w:val="superscript"/>
                    </w:rPr>
                    <w:t>2</w:t>
                  </w:r>
                  <w:r>
                    <w:rPr>
                      <w:rFonts w:hint="eastAsia"/>
                      <w:szCs w:val="21"/>
                    </w:rPr>
                    <w:t>；备用用房</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vMerge w:val="restart"/>
                  <w:tcBorders>
                    <w:tl2br w:val="nil"/>
                    <w:tr2bl w:val="nil"/>
                  </w:tcBorders>
                  <w:vAlign w:val="center"/>
                </w:tcPr>
                <w:p>
                  <w:pPr>
                    <w:spacing w:line="240" w:lineRule="atLeast"/>
                    <w:jc w:val="center"/>
                    <w:rPr>
                      <w:szCs w:val="21"/>
                    </w:rPr>
                  </w:pPr>
                  <w:r>
                    <w:rPr>
                      <w:szCs w:val="21"/>
                    </w:rPr>
                    <w:t>公用工程</w:t>
                  </w:r>
                </w:p>
              </w:tc>
              <w:tc>
                <w:tcPr>
                  <w:tcW w:w="1199" w:type="pct"/>
                  <w:gridSpan w:val="2"/>
                  <w:tcBorders>
                    <w:tl2br w:val="nil"/>
                    <w:tr2bl w:val="nil"/>
                  </w:tcBorders>
                  <w:vAlign w:val="center"/>
                </w:tcPr>
                <w:p>
                  <w:pPr>
                    <w:spacing w:line="240" w:lineRule="atLeast"/>
                    <w:jc w:val="center"/>
                    <w:rPr>
                      <w:szCs w:val="21"/>
                    </w:rPr>
                  </w:pPr>
                  <w:r>
                    <w:rPr>
                      <w:szCs w:val="21"/>
                    </w:rPr>
                    <w:t>给水</w:t>
                  </w:r>
                </w:p>
              </w:tc>
              <w:tc>
                <w:tcPr>
                  <w:tcW w:w="2939" w:type="pct"/>
                  <w:tcBorders>
                    <w:tl2br w:val="nil"/>
                    <w:tr2bl w:val="nil"/>
                  </w:tcBorders>
                  <w:vAlign w:val="center"/>
                </w:tcPr>
                <w:p>
                  <w:pPr>
                    <w:spacing w:line="240" w:lineRule="atLeast"/>
                    <w:jc w:val="center"/>
                    <w:rPr>
                      <w:szCs w:val="21"/>
                    </w:rPr>
                  </w:pPr>
                  <w:r>
                    <w:rPr>
                      <w:rFonts w:hint="eastAsia"/>
                      <w:szCs w:val="21"/>
                    </w:rPr>
                    <w:t>园区自来水，主要用水为生产工艺用水、设备清洗用水和生活用水。</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5" w:type="pct"/>
                  <w:vMerge w:val="continue"/>
                  <w:tcBorders>
                    <w:tl2br w:val="nil"/>
                    <w:tr2bl w:val="nil"/>
                  </w:tcBorders>
                  <w:vAlign w:val="center"/>
                </w:tcPr>
                <w:p>
                  <w:pPr>
                    <w:spacing w:line="240" w:lineRule="atLeast"/>
                    <w:jc w:val="center"/>
                    <w:rPr>
                      <w:szCs w:val="21"/>
                    </w:rPr>
                  </w:pPr>
                </w:p>
              </w:tc>
              <w:tc>
                <w:tcPr>
                  <w:tcW w:w="1199" w:type="pct"/>
                  <w:gridSpan w:val="2"/>
                  <w:tcBorders>
                    <w:tl2br w:val="nil"/>
                    <w:tr2bl w:val="nil"/>
                  </w:tcBorders>
                  <w:vAlign w:val="center"/>
                </w:tcPr>
                <w:p>
                  <w:pPr>
                    <w:spacing w:line="240" w:lineRule="atLeast"/>
                    <w:jc w:val="center"/>
                    <w:rPr>
                      <w:szCs w:val="21"/>
                    </w:rPr>
                  </w:pPr>
                  <w:r>
                    <w:rPr>
                      <w:szCs w:val="21"/>
                    </w:rPr>
                    <w:t>排水</w:t>
                  </w:r>
                </w:p>
              </w:tc>
              <w:tc>
                <w:tcPr>
                  <w:tcW w:w="2939" w:type="pct"/>
                  <w:tcBorders>
                    <w:tl2br w:val="nil"/>
                    <w:tr2bl w:val="nil"/>
                  </w:tcBorders>
                  <w:vAlign w:val="center"/>
                </w:tcPr>
                <w:p>
                  <w:pPr>
                    <w:spacing w:line="240" w:lineRule="atLeast"/>
                    <w:jc w:val="center"/>
                    <w:rPr>
                      <w:szCs w:val="21"/>
                    </w:rPr>
                  </w:pPr>
                  <w:r>
                    <w:rPr>
                      <w:rFonts w:hint="eastAsia"/>
                      <w:szCs w:val="21"/>
                    </w:rPr>
                    <w:t>依托一期工业污水处理站处理达标后统一排入市政管网，生活污水经化粪池处理后排市政管网，之后排入镶黄旗污水处理厂进一步处理</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vMerge w:val="continue"/>
                  <w:tcBorders>
                    <w:tl2br w:val="nil"/>
                    <w:tr2bl w:val="nil"/>
                  </w:tcBorders>
                  <w:vAlign w:val="center"/>
                </w:tcPr>
                <w:p>
                  <w:pPr>
                    <w:spacing w:line="240" w:lineRule="atLeast"/>
                    <w:jc w:val="center"/>
                    <w:rPr>
                      <w:szCs w:val="21"/>
                    </w:rPr>
                  </w:pPr>
                </w:p>
              </w:tc>
              <w:tc>
                <w:tcPr>
                  <w:tcW w:w="1199" w:type="pct"/>
                  <w:gridSpan w:val="2"/>
                  <w:tcBorders>
                    <w:tl2br w:val="nil"/>
                    <w:tr2bl w:val="nil"/>
                  </w:tcBorders>
                  <w:vAlign w:val="center"/>
                </w:tcPr>
                <w:p>
                  <w:pPr>
                    <w:spacing w:line="240" w:lineRule="atLeast"/>
                    <w:jc w:val="center"/>
                    <w:rPr>
                      <w:szCs w:val="21"/>
                    </w:rPr>
                  </w:pPr>
                  <w:r>
                    <w:rPr>
                      <w:szCs w:val="21"/>
                    </w:rPr>
                    <w:t>供热</w:t>
                  </w:r>
                </w:p>
              </w:tc>
              <w:tc>
                <w:tcPr>
                  <w:tcW w:w="2939" w:type="pct"/>
                  <w:tcBorders>
                    <w:tl2br w:val="nil"/>
                    <w:tr2bl w:val="nil"/>
                  </w:tcBorders>
                  <w:vAlign w:val="center"/>
                </w:tcPr>
                <w:p>
                  <w:pPr>
                    <w:spacing w:line="240" w:lineRule="atLeast"/>
                    <w:jc w:val="center"/>
                    <w:rPr>
                      <w:szCs w:val="21"/>
                    </w:rPr>
                  </w:pPr>
                  <w:r>
                    <w:rPr>
                      <w:rFonts w:hint="eastAsia"/>
                      <w:szCs w:val="21"/>
                    </w:rPr>
                    <w:t>供暖由当地供暖系统提供</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vMerge w:val="continue"/>
                  <w:tcBorders>
                    <w:tl2br w:val="nil"/>
                    <w:tr2bl w:val="nil"/>
                  </w:tcBorders>
                  <w:vAlign w:val="center"/>
                </w:tcPr>
                <w:p>
                  <w:pPr>
                    <w:spacing w:line="240" w:lineRule="atLeast"/>
                    <w:jc w:val="center"/>
                    <w:rPr>
                      <w:szCs w:val="21"/>
                    </w:rPr>
                  </w:pPr>
                </w:p>
              </w:tc>
              <w:tc>
                <w:tcPr>
                  <w:tcW w:w="1199" w:type="pct"/>
                  <w:gridSpan w:val="2"/>
                  <w:tcBorders>
                    <w:tl2br w:val="nil"/>
                    <w:tr2bl w:val="nil"/>
                  </w:tcBorders>
                  <w:vAlign w:val="center"/>
                </w:tcPr>
                <w:p>
                  <w:pPr>
                    <w:spacing w:line="240" w:lineRule="atLeast"/>
                    <w:jc w:val="center"/>
                    <w:rPr>
                      <w:szCs w:val="21"/>
                    </w:rPr>
                  </w:pPr>
                  <w:r>
                    <w:rPr>
                      <w:szCs w:val="21"/>
                    </w:rPr>
                    <w:t>供电</w:t>
                  </w:r>
                </w:p>
              </w:tc>
              <w:tc>
                <w:tcPr>
                  <w:tcW w:w="2939" w:type="pct"/>
                  <w:tcBorders>
                    <w:tl2br w:val="nil"/>
                    <w:tr2bl w:val="nil"/>
                  </w:tcBorders>
                  <w:vAlign w:val="center"/>
                </w:tcPr>
                <w:p>
                  <w:pPr>
                    <w:spacing w:line="240" w:lineRule="atLeast"/>
                    <w:jc w:val="center"/>
                    <w:rPr>
                      <w:szCs w:val="21"/>
                    </w:rPr>
                  </w:pPr>
                  <w:r>
                    <w:rPr>
                      <w:szCs w:val="21"/>
                    </w:rPr>
                    <w:t>供电</w:t>
                  </w:r>
                  <w:r>
                    <w:rPr>
                      <w:rFonts w:hint="eastAsia"/>
                      <w:szCs w:val="21"/>
                    </w:rPr>
                    <w:t>由当地供电系统提供</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45" w:type="pct"/>
                  <w:vMerge w:val="restart"/>
                  <w:tcBorders>
                    <w:tl2br w:val="nil"/>
                    <w:tr2bl w:val="nil"/>
                  </w:tcBorders>
                  <w:vAlign w:val="center"/>
                </w:tcPr>
                <w:p>
                  <w:pPr>
                    <w:spacing w:line="240" w:lineRule="atLeast"/>
                    <w:jc w:val="center"/>
                    <w:rPr>
                      <w:szCs w:val="21"/>
                    </w:rPr>
                  </w:pPr>
                  <w:r>
                    <w:rPr>
                      <w:szCs w:val="21"/>
                    </w:rPr>
                    <w:t>环保工程</w:t>
                  </w:r>
                </w:p>
              </w:tc>
              <w:tc>
                <w:tcPr>
                  <w:tcW w:w="523" w:type="pct"/>
                  <w:tcBorders>
                    <w:tl2br w:val="nil"/>
                    <w:tr2bl w:val="nil"/>
                  </w:tcBorders>
                  <w:vAlign w:val="center"/>
                </w:tcPr>
                <w:p>
                  <w:pPr>
                    <w:spacing w:line="240" w:lineRule="atLeast"/>
                    <w:jc w:val="center"/>
                    <w:rPr>
                      <w:szCs w:val="21"/>
                    </w:rPr>
                  </w:pPr>
                  <w:r>
                    <w:rPr>
                      <w:szCs w:val="21"/>
                    </w:rPr>
                    <w:t>废气</w:t>
                  </w:r>
                </w:p>
              </w:tc>
              <w:tc>
                <w:tcPr>
                  <w:tcW w:w="676" w:type="pct"/>
                  <w:tcBorders>
                    <w:tl2br w:val="nil"/>
                    <w:tr2bl w:val="nil"/>
                  </w:tcBorders>
                  <w:vAlign w:val="center"/>
                </w:tcPr>
                <w:p>
                  <w:pPr>
                    <w:spacing w:line="240" w:lineRule="atLeast"/>
                    <w:jc w:val="center"/>
                    <w:rPr>
                      <w:szCs w:val="21"/>
                    </w:rPr>
                  </w:pPr>
                  <w:r>
                    <w:rPr>
                      <w:rFonts w:hint="eastAsia"/>
                      <w:szCs w:val="21"/>
                    </w:rPr>
                    <w:t>调味品投料粉尘</w:t>
                  </w:r>
                </w:p>
              </w:tc>
              <w:tc>
                <w:tcPr>
                  <w:tcW w:w="2939" w:type="pct"/>
                  <w:tcBorders>
                    <w:tl2br w:val="nil"/>
                    <w:tr2bl w:val="nil"/>
                  </w:tcBorders>
                  <w:vAlign w:val="center"/>
                </w:tcPr>
                <w:p>
                  <w:pPr>
                    <w:spacing w:line="240" w:lineRule="atLeast"/>
                    <w:jc w:val="center"/>
                    <w:rPr>
                      <w:szCs w:val="21"/>
                    </w:rPr>
                  </w:pPr>
                  <w:r>
                    <w:rPr>
                      <w:rFonts w:hint="eastAsia"/>
                      <w:szCs w:val="21"/>
                    </w:rPr>
                    <w:t>湿式原料混合投入和搅拌</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restart"/>
                  <w:tcBorders>
                    <w:tl2br w:val="nil"/>
                    <w:tr2bl w:val="nil"/>
                  </w:tcBorders>
                  <w:vAlign w:val="center"/>
                </w:tcPr>
                <w:p>
                  <w:pPr>
                    <w:spacing w:line="240" w:lineRule="atLeast"/>
                    <w:jc w:val="center"/>
                    <w:rPr>
                      <w:szCs w:val="21"/>
                    </w:rPr>
                  </w:pPr>
                  <w:r>
                    <w:rPr>
                      <w:szCs w:val="21"/>
                    </w:rPr>
                    <w:t>废水</w:t>
                  </w:r>
                </w:p>
              </w:tc>
              <w:tc>
                <w:tcPr>
                  <w:tcW w:w="676" w:type="pct"/>
                  <w:tcBorders>
                    <w:tl2br w:val="nil"/>
                    <w:tr2bl w:val="nil"/>
                  </w:tcBorders>
                  <w:vAlign w:val="center"/>
                </w:tcPr>
                <w:p>
                  <w:pPr>
                    <w:spacing w:line="240" w:lineRule="atLeast"/>
                    <w:jc w:val="center"/>
                    <w:rPr>
                      <w:szCs w:val="21"/>
                    </w:rPr>
                  </w:pPr>
                  <w:r>
                    <w:rPr>
                      <w:rFonts w:hint="eastAsia"/>
                      <w:szCs w:val="21"/>
                    </w:rPr>
                    <w:t>生产废水</w:t>
                  </w:r>
                </w:p>
              </w:tc>
              <w:tc>
                <w:tcPr>
                  <w:tcW w:w="2939" w:type="pct"/>
                  <w:tcBorders>
                    <w:tl2br w:val="nil"/>
                    <w:tr2bl w:val="nil"/>
                  </w:tcBorders>
                  <w:vAlign w:val="center"/>
                </w:tcPr>
                <w:p>
                  <w:pPr>
                    <w:spacing w:line="240" w:lineRule="atLeast"/>
                    <w:rPr>
                      <w:szCs w:val="21"/>
                    </w:rPr>
                  </w:pPr>
                  <w:r>
                    <w:rPr>
                      <w:rFonts w:hint="eastAsia"/>
                      <w:szCs w:val="21"/>
                    </w:rPr>
                    <w:t>依托一期工业污水处理站处理达标后统一处理后排入市政管网；</w:t>
                  </w:r>
                  <w:r>
                    <w:rPr>
                      <w:szCs w:val="21"/>
                    </w:rPr>
                    <w:t xml:space="preserve"> </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生活污水</w:t>
                  </w:r>
                </w:p>
              </w:tc>
              <w:tc>
                <w:tcPr>
                  <w:tcW w:w="2939" w:type="pct"/>
                  <w:tcBorders>
                    <w:tl2br w:val="nil"/>
                    <w:tr2bl w:val="nil"/>
                  </w:tcBorders>
                  <w:vAlign w:val="center"/>
                </w:tcPr>
                <w:p>
                  <w:pPr>
                    <w:spacing w:line="240" w:lineRule="atLeast"/>
                    <w:rPr>
                      <w:szCs w:val="21"/>
                    </w:rPr>
                  </w:pPr>
                  <w:r>
                    <w:rPr>
                      <w:rFonts w:hint="eastAsia"/>
                      <w:szCs w:val="21"/>
                    </w:rPr>
                    <w:t>生活污水经化粪池处理后排市政管网，之后排入镶黄旗污水处理厂进一步处理；</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45" w:type="pct"/>
                  <w:vMerge w:val="continue"/>
                  <w:tcBorders>
                    <w:tl2br w:val="nil"/>
                    <w:tr2bl w:val="nil"/>
                  </w:tcBorders>
                  <w:vAlign w:val="center"/>
                </w:tcPr>
                <w:p>
                  <w:pPr>
                    <w:spacing w:line="240" w:lineRule="atLeast"/>
                    <w:jc w:val="center"/>
                    <w:rPr>
                      <w:szCs w:val="21"/>
                    </w:rPr>
                  </w:pPr>
                </w:p>
              </w:tc>
              <w:tc>
                <w:tcPr>
                  <w:tcW w:w="1199" w:type="pct"/>
                  <w:gridSpan w:val="2"/>
                  <w:tcBorders>
                    <w:tl2br w:val="nil"/>
                    <w:tr2bl w:val="nil"/>
                  </w:tcBorders>
                  <w:vAlign w:val="center"/>
                </w:tcPr>
                <w:p>
                  <w:pPr>
                    <w:spacing w:line="240" w:lineRule="atLeast"/>
                    <w:jc w:val="center"/>
                    <w:rPr>
                      <w:szCs w:val="21"/>
                    </w:rPr>
                  </w:pPr>
                  <w:r>
                    <w:rPr>
                      <w:rFonts w:hint="eastAsia"/>
                      <w:szCs w:val="21"/>
                    </w:rPr>
                    <w:t>噪声</w:t>
                  </w:r>
                </w:p>
              </w:tc>
              <w:tc>
                <w:tcPr>
                  <w:tcW w:w="2939" w:type="pct"/>
                  <w:tcBorders>
                    <w:tl2br w:val="nil"/>
                    <w:tr2bl w:val="nil"/>
                  </w:tcBorders>
                  <w:vAlign w:val="center"/>
                </w:tcPr>
                <w:p>
                  <w:pPr>
                    <w:spacing w:line="240" w:lineRule="atLeast"/>
                    <w:jc w:val="center"/>
                    <w:rPr>
                      <w:szCs w:val="21"/>
                    </w:rPr>
                  </w:pPr>
                  <w:r>
                    <w:rPr>
                      <w:szCs w:val="21"/>
                    </w:rPr>
                    <w:t>室内隔声</w:t>
                  </w:r>
                  <w:r>
                    <w:rPr>
                      <w:rFonts w:hint="eastAsia"/>
                      <w:szCs w:val="21"/>
                    </w:rPr>
                    <w:t>、基础减震</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restart"/>
                  <w:tcBorders>
                    <w:tl2br w:val="nil"/>
                    <w:tr2bl w:val="nil"/>
                  </w:tcBorders>
                  <w:vAlign w:val="center"/>
                </w:tcPr>
                <w:p>
                  <w:pPr>
                    <w:spacing w:line="240" w:lineRule="atLeast"/>
                    <w:jc w:val="center"/>
                    <w:rPr>
                      <w:szCs w:val="21"/>
                    </w:rPr>
                  </w:pPr>
                  <w:r>
                    <w:rPr>
                      <w:szCs w:val="21"/>
                    </w:rPr>
                    <w:t>固废</w:t>
                  </w:r>
                </w:p>
              </w:tc>
              <w:tc>
                <w:tcPr>
                  <w:tcW w:w="676" w:type="pct"/>
                  <w:tcBorders>
                    <w:tl2br w:val="nil"/>
                    <w:tr2bl w:val="nil"/>
                  </w:tcBorders>
                  <w:vAlign w:val="center"/>
                </w:tcPr>
                <w:p>
                  <w:pPr>
                    <w:spacing w:line="240" w:lineRule="atLeast"/>
                    <w:jc w:val="center"/>
                    <w:rPr>
                      <w:szCs w:val="21"/>
                    </w:rPr>
                  </w:pPr>
                  <w:r>
                    <w:rPr>
                      <w:rFonts w:hint="eastAsia"/>
                      <w:szCs w:val="21"/>
                    </w:rPr>
                    <w:t>奶制品加工过滤奶渣</w:t>
                  </w:r>
                </w:p>
              </w:tc>
              <w:tc>
                <w:tcPr>
                  <w:tcW w:w="2939" w:type="pct"/>
                  <w:tcBorders>
                    <w:tl2br w:val="nil"/>
                    <w:tr2bl w:val="nil"/>
                  </w:tcBorders>
                  <w:vAlign w:val="center"/>
                </w:tcPr>
                <w:p>
                  <w:pPr>
                    <w:spacing w:line="240" w:lineRule="atLeast"/>
                    <w:jc w:val="left"/>
                  </w:pPr>
                  <w:r>
                    <w:rPr>
                      <w:rFonts w:hint="eastAsia"/>
                    </w:rPr>
                    <w:t>奶制品加工过程过滤奶渣，主要成成分为奶渣、水、蛋白质、黄油，收集后作为餐厨垃圾处理</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rPr>
                    <w:t>复合调味品鸡蛋壳和过滤物</w:t>
                  </w:r>
                </w:p>
              </w:tc>
              <w:tc>
                <w:tcPr>
                  <w:tcW w:w="2939" w:type="pct"/>
                  <w:tcBorders>
                    <w:tl2br w:val="nil"/>
                    <w:tr2bl w:val="nil"/>
                  </w:tcBorders>
                  <w:vAlign w:val="center"/>
                </w:tcPr>
                <w:p>
                  <w:pPr>
                    <w:pStyle w:val="2"/>
                    <w:jc w:val="left"/>
                    <w:rPr>
                      <w:szCs w:val="21"/>
                    </w:rPr>
                  </w:pPr>
                  <w:r>
                    <w:rPr>
                      <w:rFonts w:hint="eastAsia"/>
                    </w:rPr>
                    <w:t>过滤物主要蛋白质和油脂类的滤纸，与生活垃圾一同交环卫部门处置。</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pPr>
                  <w:r>
                    <w:rPr>
                      <w:rFonts w:hint="eastAsia" w:cs="宋体"/>
                      <w:szCs w:val="21"/>
                    </w:rPr>
                    <w:t>奶制品、复合调味料废包装物桶类和瓶装类</w:t>
                  </w:r>
                </w:p>
              </w:tc>
              <w:tc>
                <w:tcPr>
                  <w:tcW w:w="2939" w:type="pct"/>
                  <w:tcBorders>
                    <w:tl2br w:val="nil"/>
                    <w:tr2bl w:val="nil"/>
                  </w:tcBorders>
                  <w:vAlign w:val="center"/>
                </w:tcPr>
                <w:p>
                  <w:pPr>
                    <w:adjustRightInd w:val="0"/>
                    <w:snapToGrid w:val="0"/>
                    <w:rPr>
                      <w:rFonts w:cs="宋体"/>
                      <w:szCs w:val="21"/>
                    </w:rPr>
                  </w:pPr>
                  <w:r>
                    <w:rPr>
                      <w:rFonts w:hint="eastAsia" w:cs="宋体"/>
                      <w:szCs w:val="21"/>
                    </w:rPr>
                    <w:t>部分返回厂家回收处理，剩余部分收集外卖废品处理；</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rPr>
                    <w:t>污水处理站污泥</w:t>
                  </w:r>
                </w:p>
              </w:tc>
              <w:tc>
                <w:tcPr>
                  <w:tcW w:w="2939" w:type="pct"/>
                  <w:tcBorders>
                    <w:tl2br w:val="nil"/>
                    <w:tr2bl w:val="nil"/>
                  </w:tcBorders>
                  <w:vAlign w:val="center"/>
                </w:tcPr>
                <w:p>
                  <w:pPr>
                    <w:pStyle w:val="2"/>
                    <w:jc w:val="left"/>
                  </w:pPr>
                  <w:r>
                    <w:rPr>
                      <w:rFonts w:hint="eastAsia"/>
                    </w:rPr>
                    <w:t>收集后定期交环卫部门处置。</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pPr>
                  <w:r>
                    <w:rPr>
                      <w:rFonts w:hint="eastAsia"/>
                    </w:rPr>
                    <w:t>实验室废物</w:t>
                  </w:r>
                </w:p>
              </w:tc>
              <w:tc>
                <w:tcPr>
                  <w:tcW w:w="2939" w:type="pct"/>
                  <w:tcBorders>
                    <w:tl2br w:val="nil"/>
                    <w:tr2bl w:val="nil"/>
                  </w:tcBorders>
                  <w:vAlign w:val="center"/>
                </w:tcPr>
                <w:p>
                  <w:pPr>
                    <w:pStyle w:val="2"/>
                    <w:ind w:firstLine="0" w:firstLineChars="0"/>
                    <w:jc w:val="left"/>
                  </w:pPr>
                  <w:r>
                    <w:rPr>
                      <w:rFonts w:hint="eastAsia"/>
                    </w:rPr>
                    <w:t>依托一期危废间暂存，定期交有资质单位处置</w:t>
                  </w:r>
                </w:p>
              </w:tc>
              <w:tc>
                <w:tcPr>
                  <w:tcW w:w="517" w:type="pct"/>
                  <w:tcBorders>
                    <w:tl2br w:val="nil"/>
                    <w:tr2bl w:val="nil"/>
                  </w:tcBorders>
                  <w:vAlign w:val="center"/>
                </w:tcPr>
                <w:p>
                  <w:pPr>
                    <w:spacing w:line="240" w:lineRule="atLeast"/>
                    <w:ind w:left="-21" w:leftChars="-10" w:right="-21" w:rightChars="-1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45" w:type="pct"/>
                  <w:vMerge w:val="continue"/>
                  <w:tcBorders>
                    <w:tl2br w:val="nil"/>
                    <w:tr2bl w:val="nil"/>
                  </w:tcBorders>
                  <w:vAlign w:val="center"/>
                </w:tcPr>
                <w:p>
                  <w:pPr>
                    <w:spacing w:line="240" w:lineRule="atLeast"/>
                    <w:jc w:val="center"/>
                    <w:rPr>
                      <w:szCs w:val="21"/>
                    </w:rPr>
                  </w:pPr>
                </w:p>
              </w:tc>
              <w:tc>
                <w:tcPr>
                  <w:tcW w:w="523" w:type="pct"/>
                  <w:vMerge w:val="continue"/>
                  <w:tcBorders>
                    <w:tl2br w:val="nil"/>
                    <w:tr2bl w:val="nil"/>
                  </w:tcBorders>
                  <w:vAlign w:val="center"/>
                </w:tcPr>
                <w:p>
                  <w:pPr>
                    <w:spacing w:line="240" w:lineRule="atLeast"/>
                    <w:jc w:val="center"/>
                    <w:rPr>
                      <w:szCs w:val="21"/>
                    </w:rPr>
                  </w:pPr>
                </w:p>
              </w:tc>
              <w:tc>
                <w:tcPr>
                  <w:tcW w:w="676" w:type="pct"/>
                  <w:tcBorders>
                    <w:tl2br w:val="nil"/>
                    <w:tr2bl w:val="nil"/>
                  </w:tcBorders>
                  <w:vAlign w:val="center"/>
                </w:tcPr>
                <w:p>
                  <w:pPr>
                    <w:spacing w:line="240" w:lineRule="atLeast"/>
                    <w:jc w:val="center"/>
                    <w:rPr>
                      <w:szCs w:val="21"/>
                    </w:rPr>
                  </w:pPr>
                  <w:r>
                    <w:rPr>
                      <w:rFonts w:hint="eastAsia"/>
                      <w:szCs w:val="21"/>
                    </w:rPr>
                    <w:t>生活垃圾</w:t>
                  </w:r>
                </w:p>
              </w:tc>
              <w:tc>
                <w:tcPr>
                  <w:tcW w:w="2939" w:type="pct"/>
                  <w:tcBorders>
                    <w:tl2br w:val="nil"/>
                    <w:tr2bl w:val="nil"/>
                  </w:tcBorders>
                  <w:vAlign w:val="center"/>
                </w:tcPr>
                <w:p>
                  <w:pPr>
                    <w:pStyle w:val="2"/>
                    <w:jc w:val="left"/>
                  </w:pPr>
                  <w:r>
                    <w:rPr>
                      <w:rFonts w:hint="eastAsia"/>
                      <w:szCs w:val="21"/>
                    </w:rPr>
                    <w:t>厂区垃圾桶内，集中收集后定期由当地环卫部门统一清运；</w:t>
                  </w:r>
                </w:p>
              </w:tc>
              <w:tc>
                <w:tcPr>
                  <w:tcW w:w="517" w:type="pct"/>
                  <w:tcBorders>
                    <w:tl2br w:val="nil"/>
                    <w:tr2bl w:val="nil"/>
                  </w:tcBorders>
                  <w:vAlign w:val="center"/>
                </w:tcPr>
                <w:p>
                  <w:pPr>
                    <w:spacing w:line="240" w:lineRule="atLeast"/>
                    <w:ind w:left="-21" w:leftChars="-10" w:right="-21" w:rightChars="-10"/>
                    <w:jc w:val="center"/>
                    <w:rPr>
                      <w:szCs w:val="21"/>
                    </w:rPr>
                  </w:pPr>
                </w:p>
              </w:tc>
            </w:tr>
          </w:tbl>
          <w:p>
            <w:pPr>
              <w:spacing w:line="360" w:lineRule="auto"/>
              <w:ind w:firstLine="482" w:firstLineChars="200"/>
              <w:rPr>
                <w:b/>
                <w:sz w:val="24"/>
              </w:rPr>
            </w:pPr>
            <w:r>
              <w:rPr>
                <w:rFonts w:hint="eastAsia"/>
                <w:b/>
                <w:sz w:val="24"/>
              </w:rPr>
              <w:t>2</w:t>
            </w:r>
            <w:r>
              <w:rPr>
                <w:b/>
                <w:sz w:val="24"/>
              </w:rPr>
              <w:t>.3</w:t>
            </w:r>
            <w:r>
              <w:rPr>
                <w:rFonts w:hint="eastAsia"/>
                <w:b/>
                <w:sz w:val="24"/>
              </w:rPr>
              <w:t>主要产品方案</w:t>
            </w:r>
          </w:p>
          <w:p>
            <w:pPr>
              <w:spacing w:line="360" w:lineRule="auto"/>
              <w:jc w:val="center"/>
              <w:rPr>
                <w:b/>
                <w:sz w:val="24"/>
              </w:rPr>
            </w:pPr>
            <w:r>
              <w:rPr>
                <w:rFonts w:hint="eastAsia"/>
                <w:b/>
                <w:sz w:val="24"/>
              </w:rPr>
              <w:t>表2-3 主要产品方案表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020"/>
              <w:gridCol w:w="1020"/>
              <w:gridCol w:w="2033"/>
              <w:gridCol w:w="733"/>
              <w:gridCol w:w="1166"/>
              <w:gridCol w:w="16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4" w:type="pct"/>
                  <w:tcBorders>
                    <w:tl2br w:val="nil"/>
                    <w:tr2bl w:val="nil"/>
                  </w:tcBorders>
                  <w:vAlign w:val="center"/>
                </w:tcPr>
                <w:p>
                  <w:pPr>
                    <w:pStyle w:val="12"/>
                    <w:adjustRightInd/>
                    <w:spacing w:after="0" w:line="240" w:lineRule="auto"/>
                    <w:ind w:left="0" w:leftChars="0"/>
                    <w:jc w:val="center"/>
                    <w:textAlignment w:val="auto"/>
                    <w:rPr>
                      <w:b/>
                      <w:szCs w:val="21"/>
                    </w:rPr>
                  </w:pPr>
                  <w:r>
                    <w:rPr>
                      <w:b/>
                      <w:szCs w:val="21"/>
                    </w:rPr>
                    <w:t>序号</w:t>
                  </w:r>
                </w:p>
              </w:tc>
              <w:tc>
                <w:tcPr>
                  <w:tcW w:w="608" w:type="pct"/>
                  <w:tcBorders>
                    <w:tl2br w:val="nil"/>
                    <w:tr2bl w:val="nil"/>
                  </w:tcBorders>
                  <w:vAlign w:val="center"/>
                </w:tcPr>
                <w:p>
                  <w:pPr>
                    <w:pStyle w:val="12"/>
                    <w:adjustRightInd/>
                    <w:spacing w:after="0" w:line="240" w:lineRule="auto"/>
                    <w:ind w:left="0" w:leftChars="0"/>
                    <w:jc w:val="center"/>
                    <w:textAlignment w:val="auto"/>
                    <w:rPr>
                      <w:b/>
                      <w:szCs w:val="21"/>
                    </w:rPr>
                  </w:pPr>
                  <w:r>
                    <w:rPr>
                      <w:b/>
                      <w:szCs w:val="21"/>
                    </w:rPr>
                    <w:t>类别</w:t>
                  </w:r>
                </w:p>
              </w:tc>
              <w:tc>
                <w:tcPr>
                  <w:tcW w:w="608" w:type="pct"/>
                  <w:tcBorders>
                    <w:tl2br w:val="nil"/>
                    <w:tr2bl w:val="nil"/>
                  </w:tcBorders>
                  <w:vAlign w:val="center"/>
                </w:tcPr>
                <w:p>
                  <w:pPr>
                    <w:pStyle w:val="12"/>
                    <w:adjustRightInd/>
                    <w:spacing w:after="0" w:line="240" w:lineRule="auto"/>
                    <w:ind w:left="0" w:leftChars="0"/>
                    <w:jc w:val="center"/>
                    <w:textAlignment w:val="auto"/>
                    <w:rPr>
                      <w:b/>
                      <w:szCs w:val="21"/>
                    </w:rPr>
                  </w:pPr>
                  <w:r>
                    <w:rPr>
                      <w:b/>
                      <w:szCs w:val="21"/>
                    </w:rPr>
                    <w:t>产品名称</w:t>
                  </w:r>
                </w:p>
              </w:tc>
              <w:tc>
                <w:tcPr>
                  <w:tcW w:w="1212" w:type="pct"/>
                  <w:tcBorders>
                    <w:tl2br w:val="nil"/>
                    <w:tr2bl w:val="nil"/>
                  </w:tcBorders>
                  <w:vAlign w:val="center"/>
                </w:tcPr>
                <w:p>
                  <w:pPr>
                    <w:pStyle w:val="12"/>
                    <w:adjustRightInd/>
                    <w:spacing w:after="0" w:line="240" w:lineRule="auto"/>
                    <w:ind w:left="0" w:leftChars="0"/>
                    <w:jc w:val="center"/>
                    <w:textAlignment w:val="auto"/>
                    <w:rPr>
                      <w:b/>
                      <w:szCs w:val="21"/>
                    </w:rPr>
                  </w:pPr>
                  <w:r>
                    <w:rPr>
                      <w:rFonts w:hint="eastAsia"/>
                      <w:b/>
                      <w:szCs w:val="21"/>
                    </w:rPr>
                    <w:t>具体产品</w:t>
                  </w:r>
                </w:p>
              </w:tc>
              <w:tc>
                <w:tcPr>
                  <w:tcW w:w="437" w:type="pct"/>
                  <w:tcBorders>
                    <w:tl2br w:val="nil"/>
                    <w:tr2bl w:val="nil"/>
                  </w:tcBorders>
                  <w:vAlign w:val="center"/>
                </w:tcPr>
                <w:p>
                  <w:pPr>
                    <w:pStyle w:val="12"/>
                    <w:adjustRightInd/>
                    <w:spacing w:after="0" w:line="240" w:lineRule="auto"/>
                    <w:ind w:left="0" w:leftChars="0"/>
                    <w:jc w:val="center"/>
                    <w:textAlignment w:val="auto"/>
                    <w:rPr>
                      <w:b/>
                      <w:szCs w:val="21"/>
                    </w:rPr>
                  </w:pPr>
                  <w:r>
                    <w:rPr>
                      <w:b/>
                      <w:szCs w:val="21"/>
                    </w:rPr>
                    <w:t>单位</w:t>
                  </w:r>
                </w:p>
              </w:tc>
              <w:tc>
                <w:tcPr>
                  <w:tcW w:w="695" w:type="pct"/>
                  <w:tcBorders>
                    <w:tl2br w:val="nil"/>
                    <w:tr2bl w:val="nil"/>
                  </w:tcBorders>
                  <w:vAlign w:val="center"/>
                </w:tcPr>
                <w:p>
                  <w:pPr>
                    <w:pStyle w:val="12"/>
                    <w:adjustRightInd/>
                    <w:spacing w:after="0" w:line="360" w:lineRule="exact"/>
                    <w:ind w:left="0" w:leftChars="0"/>
                    <w:jc w:val="center"/>
                    <w:textAlignment w:val="auto"/>
                    <w:rPr>
                      <w:b/>
                      <w:szCs w:val="21"/>
                    </w:rPr>
                  </w:pPr>
                  <w:r>
                    <w:rPr>
                      <w:rFonts w:hint="eastAsia"/>
                      <w:b/>
                      <w:szCs w:val="21"/>
                    </w:rPr>
                    <w:t>年</w:t>
                  </w:r>
                  <w:r>
                    <w:rPr>
                      <w:b/>
                      <w:szCs w:val="21"/>
                    </w:rPr>
                    <w:t>产量</w:t>
                  </w:r>
                </w:p>
              </w:tc>
              <w:tc>
                <w:tcPr>
                  <w:tcW w:w="1006" w:type="pct"/>
                  <w:tcBorders>
                    <w:tl2br w:val="nil"/>
                    <w:tr2bl w:val="nil"/>
                  </w:tcBorders>
                  <w:vAlign w:val="center"/>
                </w:tcPr>
                <w:p>
                  <w:pPr>
                    <w:pStyle w:val="12"/>
                    <w:adjustRightInd/>
                    <w:spacing w:after="0" w:line="360" w:lineRule="exact"/>
                    <w:ind w:left="0" w:leftChars="0"/>
                    <w:jc w:val="center"/>
                    <w:textAlignment w:val="auto"/>
                    <w:rPr>
                      <w:b/>
                      <w:szCs w:val="21"/>
                    </w:rPr>
                  </w:pPr>
                  <w:r>
                    <w:rPr>
                      <w:rFonts w:hint="eastAsia"/>
                      <w:b/>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4" w:type="pct"/>
                  <w:vMerge w:val="restart"/>
                  <w:tcBorders>
                    <w:tl2br w:val="nil"/>
                    <w:tr2bl w:val="nil"/>
                  </w:tcBorders>
                  <w:vAlign w:val="center"/>
                </w:tcPr>
                <w:p>
                  <w:pPr>
                    <w:jc w:val="center"/>
                    <w:rPr>
                      <w:szCs w:val="21"/>
                    </w:rPr>
                  </w:pPr>
                  <w:r>
                    <w:rPr>
                      <w:rFonts w:hint="eastAsia"/>
                      <w:szCs w:val="21"/>
                    </w:rPr>
                    <w:t>一期工程</w:t>
                  </w:r>
                </w:p>
              </w:tc>
              <w:tc>
                <w:tcPr>
                  <w:tcW w:w="608" w:type="pct"/>
                  <w:tcBorders>
                    <w:tl2br w:val="nil"/>
                    <w:tr2bl w:val="nil"/>
                  </w:tcBorders>
                  <w:vAlign w:val="center"/>
                </w:tcPr>
                <w:p>
                  <w:pPr>
                    <w:jc w:val="center"/>
                    <w:rPr>
                      <w:szCs w:val="21"/>
                    </w:rPr>
                  </w:pPr>
                  <w:r>
                    <w:rPr>
                      <w:rFonts w:hint="eastAsia"/>
                      <w:szCs w:val="21"/>
                    </w:rPr>
                    <w:t>乳制品制造</w:t>
                  </w:r>
                </w:p>
              </w:tc>
              <w:tc>
                <w:tcPr>
                  <w:tcW w:w="608" w:type="pct"/>
                  <w:tcBorders>
                    <w:tl2br w:val="nil"/>
                    <w:tr2bl w:val="nil"/>
                  </w:tcBorders>
                  <w:vAlign w:val="center"/>
                </w:tcPr>
                <w:p>
                  <w:pPr>
                    <w:jc w:val="center"/>
                    <w:rPr>
                      <w:szCs w:val="21"/>
                    </w:rPr>
                  </w:pPr>
                  <w:r>
                    <w:rPr>
                      <w:rFonts w:hint="eastAsia"/>
                      <w:szCs w:val="21"/>
                    </w:rPr>
                    <w:t>奶油制品</w:t>
                  </w:r>
                </w:p>
              </w:tc>
              <w:tc>
                <w:tcPr>
                  <w:tcW w:w="1212" w:type="pct"/>
                  <w:tcBorders>
                    <w:tl2br w:val="nil"/>
                    <w:tr2bl w:val="nil"/>
                  </w:tcBorders>
                  <w:vAlign w:val="center"/>
                </w:tcPr>
                <w:p>
                  <w:pPr>
                    <w:jc w:val="center"/>
                    <w:rPr>
                      <w:szCs w:val="21"/>
                    </w:rPr>
                  </w:pPr>
                  <w:r>
                    <w:rPr>
                      <w:rFonts w:hint="eastAsia"/>
                      <w:szCs w:val="21"/>
                    </w:rPr>
                    <w:t>浓缩奶油、特浓奶油、特浓黄油、黄油浓缩物、奶油浓缩物、大蒜黄油、香草黄油、生姜黄油、烤黄油等</w:t>
                  </w:r>
                </w:p>
              </w:tc>
              <w:tc>
                <w:tcPr>
                  <w:tcW w:w="437" w:type="pct"/>
                  <w:tcBorders>
                    <w:tl2br w:val="nil"/>
                    <w:tr2bl w:val="nil"/>
                  </w:tcBorders>
                  <w:vAlign w:val="center"/>
                </w:tcPr>
                <w:p>
                  <w:pPr>
                    <w:jc w:val="center"/>
                    <w:rPr>
                      <w:szCs w:val="21"/>
                    </w:rPr>
                  </w:pPr>
                  <w:r>
                    <w:rPr>
                      <w:szCs w:val="21"/>
                    </w:rPr>
                    <w:t>吨</w:t>
                  </w:r>
                </w:p>
              </w:tc>
              <w:tc>
                <w:tcPr>
                  <w:tcW w:w="695" w:type="pct"/>
                  <w:tcBorders>
                    <w:tl2br w:val="nil"/>
                    <w:tr2bl w:val="nil"/>
                  </w:tcBorders>
                  <w:vAlign w:val="center"/>
                </w:tcPr>
                <w:p>
                  <w:pPr>
                    <w:spacing w:line="360" w:lineRule="exact"/>
                    <w:jc w:val="center"/>
                    <w:rPr>
                      <w:szCs w:val="21"/>
                    </w:rPr>
                  </w:pPr>
                  <w:r>
                    <w:rPr>
                      <w:rFonts w:hint="eastAsia"/>
                      <w:szCs w:val="21"/>
                    </w:rPr>
                    <w:t>约200</w:t>
                  </w:r>
                </w:p>
              </w:tc>
              <w:tc>
                <w:tcPr>
                  <w:tcW w:w="1006" w:type="pct"/>
                  <w:tcBorders>
                    <w:tl2br w:val="nil"/>
                    <w:tr2bl w:val="nil"/>
                  </w:tcBorders>
                  <w:vAlign w:val="center"/>
                </w:tcPr>
                <w:p>
                  <w:pPr>
                    <w:spacing w:line="360" w:lineRule="exact"/>
                    <w:jc w:val="center"/>
                    <w:rPr>
                      <w:szCs w:val="21"/>
                    </w:rPr>
                  </w:pPr>
                  <w:r>
                    <w:rPr>
                      <w:rFonts w:hint="eastAsia"/>
                      <w:szCs w:val="21"/>
                    </w:rPr>
                    <w:t>《内蒙古荣丰食品香料有限公司_企业标准备案文件》 （Q150378S-2023）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4" w:type="pct"/>
                  <w:vMerge w:val="continue"/>
                  <w:tcBorders>
                    <w:tl2br w:val="nil"/>
                    <w:tr2bl w:val="nil"/>
                  </w:tcBorders>
                  <w:vAlign w:val="center"/>
                </w:tcPr>
                <w:p>
                  <w:pPr>
                    <w:jc w:val="center"/>
                    <w:rPr>
                      <w:szCs w:val="21"/>
                    </w:rPr>
                  </w:pPr>
                </w:p>
              </w:tc>
              <w:tc>
                <w:tcPr>
                  <w:tcW w:w="608" w:type="pct"/>
                  <w:tcBorders>
                    <w:tl2br w:val="nil"/>
                    <w:tr2bl w:val="nil"/>
                  </w:tcBorders>
                  <w:vAlign w:val="center"/>
                </w:tcPr>
                <w:p>
                  <w:pPr>
                    <w:jc w:val="center"/>
                    <w:rPr>
                      <w:szCs w:val="21"/>
                    </w:rPr>
                  </w:pPr>
                  <w:r>
                    <w:rPr>
                      <w:rFonts w:hint="eastAsia"/>
                      <w:szCs w:val="21"/>
                    </w:rPr>
                    <w:t>调味品制造</w:t>
                  </w:r>
                </w:p>
              </w:tc>
              <w:tc>
                <w:tcPr>
                  <w:tcW w:w="608" w:type="pct"/>
                  <w:tcBorders>
                    <w:tl2br w:val="nil"/>
                    <w:tr2bl w:val="nil"/>
                  </w:tcBorders>
                  <w:vAlign w:val="center"/>
                </w:tcPr>
                <w:p>
                  <w:pPr>
                    <w:jc w:val="center"/>
                    <w:rPr>
                      <w:szCs w:val="21"/>
                    </w:rPr>
                  </w:pPr>
                  <w:r>
                    <w:rPr>
                      <w:rFonts w:hint="eastAsia"/>
                      <w:szCs w:val="21"/>
                    </w:rPr>
                    <w:t>复合调味料</w:t>
                  </w:r>
                </w:p>
              </w:tc>
              <w:tc>
                <w:tcPr>
                  <w:tcW w:w="1212" w:type="pct"/>
                  <w:tcBorders>
                    <w:tl2br w:val="nil"/>
                    <w:tr2bl w:val="nil"/>
                  </w:tcBorders>
                  <w:vAlign w:val="center"/>
                </w:tcPr>
                <w:p>
                  <w:pPr>
                    <w:jc w:val="center"/>
                    <w:rPr>
                      <w:szCs w:val="21"/>
                    </w:rPr>
                  </w:pPr>
                  <w:r>
                    <w:rPr>
                      <w:rFonts w:hint="eastAsia"/>
                    </w:rPr>
                    <w:t>鸡蛋风味酱、可可风味酱、蛋黄酱等</w:t>
                  </w:r>
                </w:p>
              </w:tc>
              <w:tc>
                <w:tcPr>
                  <w:tcW w:w="437" w:type="pct"/>
                  <w:tcBorders>
                    <w:tl2br w:val="nil"/>
                    <w:tr2bl w:val="nil"/>
                  </w:tcBorders>
                  <w:vAlign w:val="center"/>
                </w:tcPr>
                <w:p>
                  <w:pPr>
                    <w:jc w:val="center"/>
                    <w:rPr>
                      <w:szCs w:val="21"/>
                    </w:rPr>
                  </w:pPr>
                  <w:r>
                    <w:rPr>
                      <w:szCs w:val="21"/>
                    </w:rPr>
                    <w:t>吨</w:t>
                  </w:r>
                </w:p>
              </w:tc>
              <w:tc>
                <w:tcPr>
                  <w:tcW w:w="695" w:type="pct"/>
                  <w:tcBorders>
                    <w:tl2br w:val="nil"/>
                    <w:tr2bl w:val="nil"/>
                  </w:tcBorders>
                  <w:vAlign w:val="center"/>
                </w:tcPr>
                <w:p>
                  <w:pPr>
                    <w:spacing w:line="360" w:lineRule="exact"/>
                    <w:jc w:val="center"/>
                    <w:rPr>
                      <w:szCs w:val="21"/>
                    </w:rPr>
                  </w:pPr>
                  <w:r>
                    <w:rPr>
                      <w:rFonts w:hint="eastAsia"/>
                      <w:szCs w:val="21"/>
                    </w:rPr>
                    <w:t>约20</w:t>
                  </w:r>
                </w:p>
              </w:tc>
              <w:tc>
                <w:tcPr>
                  <w:tcW w:w="1006" w:type="pct"/>
                  <w:tcBorders>
                    <w:tl2br w:val="nil"/>
                    <w:tr2bl w:val="nil"/>
                  </w:tcBorders>
                  <w:vAlign w:val="center"/>
                </w:tcPr>
                <w:p>
                  <w:pPr>
                    <w:spacing w:line="360" w:lineRule="exact"/>
                    <w:jc w:val="center"/>
                    <w:rPr>
                      <w:szCs w:val="21"/>
                    </w:rPr>
                  </w:pPr>
                  <w:r>
                    <w:rPr>
                      <w:rFonts w:hint="eastAsia"/>
                    </w:rPr>
                    <w:t>《食品安全国家标准 复合调味料》（GB 31644-2018）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4" w:type="pct"/>
                  <w:vMerge w:val="continue"/>
                  <w:tcBorders>
                    <w:tl2br w:val="nil"/>
                    <w:tr2bl w:val="nil"/>
                  </w:tcBorders>
                  <w:vAlign w:val="center"/>
                </w:tcPr>
                <w:p>
                  <w:pPr>
                    <w:jc w:val="center"/>
                    <w:rPr>
                      <w:szCs w:val="21"/>
                    </w:rPr>
                  </w:pPr>
                </w:p>
              </w:tc>
              <w:tc>
                <w:tcPr>
                  <w:tcW w:w="608" w:type="pct"/>
                  <w:tcBorders>
                    <w:tl2br w:val="nil"/>
                    <w:tr2bl w:val="nil"/>
                  </w:tcBorders>
                  <w:vAlign w:val="center"/>
                </w:tcPr>
                <w:p>
                  <w:pPr>
                    <w:jc w:val="center"/>
                    <w:rPr>
                      <w:szCs w:val="21"/>
                    </w:rPr>
                  </w:pPr>
                  <w:r>
                    <w:rPr>
                      <w:rFonts w:hint="eastAsia"/>
                      <w:szCs w:val="21"/>
                    </w:rPr>
                    <w:t>其他食品制造</w:t>
                  </w:r>
                </w:p>
              </w:tc>
              <w:tc>
                <w:tcPr>
                  <w:tcW w:w="608" w:type="pct"/>
                  <w:tcBorders>
                    <w:tl2br w:val="nil"/>
                    <w:tr2bl w:val="nil"/>
                  </w:tcBorders>
                  <w:vAlign w:val="center"/>
                </w:tcPr>
                <w:p>
                  <w:pPr>
                    <w:jc w:val="center"/>
                    <w:rPr>
                      <w:szCs w:val="21"/>
                    </w:rPr>
                  </w:pPr>
                  <w:r>
                    <w:rPr>
                      <w:rFonts w:hint="eastAsia"/>
                      <w:szCs w:val="21"/>
                    </w:rPr>
                    <w:t>食品添加剂（食品用香精）</w:t>
                  </w:r>
                </w:p>
              </w:tc>
              <w:tc>
                <w:tcPr>
                  <w:tcW w:w="1212" w:type="pct"/>
                  <w:tcBorders>
                    <w:tl2br w:val="nil"/>
                    <w:tr2bl w:val="nil"/>
                  </w:tcBorders>
                  <w:vAlign w:val="center"/>
                </w:tcPr>
                <w:p>
                  <w:pPr>
                    <w:jc w:val="center"/>
                    <w:rPr>
                      <w:szCs w:val="21"/>
                    </w:rPr>
                  </w:pPr>
                  <w:r>
                    <w:rPr>
                      <w:rFonts w:hint="eastAsia"/>
                    </w:rPr>
                    <w:t>牛奶油香精、黄油油香精、酸奶油香精、芝士油香精、奶油油香精等</w:t>
                  </w:r>
                </w:p>
              </w:tc>
              <w:tc>
                <w:tcPr>
                  <w:tcW w:w="437" w:type="pct"/>
                  <w:tcBorders>
                    <w:tl2br w:val="nil"/>
                    <w:tr2bl w:val="nil"/>
                  </w:tcBorders>
                  <w:vAlign w:val="center"/>
                </w:tcPr>
                <w:p>
                  <w:pPr>
                    <w:jc w:val="center"/>
                    <w:rPr>
                      <w:szCs w:val="21"/>
                    </w:rPr>
                  </w:pPr>
                  <w:r>
                    <w:rPr>
                      <w:szCs w:val="21"/>
                    </w:rPr>
                    <w:t>吨</w:t>
                  </w:r>
                </w:p>
              </w:tc>
              <w:tc>
                <w:tcPr>
                  <w:tcW w:w="695" w:type="pct"/>
                  <w:tcBorders>
                    <w:tl2br w:val="nil"/>
                    <w:tr2bl w:val="nil"/>
                  </w:tcBorders>
                  <w:vAlign w:val="center"/>
                </w:tcPr>
                <w:p>
                  <w:pPr>
                    <w:spacing w:line="360" w:lineRule="exact"/>
                    <w:jc w:val="center"/>
                    <w:rPr>
                      <w:szCs w:val="21"/>
                    </w:rPr>
                  </w:pPr>
                  <w:r>
                    <w:rPr>
                      <w:rFonts w:hint="eastAsia"/>
                      <w:szCs w:val="21"/>
                    </w:rPr>
                    <w:t>约100</w:t>
                  </w:r>
                </w:p>
              </w:tc>
              <w:tc>
                <w:tcPr>
                  <w:tcW w:w="1006" w:type="pct"/>
                  <w:tcBorders>
                    <w:tl2br w:val="nil"/>
                    <w:tr2bl w:val="nil"/>
                  </w:tcBorders>
                  <w:vAlign w:val="center"/>
                </w:tcPr>
                <w:p>
                  <w:pPr>
                    <w:spacing w:line="360" w:lineRule="exact"/>
                    <w:jc w:val="center"/>
                    <w:rPr>
                      <w:szCs w:val="21"/>
                    </w:rPr>
                  </w:pPr>
                  <w:r>
                    <w:rPr>
                      <w:rFonts w:hint="eastAsia"/>
                    </w:rPr>
                    <w:t>《食品安全国家标准 食品用香精》（GB 30616-2020）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4" w:type="pct"/>
                  <w:vMerge w:val="restart"/>
                  <w:tcBorders>
                    <w:tl2br w:val="nil"/>
                    <w:tr2bl w:val="nil"/>
                  </w:tcBorders>
                  <w:vAlign w:val="center"/>
                </w:tcPr>
                <w:p>
                  <w:pPr>
                    <w:jc w:val="center"/>
                    <w:rPr>
                      <w:szCs w:val="21"/>
                    </w:rPr>
                  </w:pPr>
                  <w:r>
                    <w:rPr>
                      <w:rFonts w:hint="eastAsia"/>
                      <w:szCs w:val="21"/>
                    </w:rPr>
                    <w:t>二期工程</w:t>
                  </w:r>
                </w:p>
              </w:tc>
              <w:tc>
                <w:tcPr>
                  <w:tcW w:w="608" w:type="pct"/>
                  <w:tcBorders>
                    <w:tl2br w:val="nil"/>
                    <w:tr2bl w:val="nil"/>
                  </w:tcBorders>
                  <w:vAlign w:val="center"/>
                </w:tcPr>
                <w:p>
                  <w:pPr>
                    <w:jc w:val="center"/>
                    <w:rPr>
                      <w:szCs w:val="21"/>
                    </w:rPr>
                  </w:pPr>
                  <w:r>
                    <w:rPr>
                      <w:rFonts w:hint="eastAsia"/>
                      <w:szCs w:val="21"/>
                    </w:rPr>
                    <w:t>乳制品制造</w:t>
                  </w:r>
                </w:p>
              </w:tc>
              <w:tc>
                <w:tcPr>
                  <w:tcW w:w="608" w:type="pct"/>
                  <w:tcBorders>
                    <w:tl2br w:val="nil"/>
                    <w:tr2bl w:val="nil"/>
                  </w:tcBorders>
                  <w:vAlign w:val="center"/>
                </w:tcPr>
                <w:p>
                  <w:pPr>
                    <w:jc w:val="center"/>
                    <w:rPr>
                      <w:szCs w:val="21"/>
                    </w:rPr>
                  </w:pPr>
                  <w:r>
                    <w:rPr>
                      <w:rFonts w:hint="eastAsia"/>
                      <w:szCs w:val="21"/>
                    </w:rPr>
                    <w:t>奶油制品</w:t>
                  </w:r>
                </w:p>
              </w:tc>
              <w:tc>
                <w:tcPr>
                  <w:tcW w:w="1212" w:type="pct"/>
                  <w:tcBorders>
                    <w:tl2br w:val="nil"/>
                    <w:tr2bl w:val="nil"/>
                  </w:tcBorders>
                  <w:vAlign w:val="center"/>
                </w:tcPr>
                <w:p>
                  <w:pPr>
                    <w:jc w:val="center"/>
                    <w:rPr>
                      <w:szCs w:val="21"/>
                    </w:rPr>
                  </w:pPr>
                  <w:r>
                    <w:rPr>
                      <w:rFonts w:hint="eastAsia"/>
                      <w:szCs w:val="21"/>
                    </w:rPr>
                    <w:t>浓缩奶油、特浓奶油、特浓黄油、黄油浓缩物、奶油浓缩物、大蒜黄油、香草黄油、生姜黄油、烤黄油等</w:t>
                  </w:r>
                </w:p>
              </w:tc>
              <w:tc>
                <w:tcPr>
                  <w:tcW w:w="437" w:type="pct"/>
                  <w:tcBorders>
                    <w:tl2br w:val="nil"/>
                    <w:tr2bl w:val="nil"/>
                  </w:tcBorders>
                  <w:vAlign w:val="center"/>
                </w:tcPr>
                <w:p>
                  <w:pPr>
                    <w:jc w:val="center"/>
                    <w:rPr>
                      <w:szCs w:val="21"/>
                    </w:rPr>
                  </w:pPr>
                  <w:r>
                    <w:rPr>
                      <w:szCs w:val="21"/>
                    </w:rPr>
                    <w:t>吨</w:t>
                  </w:r>
                </w:p>
              </w:tc>
              <w:tc>
                <w:tcPr>
                  <w:tcW w:w="695" w:type="pct"/>
                  <w:tcBorders>
                    <w:tl2br w:val="nil"/>
                    <w:tr2bl w:val="nil"/>
                  </w:tcBorders>
                  <w:vAlign w:val="center"/>
                </w:tcPr>
                <w:p>
                  <w:pPr>
                    <w:spacing w:line="360" w:lineRule="exact"/>
                    <w:jc w:val="center"/>
                    <w:rPr>
                      <w:szCs w:val="21"/>
                    </w:rPr>
                  </w:pPr>
                  <w:r>
                    <w:rPr>
                      <w:rFonts w:hint="eastAsia"/>
                      <w:szCs w:val="21"/>
                    </w:rPr>
                    <w:t>约800</w:t>
                  </w:r>
                </w:p>
              </w:tc>
              <w:tc>
                <w:tcPr>
                  <w:tcW w:w="1006" w:type="pct"/>
                  <w:tcBorders>
                    <w:tl2br w:val="nil"/>
                    <w:tr2bl w:val="nil"/>
                  </w:tcBorders>
                  <w:vAlign w:val="center"/>
                </w:tcPr>
                <w:p>
                  <w:pPr>
                    <w:spacing w:line="360" w:lineRule="exact"/>
                    <w:jc w:val="center"/>
                    <w:rPr>
                      <w:szCs w:val="21"/>
                    </w:rPr>
                  </w:pPr>
                  <w:r>
                    <w:rPr>
                      <w:rFonts w:hint="eastAsia"/>
                      <w:szCs w:val="21"/>
                    </w:rPr>
                    <w:t>《内蒙古荣丰食品香料有限公司_企业标准备案文件》 （Q150378S-2023）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4" w:type="pct"/>
                  <w:vMerge w:val="continue"/>
                  <w:tcBorders>
                    <w:tl2br w:val="nil"/>
                    <w:tr2bl w:val="nil"/>
                  </w:tcBorders>
                  <w:vAlign w:val="center"/>
                </w:tcPr>
                <w:p>
                  <w:pPr>
                    <w:jc w:val="center"/>
                    <w:rPr>
                      <w:szCs w:val="21"/>
                    </w:rPr>
                  </w:pPr>
                </w:p>
              </w:tc>
              <w:tc>
                <w:tcPr>
                  <w:tcW w:w="608" w:type="pct"/>
                  <w:tcBorders>
                    <w:tl2br w:val="nil"/>
                    <w:tr2bl w:val="nil"/>
                  </w:tcBorders>
                  <w:vAlign w:val="center"/>
                </w:tcPr>
                <w:p>
                  <w:pPr>
                    <w:jc w:val="center"/>
                    <w:rPr>
                      <w:szCs w:val="21"/>
                    </w:rPr>
                  </w:pPr>
                  <w:r>
                    <w:rPr>
                      <w:rFonts w:hint="eastAsia"/>
                      <w:szCs w:val="21"/>
                    </w:rPr>
                    <w:t>调味品制造</w:t>
                  </w:r>
                </w:p>
              </w:tc>
              <w:tc>
                <w:tcPr>
                  <w:tcW w:w="608" w:type="pct"/>
                  <w:tcBorders>
                    <w:tl2br w:val="nil"/>
                    <w:tr2bl w:val="nil"/>
                  </w:tcBorders>
                  <w:vAlign w:val="center"/>
                </w:tcPr>
                <w:p>
                  <w:pPr>
                    <w:jc w:val="center"/>
                    <w:rPr>
                      <w:szCs w:val="21"/>
                    </w:rPr>
                  </w:pPr>
                  <w:r>
                    <w:rPr>
                      <w:rFonts w:hint="eastAsia"/>
                      <w:szCs w:val="21"/>
                    </w:rPr>
                    <w:t>复合调味料</w:t>
                  </w:r>
                </w:p>
              </w:tc>
              <w:tc>
                <w:tcPr>
                  <w:tcW w:w="1212" w:type="pct"/>
                  <w:tcBorders>
                    <w:tl2br w:val="nil"/>
                    <w:tr2bl w:val="nil"/>
                  </w:tcBorders>
                  <w:vAlign w:val="center"/>
                </w:tcPr>
                <w:p>
                  <w:pPr>
                    <w:jc w:val="center"/>
                    <w:rPr>
                      <w:szCs w:val="21"/>
                    </w:rPr>
                  </w:pPr>
                  <w:r>
                    <w:rPr>
                      <w:rFonts w:hint="eastAsia"/>
                    </w:rPr>
                    <w:t>鸡蛋风味酱、可可风味酱、蛋黄酱等</w:t>
                  </w:r>
                </w:p>
              </w:tc>
              <w:tc>
                <w:tcPr>
                  <w:tcW w:w="437" w:type="pct"/>
                  <w:tcBorders>
                    <w:tl2br w:val="nil"/>
                    <w:tr2bl w:val="nil"/>
                  </w:tcBorders>
                  <w:vAlign w:val="center"/>
                </w:tcPr>
                <w:p>
                  <w:pPr>
                    <w:jc w:val="center"/>
                    <w:rPr>
                      <w:szCs w:val="21"/>
                    </w:rPr>
                  </w:pPr>
                  <w:r>
                    <w:rPr>
                      <w:szCs w:val="21"/>
                    </w:rPr>
                    <w:t>吨</w:t>
                  </w:r>
                </w:p>
              </w:tc>
              <w:tc>
                <w:tcPr>
                  <w:tcW w:w="695" w:type="pct"/>
                  <w:tcBorders>
                    <w:tl2br w:val="nil"/>
                    <w:tr2bl w:val="nil"/>
                  </w:tcBorders>
                  <w:vAlign w:val="center"/>
                </w:tcPr>
                <w:p>
                  <w:pPr>
                    <w:spacing w:line="360" w:lineRule="exact"/>
                    <w:jc w:val="center"/>
                    <w:rPr>
                      <w:szCs w:val="21"/>
                    </w:rPr>
                  </w:pPr>
                  <w:r>
                    <w:rPr>
                      <w:rFonts w:hint="eastAsia"/>
                      <w:szCs w:val="21"/>
                    </w:rPr>
                    <w:t>约80</w:t>
                  </w:r>
                </w:p>
              </w:tc>
              <w:tc>
                <w:tcPr>
                  <w:tcW w:w="1006" w:type="pct"/>
                  <w:tcBorders>
                    <w:tl2br w:val="nil"/>
                    <w:tr2bl w:val="nil"/>
                  </w:tcBorders>
                  <w:vAlign w:val="center"/>
                </w:tcPr>
                <w:p>
                  <w:pPr>
                    <w:spacing w:line="360" w:lineRule="exact"/>
                    <w:jc w:val="center"/>
                    <w:rPr>
                      <w:szCs w:val="21"/>
                    </w:rPr>
                  </w:pPr>
                  <w:r>
                    <w:rPr>
                      <w:rFonts w:hint="eastAsia"/>
                    </w:rPr>
                    <w:t>《食品安全国家标准 复合调味料》（GB 31644-2018）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3299" w:type="pct"/>
                  <w:gridSpan w:val="5"/>
                  <w:tcBorders>
                    <w:tl2br w:val="nil"/>
                    <w:tr2bl w:val="nil"/>
                  </w:tcBorders>
                  <w:vAlign w:val="center"/>
                </w:tcPr>
                <w:p>
                  <w:pPr>
                    <w:jc w:val="center"/>
                    <w:rPr>
                      <w:szCs w:val="21"/>
                    </w:rPr>
                  </w:pPr>
                  <w:r>
                    <w:rPr>
                      <w:szCs w:val="21"/>
                    </w:rPr>
                    <w:t>合计</w:t>
                  </w:r>
                </w:p>
              </w:tc>
              <w:tc>
                <w:tcPr>
                  <w:tcW w:w="695" w:type="pct"/>
                  <w:tcBorders>
                    <w:tl2br w:val="nil"/>
                    <w:tr2bl w:val="nil"/>
                  </w:tcBorders>
                  <w:vAlign w:val="center"/>
                </w:tcPr>
                <w:p>
                  <w:pPr>
                    <w:spacing w:line="360" w:lineRule="exact"/>
                    <w:jc w:val="center"/>
                    <w:rPr>
                      <w:szCs w:val="21"/>
                    </w:rPr>
                  </w:pPr>
                  <w:r>
                    <w:rPr>
                      <w:rFonts w:hint="eastAsia"/>
                      <w:szCs w:val="21"/>
                    </w:rPr>
                    <w:t>约12</w:t>
                  </w:r>
                  <w:r>
                    <w:rPr>
                      <w:szCs w:val="21"/>
                    </w:rPr>
                    <w:t>00</w:t>
                  </w:r>
                </w:p>
              </w:tc>
              <w:tc>
                <w:tcPr>
                  <w:tcW w:w="1006" w:type="pct"/>
                  <w:tcBorders>
                    <w:tl2br w:val="nil"/>
                    <w:tr2bl w:val="nil"/>
                  </w:tcBorders>
                  <w:vAlign w:val="center"/>
                </w:tcPr>
                <w:p>
                  <w:pPr>
                    <w:spacing w:line="360" w:lineRule="exact"/>
                    <w:jc w:val="center"/>
                    <w:rPr>
                      <w:szCs w:val="21"/>
                    </w:rPr>
                  </w:pPr>
                </w:p>
              </w:tc>
            </w:tr>
          </w:tbl>
          <w:p>
            <w:pPr>
              <w:pStyle w:val="3"/>
              <w:numPr>
                <w:ilvl w:val="1"/>
                <w:numId w:val="3"/>
              </w:numPr>
              <w:ind w:leftChars="0"/>
              <w:rPr>
                <w:b/>
                <w:kern w:val="2"/>
                <w:szCs w:val="24"/>
              </w:rPr>
            </w:pPr>
            <w:r>
              <w:rPr>
                <w:rFonts w:hint="eastAsia"/>
                <w:b/>
                <w:kern w:val="2"/>
                <w:szCs w:val="24"/>
              </w:rPr>
              <w:t>总平面布置</w:t>
            </w:r>
          </w:p>
          <w:p>
            <w:pPr>
              <w:pStyle w:val="3"/>
              <w:spacing w:line="360" w:lineRule="auto"/>
              <w:ind w:left="0" w:leftChars="0" w:firstLine="480" w:firstLineChars="200"/>
            </w:pPr>
            <w:r>
              <w:rPr>
                <w:rFonts w:hint="eastAsia"/>
              </w:rPr>
              <w:t>本项目位于奶制品产业园内，分两期建设，其中一期工程建设2层厂房一座，二层主要布置办公室、品管室、微生物室、资料室、会议室、接待室和留样室；一层主要布置酶解车间、黄油车间、灌装间、原料仓库、包蔡室、配电间、成品仓、更衣室等。</w:t>
            </w:r>
          </w:p>
          <w:p>
            <w:pPr>
              <w:pStyle w:val="3"/>
              <w:spacing w:line="360" w:lineRule="auto"/>
              <w:ind w:left="0" w:leftChars="0" w:firstLine="480" w:firstLineChars="200"/>
            </w:pPr>
            <w:r>
              <w:rPr>
                <w:rFonts w:hint="eastAsia"/>
              </w:rPr>
              <w:t>二期建设1层厂房1座：包含酶解黄油加工区、黄油加工区、灌装车间区、原料仓、成品仓、包材仓和备用间。</w:t>
            </w:r>
          </w:p>
          <w:p>
            <w:pPr>
              <w:pStyle w:val="3"/>
              <w:spacing w:line="360" w:lineRule="auto"/>
              <w:ind w:left="0" w:leftChars="0" w:firstLine="480" w:firstLineChars="200"/>
            </w:pPr>
            <w:r>
              <w:rPr>
                <w:rFonts w:hint="eastAsia"/>
              </w:rPr>
              <w:t>平面布置图详见附图。</w:t>
            </w:r>
          </w:p>
          <w:p>
            <w:pPr>
              <w:pStyle w:val="3"/>
              <w:ind w:left="0" w:leftChars="0" w:firstLine="482" w:firstLineChars="200"/>
              <w:rPr>
                <w:b/>
                <w:bCs/>
              </w:rPr>
            </w:pPr>
            <w:r>
              <w:rPr>
                <w:b/>
                <w:bCs/>
              </w:rPr>
              <w:t>2.5</w:t>
            </w:r>
            <w:r>
              <w:rPr>
                <w:rFonts w:hint="eastAsia"/>
                <w:b/>
                <w:bCs/>
              </w:rPr>
              <w:t>主要生产设施</w:t>
            </w:r>
          </w:p>
          <w:p>
            <w:pPr>
              <w:adjustRightInd w:val="0"/>
              <w:snapToGrid w:val="0"/>
              <w:spacing w:line="400" w:lineRule="exact"/>
              <w:jc w:val="center"/>
              <w:rPr>
                <w:b/>
                <w:sz w:val="24"/>
              </w:rPr>
            </w:pPr>
            <w:r>
              <w:rPr>
                <w:rFonts w:hint="eastAsia"/>
                <w:b/>
                <w:sz w:val="24"/>
              </w:rPr>
              <w:t>表2-4 一期主要生产设施一览表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815"/>
              <w:gridCol w:w="2321"/>
              <w:gridCol w:w="1103"/>
              <w:gridCol w:w="1150"/>
              <w:gridCol w:w="11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
                      <w:spacing w:val="-2"/>
                      <w:szCs w:val="21"/>
                    </w:rPr>
                  </w:pPr>
                  <w:r>
                    <w:rPr>
                      <w:b/>
                      <w:spacing w:val="-2"/>
                      <w:szCs w:val="21"/>
                    </w:rPr>
                    <w:t>序号</w:t>
                  </w:r>
                </w:p>
              </w:tc>
              <w:tc>
                <w:tcPr>
                  <w:tcW w:w="1081" w:type="pct"/>
                  <w:tcBorders>
                    <w:tl2br w:val="nil"/>
                    <w:tr2bl w:val="nil"/>
                  </w:tcBorders>
                  <w:vAlign w:val="center"/>
                </w:tcPr>
                <w:p>
                  <w:pPr>
                    <w:spacing w:line="360" w:lineRule="exact"/>
                    <w:jc w:val="center"/>
                    <w:rPr>
                      <w:b/>
                      <w:spacing w:val="-2"/>
                      <w:szCs w:val="21"/>
                    </w:rPr>
                  </w:pPr>
                  <w:r>
                    <w:rPr>
                      <w:b/>
                      <w:spacing w:val="-2"/>
                      <w:szCs w:val="21"/>
                    </w:rPr>
                    <w:t>名称</w:t>
                  </w:r>
                </w:p>
              </w:tc>
              <w:tc>
                <w:tcPr>
                  <w:tcW w:w="1382" w:type="pct"/>
                  <w:tcBorders>
                    <w:tl2br w:val="nil"/>
                    <w:tr2bl w:val="nil"/>
                  </w:tcBorders>
                  <w:vAlign w:val="center"/>
                </w:tcPr>
                <w:p>
                  <w:pPr>
                    <w:spacing w:line="360" w:lineRule="exact"/>
                    <w:jc w:val="center"/>
                    <w:rPr>
                      <w:b/>
                      <w:spacing w:val="-2"/>
                      <w:szCs w:val="21"/>
                    </w:rPr>
                  </w:pPr>
                  <w:r>
                    <w:rPr>
                      <w:b/>
                      <w:spacing w:val="-2"/>
                      <w:szCs w:val="21"/>
                    </w:rPr>
                    <w:t>型号</w:t>
                  </w:r>
                </w:p>
              </w:tc>
              <w:tc>
                <w:tcPr>
                  <w:tcW w:w="657" w:type="pct"/>
                  <w:tcBorders>
                    <w:tl2br w:val="nil"/>
                    <w:tr2bl w:val="nil"/>
                  </w:tcBorders>
                  <w:vAlign w:val="center"/>
                </w:tcPr>
                <w:p>
                  <w:pPr>
                    <w:spacing w:line="360" w:lineRule="exact"/>
                    <w:jc w:val="center"/>
                    <w:rPr>
                      <w:b/>
                      <w:spacing w:val="-2"/>
                      <w:szCs w:val="21"/>
                    </w:rPr>
                  </w:pPr>
                  <w:r>
                    <w:rPr>
                      <w:b/>
                      <w:spacing w:val="-2"/>
                      <w:szCs w:val="21"/>
                    </w:rPr>
                    <w:t>数量</w:t>
                  </w:r>
                </w:p>
              </w:tc>
              <w:tc>
                <w:tcPr>
                  <w:tcW w:w="685" w:type="pct"/>
                  <w:tcBorders>
                    <w:tl2br w:val="nil"/>
                    <w:tr2bl w:val="nil"/>
                  </w:tcBorders>
                  <w:vAlign w:val="center"/>
                </w:tcPr>
                <w:p>
                  <w:pPr>
                    <w:spacing w:line="360" w:lineRule="exact"/>
                    <w:jc w:val="center"/>
                    <w:rPr>
                      <w:b/>
                      <w:spacing w:val="-2"/>
                      <w:szCs w:val="21"/>
                    </w:rPr>
                  </w:pPr>
                  <w:r>
                    <w:rPr>
                      <w:b/>
                      <w:spacing w:val="-2"/>
                      <w:szCs w:val="21"/>
                    </w:rPr>
                    <w:t>备注</w:t>
                  </w:r>
                </w:p>
              </w:tc>
              <w:tc>
                <w:tcPr>
                  <w:tcW w:w="682" w:type="pct"/>
                  <w:tcBorders>
                    <w:tl2br w:val="nil"/>
                    <w:tr2bl w:val="nil"/>
                  </w:tcBorders>
                </w:tcPr>
                <w:p>
                  <w:pPr>
                    <w:spacing w:line="360" w:lineRule="exact"/>
                    <w:jc w:val="center"/>
                    <w:rPr>
                      <w:b/>
                      <w:spacing w:val="-2"/>
                      <w:szCs w:val="21"/>
                    </w:rPr>
                  </w:pPr>
                  <w:r>
                    <w:rPr>
                      <w:rFonts w:hint="eastAsia"/>
                      <w:b/>
                      <w:spacing w:val="-2"/>
                      <w:szCs w:val="21"/>
                    </w:rPr>
                    <w:t>生产产品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bCs/>
                      <w:spacing w:val="-2"/>
                      <w:szCs w:val="21"/>
                    </w:rPr>
                    <w:t>1</w:t>
                  </w:r>
                </w:p>
              </w:tc>
              <w:tc>
                <w:tcPr>
                  <w:tcW w:w="1081" w:type="pct"/>
                  <w:tcBorders>
                    <w:tl2br w:val="nil"/>
                    <w:tr2bl w:val="nil"/>
                  </w:tcBorders>
                  <w:vAlign w:val="center"/>
                </w:tcPr>
                <w:p>
                  <w:pPr>
                    <w:widowControl/>
                    <w:jc w:val="center"/>
                    <w:rPr>
                      <w:szCs w:val="21"/>
                    </w:rPr>
                  </w:pPr>
                  <w:r>
                    <w:rPr>
                      <w:szCs w:val="21"/>
                    </w:rPr>
                    <w:t>离心机</w:t>
                  </w:r>
                </w:p>
              </w:tc>
              <w:tc>
                <w:tcPr>
                  <w:tcW w:w="1382" w:type="pct"/>
                  <w:tcBorders>
                    <w:tl2br w:val="nil"/>
                    <w:tr2bl w:val="nil"/>
                  </w:tcBorders>
                  <w:vAlign w:val="center"/>
                </w:tcPr>
                <w:p>
                  <w:pPr>
                    <w:widowControl/>
                    <w:jc w:val="center"/>
                    <w:rPr>
                      <w:szCs w:val="21"/>
                    </w:rPr>
                  </w:pPr>
                  <w:r>
                    <w:rPr>
                      <w:rFonts w:hint="eastAsia"/>
                      <w:szCs w:val="21"/>
                    </w:rPr>
                    <w:t>1.5</w:t>
                  </w:r>
                  <w:r>
                    <w:rPr>
                      <w:szCs w:val="21"/>
                    </w:rPr>
                    <w:t>t/h</w:t>
                  </w:r>
                </w:p>
              </w:tc>
              <w:tc>
                <w:tcPr>
                  <w:tcW w:w="657" w:type="pct"/>
                  <w:tcBorders>
                    <w:tl2br w:val="nil"/>
                    <w:tr2bl w:val="nil"/>
                  </w:tcBorders>
                  <w:vAlign w:val="center"/>
                </w:tcPr>
                <w:p>
                  <w:pPr>
                    <w:widowControl/>
                    <w:jc w:val="center"/>
                    <w:rPr>
                      <w:szCs w:val="21"/>
                    </w:rPr>
                  </w:pPr>
                  <w:r>
                    <w:rPr>
                      <w:szCs w:val="21"/>
                    </w:rPr>
                    <w:t>1台</w:t>
                  </w:r>
                </w:p>
              </w:tc>
              <w:tc>
                <w:tcPr>
                  <w:tcW w:w="685" w:type="pct"/>
                  <w:tcBorders>
                    <w:tl2br w:val="nil"/>
                    <w:tr2bl w:val="nil"/>
                  </w:tcBorders>
                  <w:vAlign w:val="center"/>
                </w:tcPr>
                <w:p>
                  <w:pPr>
                    <w:widowControl/>
                    <w:jc w:val="center"/>
                    <w:rPr>
                      <w:szCs w:val="21"/>
                    </w:rPr>
                  </w:pPr>
                </w:p>
              </w:tc>
              <w:tc>
                <w:tcPr>
                  <w:tcW w:w="682" w:type="pct"/>
                  <w:tcBorders>
                    <w:tl2br w:val="nil"/>
                    <w:tr2bl w:val="nil"/>
                  </w:tcBorders>
                  <w:vAlign w:val="center"/>
                </w:tcPr>
                <w:p>
                  <w:pPr>
                    <w:jc w:val="center"/>
                    <w:rPr>
                      <w:szCs w:val="21"/>
                    </w:rPr>
                  </w:pPr>
                  <w:r>
                    <w:rPr>
                      <w:szCs w:val="21"/>
                    </w:rPr>
                    <w:t>奶油制品</w:t>
                  </w:r>
                  <w:r>
                    <w:rPr>
                      <w:rFonts w:hint="eastAsia"/>
                      <w:szCs w:val="21"/>
                    </w:rPr>
                    <w:t>、复合调味料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bCs/>
                      <w:spacing w:val="-2"/>
                      <w:szCs w:val="21"/>
                    </w:rPr>
                    <w:t>2</w:t>
                  </w:r>
                </w:p>
              </w:tc>
              <w:tc>
                <w:tcPr>
                  <w:tcW w:w="1081" w:type="pct"/>
                  <w:tcBorders>
                    <w:tl2br w:val="nil"/>
                    <w:tr2bl w:val="nil"/>
                  </w:tcBorders>
                  <w:vAlign w:val="center"/>
                </w:tcPr>
                <w:p>
                  <w:pPr>
                    <w:widowControl/>
                    <w:jc w:val="center"/>
                    <w:rPr>
                      <w:szCs w:val="21"/>
                    </w:rPr>
                  </w:pPr>
                  <w:r>
                    <w:rPr>
                      <w:rFonts w:cs="宋体"/>
                      <w:szCs w:val="21"/>
                    </w:rPr>
                    <w:t>可倾电加热搅拌夹层锅</w:t>
                  </w:r>
                </w:p>
              </w:tc>
              <w:tc>
                <w:tcPr>
                  <w:tcW w:w="1382" w:type="pct"/>
                  <w:tcBorders>
                    <w:tl2br w:val="nil"/>
                    <w:tr2bl w:val="nil"/>
                  </w:tcBorders>
                  <w:vAlign w:val="center"/>
                </w:tcPr>
                <w:p>
                  <w:pPr>
                    <w:widowControl/>
                    <w:jc w:val="center"/>
                    <w:rPr>
                      <w:szCs w:val="21"/>
                    </w:rPr>
                  </w:pPr>
                  <w:r>
                    <w:rPr>
                      <w:rFonts w:hint="eastAsia"/>
                      <w:szCs w:val="21"/>
                    </w:rPr>
                    <w:t>200L</w:t>
                  </w:r>
                </w:p>
              </w:tc>
              <w:tc>
                <w:tcPr>
                  <w:tcW w:w="657" w:type="pct"/>
                  <w:tcBorders>
                    <w:tl2br w:val="nil"/>
                    <w:tr2bl w:val="nil"/>
                  </w:tcBorders>
                  <w:vAlign w:val="center"/>
                </w:tcPr>
                <w:p>
                  <w:pPr>
                    <w:widowControl/>
                    <w:jc w:val="center"/>
                    <w:rPr>
                      <w:szCs w:val="21"/>
                    </w:rPr>
                  </w:pPr>
                  <w:r>
                    <w:rPr>
                      <w:rFonts w:hint="eastAsia"/>
                      <w:szCs w:val="21"/>
                    </w:rPr>
                    <w:t>2台</w:t>
                  </w:r>
                </w:p>
              </w:tc>
              <w:tc>
                <w:tcPr>
                  <w:tcW w:w="685" w:type="pct"/>
                  <w:tcBorders>
                    <w:tl2br w:val="nil"/>
                    <w:tr2bl w:val="nil"/>
                  </w:tcBorders>
                  <w:vAlign w:val="center"/>
                </w:tcPr>
                <w:p>
                  <w:pPr>
                    <w:widowControl/>
                    <w:jc w:val="center"/>
                    <w:rPr>
                      <w:szCs w:val="21"/>
                    </w:rPr>
                  </w:pPr>
                </w:p>
              </w:tc>
              <w:tc>
                <w:tcPr>
                  <w:tcW w:w="682" w:type="pct"/>
                  <w:tcBorders>
                    <w:tl2br w:val="nil"/>
                    <w:tr2bl w:val="nil"/>
                  </w:tcBorders>
                  <w:vAlign w:val="center"/>
                </w:tcPr>
                <w:p>
                  <w:pPr>
                    <w:jc w:val="center"/>
                    <w:rPr>
                      <w:szCs w:val="21"/>
                    </w:rPr>
                  </w:pPr>
                  <w:r>
                    <w:rPr>
                      <w:rFonts w:hint="eastAsia"/>
                      <w:szCs w:val="21"/>
                    </w:rPr>
                    <w:t>各类奶油制品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bCs/>
                      <w:spacing w:val="-2"/>
                      <w:szCs w:val="21"/>
                    </w:rPr>
                    <w:t>3</w:t>
                  </w:r>
                </w:p>
              </w:tc>
              <w:tc>
                <w:tcPr>
                  <w:tcW w:w="1081" w:type="pct"/>
                  <w:tcBorders>
                    <w:tl2br w:val="nil"/>
                    <w:tr2bl w:val="nil"/>
                  </w:tcBorders>
                  <w:vAlign w:val="center"/>
                </w:tcPr>
                <w:p>
                  <w:pPr>
                    <w:widowControl/>
                    <w:jc w:val="center"/>
                    <w:rPr>
                      <w:szCs w:val="21"/>
                    </w:rPr>
                  </w:pPr>
                  <w:r>
                    <w:rPr>
                      <w:szCs w:val="21"/>
                    </w:rPr>
                    <w:t>发酵罐</w:t>
                  </w:r>
                  <w:r>
                    <w:rPr>
                      <w:rFonts w:hint="eastAsia"/>
                      <w:szCs w:val="21"/>
                    </w:rPr>
                    <w:t>系统</w:t>
                  </w:r>
                </w:p>
              </w:tc>
              <w:tc>
                <w:tcPr>
                  <w:tcW w:w="1382" w:type="pct"/>
                  <w:tcBorders>
                    <w:tl2br w:val="nil"/>
                    <w:tr2bl w:val="nil"/>
                  </w:tcBorders>
                  <w:vAlign w:val="center"/>
                </w:tcPr>
                <w:p>
                  <w:pPr>
                    <w:widowControl/>
                    <w:jc w:val="center"/>
                    <w:rPr>
                      <w:szCs w:val="21"/>
                    </w:rPr>
                  </w:pPr>
                  <w:r>
                    <w:rPr>
                      <w:rFonts w:hint="eastAsia"/>
                      <w:szCs w:val="21"/>
                    </w:rPr>
                    <w:t>200L、1t</w:t>
                  </w:r>
                </w:p>
              </w:tc>
              <w:tc>
                <w:tcPr>
                  <w:tcW w:w="657" w:type="pct"/>
                  <w:tcBorders>
                    <w:tl2br w:val="nil"/>
                    <w:tr2bl w:val="nil"/>
                  </w:tcBorders>
                  <w:vAlign w:val="center"/>
                </w:tcPr>
                <w:p>
                  <w:pPr>
                    <w:widowControl/>
                    <w:jc w:val="center"/>
                    <w:rPr>
                      <w:szCs w:val="21"/>
                    </w:rPr>
                  </w:pPr>
                  <w:r>
                    <w:rPr>
                      <w:szCs w:val="21"/>
                    </w:rPr>
                    <w:t>1</w:t>
                  </w:r>
                  <w:r>
                    <w:rPr>
                      <w:rFonts w:hint="eastAsia"/>
                      <w:szCs w:val="21"/>
                    </w:rPr>
                    <w:t>台200L、1台1t</w:t>
                  </w:r>
                </w:p>
              </w:tc>
              <w:tc>
                <w:tcPr>
                  <w:tcW w:w="685" w:type="pct"/>
                  <w:tcBorders>
                    <w:tl2br w:val="nil"/>
                    <w:tr2bl w:val="nil"/>
                  </w:tcBorders>
                  <w:vAlign w:val="center"/>
                </w:tcPr>
                <w:p>
                  <w:pPr>
                    <w:widowControl/>
                    <w:jc w:val="center"/>
                    <w:rPr>
                      <w:szCs w:val="21"/>
                    </w:rPr>
                  </w:pPr>
                  <w:r>
                    <w:rPr>
                      <w:rFonts w:hint="eastAsia"/>
                      <w:szCs w:val="21"/>
                    </w:rPr>
                    <w:t>名称为发酵系统，实则为奶油制品酶解罐；</w:t>
                  </w:r>
                </w:p>
              </w:tc>
              <w:tc>
                <w:tcPr>
                  <w:tcW w:w="682" w:type="pct"/>
                  <w:tcBorders>
                    <w:tl2br w:val="nil"/>
                    <w:tr2bl w:val="nil"/>
                  </w:tcBorders>
                  <w:vAlign w:val="center"/>
                </w:tcPr>
                <w:p>
                  <w:pPr>
                    <w:jc w:val="center"/>
                    <w:rPr>
                      <w:szCs w:val="21"/>
                    </w:rPr>
                  </w:pPr>
                  <w:r>
                    <w:rPr>
                      <w:rFonts w:hint="eastAsia"/>
                      <w:szCs w:val="21"/>
                    </w:rPr>
                    <w:t>奶油制品、复合调味料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4</w:t>
                  </w:r>
                </w:p>
              </w:tc>
              <w:tc>
                <w:tcPr>
                  <w:tcW w:w="1081" w:type="pct"/>
                  <w:tcBorders>
                    <w:tl2br w:val="nil"/>
                    <w:tr2bl w:val="nil"/>
                  </w:tcBorders>
                  <w:vAlign w:val="center"/>
                </w:tcPr>
                <w:p>
                  <w:pPr>
                    <w:widowControl/>
                    <w:jc w:val="center"/>
                    <w:rPr>
                      <w:szCs w:val="21"/>
                    </w:rPr>
                  </w:pPr>
                  <w:r>
                    <w:rPr>
                      <w:rFonts w:hint="eastAsia"/>
                      <w:szCs w:val="21"/>
                    </w:rPr>
                    <w:t>电子秤</w:t>
                  </w:r>
                </w:p>
              </w:tc>
              <w:tc>
                <w:tcPr>
                  <w:tcW w:w="1382" w:type="pct"/>
                  <w:tcBorders>
                    <w:tl2br w:val="nil"/>
                    <w:tr2bl w:val="nil"/>
                  </w:tcBorders>
                  <w:vAlign w:val="center"/>
                </w:tcPr>
                <w:p>
                  <w:pPr>
                    <w:widowControl/>
                    <w:jc w:val="center"/>
                    <w:rPr>
                      <w:szCs w:val="21"/>
                    </w:rPr>
                  </w:pPr>
                  <w:r>
                    <w:rPr>
                      <w:rFonts w:hint="eastAsia"/>
                      <w:szCs w:val="21"/>
                    </w:rPr>
                    <w:t>1kg-150kg</w:t>
                  </w:r>
                </w:p>
              </w:tc>
              <w:tc>
                <w:tcPr>
                  <w:tcW w:w="657" w:type="pct"/>
                  <w:tcBorders>
                    <w:tl2br w:val="nil"/>
                    <w:tr2bl w:val="nil"/>
                  </w:tcBorders>
                  <w:vAlign w:val="center"/>
                </w:tcPr>
                <w:p>
                  <w:pPr>
                    <w:widowControl/>
                    <w:jc w:val="center"/>
                    <w:rPr>
                      <w:szCs w:val="21"/>
                    </w:rPr>
                  </w:pPr>
                  <w:r>
                    <w:rPr>
                      <w:rFonts w:hint="eastAsia"/>
                      <w:szCs w:val="21"/>
                    </w:rPr>
                    <w:t>5台</w:t>
                  </w:r>
                </w:p>
              </w:tc>
              <w:tc>
                <w:tcPr>
                  <w:tcW w:w="685" w:type="pct"/>
                  <w:tcBorders>
                    <w:tl2br w:val="nil"/>
                    <w:tr2bl w:val="nil"/>
                  </w:tcBorders>
                  <w:vAlign w:val="center"/>
                </w:tcPr>
                <w:p>
                  <w:pPr>
                    <w:widowControl/>
                    <w:jc w:val="center"/>
                    <w:rPr>
                      <w:szCs w:val="21"/>
                    </w:rPr>
                  </w:pPr>
                  <w:r>
                    <w:rPr>
                      <w:rFonts w:hint="eastAsia"/>
                      <w:szCs w:val="21"/>
                    </w:rPr>
                    <w:t>1台1kg、2台30kg、2台150kg</w:t>
                  </w:r>
                </w:p>
              </w:tc>
              <w:tc>
                <w:tcPr>
                  <w:tcW w:w="682" w:type="pct"/>
                  <w:tcBorders>
                    <w:tl2br w:val="nil"/>
                    <w:tr2bl w:val="nil"/>
                  </w:tcBorders>
                  <w:vAlign w:val="center"/>
                </w:tcPr>
                <w:p>
                  <w:pPr>
                    <w:jc w:val="center"/>
                    <w:rPr>
                      <w:szCs w:val="21"/>
                    </w:rPr>
                  </w:pPr>
                  <w:r>
                    <w:rPr>
                      <w:szCs w:val="21"/>
                    </w:rPr>
                    <w:t>奶油制品</w:t>
                  </w:r>
                  <w:r>
                    <w:rPr>
                      <w:rFonts w:hint="eastAsia"/>
                      <w:szCs w:val="21"/>
                    </w:rPr>
                    <w:t>、复合调味料、食品用香精生产用，还有检验称量用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5</w:t>
                  </w:r>
                </w:p>
              </w:tc>
              <w:tc>
                <w:tcPr>
                  <w:tcW w:w="1081" w:type="pct"/>
                  <w:tcBorders>
                    <w:tl2br w:val="nil"/>
                    <w:tr2bl w:val="nil"/>
                  </w:tcBorders>
                  <w:vAlign w:val="center"/>
                </w:tcPr>
                <w:p>
                  <w:pPr>
                    <w:widowControl/>
                    <w:jc w:val="center"/>
                    <w:rPr>
                      <w:szCs w:val="21"/>
                    </w:rPr>
                  </w:pPr>
                  <w:r>
                    <w:rPr>
                      <w:rFonts w:hint="eastAsia"/>
                      <w:szCs w:val="21"/>
                    </w:rPr>
                    <w:t>不锈钢的桶、烧杯、搅拌棍</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5套</w:t>
                  </w:r>
                </w:p>
              </w:tc>
              <w:tc>
                <w:tcPr>
                  <w:tcW w:w="685" w:type="pct"/>
                  <w:tcBorders>
                    <w:tl2br w:val="nil"/>
                    <w:tr2bl w:val="nil"/>
                  </w:tcBorders>
                  <w:vAlign w:val="center"/>
                </w:tcPr>
                <w:p>
                  <w:pPr>
                    <w:widowControl/>
                    <w:jc w:val="center"/>
                    <w:rPr>
                      <w:szCs w:val="21"/>
                    </w:rPr>
                  </w:pPr>
                </w:p>
              </w:tc>
              <w:tc>
                <w:tcPr>
                  <w:tcW w:w="682" w:type="pct"/>
                  <w:tcBorders>
                    <w:tl2br w:val="nil"/>
                    <w:tr2bl w:val="nil"/>
                  </w:tcBorders>
                  <w:vAlign w:val="center"/>
                </w:tcPr>
                <w:p>
                  <w:pPr>
                    <w:jc w:val="center"/>
                    <w:rPr>
                      <w:szCs w:val="21"/>
                    </w:rPr>
                  </w:pPr>
                  <w:r>
                    <w:rPr>
                      <w:rFonts w:hint="eastAsia"/>
                      <w:szCs w:val="21"/>
                    </w:rPr>
                    <w:t>食品用香精生产用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6</w:t>
                  </w:r>
                </w:p>
              </w:tc>
              <w:tc>
                <w:tcPr>
                  <w:tcW w:w="1081" w:type="pct"/>
                  <w:tcBorders>
                    <w:tl2br w:val="nil"/>
                    <w:tr2bl w:val="nil"/>
                  </w:tcBorders>
                  <w:vAlign w:val="center"/>
                </w:tcPr>
                <w:p>
                  <w:pPr>
                    <w:widowControl/>
                    <w:jc w:val="center"/>
                    <w:rPr>
                      <w:szCs w:val="21"/>
                    </w:rPr>
                  </w:pPr>
                  <w:r>
                    <w:rPr>
                      <w:rFonts w:hint="eastAsia"/>
                      <w:szCs w:val="21"/>
                    </w:rPr>
                    <w:t>水分测定仪</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1</w:t>
                  </w:r>
                  <w:r>
                    <w:rPr>
                      <w:szCs w:val="21"/>
                    </w:rPr>
                    <w:t>台</w:t>
                  </w:r>
                </w:p>
              </w:tc>
              <w:tc>
                <w:tcPr>
                  <w:tcW w:w="685" w:type="pct"/>
                  <w:tcBorders>
                    <w:tl2br w:val="nil"/>
                    <w:tr2bl w:val="nil"/>
                  </w:tcBorders>
                  <w:vAlign w:val="center"/>
                </w:tcPr>
                <w:p>
                  <w:pPr>
                    <w:widowControl/>
                    <w:jc w:val="center"/>
                    <w:rPr>
                      <w:szCs w:val="21"/>
                    </w:rPr>
                  </w:pPr>
                </w:p>
              </w:tc>
              <w:tc>
                <w:tcPr>
                  <w:tcW w:w="682" w:type="pct"/>
                  <w:vMerge w:val="restart"/>
                  <w:tcBorders>
                    <w:tl2br w:val="nil"/>
                    <w:tr2bl w:val="nil"/>
                  </w:tcBorders>
                  <w:vAlign w:val="center"/>
                </w:tcPr>
                <w:p>
                  <w:pPr>
                    <w:widowControl/>
                    <w:jc w:val="center"/>
                    <w:rPr>
                      <w:szCs w:val="21"/>
                    </w:rPr>
                  </w:pPr>
                  <w:r>
                    <w:rPr>
                      <w:rFonts w:hint="eastAsia"/>
                      <w:szCs w:val="21"/>
                    </w:rPr>
                    <w:t>检验分析用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7</w:t>
                  </w:r>
                </w:p>
              </w:tc>
              <w:tc>
                <w:tcPr>
                  <w:tcW w:w="1081" w:type="pct"/>
                  <w:tcBorders>
                    <w:tl2br w:val="nil"/>
                    <w:tr2bl w:val="nil"/>
                  </w:tcBorders>
                  <w:vAlign w:val="center"/>
                </w:tcPr>
                <w:p>
                  <w:pPr>
                    <w:widowControl/>
                    <w:jc w:val="center"/>
                    <w:rPr>
                      <w:szCs w:val="21"/>
                    </w:rPr>
                  </w:pPr>
                  <w:r>
                    <w:rPr>
                      <w:rFonts w:hint="eastAsia"/>
                      <w:szCs w:val="21"/>
                    </w:rPr>
                    <w:t>索氏提取仪</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1台</w:t>
                  </w:r>
                </w:p>
              </w:tc>
              <w:tc>
                <w:tcPr>
                  <w:tcW w:w="685" w:type="pct"/>
                  <w:tcBorders>
                    <w:tl2br w:val="nil"/>
                    <w:tr2bl w:val="nil"/>
                  </w:tcBorders>
                  <w:vAlign w:val="center"/>
                </w:tcPr>
                <w:p>
                  <w:pPr>
                    <w:widowControl/>
                    <w:jc w:val="center"/>
                    <w:rPr>
                      <w:szCs w:val="21"/>
                    </w:rPr>
                  </w:pPr>
                  <w:r>
                    <w:rPr>
                      <w:rFonts w:hint="eastAsia"/>
                      <w:szCs w:val="21"/>
                    </w:rPr>
                    <w:t>测脂肪含量</w:t>
                  </w:r>
                </w:p>
              </w:tc>
              <w:tc>
                <w:tcPr>
                  <w:tcW w:w="682" w:type="pct"/>
                  <w:vMerge w:val="continue"/>
                  <w:tcBorders>
                    <w:tl2br w:val="nil"/>
                    <w:tr2bl w:val="nil"/>
                  </w:tcBorders>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8</w:t>
                  </w:r>
                </w:p>
              </w:tc>
              <w:tc>
                <w:tcPr>
                  <w:tcW w:w="1081" w:type="pct"/>
                  <w:tcBorders>
                    <w:tl2br w:val="nil"/>
                    <w:tr2bl w:val="nil"/>
                  </w:tcBorders>
                  <w:vAlign w:val="center"/>
                </w:tcPr>
                <w:p>
                  <w:pPr>
                    <w:widowControl/>
                    <w:jc w:val="center"/>
                    <w:rPr>
                      <w:szCs w:val="21"/>
                    </w:rPr>
                  </w:pPr>
                  <w:r>
                    <w:rPr>
                      <w:rFonts w:hint="eastAsia"/>
                      <w:szCs w:val="21"/>
                    </w:rPr>
                    <w:t>显微镜</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1台</w:t>
                  </w:r>
                </w:p>
              </w:tc>
              <w:tc>
                <w:tcPr>
                  <w:tcW w:w="685" w:type="pct"/>
                  <w:tcBorders>
                    <w:tl2br w:val="nil"/>
                    <w:tr2bl w:val="nil"/>
                  </w:tcBorders>
                  <w:vAlign w:val="center"/>
                </w:tcPr>
                <w:p>
                  <w:pPr>
                    <w:widowControl/>
                    <w:rPr>
                      <w:szCs w:val="21"/>
                    </w:rPr>
                  </w:pPr>
                </w:p>
              </w:tc>
              <w:tc>
                <w:tcPr>
                  <w:tcW w:w="682" w:type="pct"/>
                  <w:vMerge w:val="continue"/>
                  <w:tcBorders>
                    <w:tl2br w:val="nil"/>
                    <w:tr2bl w:val="nil"/>
                  </w:tcBorders>
                </w:tcPr>
                <w:p>
                  <w:pPr>
                    <w:widowControl/>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9</w:t>
                  </w:r>
                </w:p>
              </w:tc>
              <w:tc>
                <w:tcPr>
                  <w:tcW w:w="1081" w:type="pct"/>
                  <w:tcBorders>
                    <w:tl2br w:val="nil"/>
                    <w:tr2bl w:val="nil"/>
                  </w:tcBorders>
                  <w:vAlign w:val="center"/>
                </w:tcPr>
                <w:p>
                  <w:pPr>
                    <w:widowControl/>
                    <w:jc w:val="center"/>
                    <w:rPr>
                      <w:szCs w:val="21"/>
                    </w:rPr>
                  </w:pPr>
                  <w:r>
                    <w:rPr>
                      <w:rFonts w:hint="eastAsia"/>
                      <w:szCs w:val="21"/>
                    </w:rPr>
                    <w:t>干燥箱</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1台</w:t>
                  </w:r>
                </w:p>
              </w:tc>
              <w:tc>
                <w:tcPr>
                  <w:tcW w:w="685" w:type="pct"/>
                  <w:tcBorders>
                    <w:tl2br w:val="nil"/>
                    <w:tr2bl w:val="nil"/>
                  </w:tcBorders>
                  <w:vAlign w:val="center"/>
                </w:tcPr>
                <w:p>
                  <w:pPr>
                    <w:widowControl/>
                    <w:jc w:val="center"/>
                    <w:rPr>
                      <w:szCs w:val="21"/>
                    </w:rPr>
                  </w:pPr>
                </w:p>
              </w:tc>
              <w:tc>
                <w:tcPr>
                  <w:tcW w:w="682" w:type="pct"/>
                  <w:vMerge w:val="continue"/>
                  <w:tcBorders>
                    <w:tl2br w:val="nil"/>
                    <w:tr2bl w:val="nil"/>
                  </w:tcBorders>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10</w:t>
                  </w:r>
                </w:p>
              </w:tc>
              <w:tc>
                <w:tcPr>
                  <w:tcW w:w="1081" w:type="pct"/>
                  <w:tcBorders>
                    <w:tl2br w:val="nil"/>
                    <w:tr2bl w:val="nil"/>
                  </w:tcBorders>
                  <w:vAlign w:val="center"/>
                </w:tcPr>
                <w:p>
                  <w:pPr>
                    <w:widowControl/>
                    <w:jc w:val="center"/>
                    <w:rPr>
                      <w:szCs w:val="21"/>
                    </w:rPr>
                  </w:pPr>
                  <w:r>
                    <w:rPr>
                      <w:rFonts w:hint="eastAsia"/>
                      <w:szCs w:val="21"/>
                    </w:rPr>
                    <w:t>净化工作台</w:t>
                  </w:r>
                </w:p>
              </w:tc>
              <w:tc>
                <w:tcPr>
                  <w:tcW w:w="1382" w:type="pct"/>
                  <w:tcBorders>
                    <w:tl2br w:val="nil"/>
                    <w:tr2bl w:val="nil"/>
                  </w:tcBorders>
                  <w:vAlign w:val="center"/>
                </w:tcPr>
                <w:p>
                  <w:pPr>
                    <w:widowControl/>
                    <w:jc w:val="center"/>
                    <w:rPr>
                      <w:szCs w:val="21"/>
                    </w:rPr>
                  </w:pPr>
                  <w:r>
                    <w:rPr>
                      <w:rFonts w:hint="eastAsia"/>
                      <w:szCs w:val="21"/>
                    </w:rPr>
                    <w:t>单人、双人</w:t>
                  </w:r>
                </w:p>
              </w:tc>
              <w:tc>
                <w:tcPr>
                  <w:tcW w:w="657" w:type="pct"/>
                  <w:tcBorders>
                    <w:tl2br w:val="nil"/>
                    <w:tr2bl w:val="nil"/>
                  </w:tcBorders>
                  <w:vAlign w:val="center"/>
                </w:tcPr>
                <w:p>
                  <w:pPr>
                    <w:widowControl/>
                    <w:jc w:val="center"/>
                    <w:rPr>
                      <w:szCs w:val="21"/>
                    </w:rPr>
                  </w:pPr>
                  <w:r>
                    <w:rPr>
                      <w:rFonts w:hint="eastAsia"/>
                      <w:szCs w:val="21"/>
                    </w:rPr>
                    <w:t>2台</w:t>
                  </w:r>
                </w:p>
              </w:tc>
              <w:tc>
                <w:tcPr>
                  <w:tcW w:w="685" w:type="pct"/>
                  <w:tcBorders>
                    <w:tl2br w:val="nil"/>
                    <w:tr2bl w:val="nil"/>
                  </w:tcBorders>
                  <w:vAlign w:val="center"/>
                </w:tcPr>
                <w:p>
                  <w:pPr>
                    <w:widowControl/>
                    <w:jc w:val="center"/>
                    <w:rPr>
                      <w:szCs w:val="21"/>
                    </w:rPr>
                  </w:pPr>
                  <w:r>
                    <w:rPr>
                      <w:rFonts w:hint="eastAsia"/>
                      <w:szCs w:val="21"/>
                    </w:rPr>
                    <w:t>单人、双人各一台</w:t>
                  </w:r>
                </w:p>
              </w:tc>
              <w:tc>
                <w:tcPr>
                  <w:tcW w:w="682" w:type="pct"/>
                  <w:vMerge w:val="continue"/>
                  <w:tcBorders>
                    <w:tl2br w:val="nil"/>
                    <w:tr2bl w:val="nil"/>
                  </w:tcBorders>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11</w:t>
                  </w:r>
                </w:p>
              </w:tc>
              <w:tc>
                <w:tcPr>
                  <w:tcW w:w="1081" w:type="pct"/>
                  <w:tcBorders>
                    <w:tl2br w:val="nil"/>
                    <w:tr2bl w:val="nil"/>
                  </w:tcBorders>
                  <w:vAlign w:val="center"/>
                </w:tcPr>
                <w:p>
                  <w:pPr>
                    <w:widowControl/>
                    <w:jc w:val="center"/>
                    <w:rPr>
                      <w:szCs w:val="21"/>
                    </w:rPr>
                  </w:pPr>
                  <w:r>
                    <w:rPr>
                      <w:rFonts w:hint="eastAsia"/>
                      <w:szCs w:val="21"/>
                    </w:rPr>
                    <w:t>生化培养箱</w:t>
                  </w:r>
                </w:p>
              </w:tc>
              <w:tc>
                <w:tcPr>
                  <w:tcW w:w="1382" w:type="pct"/>
                  <w:tcBorders>
                    <w:tl2br w:val="nil"/>
                    <w:tr2bl w:val="nil"/>
                  </w:tcBorders>
                  <w:vAlign w:val="center"/>
                </w:tcPr>
                <w:p>
                  <w:pPr>
                    <w:widowControl/>
                    <w:jc w:val="center"/>
                    <w:rPr>
                      <w:szCs w:val="21"/>
                    </w:rPr>
                  </w:pPr>
                  <w:r>
                    <w:rPr>
                      <w:rFonts w:hint="eastAsia"/>
                      <w:szCs w:val="21"/>
                    </w:rPr>
                    <w:t>150L</w:t>
                  </w:r>
                </w:p>
              </w:tc>
              <w:tc>
                <w:tcPr>
                  <w:tcW w:w="657" w:type="pct"/>
                  <w:tcBorders>
                    <w:tl2br w:val="nil"/>
                    <w:tr2bl w:val="nil"/>
                  </w:tcBorders>
                  <w:vAlign w:val="center"/>
                </w:tcPr>
                <w:p>
                  <w:pPr>
                    <w:widowControl/>
                    <w:jc w:val="center"/>
                    <w:rPr>
                      <w:szCs w:val="21"/>
                    </w:rPr>
                  </w:pPr>
                  <w:r>
                    <w:rPr>
                      <w:rFonts w:hint="eastAsia"/>
                      <w:szCs w:val="21"/>
                    </w:rPr>
                    <w:t>1台</w:t>
                  </w:r>
                </w:p>
              </w:tc>
              <w:tc>
                <w:tcPr>
                  <w:tcW w:w="685" w:type="pct"/>
                  <w:tcBorders>
                    <w:tl2br w:val="nil"/>
                    <w:tr2bl w:val="nil"/>
                  </w:tcBorders>
                  <w:vAlign w:val="center"/>
                </w:tcPr>
                <w:p>
                  <w:pPr>
                    <w:widowControl/>
                    <w:jc w:val="center"/>
                    <w:rPr>
                      <w:szCs w:val="21"/>
                    </w:rPr>
                  </w:pPr>
                </w:p>
              </w:tc>
              <w:tc>
                <w:tcPr>
                  <w:tcW w:w="682" w:type="pct"/>
                  <w:vMerge w:val="continue"/>
                  <w:tcBorders>
                    <w:tl2br w:val="nil"/>
                    <w:tr2bl w:val="nil"/>
                  </w:tcBorders>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12</w:t>
                  </w:r>
                </w:p>
              </w:tc>
              <w:tc>
                <w:tcPr>
                  <w:tcW w:w="1081" w:type="pct"/>
                  <w:tcBorders>
                    <w:tl2br w:val="nil"/>
                    <w:tr2bl w:val="nil"/>
                  </w:tcBorders>
                  <w:vAlign w:val="center"/>
                </w:tcPr>
                <w:p>
                  <w:pPr>
                    <w:widowControl/>
                    <w:jc w:val="center"/>
                    <w:rPr>
                      <w:szCs w:val="21"/>
                    </w:rPr>
                  </w:pPr>
                  <w:r>
                    <w:rPr>
                      <w:rFonts w:hint="eastAsia"/>
                      <w:szCs w:val="21"/>
                    </w:rPr>
                    <w:t>高压蒸汽灭菌锅</w:t>
                  </w:r>
                </w:p>
              </w:tc>
              <w:tc>
                <w:tcPr>
                  <w:tcW w:w="1382" w:type="pct"/>
                  <w:tcBorders>
                    <w:tl2br w:val="nil"/>
                    <w:tr2bl w:val="nil"/>
                  </w:tcBorders>
                  <w:vAlign w:val="center"/>
                </w:tcPr>
                <w:p>
                  <w:pPr>
                    <w:widowControl/>
                    <w:jc w:val="center"/>
                    <w:rPr>
                      <w:szCs w:val="21"/>
                    </w:rPr>
                  </w:pPr>
                  <w:r>
                    <w:rPr>
                      <w:rFonts w:hint="eastAsia"/>
                      <w:szCs w:val="21"/>
                    </w:rPr>
                    <w:t>18L、35L</w:t>
                  </w:r>
                </w:p>
              </w:tc>
              <w:tc>
                <w:tcPr>
                  <w:tcW w:w="657" w:type="pct"/>
                  <w:tcBorders>
                    <w:tl2br w:val="nil"/>
                    <w:tr2bl w:val="nil"/>
                  </w:tcBorders>
                  <w:vAlign w:val="center"/>
                </w:tcPr>
                <w:p>
                  <w:pPr>
                    <w:widowControl/>
                    <w:jc w:val="center"/>
                    <w:rPr>
                      <w:szCs w:val="21"/>
                    </w:rPr>
                  </w:pPr>
                  <w:r>
                    <w:rPr>
                      <w:rFonts w:hint="eastAsia"/>
                      <w:szCs w:val="21"/>
                    </w:rPr>
                    <w:t>2台</w:t>
                  </w:r>
                </w:p>
              </w:tc>
              <w:tc>
                <w:tcPr>
                  <w:tcW w:w="685" w:type="pct"/>
                  <w:tcBorders>
                    <w:tl2br w:val="nil"/>
                    <w:tr2bl w:val="nil"/>
                  </w:tcBorders>
                  <w:vAlign w:val="center"/>
                </w:tcPr>
                <w:p>
                  <w:pPr>
                    <w:widowControl/>
                    <w:jc w:val="center"/>
                    <w:rPr>
                      <w:szCs w:val="21"/>
                    </w:rPr>
                  </w:pPr>
                </w:p>
              </w:tc>
              <w:tc>
                <w:tcPr>
                  <w:tcW w:w="682" w:type="pct"/>
                  <w:vMerge w:val="continue"/>
                  <w:tcBorders>
                    <w:tl2br w:val="nil"/>
                    <w:tr2bl w:val="nil"/>
                  </w:tcBorders>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13</w:t>
                  </w:r>
                </w:p>
              </w:tc>
              <w:tc>
                <w:tcPr>
                  <w:tcW w:w="1081" w:type="pct"/>
                  <w:tcBorders>
                    <w:tl2br w:val="nil"/>
                    <w:tr2bl w:val="nil"/>
                  </w:tcBorders>
                  <w:vAlign w:val="center"/>
                </w:tcPr>
                <w:p>
                  <w:pPr>
                    <w:widowControl/>
                    <w:jc w:val="center"/>
                    <w:rPr>
                      <w:szCs w:val="21"/>
                    </w:rPr>
                  </w:pPr>
                  <w:r>
                    <w:rPr>
                      <w:rFonts w:hint="eastAsia"/>
                      <w:szCs w:val="21"/>
                    </w:rPr>
                    <w:t>水浴锅</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1台</w:t>
                  </w:r>
                </w:p>
              </w:tc>
              <w:tc>
                <w:tcPr>
                  <w:tcW w:w="685" w:type="pct"/>
                  <w:tcBorders>
                    <w:tl2br w:val="nil"/>
                    <w:tr2bl w:val="nil"/>
                  </w:tcBorders>
                  <w:vAlign w:val="center"/>
                </w:tcPr>
                <w:p>
                  <w:pPr>
                    <w:widowControl/>
                    <w:jc w:val="center"/>
                    <w:rPr>
                      <w:szCs w:val="21"/>
                    </w:rPr>
                  </w:pPr>
                </w:p>
              </w:tc>
              <w:tc>
                <w:tcPr>
                  <w:tcW w:w="682" w:type="pct"/>
                  <w:vMerge w:val="continue"/>
                  <w:tcBorders>
                    <w:tl2br w:val="nil"/>
                    <w:tr2bl w:val="nil"/>
                  </w:tcBorders>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14</w:t>
                  </w:r>
                </w:p>
              </w:tc>
              <w:tc>
                <w:tcPr>
                  <w:tcW w:w="1081" w:type="pct"/>
                  <w:tcBorders>
                    <w:tl2br w:val="nil"/>
                    <w:tr2bl w:val="nil"/>
                  </w:tcBorders>
                  <w:vAlign w:val="center"/>
                </w:tcPr>
                <w:p>
                  <w:pPr>
                    <w:widowControl/>
                    <w:jc w:val="center"/>
                    <w:rPr>
                      <w:szCs w:val="21"/>
                    </w:rPr>
                  </w:pPr>
                  <w:r>
                    <w:rPr>
                      <w:rFonts w:hint="eastAsia"/>
                      <w:szCs w:val="21"/>
                    </w:rPr>
                    <w:t>折射仪</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1台</w:t>
                  </w:r>
                </w:p>
              </w:tc>
              <w:tc>
                <w:tcPr>
                  <w:tcW w:w="685" w:type="pct"/>
                  <w:tcBorders>
                    <w:tl2br w:val="nil"/>
                    <w:tr2bl w:val="nil"/>
                  </w:tcBorders>
                  <w:vAlign w:val="center"/>
                </w:tcPr>
                <w:p>
                  <w:pPr>
                    <w:widowControl/>
                    <w:jc w:val="center"/>
                    <w:rPr>
                      <w:szCs w:val="21"/>
                    </w:rPr>
                  </w:pPr>
                </w:p>
              </w:tc>
              <w:tc>
                <w:tcPr>
                  <w:tcW w:w="682" w:type="pct"/>
                  <w:vMerge w:val="continue"/>
                  <w:tcBorders>
                    <w:tl2br w:val="nil"/>
                    <w:tr2bl w:val="nil"/>
                  </w:tcBorders>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509" w:type="pct"/>
                  <w:tcBorders>
                    <w:tl2br w:val="nil"/>
                    <w:tr2bl w:val="nil"/>
                  </w:tcBorders>
                  <w:vAlign w:val="center"/>
                </w:tcPr>
                <w:p>
                  <w:pPr>
                    <w:spacing w:line="360" w:lineRule="exact"/>
                    <w:jc w:val="center"/>
                    <w:rPr>
                      <w:bCs/>
                      <w:spacing w:val="-2"/>
                      <w:szCs w:val="21"/>
                    </w:rPr>
                  </w:pPr>
                  <w:r>
                    <w:rPr>
                      <w:rFonts w:hint="eastAsia"/>
                      <w:bCs/>
                      <w:spacing w:val="-2"/>
                      <w:szCs w:val="21"/>
                    </w:rPr>
                    <w:t>15</w:t>
                  </w:r>
                </w:p>
              </w:tc>
              <w:tc>
                <w:tcPr>
                  <w:tcW w:w="1081" w:type="pct"/>
                  <w:tcBorders>
                    <w:tl2br w:val="nil"/>
                    <w:tr2bl w:val="nil"/>
                  </w:tcBorders>
                  <w:vAlign w:val="center"/>
                </w:tcPr>
                <w:p>
                  <w:pPr>
                    <w:widowControl/>
                    <w:jc w:val="center"/>
                    <w:rPr>
                      <w:szCs w:val="21"/>
                    </w:rPr>
                  </w:pPr>
                  <w:r>
                    <w:rPr>
                      <w:rFonts w:hint="eastAsia"/>
                      <w:szCs w:val="21"/>
                    </w:rPr>
                    <w:t>比重计</w:t>
                  </w:r>
                </w:p>
              </w:tc>
              <w:tc>
                <w:tcPr>
                  <w:tcW w:w="1382" w:type="pct"/>
                  <w:tcBorders>
                    <w:tl2br w:val="nil"/>
                    <w:tr2bl w:val="nil"/>
                  </w:tcBorders>
                  <w:vAlign w:val="center"/>
                </w:tcPr>
                <w:p>
                  <w:pPr>
                    <w:widowControl/>
                    <w:jc w:val="center"/>
                    <w:rPr>
                      <w:szCs w:val="21"/>
                    </w:rPr>
                  </w:pPr>
                  <w:r>
                    <w:rPr>
                      <w:rFonts w:hint="eastAsia"/>
                      <w:szCs w:val="21"/>
                    </w:rPr>
                    <w:t>/</w:t>
                  </w:r>
                </w:p>
              </w:tc>
              <w:tc>
                <w:tcPr>
                  <w:tcW w:w="657" w:type="pct"/>
                  <w:tcBorders>
                    <w:tl2br w:val="nil"/>
                    <w:tr2bl w:val="nil"/>
                  </w:tcBorders>
                  <w:vAlign w:val="center"/>
                </w:tcPr>
                <w:p>
                  <w:pPr>
                    <w:widowControl/>
                    <w:jc w:val="center"/>
                    <w:rPr>
                      <w:szCs w:val="21"/>
                    </w:rPr>
                  </w:pPr>
                  <w:r>
                    <w:rPr>
                      <w:rFonts w:hint="eastAsia"/>
                      <w:szCs w:val="21"/>
                    </w:rPr>
                    <w:t>1台</w:t>
                  </w:r>
                </w:p>
              </w:tc>
              <w:tc>
                <w:tcPr>
                  <w:tcW w:w="685" w:type="pct"/>
                  <w:tcBorders>
                    <w:tl2br w:val="nil"/>
                    <w:tr2bl w:val="nil"/>
                  </w:tcBorders>
                  <w:vAlign w:val="center"/>
                </w:tcPr>
                <w:p>
                  <w:pPr>
                    <w:widowControl/>
                    <w:jc w:val="center"/>
                    <w:rPr>
                      <w:szCs w:val="21"/>
                    </w:rPr>
                  </w:pPr>
                </w:p>
              </w:tc>
              <w:tc>
                <w:tcPr>
                  <w:tcW w:w="682" w:type="pct"/>
                  <w:vMerge w:val="continue"/>
                  <w:tcBorders>
                    <w:tl2br w:val="nil"/>
                    <w:tr2bl w:val="nil"/>
                  </w:tcBorders>
                </w:tcPr>
                <w:p>
                  <w:pPr>
                    <w:widowControl/>
                    <w:jc w:val="center"/>
                    <w:rPr>
                      <w:szCs w:val="21"/>
                    </w:rPr>
                  </w:pPr>
                </w:p>
              </w:tc>
            </w:tr>
          </w:tbl>
          <w:p>
            <w:pPr>
              <w:adjustRightInd w:val="0"/>
              <w:snapToGrid w:val="0"/>
              <w:spacing w:line="400" w:lineRule="exact"/>
              <w:jc w:val="center"/>
              <w:rPr>
                <w:b/>
                <w:sz w:val="24"/>
              </w:rPr>
            </w:pPr>
            <w:r>
              <w:rPr>
                <w:rFonts w:hint="eastAsia"/>
                <w:b/>
                <w:sz w:val="24"/>
              </w:rPr>
              <w:t>表2-</w:t>
            </w:r>
            <w:r>
              <w:rPr>
                <w:b/>
                <w:sz w:val="24"/>
              </w:rPr>
              <w:t>5</w:t>
            </w:r>
            <w:r>
              <w:rPr>
                <w:rFonts w:hint="eastAsia"/>
                <w:b/>
                <w:sz w:val="24"/>
              </w:rPr>
              <w:t xml:space="preserve"> 二期新增生产设备一览表</w:t>
            </w:r>
          </w:p>
          <w:tbl>
            <w:tblPr>
              <w:tblStyle w:val="21"/>
              <w:tblW w:w="83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795"/>
              <w:gridCol w:w="1214"/>
              <w:gridCol w:w="898"/>
              <w:gridCol w:w="1702"/>
              <w:gridCol w:w="18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pct"/>
                  <w:tcBorders>
                    <w:tl2br w:val="nil"/>
                    <w:tr2bl w:val="nil"/>
                  </w:tcBorders>
                  <w:vAlign w:val="center"/>
                </w:tcPr>
                <w:p>
                  <w:pPr>
                    <w:spacing w:line="360" w:lineRule="exact"/>
                    <w:jc w:val="center"/>
                    <w:rPr>
                      <w:b/>
                      <w:spacing w:val="-2"/>
                      <w:szCs w:val="21"/>
                    </w:rPr>
                  </w:pPr>
                  <w:r>
                    <w:rPr>
                      <w:b/>
                      <w:spacing w:val="-2"/>
                      <w:szCs w:val="21"/>
                    </w:rPr>
                    <w:t>序号</w:t>
                  </w:r>
                </w:p>
              </w:tc>
              <w:tc>
                <w:tcPr>
                  <w:tcW w:w="1081" w:type="pct"/>
                  <w:tcBorders>
                    <w:tl2br w:val="nil"/>
                    <w:tr2bl w:val="nil"/>
                  </w:tcBorders>
                  <w:vAlign w:val="center"/>
                </w:tcPr>
                <w:p>
                  <w:pPr>
                    <w:spacing w:line="360" w:lineRule="exact"/>
                    <w:jc w:val="center"/>
                    <w:rPr>
                      <w:b/>
                      <w:spacing w:val="-2"/>
                      <w:szCs w:val="21"/>
                    </w:rPr>
                  </w:pPr>
                  <w:r>
                    <w:rPr>
                      <w:b/>
                      <w:spacing w:val="-2"/>
                      <w:szCs w:val="21"/>
                    </w:rPr>
                    <w:t>名称</w:t>
                  </w:r>
                </w:p>
              </w:tc>
              <w:tc>
                <w:tcPr>
                  <w:tcW w:w="731" w:type="pct"/>
                  <w:tcBorders>
                    <w:tl2br w:val="nil"/>
                    <w:tr2bl w:val="nil"/>
                  </w:tcBorders>
                  <w:vAlign w:val="center"/>
                </w:tcPr>
                <w:p>
                  <w:pPr>
                    <w:spacing w:line="360" w:lineRule="exact"/>
                    <w:jc w:val="center"/>
                    <w:rPr>
                      <w:b/>
                      <w:spacing w:val="-2"/>
                      <w:szCs w:val="21"/>
                    </w:rPr>
                  </w:pPr>
                  <w:r>
                    <w:rPr>
                      <w:b/>
                      <w:spacing w:val="-2"/>
                      <w:szCs w:val="21"/>
                    </w:rPr>
                    <w:t>型号</w:t>
                  </w:r>
                </w:p>
              </w:tc>
              <w:tc>
                <w:tcPr>
                  <w:tcW w:w="541" w:type="pct"/>
                  <w:tcBorders>
                    <w:tl2br w:val="nil"/>
                    <w:tr2bl w:val="nil"/>
                  </w:tcBorders>
                  <w:vAlign w:val="center"/>
                </w:tcPr>
                <w:p>
                  <w:pPr>
                    <w:spacing w:line="360" w:lineRule="exact"/>
                    <w:jc w:val="center"/>
                    <w:rPr>
                      <w:b/>
                      <w:spacing w:val="-2"/>
                      <w:szCs w:val="21"/>
                    </w:rPr>
                  </w:pPr>
                  <w:r>
                    <w:rPr>
                      <w:b/>
                      <w:spacing w:val="-2"/>
                      <w:szCs w:val="21"/>
                    </w:rPr>
                    <w:t>数量</w:t>
                  </w:r>
                </w:p>
              </w:tc>
              <w:tc>
                <w:tcPr>
                  <w:tcW w:w="1025" w:type="pct"/>
                  <w:tcBorders>
                    <w:tl2br w:val="nil"/>
                    <w:tr2bl w:val="nil"/>
                  </w:tcBorders>
                  <w:vAlign w:val="center"/>
                </w:tcPr>
                <w:p>
                  <w:pPr>
                    <w:spacing w:line="360" w:lineRule="exact"/>
                    <w:jc w:val="center"/>
                    <w:rPr>
                      <w:b/>
                      <w:spacing w:val="-2"/>
                      <w:szCs w:val="21"/>
                    </w:rPr>
                  </w:pPr>
                  <w:r>
                    <w:rPr>
                      <w:b/>
                      <w:spacing w:val="-2"/>
                      <w:szCs w:val="21"/>
                    </w:rPr>
                    <w:t>备注</w:t>
                  </w:r>
                </w:p>
              </w:tc>
              <w:tc>
                <w:tcPr>
                  <w:tcW w:w="1118" w:type="pct"/>
                  <w:tcBorders>
                    <w:tl2br w:val="nil"/>
                    <w:tr2bl w:val="nil"/>
                  </w:tcBorders>
                  <w:vAlign w:val="center"/>
                </w:tcPr>
                <w:p>
                  <w:pPr>
                    <w:spacing w:line="360" w:lineRule="exact"/>
                    <w:jc w:val="center"/>
                    <w:rPr>
                      <w:b/>
                      <w:spacing w:val="-2"/>
                      <w:szCs w:val="21"/>
                    </w:rPr>
                  </w:pPr>
                  <w:r>
                    <w:rPr>
                      <w:rFonts w:hint="eastAsia"/>
                      <w:b/>
                      <w:spacing w:val="-2"/>
                      <w:szCs w:val="21"/>
                    </w:rPr>
                    <w:t>生产产品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pct"/>
                  <w:tcBorders>
                    <w:tl2br w:val="nil"/>
                    <w:tr2bl w:val="nil"/>
                  </w:tcBorders>
                  <w:vAlign w:val="center"/>
                </w:tcPr>
                <w:p>
                  <w:pPr>
                    <w:spacing w:line="360" w:lineRule="exact"/>
                    <w:jc w:val="center"/>
                    <w:rPr>
                      <w:bCs/>
                      <w:spacing w:val="-2"/>
                      <w:szCs w:val="21"/>
                    </w:rPr>
                  </w:pPr>
                  <w:r>
                    <w:rPr>
                      <w:bCs/>
                      <w:spacing w:val="-2"/>
                      <w:szCs w:val="21"/>
                    </w:rPr>
                    <w:t>1</w:t>
                  </w:r>
                </w:p>
              </w:tc>
              <w:tc>
                <w:tcPr>
                  <w:tcW w:w="1081" w:type="pct"/>
                  <w:tcBorders>
                    <w:tl2br w:val="nil"/>
                    <w:tr2bl w:val="nil"/>
                  </w:tcBorders>
                  <w:vAlign w:val="center"/>
                </w:tcPr>
                <w:p>
                  <w:pPr>
                    <w:widowControl/>
                    <w:jc w:val="center"/>
                    <w:rPr>
                      <w:szCs w:val="21"/>
                    </w:rPr>
                  </w:pPr>
                  <w:r>
                    <w:rPr>
                      <w:szCs w:val="21"/>
                    </w:rPr>
                    <w:t>离心机</w:t>
                  </w:r>
                </w:p>
              </w:tc>
              <w:tc>
                <w:tcPr>
                  <w:tcW w:w="731" w:type="pct"/>
                  <w:tcBorders>
                    <w:tl2br w:val="nil"/>
                    <w:tr2bl w:val="nil"/>
                  </w:tcBorders>
                  <w:vAlign w:val="center"/>
                </w:tcPr>
                <w:p>
                  <w:pPr>
                    <w:widowControl/>
                    <w:jc w:val="center"/>
                    <w:rPr>
                      <w:szCs w:val="21"/>
                    </w:rPr>
                  </w:pPr>
                  <w:r>
                    <w:rPr>
                      <w:rFonts w:hint="eastAsia"/>
                      <w:szCs w:val="21"/>
                    </w:rPr>
                    <w:t>1.5</w:t>
                  </w:r>
                  <w:r>
                    <w:rPr>
                      <w:szCs w:val="21"/>
                    </w:rPr>
                    <w:t>t/h</w:t>
                  </w:r>
                </w:p>
              </w:tc>
              <w:tc>
                <w:tcPr>
                  <w:tcW w:w="541" w:type="pct"/>
                  <w:tcBorders>
                    <w:tl2br w:val="nil"/>
                    <w:tr2bl w:val="nil"/>
                  </w:tcBorders>
                  <w:vAlign w:val="center"/>
                </w:tcPr>
                <w:p>
                  <w:pPr>
                    <w:widowControl/>
                    <w:jc w:val="center"/>
                    <w:rPr>
                      <w:szCs w:val="21"/>
                    </w:rPr>
                  </w:pPr>
                  <w:r>
                    <w:rPr>
                      <w:rFonts w:hint="eastAsia"/>
                      <w:szCs w:val="21"/>
                    </w:rPr>
                    <w:t>4</w:t>
                  </w:r>
                  <w:r>
                    <w:rPr>
                      <w:szCs w:val="21"/>
                    </w:rPr>
                    <w:t>台</w:t>
                  </w:r>
                </w:p>
              </w:tc>
              <w:tc>
                <w:tcPr>
                  <w:tcW w:w="1025" w:type="pct"/>
                  <w:tcBorders>
                    <w:tl2br w:val="nil"/>
                    <w:tr2bl w:val="nil"/>
                  </w:tcBorders>
                  <w:vAlign w:val="center"/>
                </w:tcPr>
                <w:p>
                  <w:pPr>
                    <w:widowControl/>
                    <w:jc w:val="center"/>
                    <w:rPr>
                      <w:szCs w:val="21"/>
                    </w:rPr>
                  </w:pPr>
                </w:p>
              </w:tc>
              <w:tc>
                <w:tcPr>
                  <w:tcW w:w="1118" w:type="pct"/>
                  <w:tcBorders>
                    <w:tl2br w:val="nil"/>
                    <w:tr2bl w:val="nil"/>
                  </w:tcBorders>
                  <w:vAlign w:val="center"/>
                </w:tcPr>
                <w:p>
                  <w:pPr>
                    <w:widowControl/>
                    <w:jc w:val="center"/>
                    <w:rPr>
                      <w:szCs w:val="21"/>
                    </w:rPr>
                  </w:pPr>
                  <w:r>
                    <w:rPr>
                      <w:rFonts w:hint="eastAsia"/>
                      <w:szCs w:val="21"/>
                    </w:rPr>
                    <w:t>奶油制品、复合调味料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pct"/>
                  <w:tcBorders>
                    <w:tl2br w:val="nil"/>
                    <w:tr2bl w:val="nil"/>
                  </w:tcBorders>
                  <w:vAlign w:val="center"/>
                </w:tcPr>
                <w:p>
                  <w:pPr>
                    <w:spacing w:line="360" w:lineRule="exact"/>
                    <w:jc w:val="center"/>
                    <w:rPr>
                      <w:bCs/>
                      <w:spacing w:val="-2"/>
                      <w:szCs w:val="21"/>
                    </w:rPr>
                  </w:pPr>
                  <w:r>
                    <w:rPr>
                      <w:bCs/>
                      <w:spacing w:val="-2"/>
                      <w:szCs w:val="21"/>
                    </w:rPr>
                    <w:t>2</w:t>
                  </w:r>
                </w:p>
              </w:tc>
              <w:tc>
                <w:tcPr>
                  <w:tcW w:w="1081" w:type="pct"/>
                  <w:tcBorders>
                    <w:tl2br w:val="nil"/>
                    <w:tr2bl w:val="nil"/>
                  </w:tcBorders>
                  <w:vAlign w:val="center"/>
                </w:tcPr>
                <w:p>
                  <w:pPr>
                    <w:widowControl/>
                    <w:jc w:val="center"/>
                    <w:rPr>
                      <w:szCs w:val="21"/>
                    </w:rPr>
                  </w:pPr>
                  <w:r>
                    <w:rPr>
                      <w:rFonts w:cs="宋体"/>
                      <w:szCs w:val="21"/>
                    </w:rPr>
                    <w:t>可倾电加热搅拌夹层锅</w:t>
                  </w:r>
                </w:p>
              </w:tc>
              <w:tc>
                <w:tcPr>
                  <w:tcW w:w="731" w:type="pct"/>
                  <w:tcBorders>
                    <w:tl2br w:val="nil"/>
                    <w:tr2bl w:val="nil"/>
                  </w:tcBorders>
                  <w:vAlign w:val="center"/>
                </w:tcPr>
                <w:p>
                  <w:pPr>
                    <w:widowControl/>
                    <w:jc w:val="center"/>
                    <w:rPr>
                      <w:szCs w:val="21"/>
                    </w:rPr>
                  </w:pPr>
                  <w:r>
                    <w:rPr>
                      <w:rFonts w:hint="eastAsia"/>
                      <w:szCs w:val="21"/>
                    </w:rPr>
                    <w:t>200L</w:t>
                  </w:r>
                </w:p>
              </w:tc>
              <w:tc>
                <w:tcPr>
                  <w:tcW w:w="541" w:type="pct"/>
                  <w:tcBorders>
                    <w:tl2br w:val="nil"/>
                    <w:tr2bl w:val="nil"/>
                  </w:tcBorders>
                  <w:vAlign w:val="center"/>
                </w:tcPr>
                <w:p>
                  <w:pPr>
                    <w:widowControl/>
                    <w:jc w:val="center"/>
                    <w:rPr>
                      <w:szCs w:val="21"/>
                    </w:rPr>
                  </w:pPr>
                  <w:r>
                    <w:rPr>
                      <w:rFonts w:hint="eastAsia"/>
                      <w:szCs w:val="21"/>
                    </w:rPr>
                    <w:t>4</w:t>
                  </w:r>
                  <w:r>
                    <w:rPr>
                      <w:szCs w:val="21"/>
                    </w:rPr>
                    <w:t>台</w:t>
                  </w:r>
                </w:p>
              </w:tc>
              <w:tc>
                <w:tcPr>
                  <w:tcW w:w="1025" w:type="pct"/>
                  <w:tcBorders>
                    <w:tl2br w:val="nil"/>
                    <w:tr2bl w:val="nil"/>
                  </w:tcBorders>
                  <w:vAlign w:val="center"/>
                </w:tcPr>
                <w:p>
                  <w:pPr>
                    <w:widowControl/>
                    <w:jc w:val="center"/>
                    <w:rPr>
                      <w:szCs w:val="21"/>
                    </w:rPr>
                  </w:pPr>
                </w:p>
              </w:tc>
              <w:tc>
                <w:tcPr>
                  <w:tcW w:w="1118" w:type="pct"/>
                  <w:tcBorders>
                    <w:tl2br w:val="nil"/>
                    <w:tr2bl w:val="nil"/>
                  </w:tcBorders>
                  <w:vAlign w:val="center"/>
                </w:tcPr>
                <w:p>
                  <w:pPr>
                    <w:widowControl/>
                    <w:jc w:val="center"/>
                    <w:rPr>
                      <w:szCs w:val="21"/>
                    </w:rPr>
                  </w:pPr>
                  <w:r>
                    <w:rPr>
                      <w:rFonts w:hint="eastAsia"/>
                      <w:szCs w:val="21"/>
                    </w:rPr>
                    <w:t>各类奶油制品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pct"/>
                  <w:tcBorders>
                    <w:tl2br w:val="nil"/>
                    <w:tr2bl w:val="nil"/>
                  </w:tcBorders>
                  <w:vAlign w:val="center"/>
                </w:tcPr>
                <w:p>
                  <w:pPr>
                    <w:spacing w:line="360" w:lineRule="exact"/>
                    <w:jc w:val="center"/>
                    <w:rPr>
                      <w:bCs/>
                      <w:spacing w:val="-2"/>
                      <w:szCs w:val="21"/>
                    </w:rPr>
                  </w:pPr>
                  <w:r>
                    <w:rPr>
                      <w:bCs/>
                      <w:spacing w:val="-2"/>
                      <w:szCs w:val="21"/>
                    </w:rPr>
                    <w:t>3</w:t>
                  </w:r>
                </w:p>
              </w:tc>
              <w:tc>
                <w:tcPr>
                  <w:tcW w:w="1081" w:type="pct"/>
                  <w:tcBorders>
                    <w:tl2br w:val="nil"/>
                    <w:tr2bl w:val="nil"/>
                  </w:tcBorders>
                  <w:vAlign w:val="center"/>
                </w:tcPr>
                <w:p>
                  <w:pPr>
                    <w:widowControl/>
                    <w:jc w:val="center"/>
                    <w:rPr>
                      <w:szCs w:val="21"/>
                    </w:rPr>
                  </w:pPr>
                  <w:r>
                    <w:rPr>
                      <w:szCs w:val="21"/>
                    </w:rPr>
                    <w:t>发酵罐</w:t>
                  </w:r>
                  <w:r>
                    <w:rPr>
                      <w:rFonts w:hint="eastAsia"/>
                      <w:szCs w:val="21"/>
                    </w:rPr>
                    <w:t>系统</w:t>
                  </w:r>
                </w:p>
              </w:tc>
              <w:tc>
                <w:tcPr>
                  <w:tcW w:w="731" w:type="pct"/>
                  <w:tcBorders>
                    <w:tl2br w:val="nil"/>
                    <w:tr2bl w:val="nil"/>
                  </w:tcBorders>
                  <w:vAlign w:val="center"/>
                </w:tcPr>
                <w:p>
                  <w:pPr>
                    <w:widowControl/>
                    <w:jc w:val="center"/>
                    <w:rPr>
                      <w:szCs w:val="21"/>
                    </w:rPr>
                  </w:pPr>
                  <w:r>
                    <w:rPr>
                      <w:rFonts w:hint="eastAsia"/>
                      <w:szCs w:val="21"/>
                    </w:rPr>
                    <w:t>200L、500L、1t</w:t>
                  </w:r>
                </w:p>
              </w:tc>
              <w:tc>
                <w:tcPr>
                  <w:tcW w:w="541" w:type="pct"/>
                  <w:tcBorders>
                    <w:tl2br w:val="nil"/>
                    <w:tr2bl w:val="nil"/>
                  </w:tcBorders>
                  <w:vAlign w:val="center"/>
                </w:tcPr>
                <w:p>
                  <w:pPr>
                    <w:widowControl/>
                    <w:jc w:val="center"/>
                    <w:rPr>
                      <w:szCs w:val="21"/>
                    </w:rPr>
                  </w:pPr>
                  <w:r>
                    <w:rPr>
                      <w:rFonts w:hint="eastAsia"/>
                      <w:szCs w:val="21"/>
                    </w:rPr>
                    <w:t>9个</w:t>
                  </w:r>
                </w:p>
              </w:tc>
              <w:tc>
                <w:tcPr>
                  <w:tcW w:w="1025" w:type="pct"/>
                  <w:tcBorders>
                    <w:tl2br w:val="nil"/>
                    <w:tr2bl w:val="nil"/>
                  </w:tcBorders>
                  <w:vAlign w:val="center"/>
                </w:tcPr>
                <w:p>
                  <w:pPr>
                    <w:widowControl/>
                    <w:jc w:val="center"/>
                    <w:rPr>
                      <w:szCs w:val="21"/>
                    </w:rPr>
                  </w:pPr>
                  <w:r>
                    <w:rPr>
                      <w:rFonts w:hint="eastAsia"/>
                      <w:szCs w:val="21"/>
                    </w:rPr>
                    <w:t>其中200L的4个，500L的1个，1t的4个；名称为发酵系统，实则为奶油制品酶解罐</w:t>
                  </w:r>
                </w:p>
              </w:tc>
              <w:tc>
                <w:tcPr>
                  <w:tcW w:w="1118" w:type="pct"/>
                  <w:tcBorders>
                    <w:tl2br w:val="nil"/>
                    <w:tr2bl w:val="nil"/>
                  </w:tcBorders>
                  <w:vAlign w:val="center"/>
                </w:tcPr>
                <w:p>
                  <w:pPr>
                    <w:widowControl/>
                    <w:jc w:val="center"/>
                    <w:rPr>
                      <w:szCs w:val="21"/>
                    </w:rPr>
                  </w:pPr>
                  <w:r>
                    <w:rPr>
                      <w:rFonts w:hint="eastAsia"/>
                      <w:szCs w:val="21"/>
                    </w:rPr>
                    <w:t>奶油制品、复合调味料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4" w:type="pct"/>
                  <w:tcBorders>
                    <w:tl2br w:val="nil"/>
                    <w:tr2bl w:val="nil"/>
                  </w:tcBorders>
                  <w:vAlign w:val="center"/>
                </w:tcPr>
                <w:p>
                  <w:pPr>
                    <w:spacing w:line="360" w:lineRule="exact"/>
                    <w:jc w:val="center"/>
                    <w:rPr>
                      <w:bCs/>
                      <w:spacing w:val="-2"/>
                      <w:szCs w:val="21"/>
                    </w:rPr>
                  </w:pPr>
                  <w:r>
                    <w:rPr>
                      <w:bCs/>
                      <w:spacing w:val="-2"/>
                      <w:szCs w:val="21"/>
                    </w:rPr>
                    <w:t>4</w:t>
                  </w:r>
                </w:p>
              </w:tc>
              <w:tc>
                <w:tcPr>
                  <w:tcW w:w="1081" w:type="pct"/>
                  <w:tcBorders>
                    <w:tl2br w:val="nil"/>
                    <w:tr2bl w:val="nil"/>
                  </w:tcBorders>
                  <w:vAlign w:val="center"/>
                </w:tcPr>
                <w:p>
                  <w:pPr>
                    <w:widowControl/>
                    <w:jc w:val="center"/>
                    <w:rPr>
                      <w:szCs w:val="21"/>
                    </w:rPr>
                  </w:pPr>
                  <w:r>
                    <w:rPr>
                      <w:rFonts w:hint="eastAsia"/>
                      <w:szCs w:val="21"/>
                    </w:rPr>
                    <w:t>电子秤</w:t>
                  </w:r>
                </w:p>
              </w:tc>
              <w:tc>
                <w:tcPr>
                  <w:tcW w:w="731" w:type="pct"/>
                  <w:tcBorders>
                    <w:tl2br w:val="nil"/>
                    <w:tr2bl w:val="nil"/>
                  </w:tcBorders>
                  <w:vAlign w:val="center"/>
                </w:tcPr>
                <w:p>
                  <w:pPr>
                    <w:widowControl/>
                    <w:jc w:val="center"/>
                    <w:rPr>
                      <w:szCs w:val="21"/>
                    </w:rPr>
                  </w:pPr>
                  <w:r>
                    <w:rPr>
                      <w:rFonts w:hint="eastAsia"/>
                      <w:szCs w:val="21"/>
                    </w:rPr>
                    <w:t>1kg-150kg</w:t>
                  </w:r>
                </w:p>
              </w:tc>
              <w:tc>
                <w:tcPr>
                  <w:tcW w:w="541" w:type="pct"/>
                  <w:tcBorders>
                    <w:tl2br w:val="nil"/>
                    <w:tr2bl w:val="nil"/>
                  </w:tcBorders>
                  <w:vAlign w:val="center"/>
                </w:tcPr>
                <w:p>
                  <w:pPr>
                    <w:widowControl/>
                    <w:jc w:val="center"/>
                    <w:rPr>
                      <w:szCs w:val="21"/>
                    </w:rPr>
                  </w:pPr>
                  <w:r>
                    <w:rPr>
                      <w:rFonts w:hint="eastAsia"/>
                      <w:szCs w:val="21"/>
                    </w:rPr>
                    <w:t>10台</w:t>
                  </w:r>
                </w:p>
              </w:tc>
              <w:tc>
                <w:tcPr>
                  <w:tcW w:w="1025" w:type="pct"/>
                  <w:tcBorders>
                    <w:tl2br w:val="nil"/>
                    <w:tr2bl w:val="nil"/>
                  </w:tcBorders>
                  <w:vAlign w:val="center"/>
                </w:tcPr>
                <w:p>
                  <w:pPr>
                    <w:widowControl/>
                    <w:jc w:val="center"/>
                    <w:rPr>
                      <w:szCs w:val="21"/>
                    </w:rPr>
                  </w:pPr>
                  <w:r>
                    <w:rPr>
                      <w:rFonts w:hint="eastAsia"/>
                      <w:szCs w:val="21"/>
                    </w:rPr>
                    <w:t>2台1kg、4台30kg、4台150kg</w:t>
                  </w:r>
                </w:p>
              </w:tc>
              <w:tc>
                <w:tcPr>
                  <w:tcW w:w="1118" w:type="pct"/>
                  <w:tcBorders>
                    <w:tl2br w:val="nil"/>
                    <w:tr2bl w:val="nil"/>
                  </w:tcBorders>
                  <w:vAlign w:val="center"/>
                </w:tcPr>
                <w:p>
                  <w:pPr>
                    <w:widowControl/>
                    <w:jc w:val="center"/>
                    <w:rPr>
                      <w:szCs w:val="21"/>
                    </w:rPr>
                  </w:pPr>
                  <w:r>
                    <w:rPr>
                      <w:szCs w:val="21"/>
                    </w:rPr>
                    <w:t>奶油制品</w:t>
                  </w:r>
                  <w:r>
                    <w:rPr>
                      <w:rFonts w:hint="eastAsia"/>
                      <w:szCs w:val="21"/>
                    </w:rPr>
                    <w:t>、复合调味料</w:t>
                  </w:r>
                </w:p>
              </w:tc>
            </w:tr>
          </w:tbl>
          <w:p>
            <w:pPr>
              <w:spacing w:line="360" w:lineRule="auto"/>
              <w:ind w:firstLine="482" w:firstLineChars="200"/>
              <w:rPr>
                <w:b/>
                <w:sz w:val="24"/>
              </w:rPr>
            </w:pPr>
            <w:r>
              <w:rPr>
                <w:b/>
                <w:sz w:val="24"/>
              </w:rPr>
              <w:t>6</w:t>
            </w:r>
            <w:r>
              <w:rPr>
                <w:rFonts w:hint="eastAsia"/>
                <w:b/>
                <w:sz w:val="24"/>
              </w:rPr>
              <w:t>、原辅材料及能源消耗</w:t>
            </w:r>
          </w:p>
          <w:p>
            <w:pPr>
              <w:spacing w:line="360" w:lineRule="auto"/>
              <w:ind w:firstLine="480" w:firstLineChars="200"/>
              <w:rPr>
                <w:sz w:val="24"/>
              </w:rPr>
            </w:pPr>
            <w:r>
              <w:rPr>
                <w:rFonts w:hint="eastAsia"/>
                <w:sz w:val="24"/>
              </w:rPr>
              <w:t>本项目运营期主要原辅材料消耗与能源消耗见下表。</w:t>
            </w:r>
          </w:p>
          <w:p>
            <w:pPr>
              <w:adjustRightInd w:val="0"/>
              <w:snapToGrid w:val="0"/>
              <w:spacing w:line="400" w:lineRule="exact"/>
              <w:jc w:val="center"/>
              <w:rPr>
                <w:b/>
                <w:sz w:val="24"/>
              </w:rPr>
            </w:pPr>
            <w:r>
              <w:rPr>
                <w:rFonts w:hint="eastAsia"/>
                <w:b/>
                <w:sz w:val="24"/>
              </w:rPr>
              <w:t>表2-</w:t>
            </w:r>
            <w:r>
              <w:rPr>
                <w:b/>
                <w:sz w:val="24"/>
              </w:rPr>
              <w:t xml:space="preserve">6 </w:t>
            </w:r>
            <w:r>
              <w:rPr>
                <w:rFonts w:hint="eastAsia"/>
                <w:b/>
                <w:sz w:val="24"/>
              </w:rPr>
              <w:t>一期工程主要原辅材料消耗一览表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66"/>
              <w:gridCol w:w="1880"/>
              <w:gridCol w:w="709"/>
              <w:gridCol w:w="992"/>
              <w:gridCol w:w="969"/>
              <w:gridCol w:w="977"/>
              <w:gridCol w:w="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427" w:type="dxa"/>
                  <w:tcBorders>
                    <w:tl2br w:val="nil"/>
                    <w:tr2bl w:val="nil"/>
                  </w:tcBorders>
                  <w:vAlign w:val="center"/>
                </w:tcPr>
                <w:p>
                  <w:pPr>
                    <w:widowControl/>
                    <w:jc w:val="center"/>
                    <w:rPr>
                      <w:b/>
                      <w:bCs/>
                      <w:kern w:val="0"/>
                      <w:szCs w:val="21"/>
                    </w:rPr>
                  </w:pPr>
                  <w:r>
                    <w:rPr>
                      <w:b/>
                      <w:bCs/>
                      <w:kern w:val="0"/>
                      <w:szCs w:val="21"/>
                    </w:rPr>
                    <w:t>序号</w:t>
                  </w:r>
                </w:p>
              </w:tc>
              <w:tc>
                <w:tcPr>
                  <w:tcW w:w="1266" w:type="dxa"/>
                  <w:tcBorders>
                    <w:tl2br w:val="nil"/>
                    <w:tr2bl w:val="nil"/>
                  </w:tcBorders>
                  <w:noWrap/>
                  <w:vAlign w:val="center"/>
                </w:tcPr>
                <w:p>
                  <w:pPr>
                    <w:widowControl/>
                    <w:jc w:val="center"/>
                    <w:rPr>
                      <w:b/>
                      <w:bCs/>
                      <w:kern w:val="0"/>
                      <w:szCs w:val="21"/>
                    </w:rPr>
                  </w:pPr>
                  <w:r>
                    <w:rPr>
                      <w:rFonts w:hint="eastAsia"/>
                      <w:b/>
                      <w:bCs/>
                      <w:kern w:val="0"/>
                      <w:szCs w:val="21"/>
                    </w:rPr>
                    <w:t>对应产品</w:t>
                  </w:r>
                </w:p>
              </w:tc>
              <w:tc>
                <w:tcPr>
                  <w:tcW w:w="1880" w:type="dxa"/>
                  <w:tcBorders>
                    <w:tl2br w:val="nil"/>
                    <w:tr2bl w:val="nil"/>
                  </w:tcBorders>
                  <w:vAlign w:val="center"/>
                </w:tcPr>
                <w:p>
                  <w:pPr>
                    <w:jc w:val="center"/>
                    <w:rPr>
                      <w:b/>
                      <w:bCs/>
                      <w:kern w:val="0"/>
                      <w:szCs w:val="21"/>
                    </w:rPr>
                  </w:pPr>
                  <w:r>
                    <w:rPr>
                      <w:b/>
                      <w:bCs/>
                      <w:kern w:val="0"/>
                      <w:szCs w:val="21"/>
                    </w:rPr>
                    <w:t>材料名称</w:t>
                  </w:r>
                </w:p>
              </w:tc>
              <w:tc>
                <w:tcPr>
                  <w:tcW w:w="709" w:type="dxa"/>
                  <w:tcBorders>
                    <w:tl2br w:val="nil"/>
                    <w:tr2bl w:val="nil"/>
                  </w:tcBorders>
                  <w:noWrap/>
                  <w:vAlign w:val="center"/>
                </w:tcPr>
                <w:p>
                  <w:pPr>
                    <w:widowControl/>
                    <w:jc w:val="center"/>
                    <w:rPr>
                      <w:b/>
                      <w:bCs/>
                      <w:kern w:val="0"/>
                      <w:szCs w:val="21"/>
                    </w:rPr>
                  </w:pPr>
                  <w:r>
                    <w:rPr>
                      <w:b/>
                      <w:bCs/>
                      <w:kern w:val="0"/>
                      <w:szCs w:val="21"/>
                    </w:rPr>
                    <w:t>单位</w:t>
                  </w:r>
                </w:p>
              </w:tc>
              <w:tc>
                <w:tcPr>
                  <w:tcW w:w="992" w:type="dxa"/>
                  <w:tcBorders>
                    <w:tl2br w:val="nil"/>
                    <w:tr2bl w:val="nil"/>
                  </w:tcBorders>
                  <w:noWrap/>
                  <w:vAlign w:val="center"/>
                </w:tcPr>
                <w:p>
                  <w:pPr>
                    <w:widowControl/>
                    <w:jc w:val="center"/>
                    <w:rPr>
                      <w:b/>
                      <w:bCs/>
                      <w:kern w:val="0"/>
                      <w:szCs w:val="21"/>
                    </w:rPr>
                  </w:pPr>
                  <w:r>
                    <w:rPr>
                      <w:b/>
                      <w:bCs/>
                      <w:kern w:val="0"/>
                      <w:szCs w:val="21"/>
                    </w:rPr>
                    <w:t>年用量</w:t>
                  </w:r>
                </w:p>
              </w:tc>
              <w:tc>
                <w:tcPr>
                  <w:tcW w:w="969" w:type="dxa"/>
                  <w:tcBorders>
                    <w:tl2br w:val="nil"/>
                    <w:tr2bl w:val="nil"/>
                  </w:tcBorders>
                  <w:vAlign w:val="center"/>
                </w:tcPr>
                <w:p>
                  <w:pPr>
                    <w:widowControl/>
                    <w:jc w:val="center"/>
                    <w:rPr>
                      <w:b/>
                      <w:bCs/>
                      <w:kern w:val="0"/>
                      <w:szCs w:val="21"/>
                    </w:rPr>
                  </w:pPr>
                  <w:r>
                    <w:rPr>
                      <w:rFonts w:hint="eastAsia"/>
                      <w:b/>
                      <w:bCs/>
                      <w:kern w:val="0"/>
                      <w:szCs w:val="21"/>
                    </w:rPr>
                    <w:t>储存方式</w:t>
                  </w:r>
                </w:p>
              </w:tc>
              <w:tc>
                <w:tcPr>
                  <w:tcW w:w="977" w:type="dxa"/>
                  <w:tcBorders>
                    <w:tl2br w:val="nil"/>
                    <w:tr2bl w:val="nil"/>
                  </w:tcBorders>
                  <w:vAlign w:val="center"/>
                </w:tcPr>
                <w:p>
                  <w:pPr>
                    <w:widowControl/>
                    <w:jc w:val="center"/>
                    <w:rPr>
                      <w:b/>
                      <w:bCs/>
                      <w:kern w:val="0"/>
                      <w:szCs w:val="21"/>
                    </w:rPr>
                  </w:pPr>
                  <w:r>
                    <w:rPr>
                      <w:rFonts w:hint="eastAsia"/>
                      <w:b/>
                      <w:bCs/>
                      <w:kern w:val="0"/>
                      <w:szCs w:val="21"/>
                    </w:rPr>
                    <w:t>最大储存量</w:t>
                  </w:r>
                </w:p>
              </w:tc>
              <w:tc>
                <w:tcPr>
                  <w:tcW w:w="933" w:type="dxa"/>
                  <w:tcBorders>
                    <w:tl2br w:val="nil"/>
                    <w:tr2bl w:val="nil"/>
                  </w:tcBorders>
                  <w:noWrap/>
                  <w:vAlign w:val="center"/>
                </w:tcPr>
                <w:p>
                  <w:pPr>
                    <w:widowControl/>
                    <w:jc w:val="center"/>
                    <w:rPr>
                      <w:b/>
                      <w:bCs/>
                      <w:kern w:val="0"/>
                      <w:szCs w:val="21"/>
                    </w:rPr>
                  </w:pPr>
                  <w:r>
                    <w:rPr>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lang w:val="zh-CN"/>
                    </w:rPr>
                  </w:pPr>
                  <w:r>
                    <w:rPr>
                      <w:rFonts w:hint="eastAsia"/>
                      <w:szCs w:val="21"/>
                    </w:rPr>
                    <w:t>1</w:t>
                  </w:r>
                </w:p>
              </w:tc>
              <w:tc>
                <w:tcPr>
                  <w:tcW w:w="1266" w:type="dxa"/>
                  <w:vMerge w:val="restart"/>
                  <w:tcBorders>
                    <w:tl2br w:val="nil"/>
                    <w:tr2bl w:val="nil"/>
                  </w:tcBorders>
                  <w:noWrap/>
                  <w:vAlign w:val="center"/>
                </w:tcPr>
                <w:p>
                  <w:pPr>
                    <w:widowControl/>
                    <w:jc w:val="center"/>
                    <w:rPr>
                      <w:kern w:val="0"/>
                      <w:szCs w:val="21"/>
                    </w:rPr>
                  </w:pPr>
                  <w:r>
                    <w:rPr>
                      <w:rFonts w:hint="eastAsia"/>
                      <w:kern w:val="0"/>
                      <w:szCs w:val="21"/>
                    </w:rPr>
                    <w:t>奶油制品</w:t>
                  </w:r>
                </w:p>
              </w:tc>
              <w:tc>
                <w:tcPr>
                  <w:tcW w:w="1880" w:type="dxa"/>
                  <w:tcBorders>
                    <w:tl2br w:val="nil"/>
                    <w:tr2bl w:val="nil"/>
                  </w:tcBorders>
                  <w:vAlign w:val="center"/>
                </w:tcPr>
                <w:p>
                  <w:pPr>
                    <w:widowControl/>
                    <w:jc w:val="center"/>
                    <w:rPr>
                      <w:kern w:val="0"/>
                      <w:szCs w:val="21"/>
                    </w:rPr>
                  </w:pPr>
                  <w:r>
                    <w:rPr>
                      <w:rFonts w:hint="eastAsia"/>
                      <w:szCs w:val="21"/>
                    </w:rPr>
                    <w:t>黄油（奶油）、牛奶</w:t>
                  </w:r>
                </w:p>
              </w:tc>
              <w:tc>
                <w:tcPr>
                  <w:tcW w:w="709" w:type="dxa"/>
                  <w:tcBorders>
                    <w:tl2br w:val="nil"/>
                    <w:tr2bl w:val="nil"/>
                  </w:tcBorders>
                  <w:noWrap/>
                  <w:vAlign w:val="center"/>
                </w:tcPr>
                <w:p>
                  <w:pPr>
                    <w:jc w:val="center"/>
                    <w:rPr>
                      <w:szCs w:val="21"/>
                    </w:rPr>
                  </w:pPr>
                  <w:r>
                    <w:rPr>
                      <w:kern w:val="0"/>
                      <w:szCs w:val="21"/>
                    </w:rPr>
                    <w:t>吨</w:t>
                  </w:r>
                  <w:r>
                    <w:rPr>
                      <w:szCs w:val="21"/>
                      <w:lang w:val="zh-CN"/>
                    </w:rPr>
                    <w:t>/年</w:t>
                  </w:r>
                </w:p>
              </w:tc>
              <w:tc>
                <w:tcPr>
                  <w:tcW w:w="992" w:type="dxa"/>
                  <w:tcBorders>
                    <w:tl2br w:val="nil"/>
                    <w:tr2bl w:val="nil"/>
                  </w:tcBorders>
                  <w:noWrap/>
                  <w:vAlign w:val="center"/>
                </w:tcPr>
                <w:p>
                  <w:pPr>
                    <w:widowControl/>
                    <w:jc w:val="center"/>
                    <w:rPr>
                      <w:kern w:val="0"/>
                      <w:szCs w:val="21"/>
                    </w:rPr>
                  </w:pPr>
                  <w:r>
                    <w:rPr>
                      <w:rFonts w:hint="eastAsia"/>
                      <w:kern w:val="0"/>
                      <w:szCs w:val="21"/>
                    </w:rPr>
                    <w:t>约200</w:t>
                  </w:r>
                </w:p>
              </w:tc>
              <w:tc>
                <w:tcPr>
                  <w:tcW w:w="969" w:type="dxa"/>
                  <w:tcBorders>
                    <w:tl2br w:val="nil"/>
                    <w:tr2bl w:val="nil"/>
                  </w:tcBorders>
                  <w:vAlign w:val="center"/>
                </w:tcPr>
                <w:p>
                  <w:pPr>
                    <w:widowControl/>
                    <w:jc w:val="center"/>
                    <w:rPr>
                      <w:szCs w:val="21"/>
                    </w:rPr>
                  </w:pPr>
                  <w:r>
                    <w:rPr>
                      <w:rFonts w:hint="eastAsia"/>
                      <w:szCs w:val="21"/>
                    </w:rPr>
                    <w:t>罐装、桶装</w:t>
                  </w:r>
                </w:p>
              </w:tc>
              <w:tc>
                <w:tcPr>
                  <w:tcW w:w="977" w:type="dxa"/>
                  <w:tcBorders>
                    <w:tl2br w:val="nil"/>
                    <w:tr2bl w:val="nil"/>
                  </w:tcBorders>
                  <w:vAlign w:val="center"/>
                </w:tcPr>
                <w:p>
                  <w:pPr>
                    <w:widowControl/>
                    <w:jc w:val="center"/>
                    <w:rPr>
                      <w:szCs w:val="21"/>
                    </w:rPr>
                  </w:pPr>
                  <w:r>
                    <w:rPr>
                      <w:szCs w:val="21"/>
                    </w:rPr>
                    <w:t>10</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2</w:t>
                  </w:r>
                </w:p>
              </w:tc>
              <w:tc>
                <w:tcPr>
                  <w:tcW w:w="1266" w:type="dxa"/>
                  <w:vMerge w:val="continue"/>
                  <w:tcBorders>
                    <w:tl2br w:val="nil"/>
                    <w:tr2bl w:val="nil"/>
                  </w:tcBorders>
                  <w:noWrap/>
                  <w:vAlign w:val="center"/>
                </w:tcPr>
                <w:p>
                  <w:pPr>
                    <w:widowControl/>
                    <w:jc w:val="center"/>
                    <w:rPr>
                      <w:kern w:val="0"/>
                      <w:szCs w:val="21"/>
                    </w:rPr>
                  </w:pPr>
                </w:p>
              </w:tc>
              <w:tc>
                <w:tcPr>
                  <w:tcW w:w="1880" w:type="dxa"/>
                  <w:tcBorders>
                    <w:tl2br w:val="nil"/>
                    <w:tr2bl w:val="nil"/>
                  </w:tcBorders>
                  <w:vAlign w:val="center"/>
                </w:tcPr>
                <w:p>
                  <w:pPr>
                    <w:widowControl/>
                    <w:jc w:val="center"/>
                    <w:rPr>
                      <w:szCs w:val="21"/>
                    </w:rPr>
                  </w:pPr>
                  <w:r>
                    <w:rPr>
                      <w:rFonts w:hint="eastAsia"/>
                      <w:szCs w:val="21"/>
                    </w:rPr>
                    <w:t>加工助剂（酶制剂）</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widowControl/>
                    <w:jc w:val="center"/>
                    <w:rPr>
                      <w:kern w:val="0"/>
                      <w:szCs w:val="21"/>
                    </w:rPr>
                  </w:pPr>
                  <w:r>
                    <w:rPr>
                      <w:rFonts w:hint="eastAsia"/>
                      <w:szCs w:val="21"/>
                    </w:rPr>
                    <w:t>约0.04</w:t>
                  </w:r>
                </w:p>
              </w:tc>
              <w:tc>
                <w:tcPr>
                  <w:tcW w:w="969" w:type="dxa"/>
                  <w:tcBorders>
                    <w:tl2br w:val="nil"/>
                    <w:tr2bl w:val="nil"/>
                  </w:tcBorders>
                  <w:vAlign w:val="center"/>
                </w:tcPr>
                <w:p>
                  <w:pPr>
                    <w:widowControl/>
                    <w:jc w:val="center"/>
                    <w:rPr>
                      <w:szCs w:val="21"/>
                    </w:rPr>
                  </w:pPr>
                  <w:r>
                    <w:rPr>
                      <w:rFonts w:hint="eastAsia"/>
                      <w:szCs w:val="21"/>
                    </w:rPr>
                    <w:t>袋装、瓶装</w:t>
                  </w:r>
                </w:p>
              </w:tc>
              <w:tc>
                <w:tcPr>
                  <w:tcW w:w="977" w:type="dxa"/>
                  <w:tcBorders>
                    <w:tl2br w:val="nil"/>
                    <w:tr2bl w:val="nil"/>
                  </w:tcBorders>
                  <w:vAlign w:val="center"/>
                </w:tcPr>
                <w:p>
                  <w:pPr>
                    <w:widowControl/>
                    <w:jc w:val="center"/>
                    <w:rPr>
                      <w:szCs w:val="21"/>
                    </w:rPr>
                  </w:pPr>
                  <w:r>
                    <w:rPr>
                      <w:rFonts w:hint="eastAsia"/>
                      <w:szCs w:val="21"/>
                    </w:rPr>
                    <w:t>0</w:t>
                  </w:r>
                  <w:r>
                    <w:rPr>
                      <w:szCs w:val="21"/>
                    </w:rPr>
                    <w:t>.0</w:t>
                  </w:r>
                  <w:r>
                    <w:rPr>
                      <w:rFonts w:hint="eastAsia"/>
                      <w:szCs w:val="21"/>
                    </w:rPr>
                    <w:t>2</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3</w:t>
                  </w:r>
                </w:p>
              </w:tc>
              <w:tc>
                <w:tcPr>
                  <w:tcW w:w="1266" w:type="dxa"/>
                  <w:vMerge w:val="continue"/>
                  <w:tcBorders>
                    <w:tl2br w:val="nil"/>
                    <w:tr2bl w:val="nil"/>
                  </w:tcBorders>
                  <w:noWrap/>
                  <w:vAlign w:val="center"/>
                </w:tcPr>
                <w:p>
                  <w:pPr>
                    <w:widowControl/>
                    <w:jc w:val="center"/>
                    <w:rPr>
                      <w:kern w:val="0"/>
                      <w:szCs w:val="21"/>
                    </w:rPr>
                  </w:pPr>
                </w:p>
              </w:tc>
              <w:tc>
                <w:tcPr>
                  <w:tcW w:w="1880" w:type="dxa"/>
                  <w:tcBorders>
                    <w:tl2br w:val="nil"/>
                    <w:tr2bl w:val="nil"/>
                  </w:tcBorders>
                  <w:vAlign w:val="center"/>
                </w:tcPr>
                <w:p>
                  <w:pPr>
                    <w:widowControl/>
                    <w:jc w:val="center"/>
                    <w:rPr>
                      <w:szCs w:val="21"/>
                    </w:rPr>
                  </w:pPr>
                  <w:r>
                    <w:rPr>
                      <w:rFonts w:hint="eastAsia"/>
                      <w:szCs w:val="21"/>
                    </w:rPr>
                    <w:t>饮用纯净水</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widowControl/>
                    <w:jc w:val="center"/>
                    <w:rPr>
                      <w:szCs w:val="21"/>
                    </w:rPr>
                  </w:pPr>
                  <w:r>
                    <w:rPr>
                      <w:rFonts w:hint="eastAsia"/>
                      <w:szCs w:val="21"/>
                    </w:rPr>
                    <w:t>约2</w:t>
                  </w:r>
                </w:p>
              </w:tc>
              <w:tc>
                <w:tcPr>
                  <w:tcW w:w="969" w:type="dxa"/>
                  <w:tcBorders>
                    <w:tl2br w:val="nil"/>
                    <w:tr2bl w:val="nil"/>
                  </w:tcBorders>
                  <w:vAlign w:val="center"/>
                </w:tcPr>
                <w:p>
                  <w:pPr>
                    <w:widowControl/>
                    <w:jc w:val="center"/>
                    <w:rPr>
                      <w:szCs w:val="21"/>
                    </w:rPr>
                  </w:pPr>
                  <w:r>
                    <w:rPr>
                      <w:rFonts w:hint="eastAsia"/>
                      <w:szCs w:val="21"/>
                    </w:rPr>
                    <w:t>桶装</w:t>
                  </w:r>
                </w:p>
              </w:tc>
              <w:tc>
                <w:tcPr>
                  <w:tcW w:w="977" w:type="dxa"/>
                  <w:tcBorders>
                    <w:tl2br w:val="nil"/>
                    <w:tr2bl w:val="nil"/>
                  </w:tcBorders>
                  <w:vAlign w:val="center"/>
                </w:tcPr>
                <w:p>
                  <w:pPr>
                    <w:widowControl/>
                    <w:jc w:val="center"/>
                    <w:rPr>
                      <w:szCs w:val="21"/>
                    </w:rPr>
                  </w:pPr>
                  <w:r>
                    <w:rPr>
                      <w:rFonts w:hint="eastAsia"/>
                      <w:szCs w:val="21"/>
                    </w:rPr>
                    <w:t>2</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4</w:t>
                  </w:r>
                </w:p>
              </w:tc>
              <w:tc>
                <w:tcPr>
                  <w:tcW w:w="1266" w:type="dxa"/>
                  <w:vMerge w:val="continue"/>
                  <w:tcBorders>
                    <w:tl2br w:val="nil"/>
                    <w:tr2bl w:val="nil"/>
                  </w:tcBorders>
                  <w:noWrap/>
                  <w:vAlign w:val="center"/>
                </w:tcPr>
                <w:p>
                  <w:pPr>
                    <w:widowControl/>
                    <w:jc w:val="center"/>
                    <w:rPr>
                      <w:kern w:val="0"/>
                      <w:szCs w:val="21"/>
                    </w:rPr>
                  </w:pPr>
                </w:p>
              </w:tc>
              <w:tc>
                <w:tcPr>
                  <w:tcW w:w="1880" w:type="dxa"/>
                  <w:tcBorders>
                    <w:tl2br w:val="nil"/>
                    <w:tr2bl w:val="nil"/>
                  </w:tcBorders>
                  <w:vAlign w:val="center"/>
                </w:tcPr>
                <w:p>
                  <w:pPr>
                    <w:widowControl/>
                    <w:jc w:val="center"/>
                    <w:rPr>
                      <w:szCs w:val="21"/>
                    </w:rPr>
                  </w:pPr>
                  <w:r>
                    <w:rPr>
                      <w:rFonts w:hint="eastAsia"/>
                      <w:szCs w:val="21"/>
                    </w:rPr>
                    <w:t>天然香料（大蒜、洋葱、生姜、香草、香荚兰等）</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widowControl/>
                    <w:jc w:val="center"/>
                    <w:rPr>
                      <w:szCs w:val="21"/>
                    </w:rPr>
                  </w:pPr>
                  <w:r>
                    <w:rPr>
                      <w:rFonts w:hint="eastAsia"/>
                      <w:szCs w:val="21"/>
                    </w:rPr>
                    <w:t>约10</w:t>
                  </w:r>
                </w:p>
              </w:tc>
              <w:tc>
                <w:tcPr>
                  <w:tcW w:w="969" w:type="dxa"/>
                  <w:tcBorders>
                    <w:tl2br w:val="nil"/>
                    <w:tr2bl w:val="nil"/>
                  </w:tcBorders>
                  <w:vAlign w:val="center"/>
                </w:tcPr>
                <w:p>
                  <w:pPr>
                    <w:widowControl/>
                    <w:jc w:val="center"/>
                    <w:rPr>
                      <w:szCs w:val="21"/>
                    </w:rPr>
                  </w:pPr>
                  <w:r>
                    <w:rPr>
                      <w:rFonts w:hint="eastAsia"/>
                      <w:szCs w:val="21"/>
                    </w:rPr>
                    <w:t>袋装</w:t>
                  </w:r>
                </w:p>
              </w:tc>
              <w:tc>
                <w:tcPr>
                  <w:tcW w:w="977" w:type="dxa"/>
                  <w:tcBorders>
                    <w:tl2br w:val="nil"/>
                    <w:tr2bl w:val="nil"/>
                  </w:tcBorders>
                  <w:vAlign w:val="center"/>
                </w:tcPr>
                <w:p>
                  <w:pPr>
                    <w:widowControl/>
                    <w:jc w:val="center"/>
                    <w:rPr>
                      <w:szCs w:val="21"/>
                    </w:rPr>
                  </w:pPr>
                  <w:r>
                    <w:rPr>
                      <w:rFonts w:hint="eastAsia"/>
                      <w:szCs w:val="21"/>
                    </w:rPr>
                    <w:t>2</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restart"/>
                  <w:tcBorders>
                    <w:tl2br w:val="nil"/>
                    <w:tr2bl w:val="nil"/>
                  </w:tcBorders>
                  <w:vAlign w:val="center"/>
                </w:tcPr>
                <w:p>
                  <w:pPr>
                    <w:jc w:val="center"/>
                    <w:rPr>
                      <w:szCs w:val="21"/>
                    </w:rPr>
                  </w:pPr>
                  <w:r>
                    <w:rPr>
                      <w:szCs w:val="21"/>
                    </w:rPr>
                    <w:t>4</w:t>
                  </w:r>
                </w:p>
              </w:tc>
              <w:tc>
                <w:tcPr>
                  <w:tcW w:w="1266" w:type="dxa"/>
                  <w:vMerge w:val="restart"/>
                  <w:tcBorders>
                    <w:tl2br w:val="nil"/>
                    <w:tr2bl w:val="nil"/>
                  </w:tcBorders>
                  <w:noWrap/>
                  <w:vAlign w:val="center"/>
                </w:tcPr>
                <w:p>
                  <w:pPr>
                    <w:jc w:val="center"/>
                    <w:rPr>
                      <w:szCs w:val="21"/>
                    </w:rPr>
                  </w:pPr>
                  <w:r>
                    <w:rPr>
                      <w:rFonts w:hint="eastAsia"/>
                      <w:szCs w:val="21"/>
                    </w:rPr>
                    <w:t>食品用香精</w:t>
                  </w:r>
                </w:p>
              </w:tc>
              <w:tc>
                <w:tcPr>
                  <w:tcW w:w="1880" w:type="dxa"/>
                  <w:tcBorders>
                    <w:tl2br w:val="nil"/>
                    <w:tr2bl w:val="nil"/>
                  </w:tcBorders>
                  <w:vAlign w:val="center"/>
                </w:tcPr>
                <w:p>
                  <w:pPr>
                    <w:jc w:val="center"/>
                    <w:rPr>
                      <w:szCs w:val="21"/>
                    </w:rPr>
                  </w:pPr>
                  <w:r>
                    <w:rPr>
                      <w:rFonts w:hint="eastAsia"/>
                      <w:szCs w:val="21"/>
                    </w:rPr>
                    <w:t>食品添加剂（辛癸酸甘油酯（MCT）、食用酒精、三乙酸甘油酯、丙二醇、丁位十二内酯、丁位癸内酯、香兰素、乙偶姻、乙基麦芽酚、丁酸、丙位壬内酯、丙位癸内酯、乙基香兰素等）</w:t>
                  </w:r>
                </w:p>
              </w:tc>
              <w:tc>
                <w:tcPr>
                  <w:tcW w:w="709" w:type="dxa"/>
                  <w:vMerge w:val="restart"/>
                  <w:tcBorders>
                    <w:tl2br w:val="nil"/>
                    <w:tr2bl w:val="nil"/>
                  </w:tcBorders>
                  <w:noWrap/>
                  <w:vAlign w:val="center"/>
                </w:tcPr>
                <w:p>
                  <w:pPr>
                    <w:jc w:val="center"/>
                    <w:rPr>
                      <w:szCs w:val="21"/>
                    </w:rPr>
                  </w:pPr>
                  <w:r>
                    <w:rPr>
                      <w:kern w:val="0"/>
                      <w:szCs w:val="21"/>
                    </w:rPr>
                    <w:t>吨</w:t>
                  </w:r>
                  <w:r>
                    <w:rPr>
                      <w:szCs w:val="21"/>
                      <w:lang w:val="zh-CN"/>
                    </w:rPr>
                    <w:t>/年</w:t>
                  </w:r>
                </w:p>
              </w:tc>
              <w:tc>
                <w:tcPr>
                  <w:tcW w:w="992" w:type="dxa"/>
                  <w:vMerge w:val="restart"/>
                  <w:tcBorders>
                    <w:tl2br w:val="nil"/>
                    <w:tr2bl w:val="nil"/>
                  </w:tcBorders>
                  <w:noWrap/>
                  <w:vAlign w:val="center"/>
                </w:tcPr>
                <w:p>
                  <w:pPr>
                    <w:jc w:val="center"/>
                    <w:rPr>
                      <w:szCs w:val="21"/>
                    </w:rPr>
                  </w:pPr>
                  <w:r>
                    <w:rPr>
                      <w:rFonts w:hint="eastAsia"/>
                      <w:szCs w:val="21"/>
                    </w:rPr>
                    <w:t>约110</w:t>
                  </w:r>
                </w:p>
              </w:tc>
              <w:tc>
                <w:tcPr>
                  <w:tcW w:w="969" w:type="dxa"/>
                  <w:vMerge w:val="restart"/>
                  <w:tcBorders>
                    <w:tl2br w:val="nil"/>
                    <w:tr2bl w:val="nil"/>
                  </w:tcBorders>
                  <w:vAlign w:val="center"/>
                </w:tcPr>
                <w:p>
                  <w:pPr>
                    <w:widowControl/>
                    <w:jc w:val="center"/>
                    <w:rPr>
                      <w:szCs w:val="21"/>
                    </w:rPr>
                  </w:pPr>
                  <w:r>
                    <w:rPr>
                      <w:rFonts w:hint="eastAsia"/>
                      <w:szCs w:val="21"/>
                    </w:rPr>
                    <w:t>桶装、瓶装、罐装、袋装</w:t>
                  </w:r>
                </w:p>
                <w:p>
                  <w:pPr>
                    <w:widowControl/>
                    <w:jc w:val="center"/>
                    <w:rPr>
                      <w:szCs w:val="21"/>
                    </w:rPr>
                  </w:pPr>
                </w:p>
              </w:tc>
              <w:tc>
                <w:tcPr>
                  <w:tcW w:w="977" w:type="dxa"/>
                  <w:vMerge w:val="restart"/>
                  <w:tcBorders>
                    <w:tl2br w:val="nil"/>
                    <w:tr2bl w:val="nil"/>
                  </w:tcBorders>
                  <w:vAlign w:val="center"/>
                </w:tcPr>
                <w:p>
                  <w:pPr>
                    <w:widowControl/>
                    <w:jc w:val="center"/>
                    <w:rPr>
                      <w:szCs w:val="21"/>
                    </w:rPr>
                  </w:pPr>
                  <w:r>
                    <w:rPr>
                      <w:szCs w:val="21"/>
                    </w:rPr>
                    <w:t>10</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vMerge w:val="continue"/>
                  <w:tcBorders>
                    <w:tl2br w:val="nil"/>
                    <w:tr2bl w:val="nil"/>
                  </w:tcBorders>
                  <w:vAlign w:val="center"/>
                </w:tcPr>
                <w:p>
                  <w:pPr>
                    <w:jc w:val="center"/>
                    <w:rPr>
                      <w:szCs w:val="21"/>
                    </w:rPr>
                  </w:pPr>
                </w:p>
              </w:tc>
              <w:tc>
                <w:tcPr>
                  <w:tcW w:w="1266" w:type="dxa"/>
                  <w:vMerge w:val="continue"/>
                  <w:tcBorders>
                    <w:tl2br w:val="nil"/>
                    <w:tr2bl w:val="nil"/>
                  </w:tcBorders>
                  <w:noWrap/>
                  <w:vAlign w:val="center"/>
                </w:tcPr>
                <w:p>
                  <w:pPr>
                    <w:jc w:val="center"/>
                    <w:rPr>
                      <w:szCs w:val="21"/>
                    </w:rPr>
                  </w:pPr>
                </w:p>
              </w:tc>
              <w:tc>
                <w:tcPr>
                  <w:tcW w:w="1880" w:type="dxa"/>
                  <w:tcBorders>
                    <w:tl2br w:val="nil"/>
                    <w:tr2bl w:val="nil"/>
                  </w:tcBorders>
                  <w:vAlign w:val="center"/>
                </w:tcPr>
                <w:p>
                  <w:pPr>
                    <w:jc w:val="center"/>
                    <w:rPr>
                      <w:szCs w:val="21"/>
                    </w:rPr>
                  </w:pPr>
                  <w:r>
                    <w:rPr>
                      <w:rFonts w:hint="eastAsia"/>
                      <w:szCs w:val="21"/>
                    </w:rPr>
                    <w:t>饮用纯净水</w:t>
                  </w:r>
                </w:p>
              </w:tc>
              <w:tc>
                <w:tcPr>
                  <w:tcW w:w="709" w:type="dxa"/>
                  <w:vMerge w:val="continue"/>
                  <w:tcBorders>
                    <w:tl2br w:val="nil"/>
                    <w:tr2bl w:val="nil"/>
                  </w:tcBorders>
                  <w:noWrap/>
                  <w:vAlign w:val="center"/>
                </w:tcPr>
                <w:p>
                  <w:pPr>
                    <w:jc w:val="center"/>
                    <w:rPr>
                      <w:kern w:val="0"/>
                      <w:szCs w:val="21"/>
                    </w:rPr>
                  </w:pPr>
                </w:p>
              </w:tc>
              <w:tc>
                <w:tcPr>
                  <w:tcW w:w="992" w:type="dxa"/>
                  <w:vMerge w:val="continue"/>
                  <w:tcBorders>
                    <w:tl2br w:val="nil"/>
                    <w:tr2bl w:val="nil"/>
                  </w:tcBorders>
                  <w:noWrap/>
                  <w:vAlign w:val="center"/>
                </w:tcPr>
                <w:p>
                  <w:pPr>
                    <w:jc w:val="center"/>
                    <w:rPr>
                      <w:szCs w:val="21"/>
                    </w:rPr>
                  </w:pPr>
                </w:p>
              </w:tc>
              <w:tc>
                <w:tcPr>
                  <w:tcW w:w="969" w:type="dxa"/>
                  <w:vMerge w:val="continue"/>
                  <w:tcBorders>
                    <w:tl2br w:val="nil"/>
                    <w:tr2bl w:val="nil"/>
                  </w:tcBorders>
                  <w:vAlign w:val="center"/>
                </w:tcPr>
                <w:p>
                  <w:pPr>
                    <w:widowControl/>
                    <w:jc w:val="center"/>
                    <w:rPr>
                      <w:szCs w:val="21"/>
                    </w:rPr>
                  </w:pPr>
                </w:p>
              </w:tc>
              <w:tc>
                <w:tcPr>
                  <w:tcW w:w="977" w:type="dxa"/>
                  <w:vMerge w:val="continue"/>
                  <w:tcBorders>
                    <w:tl2br w:val="nil"/>
                    <w:tr2bl w:val="nil"/>
                  </w:tcBorders>
                  <w:vAlign w:val="center"/>
                </w:tcPr>
                <w:p>
                  <w:pPr>
                    <w:widowControl/>
                    <w:jc w:val="center"/>
                    <w:rPr>
                      <w:szCs w:val="21"/>
                    </w:rPr>
                  </w:pP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szCs w:val="21"/>
                    </w:rPr>
                    <w:t>5</w:t>
                  </w:r>
                </w:p>
              </w:tc>
              <w:tc>
                <w:tcPr>
                  <w:tcW w:w="1266" w:type="dxa"/>
                  <w:vMerge w:val="restart"/>
                  <w:tcBorders>
                    <w:tl2br w:val="nil"/>
                    <w:tr2bl w:val="nil"/>
                  </w:tcBorders>
                  <w:noWrap/>
                  <w:vAlign w:val="center"/>
                </w:tcPr>
                <w:p>
                  <w:pPr>
                    <w:jc w:val="center"/>
                    <w:rPr>
                      <w:szCs w:val="21"/>
                    </w:rPr>
                  </w:pPr>
                  <w:r>
                    <w:rPr>
                      <w:rFonts w:hint="eastAsia"/>
                      <w:szCs w:val="21"/>
                    </w:rPr>
                    <w:t>复合调味料</w:t>
                  </w:r>
                </w:p>
              </w:tc>
              <w:tc>
                <w:tcPr>
                  <w:tcW w:w="1880" w:type="dxa"/>
                  <w:tcBorders>
                    <w:tl2br w:val="nil"/>
                    <w:tr2bl w:val="nil"/>
                  </w:tcBorders>
                  <w:vAlign w:val="center"/>
                </w:tcPr>
                <w:p>
                  <w:pPr>
                    <w:jc w:val="center"/>
                    <w:rPr>
                      <w:szCs w:val="21"/>
                    </w:rPr>
                  </w:pPr>
                  <w:r>
                    <w:rPr>
                      <w:rFonts w:hint="eastAsia"/>
                      <w:szCs w:val="21"/>
                    </w:rPr>
                    <w:t>可可粉、鸡蛋粉、鸡蛋液、蛋黄液、鲜鸡蛋</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jc w:val="center"/>
                    <w:rPr>
                      <w:szCs w:val="21"/>
                    </w:rPr>
                  </w:pPr>
                  <w:r>
                    <w:rPr>
                      <w:rFonts w:hint="eastAsia"/>
                      <w:szCs w:val="21"/>
                    </w:rPr>
                    <w:t>约10</w:t>
                  </w:r>
                </w:p>
              </w:tc>
              <w:tc>
                <w:tcPr>
                  <w:tcW w:w="969" w:type="dxa"/>
                  <w:tcBorders>
                    <w:tl2br w:val="nil"/>
                    <w:tr2bl w:val="nil"/>
                  </w:tcBorders>
                  <w:vAlign w:val="center"/>
                </w:tcPr>
                <w:p>
                  <w:pPr>
                    <w:widowControl/>
                    <w:jc w:val="center"/>
                    <w:rPr>
                      <w:szCs w:val="21"/>
                    </w:rPr>
                  </w:pPr>
                  <w:r>
                    <w:rPr>
                      <w:rFonts w:hint="eastAsia"/>
                      <w:szCs w:val="21"/>
                    </w:rPr>
                    <w:t>袋装、散装、桶装</w:t>
                  </w:r>
                </w:p>
              </w:tc>
              <w:tc>
                <w:tcPr>
                  <w:tcW w:w="977" w:type="dxa"/>
                  <w:tcBorders>
                    <w:tl2br w:val="nil"/>
                    <w:tr2bl w:val="nil"/>
                  </w:tcBorders>
                  <w:vAlign w:val="center"/>
                </w:tcPr>
                <w:p>
                  <w:pPr>
                    <w:widowControl/>
                    <w:jc w:val="center"/>
                    <w:rPr>
                      <w:szCs w:val="21"/>
                    </w:rPr>
                  </w:pPr>
                  <w:r>
                    <w:rPr>
                      <w:szCs w:val="21"/>
                    </w:rPr>
                    <w:t>2</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szCs w:val="21"/>
                    </w:rPr>
                    <w:t>6</w:t>
                  </w:r>
                </w:p>
              </w:tc>
              <w:tc>
                <w:tcPr>
                  <w:tcW w:w="1266" w:type="dxa"/>
                  <w:vMerge w:val="continue"/>
                  <w:tcBorders>
                    <w:tl2br w:val="nil"/>
                    <w:tr2bl w:val="nil"/>
                  </w:tcBorders>
                  <w:noWrap/>
                  <w:vAlign w:val="center"/>
                </w:tcPr>
                <w:p>
                  <w:pPr>
                    <w:jc w:val="center"/>
                    <w:rPr>
                      <w:szCs w:val="21"/>
                    </w:rPr>
                  </w:pPr>
                </w:p>
              </w:tc>
              <w:tc>
                <w:tcPr>
                  <w:tcW w:w="1880" w:type="dxa"/>
                  <w:tcBorders>
                    <w:tl2br w:val="nil"/>
                    <w:tr2bl w:val="nil"/>
                  </w:tcBorders>
                  <w:vAlign w:val="center"/>
                </w:tcPr>
                <w:p>
                  <w:pPr>
                    <w:jc w:val="center"/>
                    <w:rPr>
                      <w:szCs w:val="21"/>
                    </w:rPr>
                  </w:pPr>
                  <w:r>
                    <w:rPr>
                      <w:rFonts w:hint="eastAsia"/>
                      <w:szCs w:val="21"/>
                    </w:rPr>
                    <w:t>白砂糖、糖浆</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jc w:val="center"/>
                    <w:rPr>
                      <w:szCs w:val="21"/>
                    </w:rPr>
                  </w:pPr>
                  <w:r>
                    <w:rPr>
                      <w:rFonts w:hint="eastAsia"/>
                      <w:szCs w:val="21"/>
                    </w:rPr>
                    <w:t>约8</w:t>
                  </w:r>
                </w:p>
              </w:tc>
              <w:tc>
                <w:tcPr>
                  <w:tcW w:w="969" w:type="dxa"/>
                  <w:tcBorders>
                    <w:tl2br w:val="nil"/>
                    <w:tr2bl w:val="nil"/>
                  </w:tcBorders>
                  <w:vAlign w:val="center"/>
                </w:tcPr>
                <w:p>
                  <w:pPr>
                    <w:widowControl/>
                    <w:jc w:val="center"/>
                    <w:rPr>
                      <w:szCs w:val="21"/>
                    </w:rPr>
                  </w:pPr>
                  <w:r>
                    <w:rPr>
                      <w:rFonts w:hint="eastAsia"/>
                      <w:szCs w:val="21"/>
                    </w:rPr>
                    <w:t>袋装</w:t>
                  </w:r>
                </w:p>
              </w:tc>
              <w:tc>
                <w:tcPr>
                  <w:tcW w:w="977" w:type="dxa"/>
                  <w:tcBorders>
                    <w:tl2br w:val="nil"/>
                    <w:tr2bl w:val="nil"/>
                  </w:tcBorders>
                  <w:vAlign w:val="center"/>
                </w:tcPr>
                <w:p>
                  <w:pPr>
                    <w:widowControl/>
                    <w:jc w:val="center"/>
                    <w:rPr>
                      <w:szCs w:val="21"/>
                    </w:rPr>
                  </w:pPr>
                  <w:r>
                    <w:rPr>
                      <w:rFonts w:hint="eastAsia"/>
                      <w:szCs w:val="21"/>
                    </w:rPr>
                    <w:t>2</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7</w:t>
                  </w:r>
                </w:p>
              </w:tc>
              <w:tc>
                <w:tcPr>
                  <w:tcW w:w="1266" w:type="dxa"/>
                  <w:vMerge w:val="continue"/>
                  <w:tcBorders>
                    <w:tl2br w:val="nil"/>
                    <w:tr2bl w:val="nil"/>
                  </w:tcBorders>
                  <w:noWrap/>
                  <w:vAlign w:val="center"/>
                </w:tcPr>
                <w:p>
                  <w:pPr>
                    <w:jc w:val="center"/>
                    <w:rPr>
                      <w:szCs w:val="21"/>
                    </w:rPr>
                  </w:pPr>
                </w:p>
              </w:tc>
              <w:tc>
                <w:tcPr>
                  <w:tcW w:w="1880" w:type="dxa"/>
                  <w:tcBorders>
                    <w:tl2br w:val="nil"/>
                    <w:tr2bl w:val="nil"/>
                  </w:tcBorders>
                  <w:vAlign w:val="center"/>
                </w:tcPr>
                <w:p>
                  <w:pPr>
                    <w:widowControl/>
                    <w:jc w:val="center"/>
                    <w:rPr>
                      <w:szCs w:val="21"/>
                    </w:rPr>
                  </w:pPr>
                  <w:r>
                    <w:rPr>
                      <w:rFonts w:hint="eastAsia"/>
                      <w:szCs w:val="21"/>
                    </w:rPr>
                    <w:t>加工助剂（酶制剂）</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widowControl/>
                    <w:jc w:val="center"/>
                    <w:rPr>
                      <w:kern w:val="0"/>
                      <w:szCs w:val="21"/>
                    </w:rPr>
                  </w:pPr>
                  <w:r>
                    <w:rPr>
                      <w:rFonts w:hint="eastAsia"/>
                      <w:szCs w:val="21"/>
                    </w:rPr>
                    <w:t>约0.003</w:t>
                  </w:r>
                </w:p>
              </w:tc>
              <w:tc>
                <w:tcPr>
                  <w:tcW w:w="969" w:type="dxa"/>
                  <w:tcBorders>
                    <w:tl2br w:val="nil"/>
                    <w:tr2bl w:val="nil"/>
                  </w:tcBorders>
                  <w:vAlign w:val="center"/>
                </w:tcPr>
                <w:p>
                  <w:pPr>
                    <w:widowControl/>
                    <w:jc w:val="center"/>
                    <w:rPr>
                      <w:szCs w:val="21"/>
                    </w:rPr>
                  </w:pPr>
                  <w:r>
                    <w:rPr>
                      <w:rFonts w:hint="eastAsia"/>
                      <w:szCs w:val="21"/>
                    </w:rPr>
                    <w:t>袋装</w:t>
                  </w:r>
                </w:p>
              </w:tc>
              <w:tc>
                <w:tcPr>
                  <w:tcW w:w="977" w:type="dxa"/>
                  <w:tcBorders>
                    <w:tl2br w:val="nil"/>
                    <w:tr2bl w:val="nil"/>
                  </w:tcBorders>
                  <w:vAlign w:val="center"/>
                </w:tcPr>
                <w:p>
                  <w:pPr>
                    <w:widowControl/>
                    <w:jc w:val="center"/>
                    <w:rPr>
                      <w:szCs w:val="21"/>
                    </w:rPr>
                  </w:pPr>
                  <w:r>
                    <w:rPr>
                      <w:rFonts w:hint="eastAsia"/>
                      <w:szCs w:val="21"/>
                    </w:rPr>
                    <w:t>0</w:t>
                  </w:r>
                  <w:r>
                    <w:rPr>
                      <w:szCs w:val="21"/>
                    </w:rPr>
                    <w:t>.0</w:t>
                  </w:r>
                  <w:r>
                    <w:rPr>
                      <w:rFonts w:hint="eastAsia"/>
                      <w:szCs w:val="21"/>
                    </w:rPr>
                    <w:t>03</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8</w:t>
                  </w:r>
                </w:p>
              </w:tc>
              <w:tc>
                <w:tcPr>
                  <w:tcW w:w="1266" w:type="dxa"/>
                  <w:vMerge w:val="continue"/>
                  <w:tcBorders>
                    <w:tl2br w:val="nil"/>
                    <w:tr2bl w:val="nil"/>
                  </w:tcBorders>
                  <w:noWrap/>
                  <w:vAlign w:val="center"/>
                </w:tcPr>
                <w:p>
                  <w:pPr>
                    <w:jc w:val="center"/>
                    <w:rPr>
                      <w:szCs w:val="21"/>
                    </w:rPr>
                  </w:pPr>
                </w:p>
              </w:tc>
              <w:tc>
                <w:tcPr>
                  <w:tcW w:w="1880" w:type="dxa"/>
                  <w:tcBorders>
                    <w:tl2br w:val="nil"/>
                    <w:tr2bl w:val="nil"/>
                  </w:tcBorders>
                  <w:vAlign w:val="center"/>
                </w:tcPr>
                <w:p>
                  <w:pPr>
                    <w:jc w:val="center"/>
                    <w:rPr>
                      <w:szCs w:val="21"/>
                    </w:rPr>
                  </w:pPr>
                  <w:r>
                    <w:rPr>
                      <w:rFonts w:hint="eastAsia"/>
                      <w:szCs w:val="21"/>
                    </w:rPr>
                    <w:t>饮用纯净水</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jc w:val="center"/>
                    <w:rPr>
                      <w:szCs w:val="21"/>
                    </w:rPr>
                  </w:pPr>
                  <w:r>
                    <w:rPr>
                      <w:rFonts w:hint="eastAsia"/>
                      <w:szCs w:val="21"/>
                    </w:rPr>
                    <w:t>约2</w:t>
                  </w:r>
                </w:p>
              </w:tc>
              <w:tc>
                <w:tcPr>
                  <w:tcW w:w="969" w:type="dxa"/>
                  <w:tcBorders>
                    <w:tl2br w:val="nil"/>
                    <w:tr2bl w:val="nil"/>
                  </w:tcBorders>
                  <w:vAlign w:val="center"/>
                </w:tcPr>
                <w:p>
                  <w:pPr>
                    <w:widowControl/>
                    <w:jc w:val="center"/>
                    <w:rPr>
                      <w:szCs w:val="21"/>
                    </w:rPr>
                  </w:pPr>
                  <w:r>
                    <w:rPr>
                      <w:rFonts w:hint="eastAsia"/>
                      <w:szCs w:val="21"/>
                    </w:rPr>
                    <w:t>桶装</w:t>
                  </w:r>
                </w:p>
              </w:tc>
              <w:tc>
                <w:tcPr>
                  <w:tcW w:w="977" w:type="dxa"/>
                  <w:tcBorders>
                    <w:tl2br w:val="nil"/>
                    <w:tr2bl w:val="nil"/>
                  </w:tcBorders>
                  <w:vAlign w:val="center"/>
                </w:tcPr>
                <w:p>
                  <w:pPr>
                    <w:widowControl/>
                    <w:jc w:val="center"/>
                    <w:rPr>
                      <w:szCs w:val="21"/>
                    </w:rPr>
                  </w:pPr>
                  <w:r>
                    <w:rPr>
                      <w:rFonts w:hint="eastAsia"/>
                      <w:szCs w:val="21"/>
                    </w:rPr>
                    <w:t>2</w:t>
                  </w:r>
                </w:p>
              </w:tc>
              <w:tc>
                <w:tcPr>
                  <w:tcW w:w="933"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9</w:t>
                  </w:r>
                </w:p>
              </w:tc>
              <w:tc>
                <w:tcPr>
                  <w:tcW w:w="1266" w:type="dxa"/>
                  <w:vMerge w:val="restart"/>
                  <w:tcBorders>
                    <w:tl2br w:val="nil"/>
                    <w:tr2bl w:val="nil"/>
                  </w:tcBorders>
                  <w:noWrap/>
                  <w:vAlign w:val="center"/>
                </w:tcPr>
                <w:p>
                  <w:pPr>
                    <w:jc w:val="center"/>
                    <w:rPr>
                      <w:szCs w:val="21"/>
                    </w:rPr>
                  </w:pPr>
                  <w:r>
                    <w:rPr>
                      <w:rFonts w:hint="eastAsia"/>
                      <w:szCs w:val="21"/>
                    </w:rPr>
                    <w:t>其他</w:t>
                  </w:r>
                </w:p>
              </w:tc>
              <w:tc>
                <w:tcPr>
                  <w:tcW w:w="1880" w:type="dxa"/>
                  <w:tcBorders>
                    <w:tl2br w:val="nil"/>
                    <w:tr2bl w:val="nil"/>
                  </w:tcBorders>
                  <w:vAlign w:val="center"/>
                </w:tcPr>
                <w:p>
                  <w:pPr>
                    <w:jc w:val="center"/>
                    <w:rPr>
                      <w:szCs w:val="21"/>
                    </w:rPr>
                  </w:pPr>
                  <w:r>
                    <w:rPr>
                      <w:rFonts w:hint="eastAsia"/>
                      <w:szCs w:val="21"/>
                    </w:rPr>
                    <w:t>洗洁精（食品级）</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jc w:val="center"/>
                    <w:rPr>
                      <w:szCs w:val="21"/>
                    </w:rPr>
                  </w:pPr>
                  <w:r>
                    <w:rPr>
                      <w:rFonts w:hint="eastAsia"/>
                      <w:szCs w:val="21"/>
                    </w:rPr>
                    <w:t>约0.1</w:t>
                  </w:r>
                </w:p>
              </w:tc>
              <w:tc>
                <w:tcPr>
                  <w:tcW w:w="969" w:type="dxa"/>
                  <w:tcBorders>
                    <w:tl2br w:val="nil"/>
                    <w:tr2bl w:val="nil"/>
                  </w:tcBorders>
                  <w:vAlign w:val="center"/>
                </w:tcPr>
                <w:p>
                  <w:pPr>
                    <w:widowControl/>
                    <w:jc w:val="center"/>
                    <w:rPr>
                      <w:szCs w:val="21"/>
                    </w:rPr>
                  </w:pPr>
                  <w:r>
                    <w:rPr>
                      <w:rFonts w:hint="eastAsia"/>
                      <w:szCs w:val="21"/>
                    </w:rPr>
                    <w:t>桶装、瓶装</w:t>
                  </w:r>
                </w:p>
              </w:tc>
              <w:tc>
                <w:tcPr>
                  <w:tcW w:w="977" w:type="dxa"/>
                  <w:tcBorders>
                    <w:tl2br w:val="nil"/>
                    <w:tr2bl w:val="nil"/>
                  </w:tcBorders>
                  <w:vAlign w:val="center"/>
                </w:tcPr>
                <w:p>
                  <w:pPr>
                    <w:widowControl/>
                    <w:jc w:val="center"/>
                    <w:rPr>
                      <w:szCs w:val="21"/>
                    </w:rPr>
                  </w:pPr>
                  <w:r>
                    <w:rPr>
                      <w:rFonts w:hint="eastAsia"/>
                      <w:szCs w:val="21"/>
                    </w:rPr>
                    <w:t>0.1</w:t>
                  </w:r>
                </w:p>
              </w:tc>
              <w:tc>
                <w:tcPr>
                  <w:tcW w:w="933" w:type="dxa"/>
                  <w:tcBorders>
                    <w:tl2br w:val="nil"/>
                    <w:tr2bl w:val="nil"/>
                  </w:tcBorders>
                  <w:noWrap/>
                  <w:vAlign w:val="center"/>
                </w:tcPr>
                <w:p>
                  <w:pPr>
                    <w:widowControl/>
                    <w:jc w:val="center"/>
                    <w:rPr>
                      <w:szCs w:val="21"/>
                    </w:rPr>
                  </w:pPr>
                  <w:r>
                    <w:rPr>
                      <w:rFonts w:hint="eastAsia"/>
                      <w:szCs w:val="21"/>
                    </w:rPr>
                    <w:t>清洗用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10</w:t>
                  </w:r>
                </w:p>
              </w:tc>
              <w:tc>
                <w:tcPr>
                  <w:tcW w:w="1266" w:type="dxa"/>
                  <w:vMerge w:val="continue"/>
                  <w:tcBorders>
                    <w:tl2br w:val="nil"/>
                    <w:tr2bl w:val="nil"/>
                  </w:tcBorders>
                  <w:noWrap/>
                  <w:vAlign w:val="center"/>
                </w:tcPr>
                <w:p>
                  <w:pPr>
                    <w:jc w:val="center"/>
                    <w:rPr>
                      <w:szCs w:val="21"/>
                    </w:rPr>
                  </w:pPr>
                </w:p>
              </w:tc>
              <w:tc>
                <w:tcPr>
                  <w:tcW w:w="1880" w:type="dxa"/>
                  <w:tcBorders>
                    <w:tl2br w:val="nil"/>
                    <w:tr2bl w:val="nil"/>
                  </w:tcBorders>
                  <w:vAlign w:val="center"/>
                </w:tcPr>
                <w:p>
                  <w:pPr>
                    <w:jc w:val="center"/>
                    <w:rPr>
                      <w:szCs w:val="21"/>
                    </w:rPr>
                  </w:pPr>
                  <w:r>
                    <w:rPr>
                      <w:rFonts w:hint="eastAsia"/>
                      <w:szCs w:val="21"/>
                    </w:rPr>
                    <w:t>75%消毒酒精</w:t>
                  </w:r>
                </w:p>
              </w:tc>
              <w:tc>
                <w:tcPr>
                  <w:tcW w:w="709"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992" w:type="dxa"/>
                  <w:tcBorders>
                    <w:tl2br w:val="nil"/>
                    <w:tr2bl w:val="nil"/>
                  </w:tcBorders>
                  <w:noWrap/>
                  <w:vAlign w:val="center"/>
                </w:tcPr>
                <w:p>
                  <w:pPr>
                    <w:jc w:val="center"/>
                    <w:rPr>
                      <w:szCs w:val="21"/>
                    </w:rPr>
                  </w:pPr>
                  <w:r>
                    <w:rPr>
                      <w:rFonts w:hint="eastAsia"/>
                      <w:szCs w:val="21"/>
                    </w:rPr>
                    <w:t>约0.2</w:t>
                  </w:r>
                </w:p>
              </w:tc>
              <w:tc>
                <w:tcPr>
                  <w:tcW w:w="969" w:type="dxa"/>
                  <w:tcBorders>
                    <w:tl2br w:val="nil"/>
                    <w:tr2bl w:val="nil"/>
                  </w:tcBorders>
                  <w:vAlign w:val="center"/>
                </w:tcPr>
                <w:p>
                  <w:pPr>
                    <w:widowControl/>
                    <w:jc w:val="center"/>
                    <w:rPr>
                      <w:szCs w:val="21"/>
                    </w:rPr>
                  </w:pPr>
                  <w:r>
                    <w:rPr>
                      <w:rFonts w:hint="eastAsia"/>
                      <w:szCs w:val="21"/>
                    </w:rPr>
                    <w:t>桶装、瓶装</w:t>
                  </w:r>
                </w:p>
              </w:tc>
              <w:tc>
                <w:tcPr>
                  <w:tcW w:w="977" w:type="dxa"/>
                  <w:tcBorders>
                    <w:tl2br w:val="nil"/>
                    <w:tr2bl w:val="nil"/>
                  </w:tcBorders>
                  <w:vAlign w:val="center"/>
                </w:tcPr>
                <w:p>
                  <w:pPr>
                    <w:widowControl/>
                    <w:jc w:val="center"/>
                    <w:rPr>
                      <w:szCs w:val="21"/>
                    </w:rPr>
                  </w:pPr>
                  <w:r>
                    <w:rPr>
                      <w:rFonts w:hint="eastAsia"/>
                      <w:szCs w:val="21"/>
                    </w:rPr>
                    <w:t>0.05</w:t>
                  </w:r>
                </w:p>
              </w:tc>
              <w:tc>
                <w:tcPr>
                  <w:tcW w:w="933" w:type="dxa"/>
                  <w:tcBorders>
                    <w:tl2br w:val="nil"/>
                    <w:tr2bl w:val="nil"/>
                  </w:tcBorders>
                  <w:noWrap/>
                  <w:vAlign w:val="center"/>
                </w:tcPr>
                <w:p>
                  <w:pPr>
                    <w:widowControl/>
                    <w:jc w:val="center"/>
                    <w:rPr>
                      <w:szCs w:val="21"/>
                    </w:rPr>
                  </w:pPr>
                  <w:r>
                    <w:rPr>
                      <w:rFonts w:hint="eastAsia"/>
                      <w:szCs w:val="21"/>
                    </w:rPr>
                    <w:t>消毒用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dxa"/>
                  <w:tcBorders>
                    <w:tl2br w:val="nil"/>
                    <w:tr2bl w:val="nil"/>
                  </w:tcBorders>
                  <w:vAlign w:val="center"/>
                </w:tcPr>
                <w:p>
                  <w:pPr>
                    <w:jc w:val="center"/>
                    <w:rPr>
                      <w:szCs w:val="21"/>
                    </w:rPr>
                  </w:pPr>
                  <w:r>
                    <w:rPr>
                      <w:rFonts w:hint="eastAsia"/>
                      <w:szCs w:val="21"/>
                    </w:rPr>
                    <w:t>11</w:t>
                  </w:r>
                </w:p>
              </w:tc>
              <w:tc>
                <w:tcPr>
                  <w:tcW w:w="1266" w:type="dxa"/>
                  <w:vMerge w:val="continue"/>
                  <w:tcBorders>
                    <w:tl2br w:val="nil"/>
                    <w:tr2bl w:val="nil"/>
                  </w:tcBorders>
                  <w:noWrap/>
                  <w:vAlign w:val="center"/>
                </w:tcPr>
                <w:p>
                  <w:pPr>
                    <w:jc w:val="center"/>
                    <w:rPr>
                      <w:szCs w:val="21"/>
                    </w:rPr>
                  </w:pPr>
                </w:p>
              </w:tc>
              <w:tc>
                <w:tcPr>
                  <w:tcW w:w="1880" w:type="dxa"/>
                  <w:tcBorders>
                    <w:tl2br w:val="nil"/>
                    <w:tr2bl w:val="nil"/>
                  </w:tcBorders>
                  <w:vAlign w:val="center"/>
                </w:tcPr>
                <w:p>
                  <w:pPr>
                    <w:jc w:val="center"/>
                    <w:rPr>
                      <w:szCs w:val="21"/>
                    </w:rPr>
                  </w:pPr>
                  <w:r>
                    <w:rPr>
                      <w:rFonts w:hint="eastAsia"/>
                      <w:szCs w:val="21"/>
                    </w:rPr>
                    <w:t>消毒剂</w:t>
                  </w:r>
                </w:p>
              </w:tc>
              <w:tc>
                <w:tcPr>
                  <w:tcW w:w="709" w:type="dxa"/>
                  <w:tcBorders>
                    <w:tl2br w:val="nil"/>
                    <w:tr2bl w:val="nil"/>
                  </w:tcBorders>
                  <w:noWrap/>
                  <w:vAlign w:val="center"/>
                </w:tcPr>
                <w:p>
                  <w:pPr>
                    <w:jc w:val="center"/>
                    <w:rPr>
                      <w:kern w:val="0"/>
                      <w:szCs w:val="21"/>
                    </w:rPr>
                  </w:pPr>
                  <w:r>
                    <w:rPr>
                      <w:rFonts w:hint="eastAsia"/>
                      <w:kern w:val="0"/>
                      <w:szCs w:val="21"/>
                    </w:rPr>
                    <w:t>吨/年</w:t>
                  </w:r>
                </w:p>
              </w:tc>
              <w:tc>
                <w:tcPr>
                  <w:tcW w:w="992" w:type="dxa"/>
                  <w:tcBorders>
                    <w:tl2br w:val="nil"/>
                    <w:tr2bl w:val="nil"/>
                  </w:tcBorders>
                  <w:noWrap/>
                  <w:vAlign w:val="center"/>
                </w:tcPr>
                <w:p>
                  <w:pPr>
                    <w:jc w:val="center"/>
                    <w:rPr>
                      <w:szCs w:val="21"/>
                    </w:rPr>
                  </w:pPr>
                  <w:r>
                    <w:rPr>
                      <w:rFonts w:hint="eastAsia"/>
                      <w:szCs w:val="21"/>
                    </w:rPr>
                    <w:t>约0</w:t>
                  </w:r>
                  <w:r>
                    <w:rPr>
                      <w:szCs w:val="21"/>
                    </w:rPr>
                    <w:t>.05</w:t>
                  </w:r>
                </w:p>
              </w:tc>
              <w:tc>
                <w:tcPr>
                  <w:tcW w:w="969" w:type="dxa"/>
                  <w:tcBorders>
                    <w:tl2br w:val="nil"/>
                    <w:tr2bl w:val="nil"/>
                  </w:tcBorders>
                  <w:vAlign w:val="center"/>
                </w:tcPr>
                <w:p>
                  <w:pPr>
                    <w:widowControl/>
                    <w:jc w:val="center"/>
                    <w:rPr>
                      <w:szCs w:val="21"/>
                    </w:rPr>
                  </w:pPr>
                  <w:r>
                    <w:rPr>
                      <w:rFonts w:hint="eastAsia"/>
                      <w:szCs w:val="21"/>
                    </w:rPr>
                    <w:t>桶装</w:t>
                  </w:r>
                </w:p>
              </w:tc>
              <w:tc>
                <w:tcPr>
                  <w:tcW w:w="977" w:type="dxa"/>
                  <w:tcBorders>
                    <w:tl2br w:val="nil"/>
                    <w:tr2bl w:val="nil"/>
                  </w:tcBorders>
                  <w:vAlign w:val="center"/>
                </w:tcPr>
                <w:p>
                  <w:pPr>
                    <w:widowControl/>
                    <w:jc w:val="center"/>
                    <w:rPr>
                      <w:szCs w:val="21"/>
                    </w:rPr>
                  </w:pPr>
                  <w:r>
                    <w:rPr>
                      <w:rFonts w:hint="eastAsia"/>
                      <w:szCs w:val="21"/>
                    </w:rPr>
                    <w:t>0</w:t>
                  </w:r>
                  <w:r>
                    <w:rPr>
                      <w:szCs w:val="21"/>
                    </w:rPr>
                    <w:t>.01</w:t>
                  </w:r>
                </w:p>
              </w:tc>
              <w:tc>
                <w:tcPr>
                  <w:tcW w:w="933" w:type="dxa"/>
                  <w:tcBorders>
                    <w:tl2br w:val="nil"/>
                    <w:tr2bl w:val="nil"/>
                  </w:tcBorders>
                  <w:noWrap/>
                  <w:vAlign w:val="center"/>
                </w:tcPr>
                <w:p>
                  <w:pPr>
                    <w:widowControl/>
                    <w:jc w:val="center"/>
                    <w:rPr>
                      <w:szCs w:val="21"/>
                    </w:rPr>
                  </w:pPr>
                  <w:r>
                    <w:rPr>
                      <w:rFonts w:hint="eastAsia"/>
                      <w:szCs w:val="21"/>
                    </w:rPr>
                    <w:t>消毒用</w:t>
                  </w:r>
                </w:p>
              </w:tc>
            </w:tr>
          </w:tbl>
          <w:p>
            <w:pPr>
              <w:adjustRightInd w:val="0"/>
              <w:snapToGrid w:val="0"/>
              <w:spacing w:line="400" w:lineRule="exact"/>
              <w:jc w:val="center"/>
              <w:rPr>
                <w:b/>
                <w:sz w:val="24"/>
              </w:rPr>
            </w:pPr>
            <w:r>
              <w:rPr>
                <w:rFonts w:hint="eastAsia"/>
                <w:b/>
                <w:sz w:val="24"/>
              </w:rPr>
              <w:t>表2-</w:t>
            </w:r>
            <w:r>
              <w:rPr>
                <w:b/>
                <w:sz w:val="24"/>
              </w:rPr>
              <w:t xml:space="preserve">7 </w:t>
            </w:r>
            <w:r>
              <w:rPr>
                <w:rFonts w:hint="eastAsia"/>
                <w:b/>
                <w:sz w:val="24"/>
              </w:rPr>
              <w:t>二期工程主要原辅材料消耗一览表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429"/>
              <w:gridCol w:w="2713"/>
              <w:gridCol w:w="851"/>
              <w:gridCol w:w="850"/>
              <w:gridCol w:w="974"/>
              <w:gridCol w:w="851"/>
              <w:gridCol w:w="1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dxa"/>
                  <w:tcBorders>
                    <w:tl2br w:val="nil"/>
                    <w:tr2bl w:val="nil"/>
                  </w:tcBorders>
                  <w:vAlign w:val="center"/>
                </w:tcPr>
                <w:p>
                  <w:pPr>
                    <w:widowControl/>
                    <w:jc w:val="center"/>
                    <w:rPr>
                      <w:b/>
                      <w:bCs/>
                      <w:kern w:val="0"/>
                      <w:szCs w:val="21"/>
                    </w:rPr>
                  </w:pPr>
                  <w:r>
                    <w:rPr>
                      <w:b/>
                      <w:bCs/>
                      <w:kern w:val="0"/>
                      <w:szCs w:val="21"/>
                    </w:rPr>
                    <w:t>序号</w:t>
                  </w:r>
                </w:p>
              </w:tc>
              <w:tc>
                <w:tcPr>
                  <w:tcW w:w="429" w:type="dxa"/>
                  <w:tcBorders>
                    <w:tl2br w:val="nil"/>
                    <w:tr2bl w:val="nil"/>
                  </w:tcBorders>
                  <w:vAlign w:val="center"/>
                </w:tcPr>
                <w:p>
                  <w:pPr>
                    <w:widowControl/>
                    <w:jc w:val="center"/>
                    <w:rPr>
                      <w:b/>
                      <w:bCs/>
                      <w:kern w:val="0"/>
                      <w:szCs w:val="21"/>
                    </w:rPr>
                  </w:pPr>
                  <w:r>
                    <w:rPr>
                      <w:rFonts w:hint="eastAsia"/>
                      <w:b/>
                      <w:bCs/>
                      <w:kern w:val="0"/>
                      <w:szCs w:val="21"/>
                    </w:rPr>
                    <w:t>对应产品</w:t>
                  </w:r>
                </w:p>
              </w:tc>
              <w:tc>
                <w:tcPr>
                  <w:tcW w:w="2713" w:type="dxa"/>
                  <w:tcBorders>
                    <w:tl2br w:val="nil"/>
                    <w:tr2bl w:val="nil"/>
                  </w:tcBorders>
                  <w:noWrap/>
                  <w:vAlign w:val="center"/>
                </w:tcPr>
                <w:p>
                  <w:pPr>
                    <w:widowControl/>
                    <w:jc w:val="center"/>
                    <w:rPr>
                      <w:b/>
                      <w:bCs/>
                      <w:kern w:val="0"/>
                      <w:szCs w:val="21"/>
                    </w:rPr>
                  </w:pPr>
                  <w:r>
                    <w:rPr>
                      <w:b/>
                      <w:bCs/>
                      <w:kern w:val="0"/>
                      <w:szCs w:val="21"/>
                    </w:rPr>
                    <w:t>材料名称</w:t>
                  </w:r>
                </w:p>
              </w:tc>
              <w:tc>
                <w:tcPr>
                  <w:tcW w:w="851" w:type="dxa"/>
                  <w:tcBorders>
                    <w:tl2br w:val="nil"/>
                    <w:tr2bl w:val="nil"/>
                  </w:tcBorders>
                  <w:noWrap/>
                  <w:vAlign w:val="center"/>
                </w:tcPr>
                <w:p>
                  <w:pPr>
                    <w:widowControl/>
                    <w:jc w:val="center"/>
                    <w:rPr>
                      <w:b/>
                      <w:bCs/>
                      <w:kern w:val="0"/>
                      <w:szCs w:val="21"/>
                    </w:rPr>
                  </w:pPr>
                  <w:r>
                    <w:rPr>
                      <w:b/>
                      <w:bCs/>
                      <w:kern w:val="0"/>
                      <w:szCs w:val="21"/>
                    </w:rPr>
                    <w:t>单位</w:t>
                  </w:r>
                </w:p>
              </w:tc>
              <w:tc>
                <w:tcPr>
                  <w:tcW w:w="850" w:type="dxa"/>
                  <w:tcBorders>
                    <w:tl2br w:val="nil"/>
                    <w:tr2bl w:val="nil"/>
                  </w:tcBorders>
                  <w:noWrap/>
                  <w:vAlign w:val="center"/>
                </w:tcPr>
                <w:p>
                  <w:pPr>
                    <w:widowControl/>
                    <w:jc w:val="center"/>
                    <w:rPr>
                      <w:b/>
                      <w:bCs/>
                      <w:kern w:val="0"/>
                      <w:szCs w:val="21"/>
                    </w:rPr>
                  </w:pPr>
                  <w:r>
                    <w:rPr>
                      <w:b/>
                      <w:bCs/>
                      <w:kern w:val="0"/>
                      <w:szCs w:val="21"/>
                    </w:rPr>
                    <w:t>年用量</w:t>
                  </w:r>
                </w:p>
              </w:tc>
              <w:tc>
                <w:tcPr>
                  <w:tcW w:w="974" w:type="dxa"/>
                  <w:tcBorders>
                    <w:tl2br w:val="nil"/>
                    <w:tr2bl w:val="nil"/>
                  </w:tcBorders>
                  <w:vAlign w:val="center"/>
                </w:tcPr>
                <w:p>
                  <w:pPr>
                    <w:widowControl/>
                    <w:jc w:val="center"/>
                    <w:rPr>
                      <w:b/>
                      <w:bCs/>
                      <w:kern w:val="0"/>
                      <w:szCs w:val="21"/>
                    </w:rPr>
                  </w:pPr>
                  <w:r>
                    <w:rPr>
                      <w:rFonts w:hint="eastAsia"/>
                      <w:b/>
                      <w:bCs/>
                      <w:kern w:val="0"/>
                      <w:szCs w:val="21"/>
                    </w:rPr>
                    <w:t>储存方式</w:t>
                  </w:r>
                </w:p>
              </w:tc>
              <w:tc>
                <w:tcPr>
                  <w:tcW w:w="851" w:type="dxa"/>
                  <w:tcBorders>
                    <w:tl2br w:val="nil"/>
                    <w:tr2bl w:val="nil"/>
                  </w:tcBorders>
                  <w:vAlign w:val="center"/>
                </w:tcPr>
                <w:p>
                  <w:pPr>
                    <w:widowControl/>
                    <w:jc w:val="center"/>
                    <w:rPr>
                      <w:b/>
                      <w:bCs/>
                      <w:kern w:val="0"/>
                      <w:szCs w:val="21"/>
                    </w:rPr>
                  </w:pPr>
                  <w:r>
                    <w:rPr>
                      <w:rFonts w:hint="eastAsia"/>
                      <w:b/>
                      <w:bCs/>
                      <w:kern w:val="0"/>
                      <w:szCs w:val="21"/>
                    </w:rPr>
                    <w:t>最大储存量</w:t>
                  </w:r>
                </w:p>
              </w:tc>
              <w:tc>
                <w:tcPr>
                  <w:tcW w:w="1060" w:type="dxa"/>
                  <w:tcBorders>
                    <w:tl2br w:val="nil"/>
                    <w:tr2bl w:val="nil"/>
                  </w:tcBorders>
                  <w:noWrap/>
                  <w:vAlign w:val="center"/>
                </w:tcPr>
                <w:p>
                  <w:pPr>
                    <w:widowControl/>
                    <w:jc w:val="center"/>
                    <w:rPr>
                      <w:b/>
                      <w:bCs/>
                      <w:kern w:val="0"/>
                      <w:szCs w:val="21"/>
                    </w:rPr>
                  </w:pPr>
                  <w:r>
                    <w:rPr>
                      <w:b/>
                      <w:bCs/>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lang w:val="zh-CN"/>
                    </w:rPr>
                  </w:pPr>
                  <w:r>
                    <w:rPr>
                      <w:rFonts w:hint="eastAsia"/>
                      <w:szCs w:val="21"/>
                    </w:rPr>
                    <w:t>1</w:t>
                  </w:r>
                </w:p>
              </w:tc>
              <w:tc>
                <w:tcPr>
                  <w:tcW w:w="429" w:type="dxa"/>
                  <w:vMerge w:val="restart"/>
                  <w:tcBorders>
                    <w:tl2br w:val="nil"/>
                    <w:tr2bl w:val="nil"/>
                  </w:tcBorders>
                  <w:vAlign w:val="center"/>
                </w:tcPr>
                <w:p>
                  <w:pPr>
                    <w:widowControl/>
                    <w:jc w:val="center"/>
                    <w:rPr>
                      <w:szCs w:val="21"/>
                    </w:rPr>
                  </w:pPr>
                  <w:r>
                    <w:rPr>
                      <w:rFonts w:hint="eastAsia"/>
                      <w:szCs w:val="21"/>
                    </w:rPr>
                    <w:t>奶油制品</w:t>
                  </w:r>
                </w:p>
              </w:tc>
              <w:tc>
                <w:tcPr>
                  <w:tcW w:w="2713" w:type="dxa"/>
                  <w:tcBorders>
                    <w:tl2br w:val="nil"/>
                    <w:tr2bl w:val="nil"/>
                  </w:tcBorders>
                  <w:noWrap/>
                  <w:vAlign w:val="center"/>
                </w:tcPr>
                <w:p>
                  <w:pPr>
                    <w:widowControl/>
                    <w:jc w:val="center"/>
                    <w:rPr>
                      <w:kern w:val="0"/>
                      <w:szCs w:val="21"/>
                    </w:rPr>
                  </w:pPr>
                  <w:r>
                    <w:rPr>
                      <w:rFonts w:hint="eastAsia"/>
                      <w:szCs w:val="21"/>
                    </w:rPr>
                    <w:t>黄油（奶油）、牛奶</w:t>
                  </w:r>
                </w:p>
              </w:tc>
              <w:tc>
                <w:tcPr>
                  <w:tcW w:w="851" w:type="dxa"/>
                  <w:tcBorders>
                    <w:tl2br w:val="nil"/>
                    <w:tr2bl w:val="nil"/>
                  </w:tcBorders>
                  <w:noWrap/>
                  <w:vAlign w:val="center"/>
                </w:tcPr>
                <w:p>
                  <w:pPr>
                    <w:jc w:val="center"/>
                    <w:rPr>
                      <w:szCs w:val="21"/>
                    </w:rPr>
                  </w:pPr>
                  <w:r>
                    <w:rPr>
                      <w:kern w:val="0"/>
                      <w:szCs w:val="21"/>
                    </w:rPr>
                    <w:t>吨</w:t>
                  </w:r>
                  <w:r>
                    <w:rPr>
                      <w:szCs w:val="21"/>
                      <w:lang w:val="zh-CN"/>
                    </w:rPr>
                    <w:t>/年</w:t>
                  </w:r>
                </w:p>
              </w:tc>
              <w:tc>
                <w:tcPr>
                  <w:tcW w:w="850" w:type="dxa"/>
                  <w:tcBorders>
                    <w:tl2br w:val="nil"/>
                    <w:tr2bl w:val="nil"/>
                  </w:tcBorders>
                  <w:noWrap/>
                  <w:vAlign w:val="center"/>
                </w:tcPr>
                <w:p>
                  <w:pPr>
                    <w:widowControl/>
                    <w:jc w:val="center"/>
                    <w:rPr>
                      <w:kern w:val="0"/>
                      <w:szCs w:val="21"/>
                    </w:rPr>
                  </w:pPr>
                  <w:r>
                    <w:rPr>
                      <w:rFonts w:hint="eastAsia"/>
                      <w:kern w:val="0"/>
                      <w:szCs w:val="21"/>
                    </w:rPr>
                    <w:t>约800</w:t>
                  </w:r>
                </w:p>
              </w:tc>
              <w:tc>
                <w:tcPr>
                  <w:tcW w:w="974" w:type="dxa"/>
                  <w:tcBorders>
                    <w:tl2br w:val="nil"/>
                    <w:tr2bl w:val="nil"/>
                  </w:tcBorders>
                  <w:vAlign w:val="center"/>
                </w:tcPr>
                <w:p>
                  <w:pPr>
                    <w:widowControl/>
                    <w:jc w:val="center"/>
                    <w:rPr>
                      <w:szCs w:val="21"/>
                    </w:rPr>
                  </w:pPr>
                  <w:r>
                    <w:rPr>
                      <w:rFonts w:hint="eastAsia"/>
                      <w:szCs w:val="21"/>
                    </w:rPr>
                    <w:t>罐装</w:t>
                  </w:r>
                </w:p>
              </w:tc>
              <w:tc>
                <w:tcPr>
                  <w:tcW w:w="851" w:type="dxa"/>
                  <w:tcBorders>
                    <w:tl2br w:val="nil"/>
                    <w:tr2bl w:val="nil"/>
                  </w:tcBorders>
                  <w:vAlign w:val="center"/>
                </w:tcPr>
                <w:p>
                  <w:pPr>
                    <w:widowControl/>
                    <w:jc w:val="center"/>
                    <w:rPr>
                      <w:szCs w:val="21"/>
                    </w:rPr>
                  </w:pPr>
                  <w:r>
                    <w:rPr>
                      <w:szCs w:val="21"/>
                    </w:rPr>
                    <w:t>10</w:t>
                  </w:r>
                </w:p>
              </w:tc>
              <w:tc>
                <w:tcPr>
                  <w:tcW w:w="1060" w:type="dxa"/>
                  <w:tcBorders>
                    <w:tl2br w:val="nil"/>
                    <w:tr2bl w:val="nil"/>
                  </w:tcBorders>
                  <w:noWrap/>
                  <w:vAlign w:val="center"/>
                </w:tcPr>
                <w:p>
                  <w:pPr>
                    <w:widowControl/>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r>
                    <w:rPr>
                      <w:rFonts w:hint="eastAsia"/>
                      <w:szCs w:val="21"/>
                    </w:rPr>
                    <w:t>2</w:t>
                  </w:r>
                </w:p>
              </w:tc>
              <w:tc>
                <w:tcPr>
                  <w:tcW w:w="429" w:type="dxa"/>
                  <w:vMerge w:val="continue"/>
                  <w:tcBorders>
                    <w:tl2br w:val="nil"/>
                    <w:tr2bl w:val="nil"/>
                  </w:tcBorders>
                  <w:vAlign w:val="center"/>
                </w:tcPr>
                <w:p>
                  <w:pPr>
                    <w:widowControl/>
                    <w:jc w:val="center"/>
                    <w:rPr>
                      <w:szCs w:val="21"/>
                    </w:rPr>
                  </w:pPr>
                </w:p>
              </w:tc>
              <w:tc>
                <w:tcPr>
                  <w:tcW w:w="2713" w:type="dxa"/>
                  <w:tcBorders>
                    <w:tl2br w:val="nil"/>
                    <w:tr2bl w:val="nil"/>
                  </w:tcBorders>
                  <w:noWrap/>
                  <w:vAlign w:val="center"/>
                </w:tcPr>
                <w:p>
                  <w:pPr>
                    <w:widowControl/>
                    <w:jc w:val="center"/>
                    <w:rPr>
                      <w:szCs w:val="21"/>
                    </w:rPr>
                  </w:pPr>
                  <w:r>
                    <w:rPr>
                      <w:rFonts w:hint="eastAsia"/>
                      <w:szCs w:val="21"/>
                    </w:rPr>
                    <w:t>加工助剂（酶制剂）</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widowControl/>
                    <w:jc w:val="center"/>
                    <w:rPr>
                      <w:kern w:val="0"/>
                      <w:szCs w:val="21"/>
                    </w:rPr>
                  </w:pPr>
                  <w:r>
                    <w:rPr>
                      <w:rFonts w:hint="eastAsia"/>
                      <w:szCs w:val="21"/>
                    </w:rPr>
                    <w:t>约0.11</w:t>
                  </w:r>
                </w:p>
              </w:tc>
              <w:tc>
                <w:tcPr>
                  <w:tcW w:w="974" w:type="dxa"/>
                  <w:tcBorders>
                    <w:tl2br w:val="nil"/>
                    <w:tr2bl w:val="nil"/>
                  </w:tcBorders>
                  <w:vAlign w:val="center"/>
                </w:tcPr>
                <w:p>
                  <w:pPr>
                    <w:widowControl/>
                    <w:jc w:val="center"/>
                    <w:rPr>
                      <w:szCs w:val="21"/>
                    </w:rPr>
                  </w:pPr>
                  <w:r>
                    <w:rPr>
                      <w:rFonts w:hint="eastAsia"/>
                      <w:szCs w:val="21"/>
                    </w:rPr>
                    <w:t>袋装、瓶装</w:t>
                  </w:r>
                </w:p>
              </w:tc>
              <w:tc>
                <w:tcPr>
                  <w:tcW w:w="851" w:type="dxa"/>
                  <w:tcBorders>
                    <w:tl2br w:val="nil"/>
                    <w:tr2bl w:val="nil"/>
                  </w:tcBorders>
                  <w:vAlign w:val="center"/>
                </w:tcPr>
                <w:p>
                  <w:pPr>
                    <w:widowControl/>
                    <w:jc w:val="center"/>
                    <w:rPr>
                      <w:szCs w:val="21"/>
                    </w:rPr>
                  </w:pPr>
                  <w:r>
                    <w:rPr>
                      <w:rFonts w:hint="eastAsia"/>
                      <w:szCs w:val="21"/>
                    </w:rPr>
                    <w:t>0</w:t>
                  </w:r>
                  <w:r>
                    <w:rPr>
                      <w:szCs w:val="21"/>
                    </w:rPr>
                    <w:t>.0</w:t>
                  </w:r>
                  <w:r>
                    <w:rPr>
                      <w:rFonts w:hint="eastAsia"/>
                      <w:szCs w:val="21"/>
                    </w:rPr>
                    <w:t>2</w:t>
                  </w:r>
                </w:p>
              </w:tc>
              <w:tc>
                <w:tcPr>
                  <w:tcW w:w="1060"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r>
                    <w:rPr>
                      <w:rFonts w:hint="eastAsia"/>
                      <w:szCs w:val="21"/>
                    </w:rPr>
                    <w:t>3</w:t>
                  </w:r>
                </w:p>
              </w:tc>
              <w:tc>
                <w:tcPr>
                  <w:tcW w:w="429" w:type="dxa"/>
                  <w:vMerge w:val="continue"/>
                  <w:tcBorders>
                    <w:tl2br w:val="nil"/>
                    <w:tr2bl w:val="nil"/>
                  </w:tcBorders>
                  <w:vAlign w:val="center"/>
                </w:tcPr>
                <w:p>
                  <w:pPr>
                    <w:widowControl/>
                    <w:jc w:val="center"/>
                    <w:rPr>
                      <w:szCs w:val="21"/>
                    </w:rPr>
                  </w:pPr>
                </w:p>
              </w:tc>
              <w:tc>
                <w:tcPr>
                  <w:tcW w:w="2713" w:type="dxa"/>
                  <w:tcBorders>
                    <w:tl2br w:val="nil"/>
                    <w:tr2bl w:val="nil"/>
                  </w:tcBorders>
                  <w:noWrap/>
                  <w:vAlign w:val="center"/>
                </w:tcPr>
                <w:p>
                  <w:pPr>
                    <w:widowControl/>
                    <w:jc w:val="center"/>
                    <w:rPr>
                      <w:szCs w:val="21"/>
                    </w:rPr>
                  </w:pPr>
                  <w:r>
                    <w:rPr>
                      <w:rFonts w:hint="eastAsia"/>
                      <w:szCs w:val="21"/>
                    </w:rPr>
                    <w:t>饮用纯净水</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widowControl/>
                    <w:jc w:val="center"/>
                    <w:rPr>
                      <w:szCs w:val="21"/>
                    </w:rPr>
                  </w:pPr>
                  <w:r>
                    <w:rPr>
                      <w:rFonts w:hint="eastAsia"/>
                      <w:szCs w:val="21"/>
                    </w:rPr>
                    <w:t>约8</w:t>
                  </w:r>
                </w:p>
              </w:tc>
              <w:tc>
                <w:tcPr>
                  <w:tcW w:w="974" w:type="dxa"/>
                  <w:tcBorders>
                    <w:tl2br w:val="nil"/>
                    <w:tr2bl w:val="nil"/>
                  </w:tcBorders>
                  <w:vAlign w:val="center"/>
                </w:tcPr>
                <w:p>
                  <w:pPr>
                    <w:widowControl/>
                    <w:jc w:val="center"/>
                    <w:rPr>
                      <w:szCs w:val="21"/>
                    </w:rPr>
                  </w:pPr>
                  <w:r>
                    <w:rPr>
                      <w:rFonts w:hint="eastAsia"/>
                      <w:szCs w:val="21"/>
                    </w:rPr>
                    <w:t>桶装</w:t>
                  </w:r>
                </w:p>
              </w:tc>
              <w:tc>
                <w:tcPr>
                  <w:tcW w:w="851" w:type="dxa"/>
                  <w:tcBorders>
                    <w:tl2br w:val="nil"/>
                    <w:tr2bl w:val="nil"/>
                  </w:tcBorders>
                  <w:vAlign w:val="center"/>
                </w:tcPr>
                <w:p>
                  <w:pPr>
                    <w:widowControl/>
                    <w:jc w:val="center"/>
                    <w:rPr>
                      <w:szCs w:val="21"/>
                    </w:rPr>
                  </w:pPr>
                  <w:r>
                    <w:rPr>
                      <w:rFonts w:hint="eastAsia"/>
                      <w:szCs w:val="21"/>
                    </w:rPr>
                    <w:t>2</w:t>
                  </w:r>
                </w:p>
              </w:tc>
              <w:tc>
                <w:tcPr>
                  <w:tcW w:w="1060"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r>
                    <w:rPr>
                      <w:rFonts w:hint="eastAsia"/>
                      <w:szCs w:val="21"/>
                    </w:rPr>
                    <w:t>4</w:t>
                  </w:r>
                </w:p>
              </w:tc>
              <w:tc>
                <w:tcPr>
                  <w:tcW w:w="429" w:type="dxa"/>
                  <w:vMerge w:val="continue"/>
                  <w:tcBorders>
                    <w:tl2br w:val="nil"/>
                    <w:tr2bl w:val="nil"/>
                  </w:tcBorders>
                  <w:vAlign w:val="center"/>
                </w:tcPr>
                <w:p>
                  <w:pPr>
                    <w:widowControl/>
                    <w:jc w:val="center"/>
                    <w:rPr>
                      <w:szCs w:val="21"/>
                    </w:rPr>
                  </w:pPr>
                </w:p>
              </w:tc>
              <w:tc>
                <w:tcPr>
                  <w:tcW w:w="2713" w:type="dxa"/>
                  <w:tcBorders>
                    <w:tl2br w:val="nil"/>
                    <w:tr2bl w:val="nil"/>
                  </w:tcBorders>
                  <w:noWrap/>
                  <w:vAlign w:val="center"/>
                </w:tcPr>
                <w:p>
                  <w:pPr>
                    <w:widowControl/>
                    <w:jc w:val="center"/>
                    <w:rPr>
                      <w:szCs w:val="21"/>
                    </w:rPr>
                  </w:pPr>
                  <w:r>
                    <w:rPr>
                      <w:rFonts w:hint="eastAsia"/>
                      <w:szCs w:val="21"/>
                    </w:rPr>
                    <w:t>天然香料（大蒜、洋葱、生姜、香草、香荚兰，等等）</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widowControl/>
                    <w:jc w:val="center"/>
                    <w:rPr>
                      <w:kern w:val="0"/>
                      <w:szCs w:val="21"/>
                    </w:rPr>
                  </w:pPr>
                  <w:r>
                    <w:rPr>
                      <w:rFonts w:hint="eastAsia"/>
                      <w:szCs w:val="21"/>
                    </w:rPr>
                    <w:t>约30</w:t>
                  </w:r>
                </w:p>
              </w:tc>
              <w:tc>
                <w:tcPr>
                  <w:tcW w:w="974" w:type="dxa"/>
                  <w:tcBorders>
                    <w:tl2br w:val="nil"/>
                    <w:tr2bl w:val="nil"/>
                  </w:tcBorders>
                  <w:vAlign w:val="center"/>
                </w:tcPr>
                <w:p>
                  <w:pPr>
                    <w:widowControl/>
                    <w:jc w:val="center"/>
                    <w:rPr>
                      <w:szCs w:val="21"/>
                    </w:rPr>
                  </w:pPr>
                  <w:r>
                    <w:rPr>
                      <w:rFonts w:hint="eastAsia"/>
                      <w:szCs w:val="21"/>
                    </w:rPr>
                    <w:t>袋装</w:t>
                  </w:r>
                </w:p>
              </w:tc>
              <w:tc>
                <w:tcPr>
                  <w:tcW w:w="851" w:type="dxa"/>
                  <w:tcBorders>
                    <w:tl2br w:val="nil"/>
                    <w:tr2bl w:val="nil"/>
                  </w:tcBorders>
                  <w:vAlign w:val="center"/>
                </w:tcPr>
                <w:p>
                  <w:pPr>
                    <w:widowControl/>
                    <w:jc w:val="center"/>
                    <w:rPr>
                      <w:szCs w:val="21"/>
                    </w:rPr>
                  </w:pPr>
                  <w:r>
                    <w:rPr>
                      <w:rFonts w:hint="eastAsia"/>
                      <w:szCs w:val="21"/>
                    </w:rPr>
                    <w:t>2</w:t>
                  </w:r>
                </w:p>
              </w:tc>
              <w:tc>
                <w:tcPr>
                  <w:tcW w:w="1060"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lang w:val="zh-CN"/>
                    </w:rPr>
                  </w:pPr>
                  <w:r>
                    <w:rPr>
                      <w:rFonts w:hint="eastAsia"/>
                      <w:szCs w:val="21"/>
                    </w:rPr>
                    <w:t>4</w:t>
                  </w:r>
                </w:p>
              </w:tc>
              <w:tc>
                <w:tcPr>
                  <w:tcW w:w="429" w:type="dxa"/>
                  <w:vMerge w:val="restart"/>
                  <w:tcBorders>
                    <w:tl2br w:val="nil"/>
                    <w:tr2bl w:val="nil"/>
                  </w:tcBorders>
                  <w:vAlign w:val="center"/>
                </w:tcPr>
                <w:p>
                  <w:pPr>
                    <w:jc w:val="center"/>
                    <w:rPr>
                      <w:szCs w:val="21"/>
                    </w:rPr>
                  </w:pPr>
                  <w:r>
                    <w:rPr>
                      <w:rFonts w:hint="eastAsia"/>
                      <w:szCs w:val="21"/>
                    </w:rPr>
                    <w:t>复合调味品</w:t>
                  </w:r>
                </w:p>
              </w:tc>
              <w:tc>
                <w:tcPr>
                  <w:tcW w:w="2713" w:type="dxa"/>
                  <w:tcBorders>
                    <w:tl2br w:val="nil"/>
                    <w:tr2bl w:val="nil"/>
                  </w:tcBorders>
                  <w:noWrap/>
                  <w:vAlign w:val="center"/>
                </w:tcPr>
                <w:p>
                  <w:pPr>
                    <w:jc w:val="center"/>
                    <w:rPr>
                      <w:szCs w:val="21"/>
                    </w:rPr>
                  </w:pPr>
                  <w:r>
                    <w:rPr>
                      <w:rFonts w:hint="eastAsia"/>
                      <w:szCs w:val="21"/>
                    </w:rPr>
                    <w:t>饮用纯净水</w:t>
                  </w:r>
                </w:p>
              </w:tc>
              <w:tc>
                <w:tcPr>
                  <w:tcW w:w="851" w:type="dxa"/>
                  <w:tcBorders>
                    <w:tl2br w:val="nil"/>
                    <w:tr2bl w:val="nil"/>
                  </w:tcBorders>
                  <w:noWrap/>
                  <w:vAlign w:val="center"/>
                </w:tcPr>
                <w:p>
                  <w:pPr>
                    <w:jc w:val="center"/>
                    <w:rPr>
                      <w:szCs w:val="21"/>
                    </w:rPr>
                  </w:pPr>
                  <w:r>
                    <w:rPr>
                      <w:kern w:val="0"/>
                      <w:szCs w:val="21"/>
                    </w:rPr>
                    <w:t>吨</w:t>
                  </w:r>
                  <w:r>
                    <w:rPr>
                      <w:szCs w:val="21"/>
                      <w:lang w:val="zh-CN"/>
                    </w:rPr>
                    <w:t>/年</w:t>
                  </w:r>
                </w:p>
              </w:tc>
              <w:tc>
                <w:tcPr>
                  <w:tcW w:w="850" w:type="dxa"/>
                  <w:tcBorders>
                    <w:tl2br w:val="nil"/>
                    <w:tr2bl w:val="nil"/>
                  </w:tcBorders>
                  <w:noWrap/>
                  <w:vAlign w:val="center"/>
                </w:tcPr>
                <w:p>
                  <w:pPr>
                    <w:jc w:val="center"/>
                    <w:rPr>
                      <w:szCs w:val="21"/>
                    </w:rPr>
                  </w:pPr>
                  <w:r>
                    <w:rPr>
                      <w:rFonts w:hint="eastAsia"/>
                      <w:szCs w:val="21"/>
                    </w:rPr>
                    <w:t>约8</w:t>
                  </w:r>
                </w:p>
              </w:tc>
              <w:tc>
                <w:tcPr>
                  <w:tcW w:w="974" w:type="dxa"/>
                  <w:tcBorders>
                    <w:tl2br w:val="nil"/>
                    <w:tr2bl w:val="nil"/>
                  </w:tcBorders>
                  <w:vAlign w:val="center"/>
                </w:tcPr>
                <w:p>
                  <w:pPr>
                    <w:widowControl/>
                    <w:jc w:val="center"/>
                    <w:rPr>
                      <w:szCs w:val="21"/>
                    </w:rPr>
                  </w:pPr>
                  <w:r>
                    <w:rPr>
                      <w:rFonts w:hint="eastAsia"/>
                      <w:szCs w:val="21"/>
                    </w:rPr>
                    <w:t>袋装/散装</w:t>
                  </w:r>
                </w:p>
              </w:tc>
              <w:tc>
                <w:tcPr>
                  <w:tcW w:w="851" w:type="dxa"/>
                  <w:tcBorders>
                    <w:tl2br w:val="nil"/>
                    <w:tr2bl w:val="nil"/>
                  </w:tcBorders>
                  <w:vAlign w:val="center"/>
                </w:tcPr>
                <w:p>
                  <w:pPr>
                    <w:widowControl/>
                    <w:jc w:val="center"/>
                    <w:rPr>
                      <w:szCs w:val="21"/>
                    </w:rPr>
                  </w:pPr>
                  <w:r>
                    <w:rPr>
                      <w:szCs w:val="21"/>
                    </w:rPr>
                    <w:t>2</w:t>
                  </w:r>
                </w:p>
              </w:tc>
              <w:tc>
                <w:tcPr>
                  <w:tcW w:w="1060"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lang w:val="zh-CN"/>
                    </w:rPr>
                  </w:pPr>
                  <w:r>
                    <w:rPr>
                      <w:rFonts w:hint="eastAsia"/>
                      <w:szCs w:val="21"/>
                    </w:rPr>
                    <w:t>5</w:t>
                  </w:r>
                </w:p>
              </w:tc>
              <w:tc>
                <w:tcPr>
                  <w:tcW w:w="429" w:type="dxa"/>
                  <w:vMerge w:val="continue"/>
                  <w:tcBorders>
                    <w:tl2br w:val="nil"/>
                    <w:tr2bl w:val="nil"/>
                  </w:tcBorders>
                  <w:vAlign w:val="center"/>
                </w:tcPr>
                <w:p>
                  <w:pPr>
                    <w:jc w:val="center"/>
                    <w:rPr>
                      <w:szCs w:val="21"/>
                    </w:rPr>
                  </w:pPr>
                </w:p>
              </w:tc>
              <w:tc>
                <w:tcPr>
                  <w:tcW w:w="2713" w:type="dxa"/>
                  <w:tcBorders>
                    <w:tl2br w:val="nil"/>
                    <w:tr2bl w:val="nil"/>
                  </w:tcBorders>
                  <w:noWrap/>
                  <w:vAlign w:val="center"/>
                </w:tcPr>
                <w:p>
                  <w:pPr>
                    <w:jc w:val="center"/>
                    <w:rPr>
                      <w:szCs w:val="21"/>
                    </w:rPr>
                  </w:pPr>
                  <w:r>
                    <w:rPr>
                      <w:rFonts w:hint="eastAsia"/>
                      <w:szCs w:val="21"/>
                    </w:rPr>
                    <w:t>白砂糖、糖浆</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jc w:val="center"/>
                    <w:rPr>
                      <w:szCs w:val="21"/>
                    </w:rPr>
                  </w:pPr>
                  <w:r>
                    <w:rPr>
                      <w:rFonts w:hint="eastAsia"/>
                      <w:szCs w:val="21"/>
                    </w:rPr>
                    <w:t>约30</w:t>
                  </w:r>
                </w:p>
              </w:tc>
              <w:tc>
                <w:tcPr>
                  <w:tcW w:w="974" w:type="dxa"/>
                  <w:tcBorders>
                    <w:tl2br w:val="nil"/>
                    <w:tr2bl w:val="nil"/>
                  </w:tcBorders>
                  <w:vAlign w:val="center"/>
                </w:tcPr>
                <w:p>
                  <w:pPr>
                    <w:widowControl/>
                    <w:jc w:val="center"/>
                    <w:rPr>
                      <w:szCs w:val="21"/>
                    </w:rPr>
                  </w:pPr>
                  <w:r>
                    <w:rPr>
                      <w:rFonts w:hint="eastAsia"/>
                      <w:szCs w:val="21"/>
                    </w:rPr>
                    <w:t>袋装</w:t>
                  </w:r>
                </w:p>
              </w:tc>
              <w:tc>
                <w:tcPr>
                  <w:tcW w:w="851" w:type="dxa"/>
                  <w:tcBorders>
                    <w:tl2br w:val="nil"/>
                    <w:tr2bl w:val="nil"/>
                  </w:tcBorders>
                  <w:vAlign w:val="center"/>
                </w:tcPr>
                <w:p>
                  <w:pPr>
                    <w:widowControl/>
                    <w:jc w:val="center"/>
                    <w:rPr>
                      <w:szCs w:val="21"/>
                    </w:rPr>
                  </w:pPr>
                  <w:r>
                    <w:rPr>
                      <w:rFonts w:hint="eastAsia"/>
                      <w:szCs w:val="21"/>
                    </w:rPr>
                    <w:t>2</w:t>
                  </w:r>
                </w:p>
              </w:tc>
              <w:tc>
                <w:tcPr>
                  <w:tcW w:w="1060" w:type="dxa"/>
                  <w:tcBorders>
                    <w:tl2br w:val="nil"/>
                    <w:tr2bl w:val="nil"/>
                  </w:tcBorders>
                  <w:noWrap/>
                  <w:vAlign w:val="center"/>
                </w:tcPr>
                <w:p>
                  <w:pPr>
                    <w:widowControl/>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p>
              </w:tc>
              <w:tc>
                <w:tcPr>
                  <w:tcW w:w="429" w:type="dxa"/>
                  <w:vMerge w:val="continue"/>
                  <w:tcBorders>
                    <w:tl2br w:val="nil"/>
                    <w:tr2bl w:val="nil"/>
                  </w:tcBorders>
                  <w:vAlign w:val="center"/>
                </w:tcPr>
                <w:p>
                  <w:pPr>
                    <w:jc w:val="center"/>
                    <w:rPr>
                      <w:szCs w:val="21"/>
                    </w:rPr>
                  </w:pPr>
                </w:p>
              </w:tc>
              <w:tc>
                <w:tcPr>
                  <w:tcW w:w="2713" w:type="dxa"/>
                  <w:tcBorders>
                    <w:tl2br w:val="nil"/>
                    <w:tr2bl w:val="nil"/>
                  </w:tcBorders>
                  <w:noWrap/>
                  <w:vAlign w:val="center"/>
                </w:tcPr>
                <w:p>
                  <w:pPr>
                    <w:widowControl/>
                    <w:jc w:val="center"/>
                    <w:rPr>
                      <w:szCs w:val="21"/>
                    </w:rPr>
                  </w:pPr>
                  <w:r>
                    <w:rPr>
                      <w:rFonts w:hint="eastAsia"/>
                      <w:szCs w:val="21"/>
                    </w:rPr>
                    <w:t>加工助剂（酶制剂）</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widowControl/>
                    <w:jc w:val="center"/>
                    <w:rPr>
                      <w:kern w:val="0"/>
                      <w:szCs w:val="21"/>
                    </w:rPr>
                  </w:pPr>
                  <w:r>
                    <w:rPr>
                      <w:rFonts w:hint="eastAsia"/>
                      <w:szCs w:val="21"/>
                    </w:rPr>
                    <w:t>约0.01</w:t>
                  </w:r>
                </w:p>
              </w:tc>
              <w:tc>
                <w:tcPr>
                  <w:tcW w:w="974" w:type="dxa"/>
                  <w:tcBorders>
                    <w:tl2br w:val="nil"/>
                    <w:tr2bl w:val="nil"/>
                  </w:tcBorders>
                  <w:vAlign w:val="center"/>
                </w:tcPr>
                <w:p>
                  <w:pPr>
                    <w:widowControl/>
                    <w:jc w:val="center"/>
                    <w:rPr>
                      <w:szCs w:val="21"/>
                    </w:rPr>
                  </w:pPr>
                  <w:r>
                    <w:rPr>
                      <w:rFonts w:hint="eastAsia"/>
                      <w:szCs w:val="21"/>
                    </w:rPr>
                    <w:t>袋装、瓶装</w:t>
                  </w:r>
                </w:p>
              </w:tc>
              <w:tc>
                <w:tcPr>
                  <w:tcW w:w="851" w:type="dxa"/>
                  <w:tcBorders>
                    <w:tl2br w:val="nil"/>
                    <w:tr2bl w:val="nil"/>
                  </w:tcBorders>
                  <w:vAlign w:val="center"/>
                </w:tcPr>
                <w:p>
                  <w:pPr>
                    <w:widowControl/>
                    <w:jc w:val="center"/>
                    <w:rPr>
                      <w:szCs w:val="21"/>
                    </w:rPr>
                  </w:pPr>
                  <w:r>
                    <w:rPr>
                      <w:rFonts w:hint="eastAsia"/>
                      <w:szCs w:val="21"/>
                    </w:rPr>
                    <w:t>0</w:t>
                  </w:r>
                  <w:r>
                    <w:rPr>
                      <w:szCs w:val="21"/>
                    </w:rPr>
                    <w:t>.0</w:t>
                  </w:r>
                  <w:r>
                    <w:rPr>
                      <w:rFonts w:hint="eastAsia"/>
                      <w:szCs w:val="21"/>
                    </w:rPr>
                    <w:t>1</w:t>
                  </w:r>
                </w:p>
              </w:tc>
              <w:tc>
                <w:tcPr>
                  <w:tcW w:w="1060" w:type="dxa"/>
                  <w:tcBorders>
                    <w:tl2br w:val="nil"/>
                    <w:tr2bl w:val="nil"/>
                  </w:tcBorders>
                  <w:noWrap/>
                  <w:vAlign w:val="center"/>
                </w:tcPr>
                <w:p>
                  <w:pPr>
                    <w:widowControl/>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r>
                    <w:rPr>
                      <w:rFonts w:hint="eastAsia"/>
                      <w:szCs w:val="21"/>
                    </w:rPr>
                    <w:t>6</w:t>
                  </w:r>
                </w:p>
              </w:tc>
              <w:tc>
                <w:tcPr>
                  <w:tcW w:w="429" w:type="dxa"/>
                  <w:vMerge w:val="continue"/>
                  <w:tcBorders>
                    <w:tl2br w:val="nil"/>
                    <w:tr2bl w:val="nil"/>
                  </w:tcBorders>
                  <w:vAlign w:val="center"/>
                </w:tcPr>
                <w:p>
                  <w:pPr>
                    <w:jc w:val="center"/>
                    <w:rPr>
                      <w:szCs w:val="21"/>
                    </w:rPr>
                  </w:pPr>
                </w:p>
              </w:tc>
              <w:tc>
                <w:tcPr>
                  <w:tcW w:w="2713" w:type="dxa"/>
                  <w:tcBorders>
                    <w:tl2br w:val="nil"/>
                    <w:tr2bl w:val="nil"/>
                  </w:tcBorders>
                  <w:noWrap/>
                  <w:vAlign w:val="center"/>
                </w:tcPr>
                <w:p>
                  <w:pPr>
                    <w:jc w:val="center"/>
                    <w:rPr>
                      <w:szCs w:val="21"/>
                    </w:rPr>
                  </w:pPr>
                  <w:r>
                    <w:rPr>
                      <w:rFonts w:hint="eastAsia"/>
                      <w:szCs w:val="21"/>
                    </w:rPr>
                    <w:t>可可粉、鸡蛋粉、鸡蛋液、蛋黄液、鲜鸡蛋</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jc w:val="center"/>
                    <w:rPr>
                      <w:szCs w:val="21"/>
                    </w:rPr>
                  </w:pPr>
                  <w:r>
                    <w:rPr>
                      <w:rFonts w:hint="eastAsia"/>
                      <w:szCs w:val="21"/>
                    </w:rPr>
                    <w:t>约40</w:t>
                  </w:r>
                </w:p>
              </w:tc>
              <w:tc>
                <w:tcPr>
                  <w:tcW w:w="974" w:type="dxa"/>
                  <w:tcBorders>
                    <w:tl2br w:val="nil"/>
                    <w:tr2bl w:val="nil"/>
                  </w:tcBorders>
                  <w:vAlign w:val="center"/>
                </w:tcPr>
                <w:p>
                  <w:pPr>
                    <w:widowControl/>
                    <w:jc w:val="center"/>
                    <w:rPr>
                      <w:szCs w:val="21"/>
                    </w:rPr>
                  </w:pPr>
                  <w:r>
                    <w:rPr>
                      <w:rFonts w:hint="eastAsia"/>
                      <w:szCs w:val="21"/>
                    </w:rPr>
                    <w:t>桶装、袋装、散装</w:t>
                  </w:r>
                </w:p>
              </w:tc>
              <w:tc>
                <w:tcPr>
                  <w:tcW w:w="851" w:type="dxa"/>
                  <w:tcBorders>
                    <w:tl2br w:val="nil"/>
                    <w:tr2bl w:val="nil"/>
                  </w:tcBorders>
                  <w:vAlign w:val="center"/>
                </w:tcPr>
                <w:p>
                  <w:pPr>
                    <w:widowControl/>
                    <w:jc w:val="center"/>
                    <w:rPr>
                      <w:szCs w:val="21"/>
                    </w:rPr>
                  </w:pPr>
                  <w:r>
                    <w:rPr>
                      <w:szCs w:val="21"/>
                    </w:rPr>
                    <w:t>2</w:t>
                  </w:r>
                </w:p>
              </w:tc>
              <w:tc>
                <w:tcPr>
                  <w:tcW w:w="1060" w:type="dxa"/>
                  <w:tcBorders>
                    <w:tl2br w:val="nil"/>
                    <w:tr2bl w:val="nil"/>
                  </w:tcBorders>
                  <w:noWrap/>
                  <w:vAlign w:val="center"/>
                </w:tcPr>
                <w:p>
                  <w:pPr>
                    <w:widowControl/>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r>
                    <w:rPr>
                      <w:rFonts w:hint="eastAsia"/>
                      <w:szCs w:val="21"/>
                    </w:rPr>
                    <w:t>7</w:t>
                  </w:r>
                </w:p>
              </w:tc>
              <w:tc>
                <w:tcPr>
                  <w:tcW w:w="429" w:type="dxa"/>
                  <w:vMerge w:val="restart"/>
                  <w:tcBorders>
                    <w:tl2br w:val="nil"/>
                    <w:tr2bl w:val="nil"/>
                  </w:tcBorders>
                  <w:vAlign w:val="center"/>
                </w:tcPr>
                <w:p>
                  <w:pPr>
                    <w:jc w:val="center"/>
                    <w:rPr>
                      <w:szCs w:val="21"/>
                    </w:rPr>
                  </w:pPr>
                  <w:r>
                    <w:rPr>
                      <w:rFonts w:hint="eastAsia"/>
                      <w:szCs w:val="21"/>
                    </w:rPr>
                    <w:t>其它</w:t>
                  </w:r>
                </w:p>
              </w:tc>
              <w:tc>
                <w:tcPr>
                  <w:tcW w:w="2713" w:type="dxa"/>
                  <w:tcBorders>
                    <w:tl2br w:val="nil"/>
                    <w:tr2bl w:val="nil"/>
                  </w:tcBorders>
                  <w:noWrap/>
                  <w:vAlign w:val="center"/>
                </w:tcPr>
                <w:p>
                  <w:pPr>
                    <w:jc w:val="center"/>
                    <w:rPr>
                      <w:szCs w:val="21"/>
                    </w:rPr>
                  </w:pPr>
                  <w:r>
                    <w:rPr>
                      <w:rFonts w:hint="eastAsia"/>
                      <w:szCs w:val="21"/>
                    </w:rPr>
                    <w:t>洗洁精（食品级）</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jc w:val="center"/>
                    <w:rPr>
                      <w:szCs w:val="21"/>
                    </w:rPr>
                  </w:pPr>
                  <w:r>
                    <w:rPr>
                      <w:rFonts w:hint="eastAsia"/>
                      <w:szCs w:val="21"/>
                    </w:rPr>
                    <w:t>约0.35</w:t>
                  </w:r>
                </w:p>
              </w:tc>
              <w:tc>
                <w:tcPr>
                  <w:tcW w:w="974" w:type="dxa"/>
                  <w:tcBorders>
                    <w:tl2br w:val="nil"/>
                    <w:tr2bl w:val="nil"/>
                  </w:tcBorders>
                  <w:vAlign w:val="center"/>
                </w:tcPr>
                <w:p>
                  <w:pPr>
                    <w:widowControl/>
                    <w:jc w:val="center"/>
                    <w:rPr>
                      <w:szCs w:val="21"/>
                    </w:rPr>
                  </w:pPr>
                </w:p>
              </w:tc>
              <w:tc>
                <w:tcPr>
                  <w:tcW w:w="851" w:type="dxa"/>
                  <w:tcBorders>
                    <w:tl2br w:val="nil"/>
                    <w:tr2bl w:val="nil"/>
                  </w:tcBorders>
                  <w:vAlign w:val="center"/>
                </w:tcPr>
                <w:p>
                  <w:pPr>
                    <w:widowControl/>
                    <w:jc w:val="center"/>
                    <w:rPr>
                      <w:szCs w:val="21"/>
                    </w:rPr>
                  </w:pPr>
                  <w:r>
                    <w:rPr>
                      <w:rFonts w:hint="eastAsia"/>
                      <w:szCs w:val="21"/>
                    </w:rPr>
                    <w:t>0.1</w:t>
                  </w:r>
                </w:p>
              </w:tc>
              <w:tc>
                <w:tcPr>
                  <w:tcW w:w="1060" w:type="dxa"/>
                  <w:tcBorders>
                    <w:tl2br w:val="nil"/>
                    <w:tr2bl w:val="nil"/>
                  </w:tcBorders>
                  <w:noWrap/>
                  <w:vAlign w:val="center"/>
                </w:tcPr>
                <w:p>
                  <w:pPr>
                    <w:widowControl/>
                    <w:jc w:val="center"/>
                    <w:rPr>
                      <w:szCs w:val="21"/>
                    </w:rPr>
                  </w:pPr>
                  <w:r>
                    <w:rPr>
                      <w:rFonts w:hint="eastAsia"/>
                      <w:szCs w:val="21"/>
                    </w:rPr>
                    <w:t>清洗用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p>
              </w:tc>
              <w:tc>
                <w:tcPr>
                  <w:tcW w:w="429" w:type="dxa"/>
                  <w:vMerge w:val="continue"/>
                  <w:tcBorders>
                    <w:tl2br w:val="nil"/>
                    <w:tr2bl w:val="nil"/>
                  </w:tcBorders>
                  <w:vAlign w:val="center"/>
                </w:tcPr>
                <w:p>
                  <w:pPr>
                    <w:jc w:val="center"/>
                    <w:rPr>
                      <w:szCs w:val="21"/>
                    </w:rPr>
                  </w:pPr>
                </w:p>
              </w:tc>
              <w:tc>
                <w:tcPr>
                  <w:tcW w:w="2713" w:type="dxa"/>
                  <w:tcBorders>
                    <w:tl2br w:val="nil"/>
                    <w:tr2bl w:val="nil"/>
                  </w:tcBorders>
                  <w:noWrap/>
                  <w:vAlign w:val="center"/>
                </w:tcPr>
                <w:p>
                  <w:pPr>
                    <w:jc w:val="center"/>
                    <w:rPr>
                      <w:szCs w:val="21"/>
                    </w:rPr>
                  </w:pPr>
                  <w:r>
                    <w:rPr>
                      <w:rFonts w:hint="eastAsia"/>
                      <w:szCs w:val="21"/>
                    </w:rPr>
                    <w:t>75%消毒酒精</w:t>
                  </w:r>
                </w:p>
              </w:tc>
              <w:tc>
                <w:tcPr>
                  <w:tcW w:w="851" w:type="dxa"/>
                  <w:tcBorders>
                    <w:tl2br w:val="nil"/>
                    <w:tr2bl w:val="nil"/>
                  </w:tcBorders>
                  <w:noWrap/>
                  <w:vAlign w:val="center"/>
                </w:tcPr>
                <w:p>
                  <w:pPr>
                    <w:jc w:val="center"/>
                    <w:rPr>
                      <w:kern w:val="0"/>
                      <w:szCs w:val="21"/>
                    </w:rPr>
                  </w:pPr>
                  <w:r>
                    <w:rPr>
                      <w:kern w:val="0"/>
                      <w:szCs w:val="21"/>
                    </w:rPr>
                    <w:t>吨</w:t>
                  </w:r>
                  <w:r>
                    <w:rPr>
                      <w:szCs w:val="21"/>
                      <w:lang w:val="zh-CN"/>
                    </w:rPr>
                    <w:t>/年</w:t>
                  </w:r>
                </w:p>
              </w:tc>
              <w:tc>
                <w:tcPr>
                  <w:tcW w:w="850" w:type="dxa"/>
                  <w:tcBorders>
                    <w:tl2br w:val="nil"/>
                    <w:tr2bl w:val="nil"/>
                  </w:tcBorders>
                  <w:noWrap/>
                  <w:vAlign w:val="center"/>
                </w:tcPr>
                <w:p>
                  <w:pPr>
                    <w:jc w:val="center"/>
                    <w:rPr>
                      <w:szCs w:val="21"/>
                    </w:rPr>
                  </w:pPr>
                  <w:r>
                    <w:rPr>
                      <w:rFonts w:hint="eastAsia"/>
                      <w:szCs w:val="21"/>
                    </w:rPr>
                    <w:t>约0.8</w:t>
                  </w:r>
                </w:p>
              </w:tc>
              <w:tc>
                <w:tcPr>
                  <w:tcW w:w="974" w:type="dxa"/>
                  <w:tcBorders>
                    <w:tl2br w:val="nil"/>
                    <w:tr2bl w:val="nil"/>
                  </w:tcBorders>
                  <w:vAlign w:val="center"/>
                </w:tcPr>
                <w:p>
                  <w:pPr>
                    <w:widowControl/>
                    <w:jc w:val="center"/>
                    <w:rPr>
                      <w:szCs w:val="21"/>
                    </w:rPr>
                  </w:pPr>
                  <w:r>
                    <w:rPr>
                      <w:rFonts w:hint="eastAsia"/>
                      <w:szCs w:val="21"/>
                    </w:rPr>
                    <w:t>桶装、瓶装</w:t>
                  </w:r>
                </w:p>
              </w:tc>
              <w:tc>
                <w:tcPr>
                  <w:tcW w:w="851" w:type="dxa"/>
                  <w:tcBorders>
                    <w:tl2br w:val="nil"/>
                    <w:tr2bl w:val="nil"/>
                  </w:tcBorders>
                  <w:vAlign w:val="center"/>
                </w:tcPr>
                <w:p>
                  <w:pPr>
                    <w:widowControl/>
                    <w:jc w:val="center"/>
                    <w:rPr>
                      <w:szCs w:val="21"/>
                    </w:rPr>
                  </w:pPr>
                  <w:r>
                    <w:rPr>
                      <w:rFonts w:hint="eastAsia"/>
                      <w:szCs w:val="21"/>
                    </w:rPr>
                    <w:t>0.05</w:t>
                  </w:r>
                </w:p>
              </w:tc>
              <w:tc>
                <w:tcPr>
                  <w:tcW w:w="1060" w:type="dxa"/>
                  <w:tcBorders>
                    <w:tl2br w:val="nil"/>
                    <w:tr2bl w:val="nil"/>
                  </w:tcBorders>
                  <w:noWrap/>
                  <w:vAlign w:val="center"/>
                </w:tcPr>
                <w:p>
                  <w:pPr>
                    <w:widowControl/>
                    <w:jc w:val="center"/>
                    <w:rPr>
                      <w:szCs w:val="21"/>
                    </w:rPr>
                  </w:pPr>
                  <w:r>
                    <w:rPr>
                      <w:rFonts w:hint="eastAsia"/>
                      <w:szCs w:val="21"/>
                    </w:rPr>
                    <w:t>消毒用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8" w:type="dxa"/>
                  <w:tcBorders>
                    <w:tl2br w:val="nil"/>
                    <w:tr2bl w:val="nil"/>
                  </w:tcBorders>
                  <w:vAlign w:val="center"/>
                </w:tcPr>
                <w:p>
                  <w:pPr>
                    <w:jc w:val="center"/>
                    <w:rPr>
                      <w:szCs w:val="21"/>
                    </w:rPr>
                  </w:pPr>
                  <w:r>
                    <w:rPr>
                      <w:rFonts w:hint="eastAsia"/>
                      <w:szCs w:val="21"/>
                    </w:rPr>
                    <w:t>8</w:t>
                  </w:r>
                </w:p>
              </w:tc>
              <w:tc>
                <w:tcPr>
                  <w:tcW w:w="429" w:type="dxa"/>
                  <w:vMerge w:val="continue"/>
                  <w:tcBorders>
                    <w:tl2br w:val="nil"/>
                    <w:tr2bl w:val="nil"/>
                  </w:tcBorders>
                  <w:vAlign w:val="center"/>
                </w:tcPr>
                <w:p>
                  <w:pPr>
                    <w:jc w:val="center"/>
                    <w:rPr>
                      <w:szCs w:val="21"/>
                    </w:rPr>
                  </w:pPr>
                </w:p>
              </w:tc>
              <w:tc>
                <w:tcPr>
                  <w:tcW w:w="2713" w:type="dxa"/>
                  <w:tcBorders>
                    <w:tl2br w:val="nil"/>
                    <w:tr2bl w:val="nil"/>
                  </w:tcBorders>
                  <w:noWrap/>
                  <w:vAlign w:val="center"/>
                </w:tcPr>
                <w:p>
                  <w:pPr>
                    <w:jc w:val="center"/>
                    <w:rPr>
                      <w:szCs w:val="21"/>
                    </w:rPr>
                  </w:pPr>
                  <w:r>
                    <w:rPr>
                      <w:rFonts w:hint="eastAsia"/>
                      <w:szCs w:val="21"/>
                    </w:rPr>
                    <w:t>消毒剂</w:t>
                  </w:r>
                </w:p>
              </w:tc>
              <w:tc>
                <w:tcPr>
                  <w:tcW w:w="851" w:type="dxa"/>
                  <w:tcBorders>
                    <w:tl2br w:val="nil"/>
                    <w:tr2bl w:val="nil"/>
                  </w:tcBorders>
                  <w:noWrap/>
                  <w:vAlign w:val="center"/>
                </w:tcPr>
                <w:p>
                  <w:pPr>
                    <w:jc w:val="center"/>
                    <w:rPr>
                      <w:kern w:val="0"/>
                      <w:szCs w:val="21"/>
                    </w:rPr>
                  </w:pPr>
                  <w:r>
                    <w:rPr>
                      <w:rFonts w:hint="eastAsia"/>
                      <w:kern w:val="0"/>
                      <w:szCs w:val="21"/>
                    </w:rPr>
                    <w:t>吨/年</w:t>
                  </w:r>
                </w:p>
              </w:tc>
              <w:tc>
                <w:tcPr>
                  <w:tcW w:w="850" w:type="dxa"/>
                  <w:tcBorders>
                    <w:tl2br w:val="nil"/>
                    <w:tr2bl w:val="nil"/>
                  </w:tcBorders>
                  <w:noWrap/>
                  <w:vAlign w:val="center"/>
                </w:tcPr>
                <w:p>
                  <w:pPr>
                    <w:jc w:val="center"/>
                    <w:rPr>
                      <w:szCs w:val="21"/>
                    </w:rPr>
                  </w:pPr>
                  <w:r>
                    <w:rPr>
                      <w:rFonts w:hint="eastAsia"/>
                      <w:szCs w:val="21"/>
                    </w:rPr>
                    <w:t>约0</w:t>
                  </w:r>
                  <w:r>
                    <w:rPr>
                      <w:szCs w:val="21"/>
                    </w:rPr>
                    <w:t>.05</w:t>
                  </w:r>
                </w:p>
              </w:tc>
              <w:tc>
                <w:tcPr>
                  <w:tcW w:w="974" w:type="dxa"/>
                  <w:tcBorders>
                    <w:tl2br w:val="nil"/>
                    <w:tr2bl w:val="nil"/>
                  </w:tcBorders>
                  <w:vAlign w:val="center"/>
                </w:tcPr>
                <w:p>
                  <w:pPr>
                    <w:widowControl/>
                    <w:jc w:val="center"/>
                    <w:rPr>
                      <w:szCs w:val="21"/>
                    </w:rPr>
                  </w:pPr>
                  <w:r>
                    <w:rPr>
                      <w:rFonts w:hint="eastAsia"/>
                      <w:szCs w:val="21"/>
                    </w:rPr>
                    <w:t>桶装</w:t>
                  </w:r>
                </w:p>
              </w:tc>
              <w:tc>
                <w:tcPr>
                  <w:tcW w:w="851" w:type="dxa"/>
                  <w:tcBorders>
                    <w:tl2br w:val="nil"/>
                    <w:tr2bl w:val="nil"/>
                  </w:tcBorders>
                  <w:vAlign w:val="center"/>
                </w:tcPr>
                <w:p>
                  <w:pPr>
                    <w:widowControl/>
                    <w:jc w:val="center"/>
                    <w:rPr>
                      <w:szCs w:val="21"/>
                    </w:rPr>
                  </w:pPr>
                  <w:r>
                    <w:rPr>
                      <w:rFonts w:hint="eastAsia"/>
                      <w:szCs w:val="21"/>
                    </w:rPr>
                    <w:t>0</w:t>
                  </w:r>
                  <w:r>
                    <w:rPr>
                      <w:szCs w:val="21"/>
                    </w:rPr>
                    <w:t>.01</w:t>
                  </w:r>
                </w:p>
              </w:tc>
              <w:tc>
                <w:tcPr>
                  <w:tcW w:w="1060" w:type="dxa"/>
                  <w:tcBorders>
                    <w:tl2br w:val="nil"/>
                    <w:tr2bl w:val="nil"/>
                  </w:tcBorders>
                  <w:noWrap/>
                  <w:vAlign w:val="center"/>
                </w:tcPr>
                <w:p>
                  <w:pPr>
                    <w:widowControl/>
                    <w:jc w:val="center"/>
                    <w:rPr>
                      <w:szCs w:val="21"/>
                    </w:rPr>
                  </w:pPr>
                  <w:r>
                    <w:rPr>
                      <w:rFonts w:hint="eastAsia"/>
                      <w:szCs w:val="21"/>
                    </w:rPr>
                    <w:t>消毒用</w:t>
                  </w:r>
                </w:p>
              </w:tc>
            </w:tr>
          </w:tbl>
          <w:p>
            <w:pPr>
              <w:adjustRightInd w:val="0"/>
              <w:snapToGrid w:val="0"/>
              <w:spacing w:line="400" w:lineRule="exact"/>
              <w:jc w:val="center"/>
              <w:rPr>
                <w:b/>
                <w:sz w:val="24"/>
              </w:rPr>
            </w:pPr>
            <w:r>
              <w:rPr>
                <w:rFonts w:hint="eastAsia"/>
                <w:b/>
                <w:sz w:val="24"/>
              </w:rPr>
              <w:t>表2</w:t>
            </w:r>
            <w:r>
              <w:rPr>
                <w:b/>
                <w:sz w:val="24"/>
              </w:rPr>
              <w:t xml:space="preserve">-8 </w:t>
            </w:r>
            <w:r>
              <w:rPr>
                <w:rFonts w:hint="eastAsia"/>
                <w:b/>
                <w:sz w:val="24"/>
              </w:rPr>
              <w:t>主要原辅料理化性质一览表</w:t>
            </w:r>
          </w:p>
          <w:tbl>
            <w:tblPr>
              <w:tblStyle w:val="22"/>
              <w:tblW w:w="490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70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3" w:type="pct"/>
                  <w:shd w:val="clear" w:color="auto" w:fill="auto"/>
                  <w:vAlign w:val="center"/>
                </w:tcPr>
                <w:p>
                  <w:pPr>
                    <w:pStyle w:val="2"/>
                    <w:ind w:firstLine="0" w:firstLineChars="0"/>
                    <w:jc w:val="center"/>
                    <w:rPr>
                      <w:szCs w:val="21"/>
                    </w:rPr>
                  </w:pPr>
                  <w:r>
                    <w:rPr>
                      <w:rFonts w:hint="eastAsia"/>
                      <w:szCs w:val="21"/>
                    </w:rPr>
                    <w:t>原料名称</w:t>
                  </w:r>
                </w:p>
              </w:tc>
              <w:tc>
                <w:tcPr>
                  <w:tcW w:w="4267" w:type="pct"/>
                  <w:shd w:val="clear" w:color="auto" w:fill="auto"/>
                </w:tcPr>
                <w:p>
                  <w:pPr>
                    <w:pStyle w:val="2"/>
                    <w:ind w:leftChars="-49" w:hanging="102" w:hangingChars="49"/>
                    <w:jc w:val="center"/>
                    <w:rPr>
                      <w:szCs w:val="21"/>
                    </w:rPr>
                  </w:pPr>
                  <w:r>
                    <w:rPr>
                      <w:rFonts w:hint="eastAsia"/>
                      <w:szCs w:val="21"/>
                    </w:rPr>
                    <w:t>原辅料简介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辛癸酸甘油酯</w:t>
                  </w:r>
                </w:p>
              </w:tc>
              <w:tc>
                <w:tcPr>
                  <w:tcW w:w="4267" w:type="pct"/>
                  <w:shd w:val="clear" w:color="auto" w:fill="auto"/>
                </w:tcPr>
                <w:p>
                  <w:pPr>
                    <w:pStyle w:val="2"/>
                    <w:ind w:leftChars="-49" w:hanging="102" w:hangingChars="49"/>
                    <w:rPr>
                      <w:szCs w:val="21"/>
                    </w:rPr>
                  </w:pPr>
                  <w:r>
                    <w:rPr>
                      <w:szCs w:val="21"/>
                    </w:rPr>
                    <w:t>分子式C</w:t>
                  </w:r>
                  <w:r>
                    <w:rPr>
                      <w:szCs w:val="21"/>
                      <w:vertAlign w:val="subscript"/>
                    </w:rPr>
                    <w:t>21</w:t>
                  </w:r>
                  <w:r>
                    <w:rPr>
                      <w:szCs w:val="21"/>
                    </w:rPr>
                    <w:t xml:space="preserve"> H</w:t>
                  </w:r>
                  <w:r>
                    <w:rPr>
                      <w:szCs w:val="21"/>
                      <w:vertAlign w:val="subscript"/>
                    </w:rPr>
                    <w:t>40</w:t>
                  </w:r>
                  <w:r>
                    <w:rPr>
                      <w:szCs w:val="21"/>
                    </w:rPr>
                    <w:t xml:space="preserve"> O</w:t>
                  </w:r>
                  <w:r>
                    <w:rPr>
                      <w:szCs w:val="21"/>
                      <w:vertAlign w:val="subscript"/>
                    </w:rPr>
                    <w:t>5</w:t>
                  </w:r>
                  <w:r>
                    <w:rPr>
                      <w:szCs w:val="21"/>
                    </w:rPr>
                    <w:t>，相对分子质量:372.54，无色、无味的透明液体，其黏度为一般植物油的一半。凝固点低，氧化稳定性好。与各种溶剂、油脂、一些氧化剂、维生素都有很好的互溶性。其乳化性、溶解性、延伸性和润滑性都优于普通油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食用酒精</w:t>
                  </w:r>
                </w:p>
              </w:tc>
              <w:tc>
                <w:tcPr>
                  <w:tcW w:w="4267" w:type="pct"/>
                  <w:shd w:val="clear" w:color="auto" w:fill="auto"/>
                </w:tcPr>
                <w:p>
                  <w:pPr>
                    <w:pStyle w:val="2"/>
                    <w:ind w:leftChars="-49" w:hanging="102" w:hangingChars="49"/>
                    <w:rPr>
                      <w:szCs w:val="21"/>
                    </w:rPr>
                  </w:pPr>
                  <w:r>
                    <w:rPr>
                      <w:szCs w:val="21"/>
                    </w:rPr>
                    <w:t>乙醇（英语：Ethanol，结构简式：CH3CH2OH）是醇类的一种，是酒的主要成份，所以又称酒精，有些地方俗称火酒，是可再生物质。</w:t>
                  </w:r>
                  <w:r>
                    <w:fldChar w:fldCharType="begin"/>
                  </w:r>
                  <w:r>
                    <w:instrText xml:space="preserve"> HYPERLINK "https://baike.so.com/doc/804239-850746.html" \t "_blank" </w:instrText>
                  </w:r>
                  <w:r>
                    <w:fldChar w:fldCharType="separate"/>
                  </w:r>
                  <w:r>
                    <w:rPr>
                      <w:szCs w:val="21"/>
                    </w:rPr>
                    <w:t>化学式</w:t>
                  </w:r>
                  <w:r>
                    <w:rPr>
                      <w:szCs w:val="21"/>
                    </w:rPr>
                    <w:fldChar w:fldCharType="end"/>
                  </w:r>
                  <w:r>
                    <w:rPr>
                      <w:szCs w:val="21"/>
                    </w:rPr>
                    <w:t>也可写为C</w:t>
                  </w:r>
                  <w:r>
                    <w:rPr>
                      <w:szCs w:val="21"/>
                      <w:vertAlign w:val="subscript"/>
                    </w:rPr>
                    <w:t>2</w:t>
                  </w:r>
                  <w:r>
                    <w:rPr>
                      <w:szCs w:val="21"/>
                    </w:rPr>
                    <w:t>H</w:t>
                  </w:r>
                  <w:r>
                    <w:rPr>
                      <w:szCs w:val="21"/>
                      <w:vertAlign w:val="subscript"/>
                    </w:rPr>
                    <w:t>5</w:t>
                  </w:r>
                  <w:r>
                    <w:rPr>
                      <w:szCs w:val="21"/>
                    </w:rPr>
                    <w:t>OH或EtOH，Et代表</w:t>
                  </w:r>
                  <w:r>
                    <w:fldChar w:fldCharType="begin"/>
                  </w:r>
                  <w:r>
                    <w:instrText xml:space="preserve"> HYPERLINK "https://baike.so.com/doc/6880573-7098049.html" \t "_blank" </w:instrText>
                  </w:r>
                  <w:r>
                    <w:fldChar w:fldCharType="separate"/>
                  </w:r>
                  <w:r>
                    <w:rPr>
                      <w:szCs w:val="21"/>
                    </w:rPr>
                    <w:t>乙基</w:t>
                  </w:r>
                  <w:r>
                    <w:rPr>
                      <w:szCs w:val="21"/>
                    </w:rPr>
                    <w:fldChar w:fldCharType="end"/>
                  </w:r>
                  <w:r>
                    <w:rPr>
                      <w:szCs w:val="21"/>
                    </w:rPr>
                    <w:t>。乙醇易燃,是常用的</w:t>
                  </w:r>
                  <w:r>
                    <w:fldChar w:fldCharType="begin"/>
                  </w:r>
                  <w:r>
                    <w:instrText xml:space="preserve"> HYPERLINK "https://baike.so.com/doc/5994555-6207526.html" \t "_blank" </w:instrText>
                  </w:r>
                  <w:r>
                    <w:fldChar w:fldCharType="separate"/>
                  </w:r>
                  <w:r>
                    <w:rPr>
                      <w:szCs w:val="21"/>
                    </w:rPr>
                    <w:t>燃料</w:t>
                  </w:r>
                  <w:r>
                    <w:rPr>
                      <w:szCs w:val="21"/>
                    </w:rPr>
                    <w:fldChar w:fldCharType="end"/>
                  </w:r>
                  <w:r>
                    <w:rPr>
                      <w:szCs w:val="21"/>
                    </w:rPr>
                    <w:t>、</w:t>
                  </w:r>
                  <w:r>
                    <w:fldChar w:fldCharType="begin"/>
                  </w:r>
                  <w:r>
                    <w:instrText xml:space="preserve"> HYPERLINK "https://baike.so.com/doc/1355777-1433373.html" \t "_blank" </w:instrText>
                  </w:r>
                  <w:r>
                    <w:fldChar w:fldCharType="separate"/>
                  </w:r>
                  <w:r>
                    <w:rPr>
                      <w:szCs w:val="21"/>
                    </w:rPr>
                    <w:t>溶剂</w:t>
                  </w:r>
                  <w:r>
                    <w:rPr>
                      <w:szCs w:val="21"/>
                    </w:rPr>
                    <w:fldChar w:fldCharType="end"/>
                  </w:r>
                  <w:r>
                    <w:rPr>
                      <w:szCs w:val="21"/>
                    </w:rPr>
                    <w:t>和</w:t>
                  </w:r>
                  <w:r>
                    <w:fldChar w:fldCharType="begin"/>
                  </w:r>
                  <w:r>
                    <w:instrText xml:space="preserve"> HYPERLINK "https://baike.so.com/doc/5895054-6107943.html" \t "_blank" </w:instrText>
                  </w:r>
                  <w:r>
                    <w:fldChar w:fldCharType="separate"/>
                  </w:r>
                  <w:r>
                    <w:rPr>
                      <w:szCs w:val="21"/>
                    </w:rPr>
                    <w:t>消毒剂</w:t>
                  </w:r>
                  <w:r>
                    <w:rPr>
                      <w:szCs w:val="21"/>
                    </w:rPr>
                    <w:fldChar w:fldCharType="end"/>
                  </w:r>
                  <w:r>
                    <w:rPr>
                      <w:szCs w:val="21"/>
                    </w:rPr>
                    <w:t>，</w:t>
                  </w:r>
                  <w:r>
                    <w:fldChar w:fldCharType="begin"/>
                  </w:r>
                  <w:r>
                    <w:instrText xml:space="preserve"> HYPERLINK "https://baike.so.com/doc/4210704-4411860.html" \t "_blank" </w:instrText>
                  </w:r>
                  <w:r>
                    <w:fldChar w:fldCharType="separate"/>
                  </w:r>
                  <w:r>
                    <w:rPr>
                      <w:szCs w:val="21"/>
                    </w:rPr>
                    <w:t>密度</w:t>
                  </w:r>
                  <w:r>
                    <w:rPr>
                      <w:szCs w:val="21"/>
                    </w:rPr>
                    <w:fldChar w:fldCharType="end"/>
                  </w:r>
                  <w:r>
                    <w:rPr>
                      <w:szCs w:val="21"/>
                    </w:rPr>
                    <w:t>：0.78945 g/cm^3; (液) 20°C</w:t>
                  </w:r>
                </w:p>
                <w:p>
                  <w:pPr>
                    <w:pStyle w:val="2"/>
                    <w:ind w:leftChars="-49" w:hanging="102" w:hangingChars="49"/>
                    <w:rPr>
                      <w:szCs w:val="21"/>
                    </w:rPr>
                  </w:pPr>
                  <w:r>
                    <w:fldChar w:fldCharType="begin"/>
                  </w:r>
                  <w:r>
                    <w:instrText xml:space="preserve"> HYPERLINK "https://baike.so.com/doc/367780-389604.html" \t "_blank" </w:instrText>
                  </w:r>
                  <w:r>
                    <w:fldChar w:fldCharType="separate"/>
                  </w:r>
                  <w:r>
                    <w:rPr>
                      <w:szCs w:val="21"/>
                    </w:rPr>
                    <w:t>熔点</w:t>
                  </w:r>
                  <w:r>
                    <w:rPr>
                      <w:szCs w:val="21"/>
                    </w:rPr>
                    <w:fldChar w:fldCharType="end"/>
                  </w:r>
                  <w:r>
                    <w:rPr>
                      <w:szCs w:val="21"/>
                    </w:rPr>
                    <w:t>：-114.3 °C (158.8 K)</w:t>
                  </w:r>
                </w:p>
                <w:p>
                  <w:pPr>
                    <w:pStyle w:val="2"/>
                    <w:ind w:leftChars="-49" w:hanging="102" w:hangingChars="49"/>
                    <w:rPr>
                      <w:szCs w:val="21"/>
                    </w:rPr>
                  </w:pPr>
                  <w:r>
                    <w:fldChar w:fldCharType="begin"/>
                  </w:r>
                  <w:r>
                    <w:instrText xml:space="preserve"> HYPERLINK "https://baike.so.com/doc/5567907-5783065.html" \t "_blank" </w:instrText>
                  </w:r>
                  <w:r>
                    <w:fldChar w:fldCharType="separate"/>
                  </w:r>
                  <w:r>
                    <w:rPr>
                      <w:szCs w:val="21"/>
                    </w:rPr>
                    <w:t>沸点</w:t>
                  </w:r>
                  <w:r>
                    <w:rPr>
                      <w:szCs w:val="21"/>
                    </w:rPr>
                    <w:fldChar w:fldCharType="end"/>
                  </w:r>
                  <w:r>
                    <w:rPr>
                      <w:szCs w:val="21"/>
                    </w:rPr>
                    <w:t>：78.4 °C (351.6 K)</w:t>
                  </w:r>
                </w:p>
                <w:p>
                  <w:pPr>
                    <w:pStyle w:val="2"/>
                    <w:ind w:leftChars="-49" w:hanging="102" w:hangingChars="49"/>
                    <w:rPr>
                      <w:szCs w:val="21"/>
                    </w:rPr>
                  </w:pPr>
                  <w:r>
                    <w:rPr>
                      <w:szCs w:val="21"/>
                    </w:rPr>
                    <w:t>在水中溶解时：pKa =15.9</w:t>
                  </w:r>
                </w:p>
                <w:p>
                  <w:pPr>
                    <w:pStyle w:val="2"/>
                    <w:ind w:leftChars="-49" w:hanging="102" w:hangingChars="49"/>
                    <w:rPr>
                      <w:szCs w:val="21"/>
                    </w:rPr>
                  </w:pPr>
                  <w:r>
                    <w:fldChar w:fldCharType="begin"/>
                  </w:r>
                  <w:r>
                    <w:instrText xml:space="preserve"> HYPERLINK "https://baike.so.com/doc/6293024-6506538.html" \t "_blank" </w:instrText>
                  </w:r>
                  <w:r>
                    <w:fldChar w:fldCharType="separate"/>
                  </w:r>
                  <w:r>
                    <w:rPr>
                      <w:szCs w:val="21"/>
                    </w:rPr>
                    <w:t>黏度</w:t>
                  </w:r>
                  <w:r>
                    <w:rPr>
                      <w:szCs w:val="21"/>
                    </w:rPr>
                    <w:fldChar w:fldCharType="end"/>
                  </w:r>
                  <w:r>
                    <w:rPr>
                      <w:szCs w:val="21"/>
                    </w:rPr>
                    <w:t>：1.200 mPa·s (cP)， 20.0 °C</w:t>
                  </w:r>
                </w:p>
                <w:p>
                  <w:pPr>
                    <w:pStyle w:val="2"/>
                    <w:ind w:leftChars="-49" w:hanging="102" w:hangingChars="49"/>
                    <w:rPr>
                      <w:szCs w:val="21"/>
                    </w:rPr>
                  </w:pPr>
                  <w:r>
                    <w:fldChar w:fldCharType="begin"/>
                  </w:r>
                  <w:r>
                    <w:instrText xml:space="preserve"> HYPERLINK "https://baike.so.com/doc/2365910-2501711.html" \t "_blank" </w:instrText>
                  </w:r>
                  <w:r>
                    <w:fldChar w:fldCharType="separate"/>
                  </w:r>
                  <w:r>
                    <w:rPr>
                      <w:szCs w:val="21"/>
                    </w:rPr>
                    <w:t>分子</w:t>
                  </w:r>
                  <w:r>
                    <w:rPr>
                      <w:szCs w:val="21"/>
                    </w:rPr>
                    <w:fldChar w:fldCharType="end"/>
                  </w:r>
                  <w:r>
                    <w:rPr>
                      <w:szCs w:val="21"/>
                    </w:rPr>
                    <w:t>偶极矩：5.64 fC·fm (1.69 D) (气)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三乙酸甘油酯</w:t>
                  </w:r>
                </w:p>
              </w:tc>
              <w:tc>
                <w:tcPr>
                  <w:tcW w:w="4267" w:type="pct"/>
                  <w:shd w:val="clear" w:color="auto" w:fill="auto"/>
                </w:tcPr>
                <w:p>
                  <w:pPr>
                    <w:pStyle w:val="2"/>
                    <w:ind w:leftChars="-49" w:hanging="102" w:hangingChars="49"/>
                    <w:rPr>
                      <w:szCs w:val="21"/>
                    </w:rPr>
                  </w:pPr>
                  <w:r>
                    <w:rPr>
                      <w:szCs w:val="21"/>
                    </w:rPr>
                    <w:t>分子式是C9H14O6，CAS号为102-76-1。无色油状液体，有微弱果香、肉甜的味道，低浓度时有苦味。可用于日化香精配方中，主要作为定香剂使用。闪点:300 °F</w:t>
                  </w:r>
                  <w:r>
                    <w:rPr>
                      <w:rFonts w:hint="eastAsia"/>
                      <w:szCs w:val="21"/>
                    </w:rPr>
                    <w:t>，</w:t>
                  </w:r>
                  <w:r>
                    <w:rPr>
                      <w:szCs w:val="21"/>
                    </w:rPr>
                    <w:t>水溶解性:64.0 g/L (20 ºC)</w:t>
                  </w:r>
                  <w:r>
                    <w:rPr>
                      <w:rFonts w:hint="eastAsia"/>
                      <w:szCs w:val="21"/>
                    </w:rPr>
                    <w:t>；</w:t>
                  </w:r>
                  <w:r>
                    <w:rPr>
                      <w:szCs w:val="21"/>
                    </w:rPr>
                    <w:t>无色无嗅油状液体。 与乙醇、</w:t>
                  </w:r>
                  <w:r>
                    <w:fldChar w:fldCharType="begin"/>
                  </w:r>
                  <w:r>
                    <w:instrText xml:space="preserve"> HYPERLINK "https://baike.so.com/doc/6744681-6959224.html" \t "_blank" </w:instrText>
                  </w:r>
                  <w:r>
                    <w:fldChar w:fldCharType="separate"/>
                  </w:r>
                  <w:r>
                    <w:t>乙醚</w:t>
                  </w:r>
                  <w:r>
                    <w:fldChar w:fldCharType="end"/>
                  </w:r>
                  <w:r>
                    <w:rPr>
                      <w:szCs w:val="21"/>
                    </w:rPr>
                    <w:t>、</w:t>
                  </w:r>
                  <w:r>
                    <w:fldChar w:fldCharType="begin"/>
                  </w:r>
                  <w:r>
                    <w:instrText xml:space="preserve"> HYPERLINK "https://baike.so.com/doc/3194557-3366490.html" \t "_blank" </w:instrText>
                  </w:r>
                  <w:r>
                    <w:fldChar w:fldCharType="separate"/>
                  </w:r>
                  <w:r>
                    <w:t>苯</w:t>
                  </w:r>
                  <w:r>
                    <w:fldChar w:fldCharType="end"/>
                  </w:r>
                  <w:r>
                    <w:rPr>
                      <w:szCs w:val="21"/>
                    </w:rPr>
                    <w:t>、氯仿等多数有机溶剂混溶，溶于</w:t>
                  </w:r>
                  <w:r>
                    <w:fldChar w:fldCharType="begin"/>
                  </w:r>
                  <w:r>
                    <w:instrText xml:space="preserve"> HYPERLINK "https://baike.so.com/doc/252057-266820.html" \t "_blank" </w:instrText>
                  </w:r>
                  <w:r>
                    <w:fldChar w:fldCharType="separate"/>
                  </w:r>
                  <w:r>
                    <w:t>丙酮</w:t>
                  </w:r>
                  <w:r>
                    <w:fldChar w:fldCharType="end"/>
                  </w:r>
                  <w:r>
                    <w:rPr>
                      <w:szCs w:val="21"/>
                    </w:rPr>
                    <w:t>，不溶于</w:t>
                  </w:r>
                  <w:r>
                    <w:fldChar w:fldCharType="begin"/>
                  </w:r>
                  <w:r>
                    <w:instrText xml:space="preserve"> HYPERLINK "https://baike.so.com/doc/738004-7116741.html" \t "_blank" </w:instrText>
                  </w:r>
                  <w:r>
                    <w:fldChar w:fldCharType="separate"/>
                  </w:r>
                  <w:r>
                    <w:t>矿物油</w:t>
                  </w:r>
                  <w:r>
                    <w:fldChar w:fldCharType="end"/>
                  </w:r>
                  <w:r>
                    <w:rPr>
                      <w:szCs w:val="21"/>
                    </w:rPr>
                    <w:t>。稍溶于水。25</w:t>
                  </w:r>
                  <w:r>
                    <w:rPr>
                      <w:rFonts w:hint="eastAsia"/>
                      <w:szCs w:val="21"/>
                    </w:rPr>
                    <w:t>℃</w:t>
                  </w:r>
                  <w:r>
                    <w:rPr>
                      <w:szCs w:val="21"/>
                    </w:rPr>
                    <w:t>时在水中溶解度为5.9g/100ml。 </w:t>
                  </w:r>
                  <w:bookmarkStart w:id="2" w:name="refer_8773538-9097445-14174977"/>
                  <w:r>
                    <w:rPr>
                      <w:szCs w:val="21"/>
                    </w:rPr>
                    <w:fldChar w:fldCharType="begin"/>
                  </w:r>
                  <w:r>
                    <w:rPr>
                      <w:szCs w:val="21"/>
                    </w:rPr>
                    <w:instrText xml:space="preserve">HYPERLINK "https://baike.so.com/doc/8773538-9097445.html" \l "refff_8773538-9097445-2"</w:instrText>
                  </w:r>
                  <w:r>
                    <w:rPr>
                      <w:szCs w:val="21"/>
                    </w:rPr>
                    <w:fldChar w:fldCharType="separate"/>
                  </w:r>
                  <w:r>
                    <w:t>[2]</w:t>
                  </w:r>
                  <w:r>
                    <w:rPr>
                      <w:szCs w:val="21"/>
                    </w:rPr>
                    <w:fldChar w:fldCharType="end"/>
                  </w:r>
                  <w:bookmarkEnd w:id="2"/>
                  <w:r>
                    <w:rPr>
                      <w:szCs w:val="21"/>
                    </w:rPr>
                    <w:t> 溶于醇、</w:t>
                  </w:r>
                  <w:r>
                    <w:fldChar w:fldCharType="begin"/>
                  </w:r>
                  <w:r>
                    <w:instrText xml:space="preserve"> HYPERLINK "https://baike.so.com/doc/1396101-1475990.html" \t "_blank" </w:instrText>
                  </w:r>
                  <w:r>
                    <w:fldChar w:fldCharType="separate"/>
                  </w:r>
                  <w:r>
                    <w:t>醚</w:t>
                  </w:r>
                  <w:r>
                    <w:fldChar w:fldCharType="end"/>
                  </w:r>
                  <w:r>
                    <w:rPr>
                      <w:szCs w:val="21"/>
                    </w:rPr>
                    <w:t>、苯、氯仿和</w:t>
                  </w:r>
                  <w:r>
                    <w:fldChar w:fldCharType="begin"/>
                  </w:r>
                  <w:r>
                    <w:instrText xml:space="preserve"> HYPERLINK "https://baike.so.com/doc/4987600-5211125.html" \t "_blank" </w:instrText>
                  </w:r>
                  <w:r>
                    <w:fldChar w:fldCharType="separate"/>
                  </w:r>
                  <w:r>
                    <w:t>蓖麻油</w:t>
                  </w:r>
                  <w:r>
                    <w:fldChar w:fldCharType="end"/>
                  </w:r>
                  <w:r>
                    <w:rPr>
                      <w:szCs w:val="21"/>
                    </w:rPr>
                    <w:t>，但不溶于亚麻仁油。能溶解</w:t>
                  </w:r>
                  <w:r>
                    <w:fldChar w:fldCharType="begin"/>
                  </w:r>
                  <w:r>
                    <w:instrText xml:space="preserve"> HYPERLINK "https://baike.so.com/doc/6851544-7068973.html" \t "_blank" </w:instrText>
                  </w:r>
                  <w:r>
                    <w:fldChar w:fldCharType="separate"/>
                  </w:r>
                  <w:r>
                    <w:t>硝酸纤维素</w:t>
                  </w:r>
                  <w:r>
                    <w:fldChar w:fldCharType="end"/>
                  </w:r>
                  <w:r>
                    <w:rPr>
                      <w:szCs w:val="21"/>
                    </w:rPr>
                    <w:t>、</w:t>
                  </w:r>
                  <w:r>
                    <w:fldChar w:fldCharType="begin"/>
                  </w:r>
                  <w:r>
                    <w:instrText xml:space="preserve"> HYPERLINK "https://baike.so.com/doc/5633289-5845913.html" \t "_blank" </w:instrText>
                  </w:r>
                  <w:r>
                    <w:fldChar w:fldCharType="separate"/>
                  </w:r>
                  <w:r>
                    <w:t>醋酸纤维素</w:t>
                  </w:r>
                  <w:r>
                    <w:fldChar w:fldCharType="end"/>
                  </w:r>
                  <w:r>
                    <w:rPr>
                      <w:szCs w:val="21"/>
                    </w:rPr>
                    <w:t>、</w:t>
                  </w:r>
                  <w:r>
                    <w:fldChar w:fldCharType="begin"/>
                  </w:r>
                  <w:r>
                    <w:instrText xml:space="preserve"> HYPERLINK "https://baike.so.com/doc/5411392-5649499.html" \t "_blank" </w:instrText>
                  </w:r>
                  <w:r>
                    <w:fldChar w:fldCharType="separate"/>
                  </w:r>
                  <w:r>
                    <w:t>丙烯酸树脂</w:t>
                  </w:r>
                  <w:r>
                    <w:fldChar w:fldCharType="end"/>
                  </w:r>
                  <w:r>
                    <w:rPr>
                      <w:szCs w:val="21"/>
                    </w:rPr>
                    <w:t>、</w:t>
                  </w:r>
                  <w:r>
                    <w:fldChar w:fldCharType="begin"/>
                  </w:r>
                  <w:r>
                    <w:instrText xml:space="preserve"> HYPERLINK "https://baike.so.com/doc/5928852-6141777.html" \t "_blank" </w:instrText>
                  </w:r>
                  <w:r>
                    <w:fldChar w:fldCharType="separate"/>
                  </w:r>
                  <w:r>
                    <w:t>聚乙酸乙烯酯</w:t>
                  </w:r>
                  <w:r>
                    <w:fldChar w:fldCharType="end"/>
                  </w:r>
                  <w:r>
                    <w:rPr>
                      <w:szCs w:val="21"/>
                    </w:rPr>
                    <w:t>等。对天然松香也有一定程度的溶解，但不与聚氯乙烯、</w:t>
                  </w:r>
                  <w:r>
                    <w:fldChar w:fldCharType="begin"/>
                  </w:r>
                  <w:r>
                    <w:instrText xml:space="preserve"> HYPERLINK "https://baike.so.com/doc/5927548-6140472.html" \t "_blank" </w:instrText>
                  </w:r>
                  <w:r>
                    <w:fldChar w:fldCharType="separate"/>
                  </w:r>
                  <w:r>
                    <w:t>聚苯乙烯</w:t>
                  </w:r>
                  <w:r>
                    <w:fldChar w:fldCharType="end"/>
                  </w:r>
                  <w:r>
                    <w:rPr>
                      <w:szCs w:val="21"/>
                    </w:rPr>
                    <w:t>、氯化橡胶混溶。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丙二醇</w:t>
                  </w:r>
                </w:p>
              </w:tc>
              <w:tc>
                <w:tcPr>
                  <w:tcW w:w="4267" w:type="pct"/>
                  <w:shd w:val="clear" w:color="auto" w:fill="auto"/>
                </w:tcPr>
                <w:p>
                  <w:pPr>
                    <w:pStyle w:val="2"/>
                    <w:ind w:leftChars="-49" w:hanging="102" w:hangingChars="49"/>
                    <w:rPr>
                      <w:szCs w:val="21"/>
                    </w:rPr>
                  </w:pPr>
                  <w:r>
                    <w:rPr>
                      <w:szCs w:val="21"/>
                    </w:rPr>
                    <w:t>外观:无色粘稠稳定的吸水性液体，几乎无味无臭。</w:t>
                  </w:r>
                </w:p>
                <w:p>
                  <w:pPr>
                    <w:pStyle w:val="2"/>
                    <w:ind w:leftChars="-49" w:hanging="102" w:hangingChars="49"/>
                    <w:rPr>
                      <w:szCs w:val="21"/>
                    </w:rPr>
                  </w:pPr>
                  <w:r>
                    <w:rPr>
                      <w:szCs w:val="21"/>
                    </w:rPr>
                    <w:t>相对密度(水=1):1.04</w:t>
                  </w:r>
                </w:p>
                <w:p>
                  <w:pPr>
                    <w:pStyle w:val="2"/>
                    <w:ind w:leftChars="-49" w:hanging="102" w:hangingChars="49"/>
                    <w:rPr>
                      <w:szCs w:val="21"/>
                    </w:rPr>
                  </w:pPr>
                  <w:r>
                    <w:rPr>
                      <w:szCs w:val="21"/>
                    </w:rPr>
                    <w:t>蒸汽压:20</w:t>
                  </w:r>
                  <w:r>
                    <w:rPr>
                      <w:rFonts w:hint="eastAsia"/>
                      <w:szCs w:val="21"/>
                    </w:rPr>
                    <w:t>℃</w:t>
                  </w:r>
                  <w:r>
                    <w:rPr>
                      <w:szCs w:val="21"/>
                    </w:rPr>
                    <w:t>时106Pa</w:t>
                  </w:r>
                </w:p>
                <w:p>
                  <w:pPr>
                    <w:pStyle w:val="2"/>
                    <w:ind w:leftChars="-49" w:hanging="102" w:hangingChars="49"/>
                    <w:rPr>
                      <w:szCs w:val="21"/>
                    </w:rPr>
                  </w:pPr>
                  <w:r>
                    <w:rPr>
                      <w:szCs w:val="21"/>
                    </w:rPr>
                    <w:t>闪点:99</w:t>
                  </w:r>
                  <w:r>
                    <w:rPr>
                      <w:rFonts w:hint="eastAsia"/>
                      <w:szCs w:val="21"/>
                    </w:rPr>
                    <w:t>℃</w:t>
                  </w:r>
                  <w:r>
                    <w:rPr>
                      <w:szCs w:val="21"/>
                    </w:rPr>
                    <w:t>(闭杯)，107</w:t>
                  </w:r>
                  <w:r>
                    <w:rPr>
                      <w:rFonts w:hint="eastAsia"/>
                      <w:szCs w:val="21"/>
                    </w:rPr>
                    <w:t>℃</w:t>
                  </w:r>
                  <w:r>
                    <w:rPr>
                      <w:szCs w:val="21"/>
                    </w:rPr>
                    <w:t>(开杯)</w:t>
                  </w:r>
                </w:p>
                <w:p>
                  <w:pPr>
                    <w:pStyle w:val="2"/>
                    <w:ind w:leftChars="-49" w:hanging="102" w:hangingChars="49"/>
                    <w:rPr>
                      <w:szCs w:val="21"/>
                    </w:rPr>
                  </w:pPr>
                  <w:r>
                    <w:rPr>
                      <w:szCs w:val="21"/>
                    </w:rPr>
                    <w:t xml:space="preserve">比热容(20 </w:t>
                  </w:r>
                  <w:r>
                    <w:rPr>
                      <w:rFonts w:hint="eastAsia"/>
                      <w:szCs w:val="21"/>
                    </w:rPr>
                    <w:t>℃</w:t>
                  </w:r>
                  <w:r>
                    <w:rPr>
                      <w:szCs w:val="21"/>
                    </w:rPr>
                    <w:t>)2.49kJ/(kg.</w:t>
                  </w:r>
                  <w:r>
                    <w:rPr>
                      <w:rFonts w:hint="eastAsia"/>
                      <w:szCs w:val="21"/>
                    </w:rPr>
                    <w:t>℃</w:t>
                  </w:r>
                  <w:r>
                    <w:rPr>
                      <w:szCs w:val="21"/>
                    </w:rPr>
                    <w:t>)，</w:t>
                  </w:r>
                </w:p>
                <w:p>
                  <w:pPr>
                    <w:pStyle w:val="2"/>
                    <w:ind w:leftChars="-49" w:hanging="102" w:hangingChars="49"/>
                    <w:rPr>
                      <w:szCs w:val="21"/>
                    </w:rPr>
                  </w:pPr>
                  <w:r>
                    <w:rPr>
                      <w:szCs w:val="21"/>
                    </w:rPr>
                    <w:t>汽化热(101.3kpa)711kJ/kg。</w:t>
                  </w:r>
                </w:p>
                <w:p>
                  <w:pPr>
                    <w:pStyle w:val="2"/>
                    <w:ind w:leftChars="-49" w:hanging="102" w:hangingChars="49"/>
                    <w:rPr>
                      <w:szCs w:val="21"/>
                    </w:rPr>
                  </w:pPr>
                  <w:r>
                    <w:rPr>
                      <w:szCs w:val="21"/>
                    </w:rPr>
                    <w:t>自燃温度:421.1℃</w:t>
                  </w:r>
                </w:p>
                <w:p>
                  <w:pPr>
                    <w:pStyle w:val="2"/>
                    <w:ind w:leftChars="-49" w:hanging="102" w:hangingChars="49"/>
                    <w:rPr>
                      <w:szCs w:val="21"/>
                    </w:rPr>
                  </w:pPr>
                  <w:r>
                    <w:rPr>
                      <w:szCs w:val="21"/>
                    </w:rPr>
                    <w:t>溶解度:与水、乙醇及多种有机溶剂混溶。</w:t>
                  </w:r>
                </w:p>
                <w:p>
                  <w:pPr>
                    <w:pStyle w:val="2"/>
                    <w:ind w:leftChars="-49" w:hanging="102" w:hangingChars="49"/>
                    <w:rPr>
                      <w:szCs w:val="21"/>
                    </w:rPr>
                  </w:pPr>
                  <w:r>
                    <w:rPr>
                      <w:szCs w:val="21"/>
                    </w:rPr>
                    <w:t>爆炸极限:2.6-12.6%V/V</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丁位十二内酯</w:t>
                  </w:r>
                </w:p>
              </w:tc>
              <w:tc>
                <w:tcPr>
                  <w:tcW w:w="4267" w:type="pct"/>
                  <w:shd w:val="clear" w:color="auto" w:fill="auto"/>
                </w:tcPr>
                <w:p>
                  <w:pPr>
                    <w:pStyle w:val="2"/>
                    <w:ind w:leftChars="-49" w:hanging="102" w:hangingChars="49"/>
                    <w:rPr>
                      <w:szCs w:val="21"/>
                    </w:rPr>
                  </w:pPr>
                  <w:r>
                    <w:rPr>
                      <w:szCs w:val="21"/>
                    </w:rPr>
                    <w:t>CAS号为713-95-1，分子式为C12H22O2，用于各种果香、杏香、蜂蜜及奶酪、奶油巧克力、乳品中，带有刺激性，避免直接接触，是一种化工中间体。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丁位癸内酯</w:t>
                  </w:r>
                </w:p>
              </w:tc>
              <w:tc>
                <w:tcPr>
                  <w:tcW w:w="4267" w:type="pct"/>
                  <w:shd w:val="clear" w:color="auto" w:fill="auto"/>
                </w:tcPr>
                <w:p>
                  <w:pPr>
                    <w:pStyle w:val="2"/>
                    <w:ind w:leftChars="-49" w:hanging="102" w:hangingChars="49"/>
                    <w:rPr>
                      <w:szCs w:val="21"/>
                    </w:rPr>
                  </w:pPr>
                  <w:r>
                    <w:rPr>
                      <w:szCs w:val="21"/>
                    </w:rPr>
                    <w:t>外观:无色至淡黄色澄清粘稠状液体。</w:t>
                  </w:r>
                </w:p>
                <w:p>
                  <w:pPr>
                    <w:pStyle w:val="2"/>
                    <w:ind w:leftChars="-49" w:hanging="102" w:hangingChars="49"/>
                    <w:rPr>
                      <w:szCs w:val="21"/>
                    </w:rPr>
                  </w:pPr>
                  <w:r>
                    <w:rPr>
                      <w:szCs w:val="21"/>
                    </w:rPr>
                    <w:t>香气:有奶油香味、椰子和、桃子样的果香香气。</w:t>
                  </w:r>
                </w:p>
                <w:p>
                  <w:pPr>
                    <w:pStyle w:val="2"/>
                    <w:ind w:leftChars="-49" w:hanging="102" w:hangingChars="49"/>
                    <w:rPr>
                      <w:szCs w:val="21"/>
                    </w:rPr>
                  </w:pPr>
                  <w:r>
                    <w:rPr>
                      <w:szCs w:val="21"/>
                    </w:rPr>
                    <w:t>折光率(20</w:t>
                  </w:r>
                  <w:r>
                    <w:rPr>
                      <w:rFonts w:hint="eastAsia"/>
                      <w:szCs w:val="21"/>
                    </w:rPr>
                    <w:t>℃</w:t>
                  </w:r>
                  <w:r>
                    <w:rPr>
                      <w:szCs w:val="21"/>
                    </w:rPr>
                    <w:t>):1.457--1.461 。</w:t>
                  </w:r>
                </w:p>
                <w:p>
                  <w:pPr>
                    <w:pStyle w:val="2"/>
                    <w:ind w:leftChars="-49" w:hanging="102" w:hangingChars="49"/>
                    <w:rPr>
                      <w:szCs w:val="21"/>
                    </w:rPr>
                  </w:pPr>
                  <w:r>
                    <w:rPr>
                      <w:szCs w:val="21"/>
                    </w:rPr>
                    <w:t>沸点(</w:t>
                  </w:r>
                  <w:r>
                    <w:rPr>
                      <w:rFonts w:hint="eastAsia"/>
                      <w:szCs w:val="21"/>
                    </w:rPr>
                    <w:t>℃</w:t>
                  </w:r>
                  <w:r>
                    <w:rPr>
                      <w:szCs w:val="21"/>
                    </w:rPr>
                    <w:t>):117--120/2.7Pa。</w:t>
                  </w:r>
                </w:p>
                <w:p>
                  <w:pPr>
                    <w:pStyle w:val="2"/>
                    <w:ind w:leftChars="-49" w:hanging="102" w:hangingChars="49"/>
                    <w:rPr>
                      <w:szCs w:val="21"/>
                    </w:rPr>
                  </w:pPr>
                  <w:r>
                    <w:rPr>
                      <w:szCs w:val="21"/>
                    </w:rPr>
                    <w:t>相对密度(25/25</w:t>
                  </w:r>
                  <w:r>
                    <w:rPr>
                      <w:rFonts w:hint="eastAsia"/>
                      <w:szCs w:val="21"/>
                    </w:rPr>
                    <w:t>℃</w:t>
                  </w:r>
                  <w:r>
                    <w:rPr>
                      <w:szCs w:val="21"/>
                    </w:rPr>
                    <w:t>):0.968--0.974 .</w:t>
                  </w:r>
                </w:p>
                <w:p>
                  <w:pPr>
                    <w:pStyle w:val="2"/>
                    <w:ind w:leftChars="-49" w:hanging="102" w:hangingChars="49"/>
                    <w:rPr>
                      <w:szCs w:val="21"/>
                    </w:rPr>
                  </w:pPr>
                  <w:r>
                    <w:rPr>
                      <w:szCs w:val="21"/>
                    </w:rPr>
                    <w:t>闪点(</w:t>
                  </w:r>
                  <w:r>
                    <w:rPr>
                      <w:rFonts w:hint="eastAsia"/>
                      <w:szCs w:val="21"/>
                    </w:rPr>
                    <w:t>℃</w:t>
                  </w:r>
                  <w:r>
                    <w:rPr>
                      <w:szCs w:val="21"/>
                    </w:rPr>
                    <w:t>): 大于100 。</w:t>
                  </w:r>
                </w:p>
                <w:p>
                  <w:pPr>
                    <w:pStyle w:val="2"/>
                    <w:ind w:leftChars="-49" w:hanging="102" w:hangingChars="49"/>
                    <w:rPr>
                      <w:szCs w:val="21"/>
                    </w:rPr>
                  </w:pPr>
                  <w:r>
                    <w:rPr>
                      <w:szCs w:val="21"/>
                    </w:rPr>
                    <w:t>溶解性:可溶于酒精、植物油和丙烯乙二醇;不溶于水，与水接触会产生水解反应，也可能产生聚合反应。</w:t>
                  </w:r>
                </w:p>
                <w:p>
                  <w:pPr>
                    <w:pStyle w:val="2"/>
                    <w:ind w:leftChars="-49" w:hanging="102" w:hangingChars="49"/>
                    <w:rPr>
                      <w:szCs w:val="21"/>
                    </w:rPr>
                  </w:pPr>
                  <w:r>
                    <w:rPr>
                      <w:szCs w:val="21"/>
                    </w:rPr>
                    <w:t>用于</w:t>
                  </w:r>
                  <w:r>
                    <w:fldChar w:fldCharType="begin"/>
                  </w:r>
                  <w:r>
                    <w:instrText xml:space="preserve"> HYPERLINK "https://baike.so.com/doc/5668475-5881139.html" \t "_blank" </w:instrText>
                  </w:r>
                  <w:r>
                    <w:fldChar w:fldCharType="separate"/>
                  </w:r>
                  <w:r>
                    <w:t>食用香精</w:t>
                  </w:r>
                  <w:r>
                    <w:fldChar w:fldCharType="end"/>
                  </w:r>
                  <w:r>
                    <w:rPr>
                      <w:szCs w:val="21"/>
                    </w:rPr>
                    <w:t>，用作高档食用香料、日用香精和其它功能添加剂。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香兰素</w:t>
                  </w:r>
                </w:p>
              </w:tc>
              <w:tc>
                <w:tcPr>
                  <w:tcW w:w="4267" w:type="pct"/>
                  <w:shd w:val="clear" w:color="auto" w:fill="auto"/>
                </w:tcPr>
                <w:p>
                  <w:pPr>
                    <w:pStyle w:val="2"/>
                    <w:ind w:leftChars="-49" w:hanging="102" w:hangingChars="49"/>
                    <w:rPr>
                      <w:szCs w:val="21"/>
                    </w:rPr>
                  </w:pPr>
                  <w:r>
                    <w:rPr>
                      <w:szCs w:val="21"/>
                    </w:rPr>
                    <w:t>又名香草醛，为一种广泛使用的可食用香料，可在香荚兰的种子中找到，也可以人工合成，有浓烈奶香气息。广泛运用在各种需要增加奶香气息的调香食品中，如蛋糕、冷饮、巧克力、糖果;还可用于香皂、牙膏、香水、橡胶、塑料、医药品。香兰素为白色或浅黄色针状或结晶状粉末，熔点82-83</w:t>
                  </w:r>
                  <w:r>
                    <w:rPr>
                      <w:rFonts w:hint="eastAsia"/>
                      <w:szCs w:val="21"/>
                    </w:rPr>
                    <w:t>℃</w:t>
                  </w:r>
                  <w:r>
                    <w:rPr>
                      <w:szCs w:val="21"/>
                    </w:rPr>
                    <w:t>，沸点284</w:t>
                  </w:r>
                  <w:r>
                    <w:rPr>
                      <w:rFonts w:hint="eastAsia"/>
                      <w:szCs w:val="21"/>
                    </w:rPr>
                    <w:t>℃</w:t>
                  </w:r>
                  <w:r>
                    <w:rPr>
                      <w:szCs w:val="21"/>
                    </w:rPr>
                    <w:t>，闪点大于147</w:t>
                  </w:r>
                  <w:r>
                    <w:rPr>
                      <w:rFonts w:hint="eastAsia"/>
                      <w:szCs w:val="21"/>
                    </w:rPr>
                    <w:t>℃</w:t>
                  </w:r>
                  <w:r>
                    <w:rPr>
                      <w:szCs w:val="21"/>
                    </w:rPr>
                    <w:t>，溶于125倍的水、20倍的乙二醇及2倍的95%乙醇，溶于氯仿和香料中。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乙基麦芽酚</w:t>
                  </w:r>
                </w:p>
              </w:tc>
              <w:tc>
                <w:tcPr>
                  <w:tcW w:w="4267" w:type="pct"/>
                  <w:shd w:val="clear" w:color="auto" w:fill="auto"/>
                </w:tcPr>
                <w:p>
                  <w:pPr>
                    <w:pStyle w:val="2"/>
                    <w:ind w:leftChars="-49" w:hanging="102" w:hangingChars="49"/>
                    <w:rPr>
                      <w:szCs w:val="21"/>
                    </w:rPr>
                  </w:pPr>
                  <w:r>
                    <w:rPr>
                      <w:szCs w:val="21"/>
                    </w:rPr>
                    <w:t>乙基麦芽酚是一种有芬芳香气的白色晶状粉末。无论是晶状或粉末，溶于溶液后均保持其甜香味，且溶液较为稳定。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丁酸</w:t>
                  </w:r>
                </w:p>
              </w:tc>
              <w:tc>
                <w:tcPr>
                  <w:tcW w:w="4267" w:type="pct"/>
                  <w:shd w:val="clear" w:color="auto" w:fill="auto"/>
                </w:tcPr>
                <w:p>
                  <w:pPr>
                    <w:pStyle w:val="2"/>
                    <w:ind w:leftChars="-49" w:hanging="102" w:hangingChars="49"/>
                    <w:rPr>
                      <w:szCs w:val="21"/>
                    </w:rPr>
                  </w:pPr>
                  <w:r>
                    <w:rPr>
                      <w:szCs w:val="21"/>
                    </w:rPr>
                    <w:t>丁酸，又称</w:t>
                  </w:r>
                  <w:r>
                    <w:fldChar w:fldCharType="begin"/>
                  </w:r>
                  <w:r>
                    <w:instrText xml:space="preserve"> HYPERLINK "https://baike.so.com/doc/863733.html" \t "_blank" </w:instrText>
                  </w:r>
                  <w:r>
                    <w:fldChar w:fldCharType="separate"/>
                  </w:r>
                  <w:r>
                    <w:t>酪酸</w:t>
                  </w:r>
                  <w:r>
                    <w:fldChar w:fldCharType="end"/>
                  </w:r>
                  <w:r>
                    <w:rPr>
                      <w:szCs w:val="21"/>
                    </w:rPr>
                    <w:t>，存在于腐臭的</w:t>
                  </w:r>
                  <w:r>
                    <w:fldChar w:fldCharType="begin"/>
                  </w:r>
                  <w:r>
                    <w:instrText xml:space="preserve"> HYPERLINK "https://baike.so.com/doc/5376074.html" \t "_blank" </w:instrText>
                  </w:r>
                  <w:r>
                    <w:fldChar w:fldCharType="separate"/>
                  </w:r>
                  <w:r>
                    <w:t>黄油</w:t>
                  </w:r>
                  <w:r>
                    <w:fldChar w:fldCharType="end"/>
                  </w:r>
                  <w:r>
                    <w:rPr>
                      <w:szCs w:val="21"/>
                    </w:rPr>
                    <w:t>、帕马森干酪、呕吐物和腋臭中，带有难闻的气味，味先辣后甜，与乙醚类似。丁酸是脂肪酸，在动物脂肪和植物油中以丁酸酯形式存在。是短链脂肪酸的主要一员。工业上用蔗糖或淀粉</w:t>
                  </w:r>
                  <w:r>
                    <w:fldChar w:fldCharType="begin"/>
                  </w:r>
                  <w:r>
                    <w:instrText xml:space="preserve"> HYPERLINK "https://baike.so.com/doc/3770660.html" \t "_blank" </w:instrText>
                  </w:r>
                  <w:r>
                    <w:fldChar w:fldCharType="separate"/>
                  </w:r>
                  <w:r>
                    <w:t>发酵</w:t>
                  </w:r>
                  <w:r>
                    <w:fldChar w:fldCharType="end"/>
                  </w:r>
                  <w:r>
                    <w:rPr>
                      <w:szCs w:val="21"/>
                    </w:rPr>
                    <w:t>制取丁酸，丁酸则被用于制取各种丁酸酯。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乙偶姻</w:t>
                  </w:r>
                </w:p>
              </w:tc>
              <w:tc>
                <w:tcPr>
                  <w:tcW w:w="4267" w:type="pct"/>
                  <w:shd w:val="clear" w:color="auto" w:fill="auto"/>
                </w:tcPr>
                <w:p>
                  <w:pPr>
                    <w:pStyle w:val="2"/>
                    <w:ind w:leftChars="-49" w:hanging="102" w:hangingChars="49"/>
                    <w:rPr>
                      <w:szCs w:val="21"/>
                    </w:rPr>
                  </w:pPr>
                  <w:r>
                    <w:rPr>
                      <w:szCs w:val="21"/>
                    </w:rPr>
                    <w:t>化学品名:</w:t>
                  </w:r>
                  <w:r>
                    <w:fldChar w:fldCharType="begin"/>
                  </w:r>
                  <w:r>
                    <w:instrText xml:space="preserve"> HYPERLINK "https://baike.so.com/doc/498632-527918.html" \t "_blank" </w:instrText>
                  </w:r>
                  <w:r>
                    <w:fldChar w:fldCharType="separate"/>
                  </w:r>
                  <w:r>
                    <w:rPr>
                      <w:szCs w:val="21"/>
                    </w:rPr>
                    <w:t>3-羟基-2-丁酮</w:t>
                  </w:r>
                  <w:r>
                    <w:rPr>
                      <w:szCs w:val="21"/>
                    </w:rPr>
                    <w:fldChar w:fldCharType="end"/>
                  </w:r>
                  <w:r>
                    <w:rPr>
                      <w:szCs w:val="21"/>
                    </w:rPr>
                    <w:t>，又名3-羟基丁酮、双乙酰或甲基乙酰甲醇，是一种重要的</w:t>
                  </w:r>
                  <w:r>
                    <w:fldChar w:fldCharType="begin"/>
                  </w:r>
                  <w:r>
                    <w:instrText xml:space="preserve"> HYPERLINK "https://baike.so.com/doc/5668474-5881138.html" \t "_blank" </w:instrText>
                  </w:r>
                  <w:r>
                    <w:fldChar w:fldCharType="separate"/>
                  </w:r>
                  <w:r>
                    <w:rPr>
                      <w:szCs w:val="21"/>
                    </w:rPr>
                    <w:t>食用香料</w:t>
                  </w:r>
                  <w:r>
                    <w:rPr>
                      <w:szCs w:val="21"/>
                    </w:rPr>
                    <w:fldChar w:fldCharType="end"/>
                  </w:r>
                  <w:r>
                    <w:rPr>
                      <w:szCs w:val="21"/>
                    </w:rPr>
                    <w:t>。1. 性状：二聚体为白色结晶性粉末，单体为无色或淡黄色液体，有令人愉快的奶油香味。</w:t>
                  </w:r>
                </w:p>
                <w:p>
                  <w:pPr>
                    <w:pStyle w:val="2"/>
                    <w:ind w:leftChars="-49" w:hanging="102" w:hangingChars="49"/>
                    <w:rPr>
                      <w:szCs w:val="21"/>
                    </w:rPr>
                  </w:pPr>
                  <w:r>
                    <w:rPr>
                      <w:szCs w:val="21"/>
                    </w:rPr>
                    <w:t>2. 密度（g/ cm3,25/4</w:t>
                  </w:r>
                  <w:r>
                    <w:rPr>
                      <w:rFonts w:hint="eastAsia"/>
                      <w:szCs w:val="21"/>
                    </w:rPr>
                    <w:t>℃</w:t>
                  </w:r>
                  <w:r>
                    <w:rPr>
                      <w:szCs w:val="21"/>
                    </w:rPr>
                    <w:t>）：1.013</w:t>
                  </w:r>
                </w:p>
                <w:p>
                  <w:pPr>
                    <w:pStyle w:val="2"/>
                    <w:ind w:leftChars="-49" w:hanging="102" w:hangingChars="49"/>
                    <w:rPr>
                      <w:szCs w:val="21"/>
                    </w:rPr>
                  </w:pPr>
                  <w:r>
                    <w:rPr>
                      <w:szCs w:val="21"/>
                    </w:rPr>
                    <w:t>3. 相对密度（20</w:t>
                  </w:r>
                  <w:r>
                    <w:rPr>
                      <w:rFonts w:hint="eastAsia"/>
                      <w:szCs w:val="21"/>
                    </w:rPr>
                    <w:t>℃</w:t>
                  </w:r>
                  <w:r>
                    <w:rPr>
                      <w:szCs w:val="21"/>
                    </w:rPr>
                    <w:t>，4</w:t>
                  </w:r>
                  <w:r>
                    <w:rPr>
                      <w:rFonts w:hint="eastAsia"/>
                      <w:szCs w:val="21"/>
                    </w:rPr>
                    <w:t>℃</w:t>
                  </w:r>
                  <w:r>
                    <w:rPr>
                      <w:szCs w:val="21"/>
                    </w:rPr>
                    <w:t>）：1.0101</w:t>
                  </w:r>
                </w:p>
                <w:p>
                  <w:pPr>
                    <w:pStyle w:val="2"/>
                    <w:ind w:leftChars="-49" w:hanging="102" w:hangingChars="49"/>
                    <w:rPr>
                      <w:szCs w:val="21"/>
                    </w:rPr>
                  </w:pPr>
                  <w:r>
                    <w:rPr>
                      <w:szCs w:val="21"/>
                    </w:rPr>
                    <w:t>4. 熔点（ºC）：15</w:t>
                  </w:r>
                </w:p>
                <w:p>
                  <w:pPr>
                    <w:pStyle w:val="2"/>
                    <w:ind w:leftChars="-49" w:hanging="102" w:hangingChars="49"/>
                    <w:rPr>
                      <w:szCs w:val="21"/>
                    </w:rPr>
                  </w:pPr>
                  <w:r>
                    <w:rPr>
                      <w:szCs w:val="21"/>
                    </w:rPr>
                    <w:t>5. 沸点（ºC,常压）：148</w:t>
                  </w:r>
                </w:p>
                <w:p>
                  <w:pPr>
                    <w:pStyle w:val="2"/>
                    <w:ind w:leftChars="-49" w:hanging="102" w:hangingChars="49"/>
                    <w:rPr>
                      <w:szCs w:val="21"/>
                    </w:rPr>
                  </w:pPr>
                  <w:r>
                    <w:rPr>
                      <w:szCs w:val="21"/>
                    </w:rPr>
                    <w:t>6. 常温</w:t>
                  </w:r>
                  <w:r>
                    <w:fldChar w:fldCharType="begin"/>
                  </w:r>
                  <w:r>
                    <w:instrText xml:space="preserve"> HYPERLINK "https://baike.so.com/doc/4729804-4944678.html" \t "_blank" </w:instrText>
                  </w:r>
                  <w:r>
                    <w:fldChar w:fldCharType="separate"/>
                  </w:r>
                  <w:r>
                    <w:rPr>
                      <w:szCs w:val="21"/>
                    </w:rPr>
                    <w:t>折射率</w:t>
                  </w:r>
                  <w:r>
                    <w:rPr>
                      <w:szCs w:val="21"/>
                    </w:rPr>
                    <w:fldChar w:fldCharType="end"/>
                  </w:r>
                  <w:r>
                    <w:rPr>
                      <w:szCs w:val="21"/>
                    </w:rPr>
                    <w:t>（n20）：1.4141</w:t>
                  </w:r>
                </w:p>
                <w:p>
                  <w:pPr>
                    <w:pStyle w:val="2"/>
                    <w:ind w:leftChars="-49" w:hanging="102" w:hangingChars="49"/>
                    <w:rPr>
                      <w:szCs w:val="21"/>
                    </w:rPr>
                  </w:pPr>
                  <w:r>
                    <w:rPr>
                      <w:szCs w:val="21"/>
                    </w:rPr>
                    <w:t>7. 折射率(n20D)：1.417</w:t>
                  </w:r>
                </w:p>
                <w:p>
                  <w:pPr>
                    <w:pStyle w:val="2"/>
                    <w:ind w:leftChars="-49" w:hanging="102" w:hangingChars="49"/>
                    <w:rPr>
                      <w:szCs w:val="21"/>
                    </w:rPr>
                  </w:pPr>
                  <w:r>
                    <w:rPr>
                      <w:szCs w:val="21"/>
                    </w:rPr>
                    <w:t>8. 闪点（ºC）：50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丙位壬内酯</w:t>
                  </w:r>
                </w:p>
              </w:tc>
              <w:tc>
                <w:tcPr>
                  <w:tcW w:w="4267" w:type="pct"/>
                  <w:shd w:val="clear" w:color="auto" w:fill="auto"/>
                </w:tcPr>
                <w:p>
                  <w:pPr>
                    <w:pStyle w:val="2"/>
                    <w:ind w:leftChars="-49" w:hanging="102" w:hangingChars="49"/>
                    <w:rPr>
                      <w:szCs w:val="21"/>
                    </w:rPr>
                  </w:pPr>
                  <w:r>
                    <w:rPr>
                      <w:szCs w:val="21"/>
                    </w:rPr>
                    <w:t>丙位壬内酯是一种有机物，化学式为C9H16O2，是一种淡黄色或无色油状液体。香气:具有椰子型香气，略有茴香音韵，稀释后有杏、李子香气。</w:t>
                  </w:r>
                </w:p>
                <w:p>
                  <w:pPr>
                    <w:pStyle w:val="2"/>
                    <w:ind w:leftChars="-49" w:hanging="102" w:hangingChars="49"/>
                    <w:rPr>
                      <w:szCs w:val="21"/>
                    </w:rPr>
                  </w:pPr>
                  <w:r>
                    <w:fldChar w:fldCharType="begin"/>
                  </w:r>
                  <w:r>
                    <w:instrText xml:space="preserve"> HYPERLINK "https://baike.so.com/doc/5333904-5569341.html" \t "_blank" </w:instrText>
                  </w:r>
                  <w:r>
                    <w:fldChar w:fldCharType="separate"/>
                  </w:r>
                  <w:r>
                    <w:rPr>
                      <w:szCs w:val="21"/>
                    </w:rPr>
                    <w:t>酸值</w:t>
                  </w:r>
                  <w:r>
                    <w:rPr>
                      <w:szCs w:val="21"/>
                    </w:rPr>
                    <w:fldChar w:fldCharType="end"/>
                  </w:r>
                  <w:r>
                    <w:rPr>
                      <w:szCs w:val="21"/>
                    </w:rPr>
                    <w:t>:≤2.0</w:t>
                  </w:r>
                </w:p>
                <w:p>
                  <w:pPr>
                    <w:pStyle w:val="2"/>
                    <w:ind w:leftChars="-49" w:hanging="102" w:hangingChars="49"/>
                    <w:rPr>
                      <w:szCs w:val="21"/>
                    </w:rPr>
                  </w:pPr>
                  <w:r>
                    <w:rPr>
                      <w:szCs w:val="21"/>
                    </w:rPr>
                    <w:t>含量(GC):≥98%</w:t>
                  </w:r>
                </w:p>
                <w:p>
                  <w:pPr>
                    <w:pStyle w:val="2"/>
                    <w:ind w:leftChars="-49" w:hanging="102" w:hangingChars="49"/>
                    <w:rPr>
                      <w:szCs w:val="21"/>
                    </w:rPr>
                  </w:pPr>
                  <w:r>
                    <w:fldChar w:fldCharType="begin"/>
                  </w:r>
                  <w:r>
                    <w:instrText xml:space="preserve"> HYPERLINK "https://baike.so.com/doc/6175804-6389045.html" \t "_blank" </w:instrText>
                  </w:r>
                  <w:r>
                    <w:fldChar w:fldCharType="separate"/>
                  </w:r>
                  <w:r>
                    <w:rPr>
                      <w:szCs w:val="21"/>
                    </w:rPr>
                    <w:t>折光率</w:t>
                  </w:r>
                  <w:r>
                    <w:rPr>
                      <w:szCs w:val="21"/>
                    </w:rPr>
                    <w:fldChar w:fldCharType="end"/>
                  </w:r>
                  <w:r>
                    <w:rPr>
                      <w:szCs w:val="21"/>
                    </w:rPr>
                    <w:t>(20</w:t>
                  </w:r>
                  <w:r>
                    <w:rPr>
                      <w:rFonts w:hint="eastAsia"/>
                      <w:szCs w:val="21"/>
                    </w:rPr>
                    <w:t>℃</w:t>
                  </w:r>
                  <w:r>
                    <w:rPr>
                      <w:szCs w:val="21"/>
                    </w:rPr>
                    <w:t>):1.4460-1.4500</w:t>
                  </w:r>
                </w:p>
                <w:p>
                  <w:pPr>
                    <w:pStyle w:val="2"/>
                    <w:ind w:leftChars="-49" w:hanging="102" w:hangingChars="49"/>
                    <w:rPr>
                      <w:szCs w:val="21"/>
                    </w:rPr>
                  </w:pPr>
                  <w:r>
                    <w:rPr>
                      <w:szCs w:val="21"/>
                    </w:rPr>
                    <w:t>沸点(</w:t>
                  </w:r>
                  <w:r>
                    <w:rPr>
                      <w:rFonts w:hint="eastAsia"/>
                      <w:szCs w:val="21"/>
                    </w:rPr>
                    <w:t>℃</w:t>
                  </w:r>
                  <w:r>
                    <w:rPr>
                      <w:szCs w:val="21"/>
                    </w:rPr>
                    <w:t>):121-122 °C6 mm Hg(lit.)</w:t>
                  </w:r>
                </w:p>
                <w:p>
                  <w:pPr>
                    <w:pStyle w:val="2"/>
                    <w:ind w:leftChars="-49" w:hanging="102" w:hangingChars="49"/>
                    <w:rPr>
                      <w:szCs w:val="21"/>
                    </w:rPr>
                  </w:pPr>
                  <w:r>
                    <w:rPr>
                      <w:szCs w:val="21"/>
                    </w:rPr>
                    <w:t>相对密度(25</w:t>
                  </w:r>
                  <w:r>
                    <w:rPr>
                      <w:rFonts w:hint="eastAsia"/>
                      <w:szCs w:val="21"/>
                    </w:rPr>
                    <w:t>℃</w:t>
                  </w:r>
                  <w:r>
                    <w:rPr>
                      <w:szCs w:val="21"/>
                    </w:rPr>
                    <w:t>/25</w:t>
                  </w:r>
                  <w:r>
                    <w:rPr>
                      <w:rFonts w:hint="eastAsia"/>
                      <w:szCs w:val="21"/>
                    </w:rPr>
                    <w:t>℃</w:t>
                  </w:r>
                  <w:r>
                    <w:rPr>
                      <w:szCs w:val="21"/>
                    </w:rPr>
                    <w:t>):0.958-0.966</w:t>
                  </w:r>
                </w:p>
                <w:p>
                  <w:pPr>
                    <w:pStyle w:val="2"/>
                    <w:ind w:leftChars="-49" w:hanging="102" w:hangingChars="49"/>
                    <w:rPr>
                      <w:szCs w:val="21"/>
                    </w:rPr>
                  </w:pPr>
                  <w:r>
                    <w:fldChar w:fldCharType="begin"/>
                  </w:r>
                  <w:r>
                    <w:instrText xml:space="preserve"> HYPERLINK "https://baike.so.com/doc/720555-762868.html" \t "_blank" </w:instrText>
                  </w:r>
                  <w:r>
                    <w:fldChar w:fldCharType="separate"/>
                  </w:r>
                  <w:r>
                    <w:rPr>
                      <w:szCs w:val="21"/>
                    </w:rPr>
                    <w:t>闪点</w:t>
                  </w:r>
                  <w:r>
                    <w:rPr>
                      <w:szCs w:val="21"/>
                    </w:rPr>
                    <w:fldChar w:fldCharType="end"/>
                  </w:r>
                  <w:r>
                    <w:rPr>
                      <w:szCs w:val="21"/>
                    </w:rPr>
                    <w:t>(</w:t>
                  </w:r>
                  <w:r>
                    <w:rPr>
                      <w:rFonts w:hint="eastAsia"/>
                      <w:szCs w:val="21"/>
                    </w:rPr>
                    <w:t>℃</w:t>
                  </w:r>
                  <w:r>
                    <w:rPr>
                      <w:szCs w:val="21"/>
                    </w:rPr>
                    <w:t>):&gt;230 °F</w:t>
                  </w:r>
                </w:p>
                <w:p>
                  <w:pPr>
                    <w:pStyle w:val="2"/>
                    <w:ind w:leftChars="-49" w:hanging="102" w:hangingChars="49"/>
                    <w:rPr>
                      <w:szCs w:val="21"/>
                    </w:rPr>
                  </w:pPr>
                  <w:r>
                    <w:fldChar w:fldCharType="begin"/>
                  </w:r>
                  <w:r>
                    <w:instrText xml:space="preserve"> HYPERLINK "https://baike.so.com/doc/5336050-5571489.html" \t "_blank" </w:instrText>
                  </w:r>
                  <w:r>
                    <w:fldChar w:fldCharType="separate"/>
                  </w:r>
                  <w:r>
                    <w:rPr>
                      <w:szCs w:val="21"/>
                    </w:rPr>
                    <w:t>溶解性</w:t>
                  </w:r>
                  <w:r>
                    <w:rPr>
                      <w:szCs w:val="21"/>
                    </w:rPr>
                    <w:fldChar w:fldCharType="end"/>
                  </w:r>
                  <w:r>
                    <w:rPr>
                      <w:szCs w:val="21"/>
                    </w:rPr>
                    <w:t>:易溶于乙醇、</w:t>
                  </w:r>
                  <w:r>
                    <w:fldChar w:fldCharType="begin"/>
                  </w:r>
                  <w:r>
                    <w:instrText xml:space="preserve"> HYPERLINK "https://baike.so.com/doc/1041070-1101158.html" \t "_blank" </w:instrText>
                  </w:r>
                  <w:r>
                    <w:fldChar w:fldCharType="separate"/>
                  </w:r>
                  <w:r>
                    <w:rPr>
                      <w:szCs w:val="21"/>
                    </w:rPr>
                    <w:t>乙醚</w:t>
                  </w:r>
                  <w:r>
                    <w:rPr>
                      <w:szCs w:val="21"/>
                    </w:rPr>
                    <w:fldChar w:fldCharType="end"/>
                  </w:r>
                  <w:r>
                    <w:rPr>
                      <w:szCs w:val="21"/>
                    </w:rPr>
                    <w:t>及油类，不溶于水。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洗洁精</w:t>
                  </w:r>
                </w:p>
              </w:tc>
              <w:tc>
                <w:tcPr>
                  <w:tcW w:w="4267" w:type="pct"/>
                  <w:shd w:val="clear" w:color="auto" w:fill="auto"/>
                </w:tcPr>
                <w:p>
                  <w:pPr>
                    <w:pStyle w:val="2"/>
                    <w:ind w:leftChars="-49" w:hanging="102" w:hangingChars="49"/>
                    <w:rPr>
                      <w:szCs w:val="21"/>
                    </w:rPr>
                  </w:pPr>
                  <w:r>
                    <w:rPr>
                      <w:rFonts w:hint="eastAsia"/>
                      <w:szCs w:val="21"/>
                    </w:rPr>
                    <w:t>家庭用的食品级洗洁精，日常生活清洁用品。洁净温和、泡沫柔细、快速去污、除菌，有效彻底清洁、不残留，散发淡雅果香味，洗后洁白光亮如新。时常使用以确保居家卫生，避免病菌传染。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3" w:type="pct"/>
                  <w:shd w:val="clear" w:color="auto" w:fill="auto"/>
                  <w:vAlign w:val="center"/>
                </w:tcPr>
                <w:p>
                  <w:pPr>
                    <w:pStyle w:val="2"/>
                    <w:ind w:firstLine="0" w:firstLineChars="0"/>
                    <w:jc w:val="center"/>
                    <w:rPr>
                      <w:szCs w:val="21"/>
                    </w:rPr>
                  </w:pPr>
                  <w:r>
                    <w:rPr>
                      <w:rFonts w:hint="eastAsia"/>
                      <w:szCs w:val="21"/>
                    </w:rPr>
                    <w:t>消毒剂</w:t>
                  </w:r>
                </w:p>
              </w:tc>
              <w:tc>
                <w:tcPr>
                  <w:tcW w:w="4267" w:type="pct"/>
                  <w:shd w:val="clear" w:color="auto" w:fill="auto"/>
                </w:tcPr>
                <w:p>
                  <w:pPr>
                    <w:pStyle w:val="2"/>
                    <w:ind w:leftChars="-49" w:hanging="102" w:hangingChars="49"/>
                    <w:rPr>
                      <w:szCs w:val="21"/>
                    </w:rPr>
                  </w:pPr>
                  <w:r>
                    <w:rPr>
                      <w:rFonts w:hint="eastAsia"/>
                      <w:szCs w:val="21"/>
                    </w:rPr>
                    <w:t>75%酒精消毒</w:t>
                  </w:r>
                </w:p>
              </w:tc>
            </w:tr>
          </w:tbl>
          <w:p>
            <w:pPr>
              <w:spacing w:line="360" w:lineRule="auto"/>
              <w:ind w:firstLine="482" w:firstLineChars="200"/>
              <w:jc w:val="center"/>
              <w:rPr>
                <w:b/>
                <w:sz w:val="24"/>
              </w:rPr>
            </w:pPr>
          </w:p>
          <w:p>
            <w:pPr>
              <w:spacing w:line="360" w:lineRule="auto"/>
              <w:ind w:firstLine="482" w:firstLineChars="200"/>
              <w:jc w:val="center"/>
              <w:rPr>
                <w:b/>
                <w:sz w:val="24"/>
              </w:rPr>
            </w:pPr>
          </w:p>
          <w:p>
            <w:pPr>
              <w:spacing w:line="360" w:lineRule="auto"/>
              <w:ind w:firstLine="482" w:firstLineChars="200"/>
              <w:jc w:val="center"/>
              <w:rPr>
                <w:b/>
                <w:sz w:val="24"/>
              </w:rPr>
            </w:pPr>
          </w:p>
          <w:p>
            <w:pPr>
              <w:spacing w:line="360" w:lineRule="auto"/>
              <w:ind w:firstLine="482" w:firstLineChars="200"/>
              <w:jc w:val="center"/>
              <w:rPr>
                <w:b/>
                <w:sz w:val="24"/>
              </w:rPr>
            </w:pPr>
          </w:p>
          <w:p>
            <w:pPr>
              <w:adjustRightInd w:val="0"/>
              <w:snapToGrid w:val="0"/>
              <w:spacing w:line="400" w:lineRule="exact"/>
              <w:jc w:val="center"/>
              <w:rPr>
                <w:b/>
                <w:sz w:val="24"/>
              </w:rPr>
            </w:pPr>
            <w:r>
              <w:rPr>
                <w:rFonts w:hint="eastAsia"/>
                <w:b/>
                <w:sz w:val="24"/>
              </w:rPr>
              <w:t>表2</w:t>
            </w:r>
            <w:r>
              <w:rPr>
                <w:b/>
                <w:sz w:val="24"/>
              </w:rPr>
              <w:t xml:space="preserve">-9 </w:t>
            </w:r>
            <w:r>
              <w:rPr>
                <w:rFonts w:hint="eastAsia"/>
                <w:b/>
                <w:sz w:val="24"/>
              </w:rPr>
              <w:t xml:space="preserve">一期工程奶制品物料平衡 </w:t>
            </w:r>
            <w:r>
              <w:rPr>
                <w:b/>
                <w:sz w:val="24"/>
              </w:rPr>
              <w:t xml:space="preserve"> </w:t>
            </w:r>
            <w:r>
              <w:rPr>
                <w:rFonts w:hint="eastAsia"/>
                <w:b/>
                <w:sz w:val="24"/>
              </w:rPr>
              <w:t>单位：吨/年</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1843"/>
              <w:gridCol w:w="1701"/>
              <w:gridCol w:w="1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257" w:type="dxa"/>
                  <w:gridSpan w:val="2"/>
                  <w:shd w:val="clear" w:color="auto" w:fill="auto"/>
                  <w:vAlign w:val="center"/>
                </w:tcPr>
                <w:p>
                  <w:pPr>
                    <w:widowControl/>
                    <w:jc w:val="center"/>
                    <w:rPr>
                      <w:rFonts w:cs="宋体"/>
                      <w:kern w:val="0"/>
                      <w:szCs w:val="21"/>
                    </w:rPr>
                  </w:pPr>
                  <w:r>
                    <w:rPr>
                      <w:rFonts w:hint="eastAsia" w:cs="宋体"/>
                      <w:kern w:val="0"/>
                      <w:szCs w:val="21"/>
                    </w:rPr>
                    <w:t>投入量</w:t>
                  </w:r>
                </w:p>
              </w:tc>
              <w:tc>
                <w:tcPr>
                  <w:tcW w:w="3700" w:type="dxa"/>
                  <w:gridSpan w:val="2"/>
                  <w:shd w:val="clear" w:color="auto" w:fill="auto"/>
                  <w:noWrap/>
                  <w:vAlign w:val="center"/>
                </w:tcPr>
                <w:p>
                  <w:pPr>
                    <w:widowControl/>
                    <w:jc w:val="center"/>
                    <w:rPr>
                      <w:rFonts w:cs="宋体"/>
                      <w:kern w:val="0"/>
                      <w:szCs w:val="21"/>
                    </w:rPr>
                  </w:pPr>
                  <w:r>
                    <w:rPr>
                      <w:rFonts w:hint="eastAsia" w:cs="宋体"/>
                      <w:kern w:val="0"/>
                      <w:szCs w:val="21"/>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14" w:type="dxa"/>
                  <w:shd w:val="clear" w:color="auto" w:fill="auto"/>
                  <w:vAlign w:val="center"/>
                </w:tcPr>
                <w:p>
                  <w:pPr>
                    <w:widowControl/>
                    <w:jc w:val="center"/>
                    <w:rPr>
                      <w:rFonts w:cs="宋体"/>
                      <w:kern w:val="0"/>
                      <w:szCs w:val="21"/>
                    </w:rPr>
                  </w:pPr>
                  <w:r>
                    <w:rPr>
                      <w:rFonts w:hint="eastAsia" w:cs="宋体"/>
                      <w:kern w:val="0"/>
                      <w:szCs w:val="21"/>
                    </w:rPr>
                    <w:t>材料名称</w:t>
                  </w:r>
                </w:p>
              </w:tc>
              <w:tc>
                <w:tcPr>
                  <w:tcW w:w="1843" w:type="dxa"/>
                  <w:shd w:val="clear" w:color="auto" w:fill="auto"/>
                  <w:noWrap/>
                  <w:vAlign w:val="center"/>
                </w:tcPr>
                <w:p>
                  <w:pPr>
                    <w:widowControl/>
                    <w:jc w:val="center"/>
                    <w:rPr>
                      <w:rFonts w:cs="宋体"/>
                      <w:kern w:val="0"/>
                      <w:szCs w:val="21"/>
                    </w:rPr>
                  </w:pPr>
                  <w:r>
                    <w:rPr>
                      <w:rFonts w:hint="eastAsia" w:cs="宋体"/>
                      <w:kern w:val="0"/>
                      <w:szCs w:val="21"/>
                    </w:rPr>
                    <w:t>数量</w:t>
                  </w:r>
                </w:p>
              </w:tc>
              <w:tc>
                <w:tcPr>
                  <w:tcW w:w="1701" w:type="dxa"/>
                  <w:shd w:val="clear" w:color="auto" w:fill="auto"/>
                  <w:noWrap/>
                  <w:vAlign w:val="center"/>
                </w:tcPr>
                <w:p>
                  <w:pPr>
                    <w:widowControl/>
                    <w:jc w:val="center"/>
                    <w:rPr>
                      <w:rFonts w:cs="宋体"/>
                      <w:kern w:val="0"/>
                      <w:szCs w:val="21"/>
                    </w:rPr>
                  </w:pPr>
                  <w:r>
                    <w:rPr>
                      <w:rFonts w:hint="eastAsia" w:cs="宋体"/>
                      <w:kern w:val="0"/>
                      <w:szCs w:val="21"/>
                    </w:rPr>
                    <w:t>名称</w:t>
                  </w:r>
                </w:p>
              </w:tc>
              <w:tc>
                <w:tcPr>
                  <w:tcW w:w="1999" w:type="dxa"/>
                  <w:shd w:val="clear" w:color="auto" w:fill="auto"/>
                  <w:noWrap/>
                  <w:vAlign w:val="center"/>
                </w:tcPr>
                <w:p>
                  <w:pPr>
                    <w:widowControl/>
                    <w:jc w:val="center"/>
                    <w:rPr>
                      <w:rFonts w:cs="宋体"/>
                      <w:kern w:val="0"/>
                      <w:szCs w:val="21"/>
                    </w:rPr>
                  </w:pPr>
                  <w:r>
                    <w:rPr>
                      <w:rFonts w:hint="eastAsia" w:cs="宋体"/>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14" w:type="dxa"/>
                  <w:shd w:val="clear" w:color="auto" w:fill="auto"/>
                  <w:vAlign w:val="center"/>
                </w:tcPr>
                <w:p>
                  <w:pPr>
                    <w:widowControl/>
                    <w:jc w:val="center"/>
                    <w:rPr>
                      <w:rFonts w:cs="宋体"/>
                      <w:kern w:val="0"/>
                      <w:szCs w:val="21"/>
                    </w:rPr>
                  </w:pPr>
                  <w:r>
                    <w:rPr>
                      <w:rFonts w:hint="eastAsia" w:cs="宋体"/>
                      <w:kern w:val="0"/>
                      <w:szCs w:val="21"/>
                    </w:rPr>
                    <w:t>黄油（奶油）、牛奶</w:t>
                  </w:r>
                </w:p>
              </w:tc>
              <w:tc>
                <w:tcPr>
                  <w:tcW w:w="1843" w:type="dxa"/>
                  <w:shd w:val="clear" w:color="auto" w:fill="auto"/>
                  <w:noWrap/>
                  <w:vAlign w:val="center"/>
                </w:tcPr>
                <w:p>
                  <w:pPr>
                    <w:widowControl/>
                    <w:jc w:val="center"/>
                    <w:rPr>
                      <w:rFonts w:cs="宋体"/>
                      <w:kern w:val="0"/>
                      <w:szCs w:val="21"/>
                    </w:rPr>
                  </w:pPr>
                  <w:r>
                    <w:rPr>
                      <w:rFonts w:hint="eastAsia" w:cs="宋体"/>
                      <w:kern w:val="0"/>
                      <w:szCs w:val="21"/>
                    </w:rPr>
                    <w:t>约200</w:t>
                  </w:r>
                </w:p>
              </w:tc>
              <w:tc>
                <w:tcPr>
                  <w:tcW w:w="1701" w:type="dxa"/>
                  <w:shd w:val="clear" w:color="auto" w:fill="auto"/>
                  <w:noWrap/>
                  <w:vAlign w:val="center"/>
                </w:tcPr>
                <w:p>
                  <w:pPr>
                    <w:widowControl/>
                    <w:jc w:val="center"/>
                    <w:rPr>
                      <w:rFonts w:cs="宋体"/>
                      <w:kern w:val="0"/>
                      <w:szCs w:val="21"/>
                    </w:rPr>
                  </w:pPr>
                  <w:r>
                    <w:rPr>
                      <w:rFonts w:hint="eastAsia" w:cs="宋体"/>
                      <w:kern w:val="0"/>
                      <w:szCs w:val="21"/>
                    </w:rPr>
                    <w:t>奶油制品产品</w:t>
                  </w:r>
                </w:p>
              </w:tc>
              <w:tc>
                <w:tcPr>
                  <w:tcW w:w="1999" w:type="dxa"/>
                  <w:shd w:val="clear" w:color="auto" w:fill="auto"/>
                  <w:noWrap/>
                  <w:vAlign w:val="center"/>
                </w:tcPr>
                <w:p>
                  <w:pPr>
                    <w:widowControl/>
                    <w:jc w:val="center"/>
                    <w:rPr>
                      <w:rFonts w:cs="宋体"/>
                      <w:kern w:val="0"/>
                      <w:szCs w:val="21"/>
                    </w:rPr>
                  </w:pPr>
                  <w:r>
                    <w:rPr>
                      <w:rFonts w:hint="eastAsia" w:cs="宋体"/>
                      <w:kern w:val="0"/>
                      <w:szCs w:val="21"/>
                    </w:rPr>
                    <w:t>2</w:t>
                  </w:r>
                  <w:r>
                    <w:rPr>
                      <w:rFonts w:cs="宋体"/>
                      <w:kern w:val="0"/>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14" w:type="dxa"/>
                  <w:shd w:val="clear" w:color="auto" w:fill="auto"/>
                  <w:vAlign w:val="center"/>
                </w:tcPr>
                <w:p>
                  <w:pPr>
                    <w:widowControl/>
                    <w:jc w:val="center"/>
                    <w:rPr>
                      <w:rFonts w:cs="宋体"/>
                      <w:kern w:val="0"/>
                      <w:szCs w:val="21"/>
                    </w:rPr>
                  </w:pPr>
                  <w:r>
                    <w:rPr>
                      <w:rFonts w:hint="eastAsia" w:cs="宋体"/>
                      <w:kern w:val="0"/>
                      <w:szCs w:val="21"/>
                    </w:rPr>
                    <w:t>加工助剂（酶制剂）</w:t>
                  </w:r>
                </w:p>
              </w:tc>
              <w:tc>
                <w:tcPr>
                  <w:tcW w:w="1843" w:type="dxa"/>
                  <w:shd w:val="clear" w:color="auto" w:fill="auto"/>
                  <w:noWrap/>
                  <w:vAlign w:val="center"/>
                </w:tcPr>
                <w:p>
                  <w:pPr>
                    <w:widowControl/>
                    <w:jc w:val="center"/>
                    <w:rPr>
                      <w:rFonts w:cs="宋体"/>
                      <w:kern w:val="0"/>
                      <w:szCs w:val="21"/>
                    </w:rPr>
                  </w:pPr>
                  <w:r>
                    <w:rPr>
                      <w:rFonts w:hint="eastAsia" w:cs="宋体"/>
                      <w:kern w:val="0"/>
                      <w:szCs w:val="21"/>
                    </w:rPr>
                    <w:t>约0.04</w:t>
                  </w:r>
                </w:p>
              </w:tc>
              <w:tc>
                <w:tcPr>
                  <w:tcW w:w="1701" w:type="dxa"/>
                  <w:shd w:val="clear" w:color="auto" w:fill="auto"/>
                  <w:noWrap/>
                  <w:vAlign w:val="center"/>
                </w:tcPr>
                <w:p>
                  <w:pPr>
                    <w:widowControl/>
                    <w:jc w:val="center"/>
                    <w:rPr>
                      <w:rFonts w:cs="宋体"/>
                      <w:kern w:val="0"/>
                      <w:szCs w:val="21"/>
                    </w:rPr>
                  </w:pPr>
                  <w:r>
                    <w:rPr>
                      <w:rFonts w:hint="eastAsia" w:cs="宋体"/>
                      <w:kern w:val="0"/>
                      <w:szCs w:val="21"/>
                    </w:rPr>
                    <w:t>过滤废物及损耗</w:t>
                  </w:r>
                </w:p>
              </w:tc>
              <w:tc>
                <w:tcPr>
                  <w:tcW w:w="1999" w:type="dxa"/>
                  <w:shd w:val="clear" w:color="auto" w:fill="auto"/>
                  <w:noWrap/>
                  <w:vAlign w:val="center"/>
                </w:tcPr>
                <w:p>
                  <w:pPr>
                    <w:widowControl/>
                    <w:jc w:val="center"/>
                    <w:rPr>
                      <w:rFonts w:cs="宋体"/>
                      <w:kern w:val="0"/>
                      <w:szCs w:val="21"/>
                    </w:rPr>
                  </w:pPr>
                  <w:r>
                    <w:rPr>
                      <w:rFonts w:cs="宋体"/>
                      <w:kern w:val="0"/>
                      <w:szCs w:val="21"/>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414" w:type="dxa"/>
                  <w:shd w:val="clear" w:color="auto" w:fill="auto"/>
                  <w:vAlign w:val="center"/>
                </w:tcPr>
                <w:p>
                  <w:pPr>
                    <w:widowControl/>
                    <w:jc w:val="center"/>
                    <w:rPr>
                      <w:rFonts w:cs="宋体"/>
                      <w:kern w:val="0"/>
                      <w:szCs w:val="21"/>
                    </w:rPr>
                  </w:pPr>
                  <w:r>
                    <w:rPr>
                      <w:rFonts w:hint="eastAsia" w:cs="宋体"/>
                      <w:kern w:val="0"/>
                      <w:szCs w:val="21"/>
                    </w:rPr>
                    <w:t>饮用纯净水</w:t>
                  </w:r>
                </w:p>
              </w:tc>
              <w:tc>
                <w:tcPr>
                  <w:tcW w:w="1843" w:type="dxa"/>
                  <w:shd w:val="clear" w:color="auto" w:fill="auto"/>
                  <w:noWrap/>
                  <w:vAlign w:val="center"/>
                </w:tcPr>
                <w:p>
                  <w:pPr>
                    <w:widowControl/>
                    <w:jc w:val="center"/>
                    <w:rPr>
                      <w:rFonts w:cs="宋体"/>
                      <w:kern w:val="0"/>
                      <w:szCs w:val="21"/>
                    </w:rPr>
                  </w:pPr>
                  <w:r>
                    <w:rPr>
                      <w:rFonts w:hint="eastAsia" w:cs="宋体"/>
                      <w:kern w:val="0"/>
                      <w:szCs w:val="21"/>
                    </w:rPr>
                    <w:t>约2</w:t>
                  </w:r>
                </w:p>
              </w:tc>
              <w:tc>
                <w:tcPr>
                  <w:tcW w:w="1701" w:type="dxa"/>
                  <w:shd w:val="clear" w:color="auto" w:fill="auto"/>
                  <w:noWrap/>
                  <w:vAlign w:val="center"/>
                </w:tcPr>
                <w:p>
                  <w:pPr>
                    <w:widowControl/>
                    <w:jc w:val="center"/>
                    <w:rPr>
                      <w:rFonts w:cs="宋体"/>
                      <w:kern w:val="0"/>
                      <w:szCs w:val="21"/>
                    </w:rPr>
                  </w:pPr>
                </w:p>
              </w:tc>
              <w:tc>
                <w:tcPr>
                  <w:tcW w:w="1999" w:type="dxa"/>
                  <w:shd w:val="clear" w:color="auto" w:fill="auto"/>
                  <w:noWrap/>
                  <w:vAlign w:val="center"/>
                </w:tcPr>
                <w:p>
                  <w:pPr>
                    <w:widowControl/>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414" w:type="dxa"/>
                  <w:shd w:val="clear" w:color="auto" w:fill="auto"/>
                  <w:vAlign w:val="center"/>
                </w:tcPr>
                <w:p>
                  <w:pPr>
                    <w:widowControl/>
                    <w:jc w:val="center"/>
                    <w:rPr>
                      <w:rFonts w:cs="宋体"/>
                      <w:kern w:val="0"/>
                      <w:szCs w:val="21"/>
                    </w:rPr>
                  </w:pPr>
                  <w:r>
                    <w:rPr>
                      <w:rFonts w:hint="eastAsia" w:cs="宋体"/>
                      <w:kern w:val="0"/>
                      <w:szCs w:val="21"/>
                    </w:rPr>
                    <w:t>天然香料（大蒜、洋葱、生姜、香草、香荚兰等）</w:t>
                  </w:r>
                </w:p>
              </w:tc>
              <w:tc>
                <w:tcPr>
                  <w:tcW w:w="1843" w:type="dxa"/>
                  <w:shd w:val="clear" w:color="auto" w:fill="auto"/>
                  <w:noWrap/>
                  <w:vAlign w:val="center"/>
                </w:tcPr>
                <w:p>
                  <w:pPr>
                    <w:widowControl/>
                    <w:jc w:val="center"/>
                    <w:rPr>
                      <w:rFonts w:cs="宋体"/>
                      <w:kern w:val="0"/>
                      <w:szCs w:val="21"/>
                    </w:rPr>
                  </w:pPr>
                  <w:r>
                    <w:rPr>
                      <w:rFonts w:hint="eastAsia" w:cs="宋体"/>
                      <w:kern w:val="0"/>
                      <w:szCs w:val="21"/>
                    </w:rPr>
                    <w:t>约10</w:t>
                  </w:r>
                </w:p>
              </w:tc>
              <w:tc>
                <w:tcPr>
                  <w:tcW w:w="1701" w:type="dxa"/>
                  <w:shd w:val="clear" w:color="auto" w:fill="auto"/>
                  <w:noWrap/>
                  <w:vAlign w:val="center"/>
                </w:tcPr>
                <w:p>
                  <w:pPr>
                    <w:widowControl/>
                    <w:jc w:val="center"/>
                    <w:rPr>
                      <w:rFonts w:cs="宋体"/>
                      <w:kern w:val="0"/>
                      <w:szCs w:val="21"/>
                    </w:rPr>
                  </w:pPr>
                </w:p>
              </w:tc>
              <w:tc>
                <w:tcPr>
                  <w:tcW w:w="1999" w:type="dxa"/>
                  <w:shd w:val="clear" w:color="auto" w:fill="auto"/>
                  <w:noWrap/>
                  <w:vAlign w:val="center"/>
                </w:tcPr>
                <w:p>
                  <w:pPr>
                    <w:widowControl/>
                    <w:jc w:val="center"/>
                    <w:rPr>
                      <w:kern w:val="0"/>
                      <w:szCs w:val="21"/>
                    </w:rPr>
                  </w:pPr>
                </w:p>
              </w:tc>
            </w:tr>
          </w:tbl>
          <w:p>
            <w:pPr>
              <w:adjustRightInd w:val="0"/>
              <w:snapToGrid w:val="0"/>
              <w:spacing w:line="400" w:lineRule="exact"/>
              <w:jc w:val="center"/>
              <w:rPr>
                <w:b/>
                <w:sz w:val="24"/>
              </w:rPr>
            </w:pPr>
            <w:r>
              <w:rPr>
                <w:rFonts w:hint="eastAsia"/>
                <w:b/>
                <w:sz w:val="24"/>
              </w:rPr>
              <w:t>表2</w:t>
            </w:r>
            <w:r>
              <w:rPr>
                <w:b/>
                <w:sz w:val="24"/>
              </w:rPr>
              <w:t xml:space="preserve">-10 </w:t>
            </w:r>
            <w:r>
              <w:rPr>
                <w:rFonts w:hint="eastAsia"/>
                <w:b/>
                <w:sz w:val="24"/>
              </w:rPr>
              <w:t xml:space="preserve">一期工程复合调味品物料平衡 </w:t>
            </w:r>
            <w:r>
              <w:rPr>
                <w:b/>
                <w:sz w:val="24"/>
              </w:rPr>
              <w:t xml:space="preserve"> </w:t>
            </w:r>
            <w:r>
              <w:rPr>
                <w:rFonts w:hint="eastAsia"/>
                <w:b/>
                <w:sz w:val="24"/>
              </w:rPr>
              <w:t>单位：吨/年</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07"/>
              <w:gridCol w:w="1557"/>
              <w:gridCol w:w="2181"/>
              <w:gridCol w:w="1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01" w:type="pct"/>
                  <w:gridSpan w:val="2"/>
                  <w:shd w:val="clear" w:color="auto" w:fill="auto"/>
                  <w:vAlign w:val="center"/>
                </w:tcPr>
                <w:p>
                  <w:pPr>
                    <w:widowControl/>
                    <w:jc w:val="center"/>
                    <w:rPr>
                      <w:rFonts w:cs="宋体"/>
                      <w:kern w:val="0"/>
                      <w:szCs w:val="21"/>
                    </w:rPr>
                  </w:pPr>
                  <w:r>
                    <w:rPr>
                      <w:rFonts w:hint="eastAsia" w:cs="宋体"/>
                      <w:kern w:val="0"/>
                      <w:szCs w:val="21"/>
                    </w:rPr>
                    <w:t>投入量</w:t>
                  </w:r>
                </w:p>
              </w:tc>
              <w:tc>
                <w:tcPr>
                  <w:tcW w:w="2399" w:type="pct"/>
                  <w:gridSpan w:val="2"/>
                  <w:shd w:val="clear" w:color="auto" w:fill="auto"/>
                  <w:noWrap/>
                  <w:vAlign w:val="center"/>
                </w:tcPr>
                <w:p>
                  <w:pPr>
                    <w:widowControl/>
                    <w:jc w:val="center"/>
                    <w:rPr>
                      <w:rFonts w:cs="宋体"/>
                      <w:kern w:val="0"/>
                      <w:szCs w:val="21"/>
                    </w:rPr>
                  </w:pPr>
                  <w:r>
                    <w:rPr>
                      <w:rFonts w:hint="eastAsia" w:cs="宋体"/>
                      <w:kern w:val="0"/>
                      <w:szCs w:val="21"/>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73" w:type="pct"/>
                  <w:shd w:val="clear" w:color="auto" w:fill="auto"/>
                  <w:vAlign w:val="center"/>
                </w:tcPr>
                <w:p>
                  <w:pPr>
                    <w:widowControl/>
                    <w:jc w:val="center"/>
                    <w:rPr>
                      <w:rFonts w:cs="宋体"/>
                      <w:kern w:val="0"/>
                      <w:szCs w:val="21"/>
                    </w:rPr>
                  </w:pPr>
                  <w:r>
                    <w:rPr>
                      <w:rFonts w:hint="eastAsia" w:cs="宋体"/>
                      <w:kern w:val="0"/>
                      <w:szCs w:val="21"/>
                    </w:rPr>
                    <w:t>材料名称</w:t>
                  </w:r>
                </w:p>
              </w:tc>
              <w:tc>
                <w:tcPr>
                  <w:tcW w:w="928" w:type="pct"/>
                  <w:shd w:val="clear" w:color="auto" w:fill="auto"/>
                  <w:noWrap/>
                  <w:vAlign w:val="center"/>
                </w:tcPr>
                <w:p>
                  <w:pPr>
                    <w:widowControl/>
                    <w:jc w:val="center"/>
                    <w:rPr>
                      <w:rFonts w:cs="宋体"/>
                      <w:kern w:val="0"/>
                      <w:szCs w:val="21"/>
                    </w:rPr>
                  </w:pPr>
                  <w:r>
                    <w:rPr>
                      <w:rFonts w:hint="eastAsia" w:cs="宋体"/>
                      <w:kern w:val="0"/>
                      <w:szCs w:val="21"/>
                    </w:rPr>
                    <w:t>数量</w:t>
                  </w:r>
                </w:p>
              </w:tc>
              <w:tc>
                <w:tcPr>
                  <w:tcW w:w="1300" w:type="pct"/>
                  <w:shd w:val="clear" w:color="auto" w:fill="auto"/>
                  <w:noWrap/>
                  <w:vAlign w:val="center"/>
                </w:tcPr>
                <w:p>
                  <w:pPr>
                    <w:widowControl/>
                    <w:jc w:val="center"/>
                    <w:rPr>
                      <w:rFonts w:cs="宋体"/>
                      <w:kern w:val="0"/>
                      <w:szCs w:val="21"/>
                    </w:rPr>
                  </w:pPr>
                  <w:r>
                    <w:rPr>
                      <w:rFonts w:hint="eastAsia" w:cs="宋体"/>
                      <w:kern w:val="0"/>
                      <w:szCs w:val="21"/>
                    </w:rPr>
                    <w:t>名称</w:t>
                  </w:r>
                </w:p>
              </w:tc>
              <w:tc>
                <w:tcPr>
                  <w:tcW w:w="1099" w:type="pct"/>
                  <w:shd w:val="clear" w:color="auto" w:fill="auto"/>
                  <w:noWrap/>
                  <w:vAlign w:val="center"/>
                </w:tcPr>
                <w:p>
                  <w:pPr>
                    <w:widowControl/>
                    <w:jc w:val="center"/>
                    <w:rPr>
                      <w:rFonts w:cs="宋体"/>
                      <w:kern w:val="0"/>
                      <w:szCs w:val="21"/>
                    </w:rPr>
                  </w:pPr>
                  <w:r>
                    <w:rPr>
                      <w:rFonts w:hint="eastAsia" w:cs="宋体"/>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673" w:type="pct"/>
                  <w:shd w:val="clear" w:color="auto" w:fill="auto"/>
                  <w:vAlign w:val="center"/>
                </w:tcPr>
                <w:p>
                  <w:pPr>
                    <w:widowControl/>
                    <w:jc w:val="center"/>
                    <w:rPr>
                      <w:rFonts w:cs="宋体"/>
                      <w:kern w:val="0"/>
                      <w:szCs w:val="21"/>
                    </w:rPr>
                  </w:pPr>
                  <w:r>
                    <w:rPr>
                      <w:rFonts w:hint="eastAsia" w:cs="宋体"/>
                      <w:kern w:val="0"/>
                      <w:szCs w:val="21"/>
                    </w:rPr>
                    <w:t>可可粉、鸡蛋粉、鸡蛋液、蛋黄液、鲜鸡蛋</w:t>
                  </w:r>
                </w:p>
              </w:tc>
              <w:tc>
                <w:tcPr>
                  <w:tcW w:w="928" w:type="pct"/>
                  <w:shd w:val="clear" w:color="auto" w:fill="auto"/>
                  <w:noWrap/>
                  <w:vAlign w:val="center"/>
                </w:tcPr>
                <w:p>
                  <w:pPr>
                    <w:widowControl/>
                    <w:jc w:val="center"/>
                    <w:rPr>
                      <w:rFonts w:cs="宋体"/>
                      <w:kern w:val="0"/>
                      <w:szCs w:val="21"/>
                    </w:rPr>
                  </w:pPr>
                  <w:r>
                    <w:rPr>
                      <w:rFonts w:hint="eastAsia" w:cs="宋体"/>
                      <w:kern w:val="0"/>
                      <w:szCs w:val="21"/>
                    </w:rPr>
                    <w:t>约10</w:t>
                  </w:r>
                </w:p>
              </w:tc>
              <w:tc>
                <w:tcPr>
                  <w:tcW w:w="1300" w:type="pct"/>
                  <w:shd w:val="clear" w:color="auto" w:fill="auto"/>
                  <w:noWrap/>
                  <w:vAlign w:val="center"/>
                </w:tcPr>
                <w:p>
                  <w:pPr>
                    <w:widowControl/>
                    <w:jc w:val="center"/>
                    <w:rPr>
                      <w:rFonts w:cs="宋体"/>
                      <w:kern w:val="0"/>
                      <w:szCs w:val="21"/>
                    </w:rPr>
                  </w:pPr>
                  <w:r>
                    <w:rPr>
                      <w:rFonts w:hint="eastAsia" w:cs="宋体"/>
                      <w:kern w:val="0"/>
                      <w:szCs w:val="21"/>
                    </w:rPr>
                    <w:t>复合调味料产品</w:t>
                  </w:r>
                </w:p>
              </w:tc>
              <w:tc>
                <w:tcPr>
                  <w:tcW w:w="1099" w:type="pct"/>
                  <w:shd w:val="clear" w:color="auto" w:fill="auto"/>
                  <w:noWrap/>
                  <w:vAlign w:val="center"/>
                </w:tcPr>
                <w:p>
                  <w:pPr>
                    <w:widowControl/>
                    <w:jc w:val="center"/>
                    <w:rPr>
                      <w:rFonts w:cs="宋体"/>
                      <w:kern w:val="0"/>
                      <w:szCs w:val="21"/>
                    </w:rPr>
                  </w:pPr>
                  <w:r>
                    <w:rPr>
                      <w:rFonts w:hint="eastAsia" w:cs="宋体"/>
                      <w:kern w:val="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73" w:type="pct"/>
                  <w:shd w:val="clear" w:color="auto" w:fill="auto"/>
                  <w:vAlign w:val="center"/>
                </w:tcPr>
                <w:p>
                  <w:pPr>
                    <w:widowControl/>
                    <w:jc w:val="center"/>
                    <w:rPr>
                      <w:rFonts w:cs="宋体"/>
                      <w:kern w:val="0"/>
                      <w:szCs w:val="21"/>
                    </w:rPr>
                  </w:pPr>
                  <w:r>
                    <w:rPr>
                      <w:rFonts w:hint="eastAsia" w:cs="宋体"/>
                      <w:kern w:val="0"/>
                      <w:szCs w:val="21"/>
                    </w:rPr>
                    <w:t>白砂糖、糖浆</w:t>
                  </w:r>
                </w:p>
              </w:tc>
              <w:tc>
                <w:tcPr>
                  <w:tcW w:w="928" w:type="pct"/>
                  <w:shd w:val="clear" w:color="auto" w:fill="auto"/>
                  <w:noWrap/>
                  <w:vAlign w:val="center"/>
                </w:tcPr>
                <w:p>
                  <w:pPr>
                    <w:widowControl/>
                    <w:jc w:val="center"/>
                    <w:rPr>
                      <w:rFonts w:cs="宋体"/>
                      <w:kern w:val="0"/>
                      <w:szCs w:val="21"/>
                    </w:rPr>
                  </w:pPr>
                  <w:r>
                    <w:rPr>
                      <w:rFonts w:hint="eastAsia" w:cs="宋体"/>
                      <w:kern w:val="0"/>
                      <w:szCs w:val="21"/>
                    </w:rPr>
                    <w:t>约8</w:t>
                  </w:r>
                </w:p>
              </w:tc>
              <w:tc>
                <w:tcPr>
                  <w:tcW w:w="1300" w:type="pct"/>
                  <w:shd w:val="clear" w:color="auto" w:fill="auto"/>
                  <w:noWrap/>
                  <w:vAlign w:val="center"/>
                </w:tcPr>
                <w:p>
                  <w:pPr>
                    <w:widowControl/>
                    <w:jc w:val="center"/>
                    <w:rPr>
                      <w:rFonts w:cs="宋体"/>
                      <w:kern w:val="0"/>
                      <w:szCs w:val="21"/>
                    </w:rPr>
                  </w:pPr>
                  <w:r>
                    <w:rPr>
                      <w:rFonts w:hint="eastAsia" w:cs="宋体"/>
                      <w:kern w:val="0"/>
                      <w:szCs w:val="21"/>
                    </w:rPr>
                    <w:t>过滤物及鸡蛋壳</w:t>
                  </w:r>
                </w:p>
              </w:tc>
              <w:tc>
                <w:tcPr>
                  <w:tcW w:w="1099" w:type="pct"/>
                  <w:shd w:val="clear" w:color="auto" w:fill="auto"/>
                  <w:noWrap/>
                  <w:vAlign w:val="center"/>
                </w:tcPr>
                <w:p>
                  <w:pPr>
                    <w:widowControl/>
                    <w:jc w:val="center"/>
                    <w:rPr>
                      <w:rFonts w:cs="宋体"/>
                      <w:kern w:val="0"/>
                      <w:szCs w:val="21"/>
                    </w:rPr>
                  </w:pPr>
                  <w:r>
                    <w:rPr>
                      <w:rFonts w:hint="eastAsia" w:cs="宋体"/>
                      <w:kern w:val="0"/>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673" w:type="pct"/>
                  <w:shd w:val="clear" w:color="auto" w:fill="auto"/>
                  <w:vAlign w:val="center"/>
                </w:tcPr>
                <w:p>
                  <w:pPr>
                    <w:widowControl/>
                    <w:jc w:val="center"/>
                    <w:rPr>
                      <w:rFonts w:cs="宋体"/>
                      <w:kern w:val="0"/>
                      <w:szCs w:val="21"/>
                    </w:rPr>
                  </w:pPr>
                  <w:r>
                    <w:rPr>
                      <w:rFonts w:hint="eastAsia" w:cs="宋体"/>
                      <w:kern w:val="0"/>
                      <w:szCs w:val="21"/>
                    </w:rPr>
                    <w:t>加工助剂（酶制剂）</w:t>
                  </w:r>
                </w:p>
              </w:tc>
              <w:tc>
                <w:tcPr>
                  <w:tcW w:w="928" w:type="pct"/>
                  <w:shd w:val="clear" w:color="auto" w:fill="auto"/>
                  <w:noWrap/>
                  <w:vAlign w:val="center"/>
                </w:tcPr>
                <w:p>
                  <w:pPr>
                    <w:widowControl/>
                    <w:jc w:val="center"/>
                    <w:rPr>
                      <w:rFonts w:cs="宋体"/>
                      <w:kern w:val="0"/>
                      <w:szCs w:val="21"/>
                    </w:rPr>
                  </w:pPr>
                  <w:r>
                    <w:rPr>
                      <w:rFonts w:hint="eastAsia" w:cs="宋体"/>
                      <w:kern w:val="0"/>
                      <w:szCs w:val="21"/>
                    </w:rPr>
                    <w:t>约0.003</w:t>
                  </w:r>
                </w:p>
              </w:tc>
              <w:tc>
                <w:tcPr>
                  <w:tcW w:w="1300" w:type="pct"/>
                  <w:shd w:val="clear" w:color="auto" w:fill="auto"/>
                  <w:noWrap/>
                  <w:vAlign w:val="center"/>
                </w:tcPr>
                <w:p>
                  <w:pPr>
                    <w:widowControl/>
                    <w:jc w:val="center"/>
                    <w:rPr>
                      <w:rFonts w:cs="宋体"/>
                      <w:kern w:val="0"/>
                      <w:szCs w:val="21"/>
                    </w:rPr>
                  </w:pPr>
                </w:p>
              </w:tc>
              <w:tc>
                <w:tcPr>
                  <w:tcW w:w="1099" w:type="pct"/>
                  <w:shd w:val="clear" w:color="auto" w:fill="auto"/>
                  <w:noWrap/>
                  <w:vAlign w:val="center"/>
                </w:tcPr>
                <w:p>
                  <w:pPr>
                    <w:widowControl/>
                    <w:jc w:val="center"/>
                    <w:rPr>
                      <w:rFonts w:cs="宋体"/>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673" w:type="pct"/>
                  <w:shd w:val="clear" w:color="auto" w:fill="auto"/>
                  <w:vAlign w:val="center"/>
                </w:tcPr>
                <w:p>
                  <w:pPr>
                    <w:widowControl/>
                    <w:jc w:val="center"/>
                    <w:rPr>
                      <w:rFonts w:cs="宋体"/>
                      <w:kern w:val="0"/>
                      <w:szCs w:val="21"/>
                    </w:rPr>
                  </w:pPr>
                  <w:r>
                    <w:rPr>
                      <w:rFonts w:hint="eastAsia" w:cs="宋体"/>
                      <w:kern w:val="0"/>
                      <w:szCs w:val="21"/>
                    </w:rPr>
                    <w:t>饮用纯净水</w:t>
                  </w:r>
                </w:p>
              </w:tc>
              <w:tc>
                <w:tcPr>
                  <w:tcW w:w="928" w:type="pct"/>
                  <w:shd w:val="clear" w:color="auto" w:fill="auto"/>
                  <w:noWrap/>
                  <w:vAlign w:val="center"/>
                </w:tcPr>
                <w:p>
                  <w:pPr>
                    <w:widowControl/>
                    <w:jc w:val="center"/>
                    <w:rPr>
                      <w:rFonts w:cs="宋体"/>
                      <w:kern w:val="0"/>
                      <w:szCs w:val="21"/>
                    </w:rPr>
                  </w:pPr>
                  <w:r>
                    <w:rPr>
                      <w:rFonts w:hint="eastAsia" w:cs="宋体"/>
                      <w:kern w:val="0"/>
                      <w:szCs w:val="21"/>
                    </w:rPr>
                    <w:t>约2</w:t>
                  </w:r>
                </w:p>
              </w:tc>
              <w:tc>
                <w:tcPr>
                  <w:tcW w:w="1300" w:type="pct"/>
                  <w:shd w:val="clear" w:color="auto" w:fill="auto"/>
                  <w:noWrap/>
                  <w:vAlign w:val="center"/>
                </w:tcPr>
                <w:p>
                  <w:pPr>
                    <w:widowControl/>
                    <w:jc w:val="center"/>
                    <w:rPr>
                      <w:rFonts w:cs="宋体"/>
                      <w:kern w:val="0"/>
                      <w:szCs w:val="21"/>
                    </w:rPr>
                  </w:pPr>
                </w:p>
              </w:tc>
              <w:tc>
                <w:tcPr>
                  <w:tcW w:w="1099" w:type="pct"/>
                  <w:shd w:val="clear" w:color="auto" w:fill="auto"/>
                  <w:noWrap/>
                  <w:vAlign w:val="center"/>
                </w:tcPr>
                <w:p>
                  <w:pPr>
                    <w:widowControl/>
                    <w:jc w:val="center"/>
                    <w:rPr>
                      <w:rFonts w:cs="宋体"/>
                      <w:kern w:val="0"/>
                      <w:szCs w:val="21"/>
                    </w:rPr>
                  </w:pPr>
                </w:p>
              </w:tc>
            </w:tr>
          </w:tbl>
          <w:p>
            <w:pPr>
              <w:spacing w:line="360" w:lineRule="auto"/>
              <w:ind w:firstLine="482" w:firstLineChars="200"/>
              <w:jc w:val="center"/>
              <w:rPr>
                <w:b/>
                <w:sz w:val="24"/>
              </w:rPr>
            </w:pPr>
            <w:r>
              <w:rPr>
                <w:rFonts w:hint="eastAsia"/>
                <w:b/>
                <w:sz w:val="24"/>
              </w:rPr>
              <w:t>表2</w:t>
            </w:r>
            <w:r>
              <w:rPr>
                <w:b/>
                <w:sz w:val="24"/>
              </w:rPr>
              <w:t xml:space="preserve">-11 </w:t>
            </w:r>
            <w:r>
              <w:rPr>
                <w:rFonts w:hint="eastAsia"/>
                <w:b/>
                <w:sz w:val="24"/>
              </w:rPr>
              <w:t xml:space="preserve">一期工程香精物料平衡 </w:t>
            </w:r>
            <w:r>
              <w:rPr>
                <w:b/>
                <w:sz w:val="24"/>
              </w:rPr>
              <w:t xml:space="preserve"> </w:t>
            </w:r>
            <w:r>
              <w:rPr>
                <w:rFonts w:hint="eastAsia"/>
                <w:b/>
                <w:sz w:val="24"/>
              </w:rPr>
              <w:t>单位：吨/年</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81"/>
              <w:gridCol w:w="1559"/>
              <w:gridCol w:w="1701"/>
              <w:gridCol w:w="1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540" w:type="dxa"/>
                  <w:gridSpan w:val="2"/>
                  <w:shd w:val="clear" w:color="auto" w:fill="auto"/>
                  <w:vAlign w:val="center"/>
                </w:tcPr>
                <w:p>
                  <w:pPr>
                    <w:widowControl/>
                    <w:jc w:val="center"/>
                    <w:rPr>
                      <w:rFonts w:cs="宋体"/>
                      <w:b/>
                      <w:bCs/>
                      <w:kern w:val="0"/>
                      <w:szCs w:val="21"/>
                    </w:rPr>
                  </w:pPr>
                  <w:r>
                    <w:rPr>
                      <w:rFonts w:hint="eastAsia" w:cs="宋体"/>
                      <w:kern w:val="0"/>
                      <w:szCs w:val="21"/>
                    </w:rPr>
                    <w:t>投入量</w:t>
                  </w:r>
                </w:p>
              </w:tc>
              <w:tc>
                <w:tcPr>
                  <w:tcW w:w="3616" w:type="dxa"/>
                  <w:gridSpan w:val="2"/>
                  <w:shd w:val="clear" w:color="auto" w:fill="auto"/>
                  <w:noWrap/>
                  <w:vAlign w:val="center"/>
                </w:tcPr>
                <w:p>
                  <w:pPr>
                    <w:widowControl/>
                    <w:jc w:val="center"/>
                    <w:rPr>
                      <w:rFonts w:cs="宋体"/>
                      <w:kern w:val="0"/>
                      <w:szCs w:val="21"/>
                    </w:rPr>
                  </w:pPr>
                  <w:r>
                    <w:rPr>
                      <w:rFonts w:hint="eastAsia" w:cs="宋体"/>
                      <w:kern w:val="0"/>
                      <w:szCs w:val="21"/>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981" w:type="dxa"/>
                  <w:shd w:val="clear" w:color="auto" w:fill="auto"/>
                  <w:vAlign w:val="center"/>
                </w:tcPr>
                <w:p>
                  <w:pPr>
                    <w:widowControl/>
                    <w:jc w:val="center"/>
                    <w:rPr>
                      <w:rFonts w:cs="宋体"/>
                      <w:b/>
                      <w:bCs/>
                      <w:kern w:val="0"/>
                      <w:szCs w:val="21"/>
                    </w:rPr>
                  </w:pPr>
                  <w:r>
                    <w:rPr>
                      <w:rFonts w:hint="eastAsia" w:cs="宋体"/>
                      <w:b/>
                      <w:bCs/>
                      <w:kern w:val="0"/>
                      <w:szCs w:val="21"/>
                    </w:rPr>
                    <w:t>材料名称</w:t>
                  </w:r>
                </w:p>
              </w:tc>
              <w:tc>
                <w:tcPr>
                  <w:tcW w:w="1559" w:type="dxa"/>
                  <w:shd w:val="clear" w:color="auto" w:fill="auto"/>
                  <w:noWrap/>
                  <w:vAlign w:val="center"/>
                </w:tcPr>
                <w:p>
                  <w:pPr>
                    <w:widowControl/>
                    <w:jc w:val="center"/>
                    <w:rPr>
                      <w:rFonts w:cs="宋体"/>
                      <w:b/>
                      <w:bCs/>
                      <w:kern w:val="0"/>
                      <w:szCs w:val="21"/>
                    </w:rPr>
                  </w:pPr>
                  <w:r>
                    <w:rPr>
                      <w:rFonts w:hint="eastAsia" w:cs="宋体"/>
                      <w:kern w:val="0"/>
                      <w:szCs w:val="21"/>
                    </w:rPr>
                    <w:t>数量</w:t>
                  </w:r>
                </w:p>
              </w:tc>
              <w:tc>
                <w:tcPr>
                  <w:tcW w:w="1701" w:type="dxa"/>
                  <w:shd w:val="clear" w:color="auto" w:fill="auto"/>
                  <w:noWrap/>
                  <w:vAlign w:val="center"/>
                </w:tcPr>
                <w:p>
                  <w:pPr>
                    <w:widowControl/>
                    <w:jc w:val="center"/>
                    <w:rPr>
                      <w:rFonts w:cs="宋体"/>
                      <w:kern w:val="0"/>
                      <w:szCs w:val="21"/>
                    </w:rPr>
                  </w:pPr>
                  <w:r>
                    <w:rPr>
                      <w:rFonts w:hint="eastAsia" w:cs="宋体"/>
                      <w:kern w:val="0"/>
                      <w:szCs w:val="21"/>
                    </w:rPr>
                    <w:t>名称</w:t>
                  </w:r>
                </w:p>
              </w:tc>
              <w:tc>
                <w:tcPr>
                  <w:tcW w:w="1915" w:type="dxa"/>
                  <w:shd w:val="clear" w:color="auto" w:fill="auto"/>
                  <w:noWrap/>
                  <w:vAlign w:val="center"/>
                </w:tcPr>
                <w:p>
                  <w:pPr>
                    <w:widowControl/>
                    <w:jc w:val="center"/>
                    <w:rPr>
                      <w:rFonts w:cs="宋体"/>
                      <w:kern w:val="0"/>
                      <w:szCs w:val="21"/>
                    </w:rPr>
                  </w:pPr>
                  <w:r>
                    <w:rPr>
                      <w:rFonts w:hint="eastAsia" w:cs="宋体"/>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981" w:type="dxa"/>
                  <w:shd w:val="clear" w:color="auto" w:fill="auto"/>
                  <w:vAlign w:val="center"/>
                </w:tcPr>
                <w:p>
                  <w:pPr>
                    <w:widowControl/>
                    <w:jc w:val="center"/>
                    <w:rPr>
                      <w:rFonts w:cs="宋体"/>
                      <w:kern w:val="0"/>
                      <w:szCs w:val="21"/>
                    </w:rPr>
                  </w:pPr>
                  <w:r>
                    <w:rPr>
                      <w:rFonts w:hint="eastAsia" w:cs="宋体"/>
                      <w:kern w:val="0"/>
                      <w:szCs w:val="21"/>
                    </w:rPr>
                    <w:t>食品添加剂（辛癸酸甘油酯（MCT）、食用酒精、三乙酸甘油酯、丙二醇、丁位十二内酯、丁位癸内酯、香兰素、乙偶姻、乙基麦芽酚、丁酸、丙位壬内酯、丙位癸内酯、乙基香兰素、等等）、纯净水</w:t>
                  </w:r>
                </w:p>
              </w:tc>
              <w:tc>
                <w:tcPr>
                  <w:tcW w:w="1559" w:type="dxa"/>
                  <w:shd w:val="clear" w:color="auto" w:fill="auto"/>
                  <w:noWrap/>
                  <w:vAlign w:val="center"/>
                </w:tcPr>
                <w:p>
                  <w:pPr>
                    <w:widowControl/>
                    <w:jc w:val="center"/>
                    <w:rPr>
                      <w:rFonts w:cs="宋体"/>
                      <w:kern w:val="0"/>
                      <w:szCs w:val="21"/>
                    </w:rPr>
                  </w:pPr>
                  <w:r>
                    <w:rPr>
                      <w:rFonts w:hint="eastAsia" w:cs="宋体"/>
                      <w:kern w:val="0"/>
                      <w:szCs w:val="21"/>
                    </w:rPr>
                    <w:t>约100.4</w:t>
                  </w:r>
                </w:p>
              </w:tc>
              <w:tc>
                <w:tcPr>
                  <w:tcW w:w="1701" w:type="dxa"/>
                  <w:shd w:val="clear" w:color="auto" w:fill="auto"/>
                  <w:noWrap/>
                  <w:vAlign w:val="center"/>
                </w:tcPr>
                <w:p>
                  <w:pPr>
                    <w:widowControl/>
                    <w:jc w:val="center"/>
                    <w:rPr>
                      <w:rFonts w:cs="宋体"/>
                      <w:kern w:val="0"/>
                      <w:szCs w:val="21"/>
                    </w:rPr>
                  </w:pPr>
                  <w:r>
                    <w:rPr>
                      <w:rFonts w:hint="eastAsia" w:cs="宋体"/>
                      <w:kern w:val="0"/>
                      <w:szCs w:val="21"/>
                    </w:rPr>
                    <w:t>香精产品</w:t>
                  </w:r>
                </w:p>
              </w:tc>
              <w:tc>
                <w:tcPr>
                  <w:tcW w:w="1915" w:type="dxa"/>
                  <w:shd w:val="clear" w:color="auto" w:fill="auto"/>
                  <w:noWrap/>
                  <w:vAlign w:val="center"/>
                </w:tcPr>
                <w:p>
                  <w:pPr>
                    <w:widowControl/>
                    <w:jc w:val="center"/>
                    <w:rPr>
                      <w:rFonts w:cs="宋体"/>
                      <w:kern w:val="0"/>
                      <w:szCs w:val="21"/>
                    </w:rPr>
                  </w:pPr>
                  <w:r>
                    <w:rPr>
                      <w:rFonts w:hint="eastAsia" w:cs="宋体"/>
                      <w:kern w:val="0"/>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981" w:type="dxa"/>
                  <w:shd w:val="clear" w:color="auto" w:fill="auto"/>
                  <w:noWrap/>
                  <w:vAlign w:val="center"/>
                </w:tcPr>
                <w:p>
                  <w:pPr>
                    <w:widowControl/>
                    <w:jc w:val="center"/>
                    <w:rPr>
                      <w:rFonts w:cs="宋体"/>
                      <w:kern w:val="0"/>
                      <w:szCs w:val="21"/>
                    </w:rPr>
                  </w:pPr>
                </w:p>
              </w:tc>
              <w:tc>
                <w:tcPr>
                  <w:tcW w:w="1559" w:type="dxa"/>
                  <w:shd w:val="clear" w:color="auto" w:fill="auto"/>
                  <w:noWrap/>
                  <w:vAlign w:val="center"/>
                </w:tcPr>
                <w:p>
                  <w:pPr>
                    <w:widowControl/>
                    <w:jc w:val="center"/>
                    <w:rPr>
                      <w:kern w:val="0"/>
                      <w:szCs w:val="21"/>
                    </w:rPr>
                  </w:pPr>
                </w:p>
              </w:tc>
              <w:tc>
                <w:tcPr>
                  <w:tcW w:w="1701" w:type="dxa"/>
                  <w:shd w:val="clear" w:color="auto" w:fill="auto"/>
                  <w:noWrap/>
                  <w:vAlign w:val="center"/>
                </w:tcPr>
                <w:p>
                  <w:pPr>
                    <w:widowControl/>
                    <w:jc w:val="center"/>
                    <w:rPr>
                      <w:rFonts w:cs="宋体"/>
                      <w:kern w:val="0"/>
                      <w:szCs w:val="21"/>
                    </w:rPr>
                  </w:pPr>
                  <w:r>
                    <w:rPr>
                      <w:rFonts w:hint="eastAsia" w:cs="宋体"/>
                      <w:kern w:val="0"/>
                      <w:szCs w:val="21"/>
                    </w:rPr>
                    <w:t>过滤物</w:t>
                  </w:r>
                </w:p>
              </w:tc>
              <w:tc>
                <w:tcPr>
                  <w:tcW w:w="1915" w:type="dxa"/>
                  <w:shd w:val="clear" w:color="auto" w:fill="auto"/>
                  <w:noWrap/>
                  <w:vAlign w:val="center"/>
                </w:tcPr>
                <w:p>
                  <w:pPr>
                    <w:widowControl/>
                    <w:jc w:val="center"/>
                    <w:rPr>
                      <w:rFonts w:cs="宋体"/>
                      <w:kern w:val="0"/>
                      <w:szCs w:val="21"/>
                    </w:rPr>
                  </w:pPr>
                  <w:r>
                    <w:rPr>
                      <w:rFonts w:hint="eastAsia" w:cs="宋体"/>
                      <w:kern w:val="0"/>
                      <w:szCs w:val="21"/>
                    </w:rPr>
                    <w:t>0.4</w:t>
                  </w:r>
                </w:p>
              </w:tc>
            </w:tr>
          </w:tbl>
          <w:p>
            <w:pPr>
              <w:adjustRightInd w:val="0"/>
              <w:snapToGrid w:val="0"/>
              <w:spacing w:line="400" w:lineRule="exact"/>
              <w:jc w:val="center"/>
              <w:rPr>
                <w:b/>
                <w:sz w:val="24"/>
              </w:rPr>
            </w:pPr>
            <w:r>
              <w:rPr>
                <w:rFonts w:hint="eastAsia"/>
                <w:b/>
                <w:sz w:val="24"/>
              </w:rPr>
              <w:t>表2</w:t>
            </w:r>
            <w:r>
              <w:rPr>
                <w:b/>
                <w:sz w:val="24"/>
              </w:rPr>
              <w:t>-12</w:t>
            </w:r>
            <w:r>
              <w:rPr>
                <w:rFonts w:hint="eastAsia"/>
                <w:b/>
                <w:sz w:val="24"/>
              </w:rPr>
              <w:t xml:space="preserve">二期工程奶制品物料平衡 </w:t>
            </w:r>
            <w:r>
              <w:rPr>
                <w:b/>
                <w:sz w:val="24"/>
              </w:rPr>
              <w:t xml:space="preserve"> </w:t>
            </w:r>
            <w:r>
              <w:rPr>
                <w:rFonts w:hint="eastAsia"/>
                <w:b/>
                <w:sz w:val="24"/>
              </w:rPr>
              <w:t>单位：吨/年</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97"/>
              <w:gridCol w:w="839"/>
              <w:gridCol w:w="1669"/>
              <w:gridCol w:w="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304" w:type="pct"/>
                  <w:gridSpan w:val="2"/>
                  <w:shd w:val="clear" w:color="auto" w:fill="auto"/>
                  <w:vAlign w:val="center"/>
                </w:tcPr>
                <w:p>
                  <w:pPr>
                    <w:widowControl/>
                    <w:jc w:val="center"/>
                    <w:rPr>
                      <w:rFonts w:cs="宋体"/>
                      <w:b/>
                      <w:bCs/>
                      <w:kern w:val="0"/>
                      <w:szCs w:val="21"/>
                    </w:rPr>
                  </w:pPr>
                  <w:r>
                    <w:rPr>
                      <w:rFonts w:hint="eastAsia" w:cs="宋体"/>
                      <w:kern w:val="0"/>
                      <w:szCs w:val="21"/>
                    </w:rPr>
                    <w:t>投入量</w:t>
                  </w:r>
                </w:p>
              </w:tc>
              <w:tc>
                <w:tcPr>
                  <w:tcW w:w="1696" w:type="pct"/>
                  <w:gridSpan w:val="2"/>
                  <w:shd w:val="clear" w:color="auto" w:fill="auto"/>
                  <w:noWrap/>
                  <w:vAlign w:val="center"/>
                </w:tcPr>
                <w:p>
                  <w:pPr>
                    <w:widowControl/>
                    <w:jc w:val="center"/>
                    <w:rPr>
                      <w:rFonts w:cs="宋体"/>
                      <w:kern w:val="0"/>
                      <w:szCs w:val="21"/>
                    </w:rPr>
                  </w:pPr>
                  <w:r>
                    <w:rPr>
                      <w:rFonts w:hint="eastAsia" w:cs="宋体"/>
                      <w:kern w:val="0"/>
                      <w:szCs w:val="21"/>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09" w:type="pct"/>
                  <w:shd w:val="clear" w:color="auto" w:fill="auto"/>
                  <w:vAlign w:val="center"/>
                </w:tcPr>
                <w:p>
                  <w:pPr>
                    <w:widowControl/>
                    <w:jc w:val="center"/>
                    <w:rPr>
                      <w:rFonts w:cs="宋体"/>
                      <w:b/>
                      <w:bCs/>
                      <w:kern w:val="0"/>
                      <w:szCs w:val="21"/>
                    </w:rPr>
                  </w:pPr>
                  <w:r>
                    <w:rPr>
                      <w:rFonts w:hint="eastAsia" w:cs="宋体"/>
                      <w:b/>
                      <w:bCs/>
                      <w:kern w:val="0"/>
                      <w:szCs w:val="21"/>
                    </w:rPr>
                    <w:t>材料名称</w:t>
                  </w:r>
                </w:p>
              </w:tc>
              <w:tc>
                <w:tcPr>
                  <w:tcW w:w="695" w:type="pct"/>
                  <w:shd w:val="clear" w:color="auto" w:fill="auto"/>
                  <w:noWrap/>
                  <w:vAlign w:val="center"/>
                </w:tcPr>
                <w:p>
                  <w:pPr>
                    <w:widowControl/>
                    <w:jc w:val="center"/>
                    <w:rPr>
                      <w:rFonts w:cs="宋体"/>
                      <w:b/>
                      <w:bCs/>
                      <w:kern w:val="0"/>
                      <w:szCs w:val="21"/>
                    </w:rPr>
                  </w:pPr>
                  <w:r>
                    <w:rPr>
                      <w:rFonts w:hint="eastAsia" w:cs="宋体"/>
                      <w:kern w:val="0"/>
                      <w:szCs w:val="21"/>
                    </w:rPr>
                    <w:t>数量</w:t>
                  </w:r>
                </w:p>
              </w:tc>
              <w:tc>
                <w:tcPr>
                  <w:tcW w:w="1129" w:type="pct"/>
                  <w:shd w:val="clear" w:color="auto" w:fill="auto"/>
                  <w:noWrap/>
                  <w:vAlign w:val="center"/>
                </w:tcPr>
                <w:p>
                  <w:pPr>
                    <w:widowControl/>
                    <w:jc w:val="center"/>
                    <w:rPr>
                      <w:rFonts w:cs="宋体"/>
                      <w:kern w:val="0"/>
                      <w:szCs w:val="21"/>
                    </w:rPr>
                  </w:pPr>
                  <w:r>
                    <w:rPr>
                      <w:rFonts w:hint="eastAsia" w:cs="宋体"/>
                      <w:kern w:val="0"/>
                      <w:szCs w:val="21"/>
                    </w:rPr>
                    <w:t>名称</w:t>
                  </w:r>
                </w:p>
              </w:tc>
              <w:tc>
                <w:tcPr>
                  <w:tcW w:w="567" w:type="pct"/>
                  <w:shd w:val="clear" w:color="auto" w:fill="auto"/>
                  <w:noWrap/>
                  <w:vAlign w:val="center"/>
                </w:tcPr>
                <w:p>
                  <w:pPr>
                    <w:widowControl/>
                    <w:jc w:val="center"/>
                    <w:rPr>
                      <w:rFonts w:cs="宋体"/>
                      <w:kern w:val="0"/>
                      <w:szCs w:val="21"/>
                    </w:rPr>
                  </w:pPr>
                  <w:r>
                    <w:rPr>
                      <w:rFonts w:hint="eastAsia" w:cs="宋体"/>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09" w:type="pct"/>
                  <w:shd w:val="clear" w:color="auto" w:fill="auto"/>
                  <w:noWrap/>
                  <w:vAlign w:val="center"/>
                </w:tcPr>
                <w:p>
                  <w:pPr>
                    <w:widowControl/>
                    <w:jc w:val="center"/>
                    <w:rPr>
                      <w:rFonts w:cs="宋体"/>
                      <w:kern w:val="0"/>
                      <w:szCs w:val="21"/>
                    </w:rPr>
                  </w:pPr>
                  <w:r>
                    <w:rPr>
                      <w:rFonts w:hint="eastAsia" w:cs="宋体"/>
                      <w:kern w:val="0"/>
                      <w:szCs w:val="21"/>
                    </w:rPr>
                    <w:t>黄油（奶油）、牛奶</w:t>
                  </w:r>
                </w:p>
              </w:tc>
              <w:tc>
                <w:tcPr>
                  <w:tcW w:w="695" w:type="pct"/>
                  <w:shd w:val="clear" w:color="auto" w:fill="auto"/>
                  <w:noWrap/>
                  <w:vAlign w:val="center"/>
                </w:tcPr>
                <w:p>
                  <w:pPr>
                    <w:widowControl/>
                    <w:jc w:val="center"/>
                    <w:rPr>
                      <w:rFonts w:cs="宋体"/>
                      <w:kern w:val="0"/>
                      <w:szCs w:val="21"/>
                    </w:rPr>
                  </w:pPr>
                  <w:r>
                    <w:rPr>
                      <w:rFonts w:hint="eastAsia" w:cs="宋体"/>
                      <w:kern w:val="0"/>
                      <w:szCs w:val="21"/>
                    </w:rPr>
                    <w:t>约800</w:t>
                  </w:r>
                </w:p>
              </w:tc>
              <w:tc>
                <w:tcPr>
                  <w:tcW w:w="1129" w:type="pct"/>
                  <w:shd w:val="clear" w:color="auto" w:fill="auto"/>
                  <w:noWrap/>
                  <w:vAlign w:val="center"/>
                </w:tcPr>
                <w:p>
                  <w:pPr>
                    <w:widowControl/>
                    <w:jc w:val="center"/>
                    <w:rPr>
                      <w:rFonts w:cs="宋体"/>
                      <w:kern w:val="0"/>
                      <w:szCs w:val="21"/>
                    </w:rPr>
                  </w:pPr>
                  <w:r>
                    <w:rPr>
                      <w:rFonts w:hint="eastAsia" w:cs="宋体"/>
                      <w:kern w:val="0"/>
                      <w:szCs w:val="21"/>
                    </w:rPr>
                    <w:t>奶油制品产品</w:t>
                  </w:r>
                </w:p>
              </w:tc>
              <w:tc>
                <w:tcPr>
                  <w:tcW w:w="567" w:type="pct"/>
                  <w:shd w:val="clear" w:color="auto" w:fill="auto"/>
                  <w:noWrap/>
                  <w:vAlign w:val="center"/>
                </w:tcPr>
                <w:p>
                  <w:pPr>
                    <w:widowControl/>
                    <w:jc w:val="center"/>
                    <w:rPr>
                      <w:rFonts w:cs="宋体"/>
                      <w:kern w:val="0"/>
                      <w:szCs w:val="21"/>
                    </w:rPr>
                  </w:pPr>
                  <w:r>
                    <w:rPr>
                      <w:rFonts w:cs="宋体"/>
                      <w:kern w:val="0"/>
                      <w:szCs w:val="21"/>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09" w:type="pct"/>
                  <w:shd w:val="clear" w:color="auto" w:fill="auto"/>
                  <w:noWrap/>
                  <w:vAlign w:val="center"/>
                </w:tcPr>
                <w:p>
                  <w:pPr>
                    <w:widowControl/>
                    <w:jc w:val="center"/>
                    <w:rPr>
                      <w:rFonts w:cs="宋体"/>
                      <w:kern w:val="0"/>
                      <w:szCs w:val="21"/>
                    </w:rPr>
                  </w:pPr>
                  <w:r>
                    <w:rPr>
                      <w:rFonts w:hint="eastAsia" w:cs="宋体"/>
                      <w:kern w:val="0"/>
                      <w:szCs w:val="21"/>
                    </w:rPr>
                    <w:t>加工助剂（酶制剂）</w:t>
                  </w:r>
                </w:p>
              </w:tc>
              <w:tc>
                <w:tcPr>
                  <w:tcW w:w="695" w:type="pct"/>
                  <w:shd w:val="clear" w:color="auto" w:fill="auto"/>
                  <w:noWrap/>
                  <w:vAlign w:val="center"/>
                </w:tcPr>
                <w:p>
                  <w:pPr>
                    <w:widowControl/>
                    <w:jc w:val="center"/>
                    <w:rPr>
                      <w:rFonts w:cs="宋体"/>
                      <w:kern w:val="0"/>
                      <w:szCs w:val="21"/>
                    </w:rPr>
                  </w:pPr>
                  <w:r>
                    <w:rPr>
                      <w:rFonts w:hint="eastAsia" w:cs="宋体"/>
                      <w:kern w:val="0"/>
                      <w:szCs w:val="21"/>
                    </w:rPr>
                    <w:t>约0.11</w:t>
                  </w:r>
                </w:p>
              </w:tc>
              <w:tc>
                <w:tcPr>
                  <w:tcW w:w="1129" w:type="pct"/>
                  <w:shd w:val="clear" w:color="auto" w:fill="auto"/>
                  <w:noWrap/>
                  <w:vAlign w:val="center"/>
                </w:tcPr>
                <w:p>
                  <w:pPr>
                    <w:widowControl/>
                    <w:jc w:val="center"/>
                    <w:rPr>
                      <w:rFonts w:cs="宋体"/>
                      <w:kern w:val="0"/>
                      <w:szCs w:val="21"/>
                    </w:rPr>
                  </w:pPr>
                  <w:r>
                    <w:rPr>
                      <w:rFonts w:hint="eastAsia" w:cs="宋体"/>
                      <w:kern w:val="0"/>
                      <w:szCs w:val="21"/>
                    </w:rPr>
                    <w:t>过滤废物及损耗</w:t>
                  </w:r>
                </w:p>
              </w:tc>
              <w:tc>
                <w:tcPr>
                  <w:tcW w:w="567" w:type="pct"/>
                  <w:shd w:val="clear" w:color="auto" w:fill="auto"/>
                  <w:noWrap/>
                  <w:vAlign w:val="center"/>
                </w:tcPr>
                <w:p>
                  <w:pPr>
                    <w:widowControl/>
                    <w:jc w:val="center"/>
                    <w:rPr>
                      <w:rFonts w:cs="宋体"/>
                      <w:kern w:val="0"/>
                      <w:szCs w:val="21"/>
                    </w:rPr>
                  </w:pPr>
                  <w:r>
                    <w:rPr>
                      <w:rFonts w:cs="宋体"/>
                      <w:kern w:val="0"/>
                      <w:szCs w:val="21"/>
                    </w:rPr>
                    <w:t>38.11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09" w:type="pct"/>
                  <w:shd w:val="clear" w:color="auto" w:fill="auto"/>
                  <w:noWrap/>
                  <w:vAlign w:val="center"/>
                </w:tcPr>
                <w:p>
                  <w:pPr>
                    <w:widowControl/>
                    <w:jc w:val="center"/>
                    <w:rPr>
                      <w:rFonts w:cs="宋体"/>
                      <w:kern w:val="0"/>
                      <w:szCs w:val="21"/>
                    </w:rPr>
                  </w:pPr>
                  <w:r>
                    <w:rPr>
                      <w:rFonts w:hint="eastAsia" w:cs="宋体"/>
                      <w:kern w:val="0"/>
                      <w:szCs w:val="21"/>
                    </w:rPr>
                    <w:t>饮用纯净水</w:t>
                  </w:r>
                </w:p>
              </w:tc>
              <w:tc>
                <w:tcPr>
                  <w:tcW w:w="695" w:type="pct"/>
                  <w:shd w:val="clear" w:color="auto" w:fill="auto"/>
                  <w:noWrap/>
                  <w:vAlign w:val="center"/>
                </w:tcPr>
                <w:p>
                  <w:pPr>
                    <w:widowControl/>
                    <w:jc w:val="center"/>
                    <w:rPr>
                      <w:rFonts w:cs="宋体"/>
                      <w:kern w:val="0"/>
                      <w:szCs w:val="21"/>
                    </w:rPr>
                  </w:pPr>
                  <w:r>
                    <w:rPr>
                      <w:rFonts w:hint="eastAsia" w:cs="宋体"/>
                      <w:kern w:val="0"/>
                      <w:szCs w:val="21"/>
                    </w:rPr>
                    <w:t>约8</w:t>
                  </w:r>
                </w:p>
              </w:tc>
              <w:tc>
                <w:tcPr>
                  <w:tcW w:w="1129" w:type="pct"/>
                  <w:shd w:val="clear" w:color="auto" w:fill="auto"/>
                  <w:noWrap/>
                  <w:vAlign w:val="center"/>
                </w:tcPr>
                <w:p>
                  <w:pPr>
                    <w:widowControl/>
                    <w:jc w:val="center"/>
                    <w:rPr>
                      <w:rFonts w:cs="宋体"/>
                      <w:kern w:val="0"/>
                      <w:szCs w:val="21"/>
                    </w:rPr>
                  </w:pPr>
                </w:p>
              </w:tc>
              <w:tc>
                <w:tcPr>
                  <w:tcW w:w="567" w:type="pct"/>
                  <w:shd w:val="clear" w:color="auto" w:fill="auto"/>
                  <w:noWrap/>
                  <w:vAlign w:val="center"/>
                </w:tcPr>
                <w:p>
                  <w:pPr>
                    <w:widowControl/>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609" w:type="pct"/>
                  <w:shd w:val="clear" w:color="auto" w:fill="auto"/>
                  <w:noWrap/>
                  <w:vAlign w:val="center"/>
                </w:tcPr>
                <w:p>
                  <w:pPr>
                    <w:widowControl/>
                    <w:jc w:val="center"/>
                    <w:rPr>
                      <w:rFonts w:cs="宋体"/>
                      <w:kern w:val="0"/>
                      <w:szCs w:val="21"/>
                    </w:rPr>
                  </w:pPr>
                  <w:r>
                    <w:rPr>
                      <w:rFonts w:hint="eastAsia" w:cs="宋体"/>
                      <w:kern w:val="0"/>
                      <w:szCs w:val="21"/>
                    </w:rPr>
                    <w:t>天然香料（大蒜、洋葱、生姜、香草、香荚兰，等等）</w:t>
                  </w:r>
                </w:p>
              </w:tc>
              <w:tc>
                <w:tcPr>
                  <w:tcW w:w="695" w:type="pct"/>
                  <w:shd w:val="clear" w:color="auto" w:fill="auto"/>
                  <w:noWrap/>
                  <w:vAlign w:val="center"/>
                </w:tcPr>
                <w:p>
                  <w:pPr>
                    <w:widowControl/>
                    <w:jc w:val="center"/>
                    <w:rPr>
                      <w:rFonts w:cs="宋体"/>
                      <w:kern w:val="0"/>
                      <w:szCs w:val="21"/>
                    </w:rPr>
                  </w:pPr>
                  <w:r>
                    <w:rPr>
                      <w:rFonts w:hint="eastAsia" w:cs="宋体"/>
                      <w:kern w:val="0"/>
                      <w:szCs w:val="21"/>
                    </w:rPr>
                    <w:t>约30</w:t>
                  </w:r>
                </w:p>
              </w:tc>
              <w:tc>
                <w:tcPr>
                  <w:tcW w:w="1129" w:type="pct"/>
                  <w:shd w:val="clear" w:color="auto" w:fill="auto"/>
                  <w:noWrap/>
                  <w:vAlign w:val="center"/>
                </w:tcPr>
                <w:p>
                  <w:pPr>
                    <w:widowControl/>
                    <w:jc w:val="center"/>
                    <w:rPr>
                      <w:rFonts w:cs="宋体"/>
                      <w:kern w:val="0"/>
                      <w:szCs w:val="21"/>
                    </w:rPr>
                  </w:pPr>
                </w:p>
              </w:tc>
              <w:tc>
                <w:tcPr>
                  <w:tcW w:w="567" w:type="pct"/>
                  <w:shd w:val="clear" w:color="auto" w:fill="auto"/>
                  <w:noWrap/>
                  <w:vAlign w:val="center"/>
                </w:tcPr>
                <w:p>
                  <w:pPr>
                    <w:widowControl/>
                    <w:jc w:val="center"/>
                    <w:rPr>
                      <w:kern w:val="0"/>
                      <w:szCs w:val="21"/>
                    </w:rPr>
                  </w:pPr>
                </w:p>
              </w:tc>
            </w:tr>
          </w:tbl>
          <w:p>
            <w:pPr>
              <w:spacing w:line="360" w:lineRule="auto"/>
              <w:ind w:firstLine="482" w:firstLineChars="200"/>
              <w:jc w:val="center"/>
              <w:rPr>
                <w:b/>
                <w:sz w:val="24"/>
              </w:rPr>
            </w:pPr>
          </w:p>
          <w:p>
            <w:pPr>
              <w:spacing w:line="360" w:lineRule="auto"/>
              <w:ind w:firstLine="482" w:firstLineChars="200"/>
              <w:jc w:val="center"/>
              <w:rPr>
                <w:b/>
                <w:sz w:val="24"/>
              </w:rPr>
            </w:pPr>
          </w:p>
          <w:p>
            <w:pPr>
              <w:spacing w:line="360" w:lineRule="auto"/>
              <w:ind w:firstLine="482" w:firstLineChars="200"/>
              <w:jc w:val="center"/>
              <w:rPr>
                <w:b/>
                <w:sz w:val="24"/>
              </w:rPr>
            </w:pPr>
          </w:p>
          <w:p>
            <w:pPr>
              <w:adjustRightInd w:val="0"/>
              <w:snapToGrid w:val="0"/>
              <w:spacing w:line="400" w:lineRule="exact"/>
              <w:jc w:val="center"/>
              <w:rPr>
                <w:b/>
                <w:sz w:val="24"/>
              </w:rPr>
            </w:pPr>
            <w:r>
              <w:rPr>
                <w:rFonts w:hint="eastAsia"/>
                <w:b/>
                <w:sz w:val="24"/>
              </w:rPr>
              <w:t>表2</w:t>
            </w:r>
            <w:r>
              <w:rPr>
                <w:b/>
                <w:sz w:val="24"/>
              </w:rPr>
              <w:t xml:space="preserve">-13 </w:t>
            </w:r>
            <w:r>
              <w:rPr>
                <w:rFonts w:hint="eastAsia"/>
                <w:b/>
                <w:sz w:val="24"/>
              </w:rPr>
              <w:t xml:space="preserve">二期工程复合调味品物料平衡 </w:t>
            </w:r>
            <w:r>
              <w:rPr>
                <w:b/>
                <w:sz w:val="24"/>
              </w:rPr>
              <w:t xml:space="preserve"> </w:t>
            </w:r>
            <w:r>
              <w:rPr>
                <w:rFonts w:hint="eastAsia"/>
                <w:b/>
                <w:sz w:val="24"/>
              </w:rPr>
              <w:t>单位：吨/年</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06"/>
              <w:gridCol w:w="1318"/>
              <w:gridCol w:w="1686"/>
              <w:gridCol w:w="11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278" w:type="pct"/>
                  <w:gridSpan w:val="2"/>
                  <w:shd w:val="clear" w:color="auto" w:fill="auto"/>
                  <w:vAlign w:val="center"/>
                </w:tcPr>
                <w:p>
                  <w:pPr>
                    <w:widowControl/>
                    <w:jc w:val="center"/>
                    <w:rPr>
                      <w:rFonts w:cs="宋体"/>
                      <w:kern w:val="0"/>
                      <w:szCs w:val="21"/>
                    </w:rPr>
                  </w:pPr>
                  <w:r>
                    <w:rPr>
                      <w:rFonts w:hint="eastAsia" w:cs="宋体"/>
                      <w:kern w:val="0"/>
                      <w:szCs w:val="21"/>
                    </w:rPr>
                    <w:t>投入量</w:t>
                  </w:r>
                </w:p>
              </w:tc>
              <w:tc>
                <w:tcPr>
                  <w:tcW w:w="1722" w:type="pct"/>
                  <w:gridSpan w:val="2"/>
                  <w:shd w:val="clear" w:color="auto" w:fill="auto"/>
                  <w:noWrap/>
                  <w:vAlign w:val="center"/>
                </w:tcPr>
                <w:p>
                  <w:pPr>
                    <w:widowControl/>
                    <w:jc w:val="left"/>
                    <w:rPr>
                      <w:rFonts w:cs="宋体"/>
                      <w:kern w:val="0"/>
                      <w:szCs w:val="21"/>
                    </w:rPr>
                  </w:pPr>
                  <w:r>
                    <w:rPr>
                      <w:rFonts w:hint="eastAsia" w:cs="宋体"/>
                      <w:kern w:val="0"/>
                      <w:szCs w:val="21"/>
                    </w:rPr>
                    <w:t>产出量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26" w:type="pct"/>
                  <w:shd w:val="clear" w:color="auto" w:fill="auto"/>
                  <w:vAlign w:val="center"/>
                </w:tcPr>
                <w:p>
                  <w:pPr>
                    <w:widowControl/>
                    <w:jc w:val="center"/>
                    <w:rPr>
                      <w:rFonts w:cs="宋体"/>
                      <w:kern w:val="0"/>
                      <w:szCs w:val="21"/>
                    </w:rPr>
                  </w:pPr>
                  <w:r>
                    <w:rPr>
                      <w:rFonts w:hint="eastAsia" w:cs="宋体"/>
                      <w:kern w:val="0"/>
                      <w:szCs w:val="21"/>
                    </w:rPr>
                    <w:t>材料名称</w:t>
                  </w:r>
                </w:p>
              </w:tc>
              <w:tc>
                <w:tcPr>
                  <w:tcW w:w="852" w:type="pct"/>
                  <w:shd w:val="clear" w:color="auto" w:fill="auto"/>
                  <w:noWrap/>
                  <w:vAlign w:val="center"/>
                </w:tcPr>
                <w:p>
                  <w:pPr>
                    <w:widowControl/>
                    <w:jc w:val="center"/>
                    <w:rPr>
                      <w:rFonts w:cs="宋体"/>
                      <w:kern w:val="0"/>
                      <w:szCs w:val="21"/>
                    </w:rPr>
                  </w:pPr>
                  <w:r>
                    <w:rPr>
                      <w:rFonts w:hint="eastAsia" w:cs="宋体"/>
                      <w:kern w:val="0"/>
                      <w:szCs w:val="21"/>
                    </w:rPr>
                    <w:t>数量</w:t>
                  </w:r>
                </w:p>
              </w:tc>
              <w:tc>
                <w:tcPr>
                  <w:tcW w:w="954" w:type="pct"/>
                  <w:shd w:val="clear" w:color="auto" w:fill="auto"/>
                  <w:noWrap/>
                  <w:vAlign w:val="center"/>
                </w:tcPr>
                <w:p>
                  <w:pPr>
                    <w:widowControl/>
                    <w:jc w:val="center"/>
                    <w:rPr>
                      <w:rFonts w:cs="宋体"/>
                      <w:kern w:val="0"/>
                      <w:szCs w:val="21"/>
                    </w:rPr>
                  </w:pPr>
                  <w:r>
                    <w:rPr>
                      <w:rFonts w:hint="eastAsia" w:cs="宋体"/>
                      <w:kern w:val="0"/>
                      <w:szCs w:val="21"/>
                    </w:rPr>
                    <w:t>名称</w:t>
                  </w:r>
                </w:p>
              </w:tc>
              <w:tc>
                <w:tcPr>
                  <w:tcW w:w="768" w:type="pct"/>
                  <w:shd w:val="clear" w:color="auto" w:fill="auto"/>
                  <w:noWrap/>
                  <w:vAlign w:val="center"/>
                </w:tcPr>
                <w:p>
                  <w:pPr>
                    <w:widowControl/>
                    <w:jc w:val="center"/>
                    <w:rPr>
                      <w:rFonts w:cs="宋体"/>
                      <w:kern w:val="0"/>
                      <w:szCs w:val="21"/>
                    </w:rPr>
                  </w:pPr>
                  <w:r>
                    <w:rPr>
                      <w:rFonts w:hint="eastAsia" w:cs="宋体"/>
                      <w:kern w:val="0"/>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426" w:type="pct"/>
                  <w:shd w:val="clear" w:color="auto" w:fill="auto"/>
                  <w:noWrap/>
                  <w:vAlign w:val="center"/>
                </w:tcPr>
                <w:p>
                  <w:pPr>
                    <w:widowControl/>
                    <w:jc w:val="center"/>
                    <w:rPr>
                      <w:rFonts w:cs="宋体"/>
                      <w:kern w:val="0"/>
                      <w:szCs w:val="21"/>
                    </w:rPr>
                  </w:pPr>
                  <w:r>
                    <w:rPr>
                      <w:rFonts w:hint="eastAsia" w:cs="宋体"/>
                      <w:kern w:val="0"/>
                      <w:szCs w:val="21"/>
                    </w:rPr>
                    <w:t>饮用纯净水</w:t>
                  </w:r>
                </w:p>
              </w:tc>
              <w:tc>
                <w:tcPr>
                  <w:tcW w:w="852" w:type="pct"/>
                  <w:shd w:val="clear" w:color="auto" w:fill="auto"/>
                  <w:noWrap/>
                  <w:vAlign w:val="center"/>
                </w:tcPr>
                <w:p>
                  <w:pPr>
                    <w:widowControl/>
                    <w:jc w:val="center"/>
                    <w:rPr>
                      <w:rFonts w:cs="宋体"/>
                      <w:kern w:val="0"/>
                      <w:szCs w:val="21"/>
                    </w:rPr>
                  </w:pPr>
                  <w:r>
                    <w:rPr>
                      <w:rFonts w:hint="eastAsia" w:cs="宋体"/>
                      <w:kern w:val="0"/>
                      <w:szCs w:val="21"/>
                    </w:rPr>
                    <w:t>约10</w:t>
                  </w:r>
                </w:p>
              </w:tc>
              <w:tc>
                <w:tcPr>
                  <w:tcW w:w="954" w:type="pct"/>
                  <w:shd w:val="clear" w:color="auto" w:fill="auto"/>
                  <w:noWrap/>
                  <w:vAlign w:val="center"/>
                </w:tcPr>
                <w:p>
                  <w:pPr>
                    <w:widowControl/>
                    <w:jc w:val="center"/>
                    <w:rPr>
                      <w:rFonts w:cs="宋体"/>
                      <w:kern w:val="0"/>
                      <w:szCs w:val="21"/>
                    </w:rPr>
                  </w:pPr>
                  <w:r>
                    <w:rPr>
                      <w:rFonts w:hint="eastAsia" w:cs="宋体"/>
                      <w:kern w:val="0"/>
                      <w:szCs w:val="21"/>
                    </w:rPr>
                    <w:t>复合调味品</w:t>
                  </w:r>
                </w:p>
              </w:tc>
              <w:tc>
                <w:tcPr>
                  <w:tcW w:w="768" w:type="pct"/>
                  <w:shd w:val="clear" w:color="auto" w:fill="auto"/>
                  <w:noWrap/>
                  <w:vAlign w:val="bottom"/>
                </w:tcPr>
                <w:p>
                  <w:pPr>
                    <w:widowControl/>
                    <w:ind w:right="420"/>
                    <w:jc w:val="right"/>
                    <w:rPr>
                      <w:rFonts w:cs="宋体"/>
                      <w:kern w:val="0"/>
                      <w:szCs w:val="21"/>
                    </w:rPr>
                  </w:pPr>
                  <w:r>
                    <w:rPr>
                      <w:rFonts w:hint="eastAsia" w:cs="宋体"/>
                      <w:kern w:val="0"/>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6" w:type="pct"/>
                  <w:shd w:val="clear" w:color="auto" w:fill="auto"/>
                  <w:noWrap/>
                  <w:vAlign w:val="center"/>
                </w:tcPr>
                <w:p>
                  <w:pPr>
                    <w:widowControl/>
                    <w:jc w:val="center"/>
                    <w:rPr>
                      <w:rFonts w:cs="宋体"/>
                      <w:kern w:val="0"/>
                      <w:szCs w:val="21"/>
                    </w:rPr>
                  </w:pPr>
                  <w:r>
                    <w:rPr>
                      <w:rFonts w:hint="eastAsia" w:cs="宋体"/>
                      <w:kern w:val="0"/>
                      <w:szCs w:val="21"/>
                    </w:rPr>
                    <w:t>白砂糖、糖浆</w:t>
                  </w:r>
                </w:p>
              </w:tc>
              <w:tc>
                <w:tcPr>
                  <w:tcW w:w="852" w:type="pct"/>
                  <w:shd w:val="clear" w:color="auto" w:fill="auto"/>
                  <w:noWrap/>
                  <w:vAlign w:val="center"/>
                </w:tcPr>
                <w:p>
                  <w:pPr>
                    <w:widowControl/>
                    <w:jc w:val="center"/>
                    <w:rPr>
                      <w:rFonts w:cs="宋体"/>
                      <w:kern w:val="0"/>
                      <w:szCs w:val="21"/>
                    </w:rPr>
                  </w:pPr>
                  <w:r>
                    <w:rPr>
                      <w:rFonts w:hint="eastAsia" w:cs="宋体"/>
                      <w:kern w:val="0"/>
                      <w:szCs w:val="21"/>
                    </w:rPr>
                    <w:t>约30</w:t>
                  </w:r>
                </w:p>
              </w:tc>
              <w:tc>
                <w:tcPr>
                  <w:tcW w:w="954" w:type="pct"/>
                  <w:shd w:val="clear" w:color="auto" w:fill="auto"/>
                  <w:noWrap/>
                  <w:vAlign w:val="bottom"/>
                </w:tcPr>
                <w:p>
                  <w:pPr>
                    <w:widowControl/>
                    <w:jc w:val="center"/>
                    <w:rPr>
                      <w:rFonts w:cs="宋体"/>
                      <w:kern w:val="0"/>
                      <w:szCs w:val="21"/>
                    </w:rPr>
                  </w:pPr>
                  <w:r>
                    <w:rPr>
                      <w:rFonts w:hint="eastAsia" w:cs="宋体"/>
                      <w:kern w:val="0"/>
                      <w:szCs w:val="21"/>
                    </w:rPr>
                    <w:t>过滤物及鸡蛋壳</w:t>
                  </w:r>
                </w:p>
              </w:tc>
              <w:tc>
                <w:tcPr>
                  <w:tcW w:w="768" w:type="pct"/>
                  <w:shd w:val="clear" w:color="auto" w:fill="auto"/>
                  <w:noWrap/>
                  <w:vAlign w:val="bottom"/>
                </w:tcPr>
                <w:p>
                  <w:pPr>
                    <w:widowControl/>
                    <w:jc w:val="center"/>
                    <w:rPr>
                      <w:rFonts w:cs="宋体"/>
                      <w:kern w:val="0"/>
                      <w:szCs w:val="21"/>
                    </w:rPr>
                  </w:pPr>
                  <w:r>
                    <w:rPr>
                      <w:rFonts w:hint="eastAsia" w:cs="宋体"/>
                      <w:kern w:val="0"/>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6" w:type="pct"/>
                  <w:shd w:val="clear" w:color="auto" w:fill="auto"/>
                  <w:noWrap/>
                  <w:vAlign w:val="center"/>
                </w:tcPr>
                <w:p>
                  <w:pPr>
                    <w:widowControl/>
                    <w:jc w:val="center"/>
                    <w:rPr>
                      <w:rFonts w:cs="宋体"/>
                      <w:kern w:val="0"/>
                      <w:szCs w:val="21"/>
                    </w:rPr>
                  </w:pPr>
                  <w:r>
                    <w:rPr>
                      <w:rFonts w:hint="eastAsia" w:cs="宋体"/>
                      <w:kern w:val="0"/>
                      <w:szCs w:val="21"/>
                    </w:rPr>
                    <w:t>加工助剂（酶制剂）</w:t>
                  </w:r>
                </w:p>
              </w:tc>
              <w:tc>
                <w:tcPr>
                  <w:tcW w:w="852" w:type="pct"/>
                  <w:shd w:val="clear" w:color="auto" w:fill="auto"/>
                  <w:noWrap/>
                  <w:vAlign w:val="center"/>
                </w:tcPr>
                <w:p>
                  <w:pPr>
                    <w:widowControl/>
                    <w:jc w:val="center"/>
                    <w:rPr>
                      <w:rFonts w:cs="宋体"/>
                      <w:kern w:val="0"/>
                      <w:szCs w:val="21"/>
                    </w:rPr>
                  </w:pPr>
                  <w:r>
                    <w:rPr>
                      <w:rFonts w:hint="eastAsia" w:cs="宋体"/>
                      <w:kern w:val="0"/>
                      <w:szCs w:val="21"/>
                    </w:rPr>
                    <w:t>约0.01</w:t>
                  </w:r>
                </w:p>
              </w:tc>
              <w:tc>
                <w:tcPr>
                  <w:tcW w:w="954" w:type="pct"/>
                  <w:shd w:val="clear" w:color="auto" w:fill="auto"/>
                  <w:noWrap/>
                  <w:vAlign w:val="center"/>
                </w:tcPr>
                <w:p>
                  <w:pPr>
                    <w:widowControl/>
                    <w:jc w:val="center"/>
                    <w:rPr>
                      <w:rFonts w:cs="宋体"/>
                      <w:kern w:val="0"/>
                      <w:szCs w:val="21"/>
                    </w:rPr>
                  </w:pPr>
                </w:p>
              </w:tc>
              <w:tc>
                <w:tcPr>
                  <w:tcW w:w="768" w:type="pct"/>
                  <w:shd w:val="clear" w:color="auto" w:fill="auto"/>
                  <w:noWrap/>
                  <w:vAlign w:val="bottom"/>
                </w:tcPr>
                <w:p>
                  <w:pPr>
                    <w:widowControl/>
                    <w:jc w:val="center"/>
                    <w:rPr>
                      <w:rFonts w:cs="宋体"/>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26" w:type="pct"/>
                  <w:shd w:val="clear" w:color="auto" w:fill="auto"/>
                  <w:noWrap/>
                  <w:vAlign w:val="center"/>
                </w:tcPr>
                <w:p>
                  <w:pPr>
                    <w:widowControl/>
                    <w:jc w:val="center"/>
                    <w:rPr>
                      <w:rFonts w:cs="宋体"/>
                      <w:kern w:val="0"/>
                      <w:szCs w:val="21"/>
                    </w:rPr>
                  </w:pPr>
                  <w:r>
                    <w:rPr>
                      <w:rFonts w:hint="eastAsia" w:cs="宋体"/>
                      <w:kern w:val="0"/>
                      <w:szCs w:val="21"/>
                    </w:rPr>
                    <w:t>可可粉、鸡蛋粉、鸡蛋液、蛋黄液、鲜鸡蛋</w:t>
                  </w:r>
                </w:p>
              </w:tc>
              <w:tc>
                <w:tcPr>
                  <w:tcW w:w="852" w:type="pct"/>
                  <w:shd w:val="clear" w:color="auto" w:fill="auto"/>
                  <w:noWrap/>
                  <w:vAlign w:val="center"/>
                </w:tcPr>
                <w:p>
                  <w:pPr>
                    <w:widowControl/>
                    <w:jc w:val="center"/>
                    <w:rPr>
                      <w:rFonts w:cs="宋体"/>
                      <w:kern w:val="0"/>
                      <w:szCs w:val="21"/>
                    </w:rPr>
                  </w:pPr>
                  <w:r>
                    <w:rPr>
                      <w:rFonts w:hint="eastAsia" w:cs="宋体"/>
                      <w:kern w:val="0"/>
                      <w:szCs w:val="21"/>
                    </w:rPr>
                    <w:t>约40</w:t>
                  </w:r>
                </w:p>
              </w:tc>
              <w:tc>
                <w:tcPr>
                  <w:tcW w:w="954" w:type="pct"/>
                  <w:shd w:val="clear" w:color="auto" w:fill="auto"/>
                  <w:noWrap/>
                  <w:vAlign w:val="bottom"/>
                </w:tcPr>
                <w:p>
                  <w:pPr>
                    <w:widowControl/>
                    <w:jc w:val="center"/>
                    <w:rPr>
                      <w:rFonts w:cs="宋体"/>
                      <w:kern w:val="0"/>
                      <w:szCs w:val="21"/>
                    </w:rPr>
                  </w:pPr>
                </w:p>
              </w:tc>
              <w:tc>
                <w:tcPr>
                  <w:tcW w:w="768" w:type="pct"/>
                  <w:shd w:val="clear" w:color="auto" w:fill="auto"/>
                  <w:noWrap/>
                  <w:vAlign w:val="bottom"/>
                </w:tcPr>
                <w:p>
                  <w:pPr>
                    <w:widowControl/>
                    <w:jc w:val="center"/>
                    <w:rPr>
                      <w:kern w:val="0"/>
                      <w:sz w:val="20"/>
                      <w:szCs w:val="20"/>
                    </w:rPr>
                  </w:pPr>
                  <w:bookmarkStart w:id="8" w:name="_GoBack"/>
                  <w:bookmarkEnd w:id="8"/>
                </w:p>
              </w:tc>
            </w:tr>
          </w:tbl>
          <w:p/>
          <w:p>
            <w:pPr>
              <w:spacing w:line="360" w:lineRule="auto"/>
              <w:ind w:firstLine="482" w:firstLineChars="200"/>
              <w:rPr>
                <w:b/>
                <w:sz w:val="24"/>
              </w:rPr>
            </w:pPr>
            <w:r>
              <w:rPr>
                <w:b/>
                <w:sz w:val="24"/>
              </w:rPr>
              <w:t>7</w:t>
            </w:r>
            <w:r>
              <w:rPr>
                <w:rFonts w:hint="eastAsia"/>
                <w:b/>
                <w:sz w:val="24"/>
              </w:rPr>
              <w:t>、公用工程</w:t>
            </w:r>
          </w:p>
          <w:p>
            <w:pPr>
              <w:spacing w:line="360" w:lineRule="auto"/>
              <w:ind w:firstLine="482" w:firstLineChars="200"/>
              <w:rPr>
                <w:b/>
                <w:sz w:val="24"/>
              </w:rPr>
            </w:pPr>
            <w:r>
              <w:rPr>
                <w:rFonts w:hint="eastAsia"/>
                <w:b/>
                <w:sz w:val="24"/>
              </w:rPr>
              <w:t>（1）给水</w:t>
            </w:r>
          </w:p>
          <w:p>
            <w:pPr>
              <w:tabs>
                <w:tab w:val="left" w:pos="970"/>
              </w:tabs>
              <w:spacing w:line="360" w:lineRule="auto"/>
              <w:ind w:firstLine="480" w:firstLineChars="200"/>
              <w:rPr>
                <w:sz w:val="24"/>
              </w:rPr>
            </w:pPr>
            <w:r>
              <w:rPr>
                <w:rFonts w:hint="eastAsia"/>
                <w:sz w:val="24"/>
              </w:rPr>
              <w:t>项目用水均由市政管网供应，用水主要为生活用水、生产用水（设备清洗用水）。一期工程劳动定员</w:t>
            </w:r>
            <w:r>
              <w:rPr>
                <w:sz w:val="24"/>
              </w:rPr>
              <w:t>1</w:t>
            </w:r>
            <w:r>
              <w:rPr>
                <w:rFonts w:hint="eastAsia"/>
                <w:sz w:val="24"/>
              </w:rPr>
              <w:t>5人，二期工程新增劳动人员</w:t>
            </w:r>
            <w:r>
              <w:rPr>
                <w:sz w:val="24"/>
              </w:rPr>
              <w:t>3</w:t>
            </w:r>
            <w:r>
              <w:rPr>
                <w:rFonts w:hint="eastAsia"/>
                <w:sz w:val="24"/>
              </w:rPr>
              <w:t>4人。</w:t>
            </w:r>
          </w:p>
          <w:p>
            <w:pPr>
              <w:pStyle w:val="2"/>
              <w:spacing w:line="360" w:lineRule="auto"/>
              <w:ind w:firstLine="482"/>
              <w:rPr>
                <w:b/>
                <w:bCs/>
                <w:sz w:val="24"/>
              </w:rPr>
            </w:pPr>
            <w:r>
              <w:rPr>
                <w:rFonts w:hint="eastAsia"/>
                <w:b/>
                <w:bCs/>
                <w:sz w:val="24"/>
              </w:rPr>
              <w:t>一期工程：</w:t>
            </w:r>
            <w:r>
              <w:rPr>
                <w:b/>
                <w:bCs/>
                <w:sz w:val="24"/>
              </w:rPr>
              <w:t xml:space="preserve"> </w:t>
            </w:r>
          </w:p>
          <w:p>
            <w:pPr>
              <w:tabs>
                <w:tab w:val="left" w:pos="970"/>
              </w:tabs>
              <w:spacing w:line="360" w:lineRule="auto"/>
              <w:ind w:firstLine="480" w:firstLineChars="200"/>
              <w:rPr>
                <w:sz w:val="24"/>
              </w:rPr>
            </w:pPr>
            <w:r>
              <w:rPr>
                <w:rFonts w:hint="eastAsia"/>
                <w:sz w:val="24"/>
              </w:rPr>
              <w:t>①生活用水</w:t>
            </w:r>
          </w:p>
          <w:p>
            <w:pPr>
              <w:tabs>
                <w:tab w:val="left" w:pos="970"/>
              </w:tabs>
              <w:spacing w:line="360" w:lineRule="auto"/>
              <w:ind w:firstLine="480" w:firstLineChars="200"/>
              <w:rPr>
                <w:sz w:val="24"/>
              </w:rPr>
            </w:pPr>
            <w:r>
              <w:rPr>
                <w:sz w:val="24"/>
              </w:rPr>
              <w:t>根据《内蒙古自治区行业用水定额（2019</w:t>
            </w:r>
            <w:r>
              <w:rPr>
                <w:rFonts w:hint="eastAsia"/>
                <w:sz w:val="24"/>
              </w:rPr>
              <w:t>年版</w:t>
            </w:r>
            <w:r>
              <w:rPr>
                <w:sz w:val="24"/>
              </w:rPr>
              <w:t>）》</w:t>
            </w:r>
            <w:r>
              <w:rPr>
                <w:rFonts w:hint="eastAsia"/>
                <w:sz w:val="24"/>
              </w:rPr>
              <w:t>，工作人员用水量一般为6</w:t>
            </w:r>
            <w:r>
              <w:rPr>
                <w:sz w:val="24"/>
              </w:rPr>
              <w:t>0</w:t>
            </w:r>
            <w:r>
              <w:rPr>
                <w:rFonts w:hint="eastAsia"/>
                <w:sz w:val="24"/>
              </w:rPr>
              <w:t>~</w:t>
            </w:r>
            <w:r>
              <w:rPr>
                <w:sz w:val="24"/>
              </w:rPr>
              <w:t>80L/人·d</w:t>
            </w:r>
            <w:r>
              <w:rPr>
                <w:rFonts w:hint="eastAsia"/>
                <w:sz w:val="24"/>
              </w:rPr>
              <w:t>，考虑到本项目为食品加工类，工作人员清洗用水量较大，本次评价工作人员生活用水量取最大</w:t>
            </w:r>
            <w:r>
              <w:rPr>
                <w:sz w:val="24"/>
              </w:rPr>
              <w:t>80L/</w:t>
            </w:r>
            <w:r>
              <w:rPr>
                <w:rFonts w:hint="eastAsia"/>
                <w:sz w:val="24"/>
              </w:rPr>
              <w:t>人﹒</w:t>
            </w:r>
            <w:r>
              <w:rPr>
                <w:sz w:val="24"/>
              </w:rPr>
              <w:t>d</w:t>
            </w:r>
            <w:r>
              <w:rPr>
                <w:rFonts w:hint="eastAsia"/>
                <w:sz w:val="24"/>
              </w:rPr>
              <w:t>，一期工人</w:t>
            </w:r>
            <w:r>
              <w:rPr>
                <w:sz w:val="24"/>
              </w:rPr>
              <w:t>15</w:t>
            </w:r>
            <w:r>
              <w:rPr>
                <w:rFonts w:hint="eastAsia"/>
                <w:sz w:val="24"/>
              </w:rPr>
              <w:t>人，年工作</w:t>
            </w:r>
            <w:r>
              <w:rPr>
                <w:sz w:val="24"/>
              </w:rPr>
              <w:t>3</w:t>
            </w:r>
            <w:r>
              <w:rPr>
                <w:rFonts w:hint="eastAsia"/>
                <w:sz w:val="24"/>
              </w:rPr>
              <w:t>0</w:t>
            </w:r>
            <w:r>
              <w:rPr>
                <w:sz w:val="24"/>
              </w:rPr>
              <w:t>0d</w:t>
            </w:r>
            <w:r>
              <w:rPr>
                <w:rFonts w:hint="eastAsia"/>
                <w:sz w:val="24"/>
              </w:rPr>
              <w:t>，则本项目生活用水量为1</w:t>
            </w:r>
            <w:r>
              <w:rPr>
                <w:sz w:val="24"/>
              </w:rPr>
              <w:t>.2</w:t>
            </w:r>
            <w:r>
              <w:rPr>
                <w:rFonts w:hint="eastAsia"/>
                <w:sz w:val="24"/>
              </w:rPr>
              <w:t>m</w:t>
            </w:r>
            <w:r>
              <w:rPr>
                <w:sz w:val="24"/>
                <w:vertAlign w:val="superscript"/>
              </w:rPr>
              <w:t>3</w:t>
            </w:r>
            <w:r>
              <w:rPr>
                <w:sz w:val="24"/>
              </w:rPr>
              <w:t>/d</w:t>
            </w:r>
            <w:r>
              <w:rPr>
                <w:rFonts w:hint="eastAsia"/>
                <w:sz w:val="24"/>
              </w:rPr>
              <w:t>（</w:t>
            </w:r>
            <w:r>
              <w:rPr>
                <w:sz w:val="24"/>
              </w:rPr>
              <w:t>360t/a</w:t>
            </w:r>
            <w:r>
              <w:rPr>
                <w:rFonts w:hint="eastAsia"/>
                <w:sz w:val="24"/>
              </w:rPr>
              <w:t>）。</w:t>
            </w:r>
          </w:p>
          <w:p>
            <w:pPr>
              <w:tabs>
                <w:tab w:val="left" w:pos="970"/>
              </w:tabs>
              <w:spacing w:line="360" w:lineRule="auto"/>
              <w:ind w:firstLine="480" w:firstLineChars="200"/>
              <w:rPr>
                <w:sz w:val="24"/>
              </w:rPr>
            </w:pPr>
            <w:r>
              <w:rPr>
                <w:rFonts w:hint="eastAsia"/>
                <w:sz w:val="24"/>
              </w:rPr>
              <w:t>②生产用水</w:t>
            </w:r>
          </w:p>
          <w:p>
            <w:pPr>
              <w:tabs>
                <w:tab w:val="left" w:pos="970"/>
              </w:tabs>
              <w:spacing w:line="360" w:lineRule="auto"/>
              <w:ind w:firstLine="480" w:firstLineChars="200"/>
              <w:rPr>
                <w:sz w:val="24"/>
              </w:rPr>
            </w:pPr>
            <w:r>
              <w:rPr>
                <w:rFonts w:hint="eastAsia"/>
                <w:sz w:val="24"/>
              </w:rPr>
              <w:t>本项目各品种产品的生产</w:t>
            </w:r>
            <w:r>
              <w:rPr>
                <w:sz w:val="24"/>
              </w:rPr>
              <w:t>设备</w:t>
            </w:r>
            <w:r>
              <w:rPr>
                <w:rFonts w:hint="eastAsia"/>
                <w:sz w:val="24"/>
              </w:rPr>
              <w:t>更换批次或者更换生产品种需要对设备进行冲洗，奶油制品、复合调味料清洗方式：第一次使用热水冲洗，第二次使用洗洁精清洗，第三次是清水清洗；根据建设单位提供的经验值，食品用香精清洗方式：用纸巾擦拭需清洗的工器具→回收纸巾→用食用酒精喷洒工器具后再用纸巾擦拭→回收纸巾→用少量洗洁精水清洗擦拭→回收废水和纸巾→用少量的清水冲洗，根据建设单位提供的经验数值，以上清洗用水定额约1m</w:t>
            </w:r>
            <w:r>
              <w:rPr>
                <w:sz w:val="24"/>
                <w:vertAlign w:val="superscript"/>
              </w:rPr>
              <w:t>3</w:t>
            </w:r>
            <w:r>
              <w:rPr>
                <w:sz w:val="24"/>
              </w:rPr>
              <w:t>/</w:t>
            </w:r>
            <w:r>
              <w:rPr>
                <w:rFonts w:hint="eastAsia"/>
                <w:sz w:val="24"/>
              </w:rPr>
              <w:t>t·产品，一期工程总产品生产规模约3</w:t>
            </w:r>
            <w:r>
              <w:rPr>
                <w:sz w:val="24"/>
              </w:rPr>
              <w:t>20</w:t>
            </w:r>
            <w:r>
              <w:rPr>
                <w:rFonts w:hint="eastAsia"/>
                <w:sz w:val="24"/>
              </w:rPr>
              <w:t>t</w:t>
            </w:r>
            <w:r>
              <w:rPr>
                <w:sz w:val="24"/>
              </w:rPr>
              <w:t>/</w:t>
            </w:r>
            <w:r>
              <w:rPr>
                <w:rFonts w:hint="eastAsia"/>
                <w:sz w:val="24"/>
              </w:rPr>
              <w:t>a，则消耗</w:t>
            </w:r>
            <w:r>
              <w:rPr>
                <w:sz w:val="24"/>
              </w:rPr>
              <w:t>320</w:t>
            </w:r>
            <w:r>
              <w:rPr>
                <w:rFonts w:hint="eastAsia"/>
                <w:sz w:val="24"/>
              </w:rPr>
              <w:t>t</w:t>
            </w:r>
            <w:r>
              <w:rPr>
                <w:sz w:val="24"/>
              </w:rPr>
              <w:t>/</w:t>
            </w:r>
            <w:r>
              <w:rPr>
                <w:rFonts w:hint="eastAsia"/>
                <w:sz w:val="24"/>
              </w:rPr>
              <w:t>a，</w:t>
            </w:r>
            <w:r>
              <w:rPr>
                <w:sz w:val="24"/>
              </w:rPr>
              <w:t>1.1</w:t>
            </w:r>
            <w:r>
              <w:rPr>
                <w:rFonts w:hint="eastAsia"/>
                <w:sz w:val="24"/>
              </w:rPr>
              <w:t>m</w:t>
            </w:r>
            <w:r>
              <w:rPr>
                <w:sz w:val="24"/>
                <w:vertAlign w:val="superscript"/>
              </w:rPr>
              <w:t>3</w:t>
            </w:r>
            <w:r>
              <w:rPr>
                <w:sz w:val="24"/>
              </w:rPr>
              <w:t>/</w:t>
            </w:r>
            <w:r>
              <w:rPr>
                <w:rFonts w:hint="eastAsia"/>
                <w:sz w:val="24"/>
              </w:rPr>
              <w:t>d。</w:t>
            </w:r>
          </w:p>
          <w:p>
            <w:pPr>
              <w:tabs>
                <w:tab w:val="left" w:pos="970"/>
              </w:tabs>
              <w:spacing w:line="360" w:lineRule="auto"/>
              <w:ind w:firstLine="480" w:firstLineChars="200"/>
              <w:rPr>
                <w:sz w:val="24"/>
              </w:rPr>
            </w:pPr>
            <w:r>
              <w:rPr>
                <w:rFonts w:hint="eastAsia"/>
                <w:sz w:val="24"/>
              </w:rPr>
              <w:t>另生产工艺中需加入纯净水，纯净水全部外购桶装水，用量</w:t>
            </w:r>
            <w:r>
              <w:rPr>
                <w:sz w:val="24"/>
              </w:rPr>
              <w:t>6</w:t>
            </w:r>
            <w:r>
              <w:rPr>
                <w:rFonts w:hint="eastAsia"/>
                <w:sz w:val="24"/>
              </w:rPr>
              <w:t>吨/年，全部消耗。</w:t>
            </w:r>
          </w:p>
          <w:p>
            <w:pPr>
              <w:pStyle w:val="2"/>
              <w:spacing w:line="360" w:lineRule="auto"/>
              <w:ind w:firstLine="480"/>
              <w:rPr>
                <w:sz w:val="24"/>
              </w:rPr>
            </w:pPr>
            <w:r>
              <w:rPr>
                <w:rFonts w:hint="eastAsia"/>
                <w:sz w:val="24"/>
              </w:rPr>
              <w:t>实验室用水量约0</w:t>
            </w:r>
            <w:r>
              <w:rPr>
                <w:sz w:val="24"/>
              </w:rPr>
              <w:t>.02</w:t>
            </w:r>
            <w:r>
              <w:rPr>
                <w:rFonts w:hint="eastAsia"/>
                <w:sz w:val="24"/>
              </w:rPr>
              <w:t>m</w:t>
            </w:r>
            <w:r>
              <w:rPr>
                <w:sz w:val="24"/>
                <w:vertAlign w:val="superscript"/>
              </w:rPr>
              <w:t>3</w:t>
            </w:r>
            <w:r>
              <w:rPr>
                <w:sz w:val="24"/>
              </w:rPr>
              <w:t>/</w:t>
            </w:r>
            <w:r>
              <w:rPr>
                <w:rFonts w:hint="eastAsia"/>
                <w:sz w:val="24"/>
              </w:rPr>
              <w:t>d，主要为实验室检验用水和清洗用水，其中检验用水采用纯水，清洗用水采用自来水。</w:t>
            </w:r>
          </w:p>
          <w:p>
            <w:pPr>
              <w:spacing w:line="360" w:lineRule="auto"/>
              <w:ind w:firstLine="482" w:firstLineChars="200"/>
              <w:rPr>
                <w:b/>
                <w:sz w:val="24"/>
              </w:rPr>
            </w:pPr>
            <w:r>
              <w:rPr>
                <w:rFonts w:hint="eastAsia"/>
                <w:b/>
                <w:sz w:val="24"/>
              </w:rPr>
              <w:t>（2）排水</w:t>
            </w:r>
          </w:p>
          <w:p>
            <w:pPr>
              <w:autoSpaceDE w:val="0"/>
              <w:autoSpaceDN w:val="0"/>
              <w:spacing w:line="360" w:lineRule="auto"/>
              <w:ind w:firstLine="480" w:firstLineChars="200"/>
              <w:rPr>
                <w:kern w:val="0"/>
                <w:sz w:val="24"/>
              </w:rPr>
            </w:pPr>
            <w:r>
              <w:rPr>
                <w:rFonts w:hint="eastAsia"/>
                <w:kern w:val="0"/>
                <w:sz w:val="24"/>
              </w:rPr>
              <w:t>本项目产生的废水包括设备清洗废水、生活污水。</w:t>
            </w:r>
          </w:p>
          <w:p>
            <w:pPr>
              <w:pStyle w:val="72"/>
              <w:numPr>
                <w:ilvl w:val="0"/>
                <w:numId w:val="4"/>
              </w:numPr>
              <w:autoSpaceDE w:val="0"/>
              <w:autoSpaceDN w:val="0"/>
              <w:spacing w:line="360" w:lineRule="auto"/>
              <w:ind w:firstLineChars="0"/>
              <w:rPr>
                <w:kern w:val="0"/>
                <w:sz w:val="24"/>
              </w:rPr>
            </w:pPr>
            <w:r>
              <w:rPr>
                <w:rFonts w:hint="eastAsia"/>
                <w:kern w:val="0"/>
                <w:sz w:val="24"/>
              </w:rPr>
              <w:t>设备清洗废水</w:t>
            </w:r>
          </w:p>
          <w:p>
            <w:pPr>
              <w:autoSpaceDE w:val="0"/>
              <w:autoSpaceDN w:val="0"/>
              <w:spacing w:line="360" w:lineRule="auto"/>
              <w:ind w:firstLine="480" w:firstLineChars="200"/>
              <w:rPr>
                <w:sz w:val="24"/>
              </w:rPr>
            </w:pPr>
            <w:r>
              <w:rPr>
                <w:rFonts w:hint="eastAsia"/>
                <w:sz w:val="24"/>
              </w:rPr>
              <w:t>清洗废水按使用量的</w:t>
            </w:r>
            <w:r>
              <w:rPr>
                <w:sz w:val="24"/>
              </w:rPr>
              <w:t>90%</w:t>
            </w:r>
            <w:r>
              <w:rPr>
                <w:rFonts w:hint="eastAsia"/>
                <w:sz w:val="24"/>
              </w:rPr>
              <w:t>计，设备清洗废水量为</w:t>
            </w:r>
            <w:r>
              <w:rPr>
                <w:sz w:val="24"/>
              </w:rPr>
              <w:t>1.0</w:t>
            </w:r>
            <w:r>
              <w:rPr>
                <w:rFonts w:hint="eastAsia"/>
                <w:sz w:val="24"/>
              </w:rPr>
              <w:t>m</w:t>
            </w:r>
            <w:r>
              <w:rPr>
                <w:sz w:val="24"/>
                <w:vertAlign w:val="superscript"/>
              </w:rPr>
              <w:t>3</w:t>
            </w:r>
            <w:r>
              <w:rPr>
                <w:sz w:val="24"/>
              </w:rPr>
              <w:t>/</w:t>
            </w:r>
            <w:r>
              <w:rPr>
                <w:rFonts w:hint="eastAsia"/>
                <w:sz w:val="24"/>
              </w:rPr>
              <w:t>d（3</w:t>
            </w:r>
            <w:r>
              <w:rPr>
                <w:sz w:val="24"/>
              </w:rPr>
              <w:t>00</w:t>
            </w:r>
            <w:r>
              <w:rPr>
                <w:rFonts w:hint="eastAsia"/>
                <w:sz w:val="24"/>
              </w:rPr>
              <w:t>m</w:t>
            </w:r>
            <w:r>
              <w:rPr>
                <w:sz w:val="24"/>
                <w:vertAlign w:val="superscript"/>
              </w:rPr>
              <w:t>3</w:t>
            </w:r>
            <w:r>
              <w:rPr>
                <w:sz w:val="24"/>
              </w:rPr>
              <w:t>/</w:t>
            </w:r>
            <w:r>
              <w:rPr>
                <w:rFonts w:hint="eastAsia"/>
                <w:sz w:val="24"/>
              </w:rPr>
              <w:t>a）。清洗废水经厂区污水处理站处理达标后，排入镶黄旗</w:t>
            </w:r>
            <w:r>
              <w:rPr>
                <w:sz w:val="24"/>
              </w:rPr>
              <w:t>污水处理厂。</w:t>
            </w:r>
            <w:r>
              <w:rPr>
                <w:rFonts w:hint="eastAsia"/>
                <w:sz w:val="24"/>
              </w:rPr>
              <w:t>待园区集中污水处理厂投入运行后，接入园区污水处理厂集中处置。</w:t>
            </w:r>
          </w:p>
          <w:p>
            <w:pPr>
              <w:pStyle w:val="72"/>
              <w:numPr>
                <w:ilvl w:val="0"/>
                <w:numId w:val="4"/>
              </w:numPr>
              <w:autoSpaceDE w:val="0"/>
              <w:autoSpaceDN w:val="0"/>
              <w:spacing w:line="360" w:lineRule="auto"/>
              <w:ind w:firstLineChars="0"/>
              <w:rPr>
                <w:kern w:val="0"/>
                <w:sz w:val="24"/>
              </w:rPr>
            </w:pPr>
            <w:r>
              <w:rPr>
                <w:rFonts w:hint="eastAsia"/>
                <w:kern w:val="0"/>
                <w:sz w:val="24"/>
              </w:rPr>
              <w:t>生活污水</w:t>
            </w:r>
          </w:p>
          <w:p>
            <w:pPr>
              <w:autoSpaceDE w:val="0"/>
              <w:autoSpaceDN w:val="0"/>
              <w:spacing w:line="360" w:lineRule="auto"/>
              <w:ind w:firstLine="480" w:firstLineChars="200"/>
              <w:rPr>
                <w:sz w:val="24"/>
              </w:rPr>
            </w:pPr>
            <w:r>
              <w:rPr>
                <w:rFonts w:hint="eastAsia"/>
                <w:kern w:val="0"/>
                <w:sz w:val="24"/>
              </w:rPr>
              <w:t>生活污水产生系数以0.8</w:t>
            </w:r>
            <w:r>
              <w:rPr>
                <w:kern w:val="0"/>
                <w:sz w:val="24"/>
              </w:rPr>
              <w:t>0</w:t>
            </w:r>
            <w:r>
              <w:rPr>
                <w:rFonts w:hint="eastAsia"/>
                <w:kern w:val="0"/>
                <w:sz w:val="24"/>
              </w:rPr>
              <w:t>计，约</w:t>
            </w:r>
            <w:r>
              <w:rPr>
                <w:sz w:val="24"/>
              </w:rPr>
              <w:t>1.0</w:t>
            </w:r>
            <w:r>
              <w:rPr>
                <w:rFonts w:hint="eastAsia"/>
                <w:sz w:val="24"/>
              </w:rPr>
              <w:t>m</w:t>
            </w:r>
            <w:r>
              <w:rPr>
                <w:sz w:val="24"/>
                <w:vertAlign w:val="superscript"/>
              </w:rPr>
              <w:t>3</w:t>
            </w:r>
            <w:r>
              <w:rPr>
                <w:sz w:val="24"/>
              </w:rPr>
              <w:t>/d</w:t>
            </w:r>
            <w:r>
              <w:rPr>
                <w:rFonts w:hint="eastAsia"/>
                <w:sz w:val="24"/>
              </w:rPr>
              <w:t>（</w:t>
            </w:r>
            <w:r>
              <w:rPr>
                <w:sz w:val="24"/>
              </w:rPr>
              <w:t>300t/a</w:t>
            </w:r>
            <w:r>
              <w:rPr>
                <w:rFonts w:hint="eastAsia"/>
                <w:sz w:val="24"/>
              </w:rPr>
              <w:t>）</w:t>
            </w:r>
            <w:r>
              <w:rPr>
                <w:rFonts w:hint="eastAsia"/>
                <w:kern w:val="0"/>
                <w:sz w:val="24"/>
              </w:rPr>
              <w:t>，经化粪池沉淀后直接</w:t>
            </w:r>
            <w:r>
              <w:rPr>
                <w:sz w:val="24"/>
              </w:rPr>
              <w:t>排入</w:t>
            </w:r>
            <w:r>
              <w:rPr>
                <w:rFonts w:hint="eastAsia"/>
                <w:sz w:val="24"/>
              </w:rPr>
              <w:t>镶黄旗</w:t>
            </w:r>
            <w:r>
              <w:rPr>
                <w:sz w:val="24"/>
              </w:rPr>
              <w:t>污水处理厂。</w:t>
            </w:r>
          </w:p>
          <w:p>
            <w:pPr>
              <w:pStyle w:val="72"/>
              <w:numPr>
                <w:ilvl w:val="0"/>
                <w:numId w:val="4"/>
              </w:numPr>
              <w:autoSpaceDE w:val="0"/>
              <w:autoSpaceDN w:val="0"/>
              <w:spacing w:line="360" w:lineRule="auto"/>
              <w:ind w:firstLineChars="0"/>
              <w:rPr>
                <w:kern w:val="0"/>
                <w:sz w:val="24"/>
              </w:rPr>
            </w:pPr>
            <w:r>
              <w:rPr>
                <w:rFonts w:hint="eastAsia"/>
                <w:kern w:val="0"/>
                <w:sz w:val="24"/>
              </w:rPr>
              <w:t>实验室废水</w:t>
            </w:r>
          </w:p>
          <w:p>
            <w:pPr>
              <w:pStyle w:val="72"/>
              <w:autoSpaceDE w:val="0"/>
              <w:autoSpaceDN w:val="0"/>
              <w:spacing w:line="360" w:lineRule="auto"/>
              <w:ind w:left="145" w:firstLine="480"/>
              <w:rPr>
                <w:kern w:val="0"/>
                <w:sz w:val="24"/>
              </w:rPr>
            </w:pPr>
            <w:r>
              <w:rPr>
                <w:rFonts w:hint="eastAsia"/>
                <w:kern w:val="0"/>
                <w:sz w:val="24"/>
              </w:rPr>
              <w:t>实验室废水主要为清洗废水，废水量约为用水量的0</w:t>
            </w:r>
            <w:r>
              <w:rPr>
                <w:kern w:val="0"/>
                <w:sz w:val="24"/>
              </w:rPr>
              <w:t>.008</w:t>
            </w:r>
            <w:r>
              <w:rPr>
                <w:rFonts w:hint="eastAsia"/>
                <w:kern w:val="0"/>
                <w:sz w:val="24"/>
              </w:rPr>
              <w:t>m</w:t>
            </w:r>
            <w:r>
              <w:rPr>
                <w:kern w:val="0"/>
                <w:sz w:val="24"/>
                <w:vertAlign w:val="superscript"/>
              </w:rPr>
              <w:t>3</w:t>
            </w:r>
            <w:r>
              <w:rPr>
                <w:kern w:val="0"/>
                <w:sz w:val="24"/>
              </w:rPr>
              <w:t>/</w:t>
            </w:r>
            <w:r>
              <w:rPr>
                <w:rFonts w:hint="eastAsia"/>
                <w:kern w:val="0"/>
                <w:sz w:val="24"/>
              </w:rPr>
              <w:t>d，实验废液储存在桶内作为危险废物处置。</w:t>
            </w:r>
          </w:p>
          <w:p>
            <w:pPr>
              <w:autoSpaceDE w:val="0"/>
              <w:autoSpaceDN w:val="0"/>
              <w:spacing w:line="360" w:lineRule="auto"/>
              <w:ind w:firstLine="480" w:firstLineChars="200"/>
              <w:jc w:val="left"/>
            </w:pPr>
            <w:r>
              <w:rPr>
                <w:rFonts w:hint="eastAsia"/>
                <w:kern w:val="0"/>
                <w:sz w:val="24"/>
              </w:rPr>
              <w:t>本项目一期工程水平衡图如下所示：</w:t>
            </w:r>
          </w:p>
          <w:p>
            <w:pPr>
              <w:widowControl/>
              <w:jc w:val="left"/>
              <w:rPr>
                <w:rFonts w:cs="宋体"/>
                <w:kern w:val="0"/>
                <w:sz w:val="24"/>
              </w:rPr>
            </w:pPr>
            <w:r>
              <w:rPr>
                <w:rFonts w:cs="宋体"/>
                <w:kern w:val="0"/>
                <w:sz w:val="24"/>
              </w:rPr>
              <w:drawing>
                <wp:inline distT="0" distB="0" distL="0" distR="0">
                  <wp:extent cx="5177790" cy="2344420"/>
                  <wp:effectExtent l="0" t="0" r="3810" b="0"/>
                  <wp:docPr id="177415098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50984" name="图片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86320" cy="2348622"/>
                          </a:xfrm>
                          <a:prstGeom prst="rect">
                            <a:avLst/>
                          </a:prstGeom>
                          <a:noFill/>
                          <a:ln>
                            <a:noFill/>
                          </a:ln>
                        </pic:spPr>
                      </pic:pic>
                    </a:graphicData>
                  </a:graphic>
                </wp:inline>
              </w:drawing>
            </w:r>
          </w:p>
          <w:p>
            <w:pPr>
              <w:widowControl/>
              <w:jc w:val="left"/>
              <w:rPr>
                <w:rFonts w:cs="宋体"/>
                <w:kern w:val="0"/>
                <w:sz w:val="24"/>
              </w:rPr>
            </w:pPr>
          </w:p>
          <w:p>
            <w:pPr>
              <w:widowControl/>
              <w:jc w:val="left"/>
              <w:rPr>
                <w:rFonts w:cs="宋体"/>
                <w:kern w:val="0"/>
                <w:sz w:val="24"/>
              </w:rPr>
            </w:pPr>
          </w:p>
          <w:p>
            <w:pPr>
              <w:pStyle w:val="3"/>
              <w:jc w:val="center"/>
              <w:rPr>
                <w:b/>
                <w:bCs/>
                <w:szCs w:val="24"/>
              </w:rPr>
            </w:pPr>
            <w:r>
              <w:rPr>
                <w:rFonts w:hint="eastAsia"/>
                <w:b/>
                <w:bCs/>
                <w:szCs w:val="24"/>
              </w:rPr>
              <w:t>图2</w:t>
            </w:r>
            <w:r>
              <w:rPr>
                <w:b/>
                <w:bCs/>
                <w:szCs w:val="24"/>
              </w:rPr>
              <w:t xml:space="preserve">-1 </w:t>
            </w:r>
            <w:r>
              <w:rPr>
                <w:rFonts w:hint="eastAsia"/>
                <w:b/>
                <w:bCs/>
                <w:szCs w:val="24"/>
              </w:rPr>
              <w:t>一期工程水平衡图 单位：m</w:t>
            </w:r>
            <w:r>
              <w:rPr>
                <w:b/>
                <w:bCs/>
                <w:szCs w:val="24"/>
                <w:vertAlign w:val="superscript"/>
              </w:rPr>
              <w:t>3</w:t>
            </w:r>
            <w:r>
              <w:rPr>
                <w:b/>
                <w:bCs/>
                <w:szCs w:val="24"/>
              </w:rPr>
              <w:t>/</w:t>
            </w:r>
            <w:r>
              <w:rPr>
                <w:rFonts w:hint="eastAsia"/>
                <w:b/>
                <w:bCs/>
                <w:szCs w:val="24"/>
              </w:rPr>
              <w:t>d</w:t>
            </w:r>
          </w:p>
          <w:p>
            <w:pPr>
              <w:autoSpaceDE w:val="0"/>
              <w:autoSpaceDN w:val="0"/>
              <w:spacing w:line="360" w:lineRule="auto"/>
              <w:ind w:firstLine="482" w:firstLineChars="200"/>
              <w:rPr>
                <w:b/>
                <w:bCs/>
                <w:kern w:val="0"/>
                <w:sz w:val="24"/>
              </w:rPr>
            </w:pPr>
            <w:r>
              <w:rPr>
                <w:rFonts w:hint="eastAsia"/>
                <w:b/>
                <w:bCs/>
                <w:kern w:val="0"/>
                <w:sz w:val="24"/>
              </w:rPr>
              <w:t>二期工程：</w:t>
            </w:r>
          </w:p>
          <w:p>
            <w:pPr>
              <w:tabs>
                <w:tab w:val="left" w:pos="970"/>
              </w:tabs>
              <w:spacing w:line="360" w:lineRule="auto"/>
              <w:ind w:firstLine="480" w:firstLineChars="200"/>
              <w:rPr>
                <w:sz w:val="24"/>
              </w:rPr>
            </w:pPr>
            <w:r>
              <w:rPr>
                <w:rFonts w:hint="eastAsia"/>
                <w:sz w:val="24"/>
              </w:rPr>
              <w:t>（1）用水</w:t>
            </w:r>
          </w:p>
          <w:p>
            <w:pPr>
              <w:tabs>
                <w:tab w:val="left" w:pos="970"/>
              </w:tabs>
              <w:spacing w:line="360" w:lineRule="auto"/>
              <w:ind w:firstLine="480" w:firstLineChars="200"/>
              <w:rPr>
                <w:sz w:val="24"/>
              </w:rPr>
            </w:pPr>
            <w:r>
              <w:rPr>
                <w:rFonts w:hint="eastAsia"/>
                <w:sz w:val="24"/>
              </w:rPr>
              <w:t>①生活用水</w:t>
            </w:r>
          </w:p>
          <w:p>
            <w:pPr>
              <w:tabs>
                <w:tab w:val="left" w:pos="970"/>
              </w:tabs>
              <w:spacing w:line="360" w:lineRule="auto"/>
              <w:ind w:firstLine="480" w:firstLineChars="200"/>
              <w:rPr>
                <w:sz w:val="24"/>
              </w:rPr>
            </w:pPr>
            <w:r>
              <w:rPr>
                <w:sz w:val="24"/>
              </w:rPr>
              <w:t>根据《内蒙古自治区行业用水定额（2019</w:t>
            </w:r>
            <w:r>
              <w:rPr>
                <w:rFonts w:hint="eastAsia"/>
                <w:sz w:val="24"/>
              </w:rPr>
              <w:t>年版</w:t>
            </w:r>
            <w:r>
              <w:rPr>
                <w:sz w:val="24"/>
              </w:rPr>
              <w:t>）》</w:t>
            </w:r>
            <w:r>
              <w:rPr>
                <w:rFonts w:hint="eastAsia"/>
                <w:sz w:val="24"/>
              </w:rPr>
              <w:t>，工作人员用水量一般为6</w:t>
            </w:r>
            <w:r>
              <w:rPr>
                <w:sz w:val="24"/>
              </w:rPr>
              <w:t>0</w:t>
            </w:r>
            <w:r>
              <w:rPr>
                <w:rFonts w:hint="eastAsia"/>
                <w:sz w:val="24"/>
              </w:rPr>
              <w:t>~</w:t>
            </w:r>
            <w:r>
              <w:rPr>
                <w:sz w:val="24"/>
              </w:rPr>
              <w:t>80L/人·d</w:t>
            </w:r>
            <w:r>
              <w:rPr>
                <w:rFonts w:hint="eastAsia"/>
                <w:sz w:val="24"/>
              </w:rPr>
              <w:t>，考虑到本项目为食品加工类，工作人员清洗用水量较大，本次评价工作人员生活用水量取最大</w:t>
            </w:r>
            <w:r>
              <w:rPr>
                <w:sz w:val="24"/>
              </w:rPr>
              <w:t>80L/</w:t>
            </w:r>
            <w:r>
              <w:rPr>
                <w:rFonts w:hint="eastAsia"/>
                <w:sz w:val="24"/>
              </w:rPr>
              <w:t>人﹒</w:t>
            </w:r>
            <w:r>
              <w:rPr>
                <w:sz w:val="24"/>
              </w:rPr>
              <w:t>d</w:t>
            </w:r>
            <w:r>
              <w:rPr>
                <w:rFonts w:hint="eastAsia"/>
                <w:sz w:val="24"/>
              </w:rPr>
              <w:t>，一期工人</w:t>
            </w:r>
            <w:r>
              <w:rPr>
                <w:sz w:val="24"/>
              </w:rPr>
              <w:t>34</w:t>
            </w:r>
            <w:r>
              <w:rPr>
                <w:rFonts w:hint="eastAsia"/>
                <w:sz w:val="24"/>
              </w:rPr>
              <w:t>人，年工作</w:t>
            </w:r>
            <w:r>
              <w:rPr>
                <w:sz w:val="24"/>
              </w:rPr>
              <w:t>3</w:t>
            </w:r>
            <w:r>
              <w:rPr>
                <w:rFonts w:hint="eastAsia"/>
                <w:sz w:val="24"/>
              </w:rPr>
              <w:t>0</w:t>
            </w:r>
            <w:r>
              <w:rPr>
                <w:sz w:val="24"/>
              </w:rPr>
              <w:t>0d</w:t>
            </w:r>
            <w:r>
              <w:rPr>
                <w:rFonts w:hint="eastAsia"/>
                <w:sz w:val="24"/>
              </w:rPr>
              <w:t>，则本项目生活用水量为</w:t>
            </w:r>
            <w:r>
              <w:rPr>
                <w:sz w:val="24"/>
              </w:rPr>
              <w:t>2.7</w:t>
            </w:r>
            <w:r>
              <w:rPr>
                <w:rFonts w:hint="eastAsia"/>
                <w:sz w:val="24"/>
              </w:rPr>
              <w:t>m</w:t>
            </w:r>
            <w:r>
              <w:rPr>
                <w:sz w:val="24"/>
                <w:vertAlign w:val="superscript"/>
              </w:rPr>
              <w:t>3</w:t>
            </w:r>
            <w:r>
              <w:rPr>
                <w:sz w:val="24"/>
              </w:rPr>
              <w:t>/d</w:t>
            </w:r>
            <w:r>
              <w:rPr>
                <w:rFonts w:hint="eastAsia"/>
                <w:sz w:val="24"/>
              </w:rPr>
              <w:t>（</w:t>
            </w:r>
            <w:r>
              <w:rPr>
                <w:sz w:val="24"/>
              </w:rPr>
              <w:t>816t/a</w:t>
            </w:r>
            <w:r>
              <w:rPr>
                <w:rFonts w:hint="eastAsia"/>
                <w:sz w:val="24"/>
              </w:rPr>
              <w:t>）。</w:t>
            </w:r>
          </w:p>
          <w:p>
            <w:pPr>
              <w:pStyle w:val="72"/>
              <w:numPr>
                <w:ilvl w:val="0"/>
                <w:numId w:val="4"/>
              </w:numPr>
              <w:tabs>
                <w:tab w:val="left" w:pos="970"/>
              </w:tabs>
              <w:spacing w:line="360" w:lineRule="auto"/>
              <w:ind w:firstLineChars="0"/>
              <w:rPr>
                <w:sz w:val="24"/>
              </w:rPr>
            </w:pPr>
            <w:r>
              <w:rPr>
                <w:rFonts w:hint="eastAsia"/>
                <w:sz w:val="24"/>
              </w:rPr>
              <w:t>生产用水</w:t>
            </w:r>
          </w:p>
          <w:p>
            <w:pPr>
              <w:tabs>
                <w:tab w:val="left" w:pos="970"/>
              </w:tabs>
              <w:spacing w:line="360" w:lineRule="auto"/>
              <w:ind w:firstLine="480" w:firstLineChars="200"/>
              <w:rPr>
                <w:sz w:val="24"/>
              </w:rPr>
            </w:pPr>
            <w:r>
              <w:rPr>
                <w:rFonts w:hint="eastAsia"/>
                <w:sz w:val="24"/>
              </w:rPr>
              <w:t>二期工程清洗方式同一期，根据建设单位提供的经验值，用水定额约1m</w:t>
            </w:r>
            <w:r>
              <w:rPr>
                <w:sz w:val="24"/>
                <w:vertAlign w:val="superscript"/>
              </w:rPr>
              <w:t>3</w:t>
            </w:r>
            <w:r>
              <w:rPr>
                <w:sz w:val="24"/>
              </w:rPr>
              <w:t>/</w:t>
            </w:r>
            <w:r>
              <w:rPr>
                <w:rFonts w:hint="eastAsia"/>
                <w:sz w:val="24"/>
              </w:rPr>
              <w:t>t·产品，二期工程总产品生产规模约</w:t>
            </w:r>
            <w:r>
              <w:rPr>
                <w:sz w:val="24"/>
              </w:rPr>
              <w:t>820</w:t>
            </w:r>
            <w:r>
              <w:rPr>
                <w:rFonts w:hint="eastAsia"/>
                <w:sz w:val="24"/>
              </w:rPr>
              <w:t>t</w:t>
            </w:r>
            <w:r>
              <w:rPr>
                <w:sz w:val="24"/>
              </w:rPr>
              <w:t>/</w:t>
            </w:r>
            <w:r>
              <w:rPr>
                <w:rFonts w:hint="eastAsia"/>
                <w:sz w:val="24"/>
              </w:rPr>
              <w:t>a，则消耗</w:t>
            </w:r>
            <w:r>
              <w:rPr>
                <w:sz w:val="24"/>
              </w:rPr>
              <w:t>820</w:t>
            </w:r>
            <w:r>
              <w:rPr>
                <w:rFonts w:hint="eastAsia"/>
                <w:sz w:val="24"/>
              </w:rPr>
              <w:t>t</w:t>
            </w:r>
            <w:r>
              <w:rPr>
                <w:sz w:val="24"/>
              </w:rPr>
              <w:t>/</w:t>
            </w:r>
            <w:r>
              <w:rPr>
                <w:rFonts w:hint="eastAsia"/>
                <w:sz w:val="24"/>
              </w:rPr>
              <w:t>a，</w:t>
            </w:r>
            <w:r>
              <w:rPr>
                <w:sz w:val="24"/>
              </w:rPr>
              <w:t>2.7</w:t>
            </w:r>
            <w:r>
              <w:rPr>
                <w:rFonts w:hint="eastAsia"/>
                <w:sz w:val="24"/>
              </w:rPr>
              <w:t>m</w:t>
            </w:r>
            <w:r>
              <w:rPr>
                <w:sz w:val="24"/>
                <w:vertAlign w:val="superscript"/>
              </w:rPr>
              <w:t>3</w:t>
            </w:r>
            <w:r>
              <w:rPr>
                <w:sz w:val="24"/>
              </w:rPr>
              <w:t>/</w:t>
            </w:r>
            <w:r>
              <w:rPr>
                <w:rFonts w:hint="eastAsia"/>
                <w:sz w:val="24"/>
              </w:rPr>
              <w:t>d。</w:t>
            </w:r>
          </w:p>
          <w:p>
            <w:pPr>
              <w:tabs>
                <w:tab w:val="left" w:pos="970"/>
              </w:tabs>
              <w:spacing w:line="360" w:lineRule="auto"/>
              <w:ind w:firstLine="480" w:firstLineChars="200"/>
              <w:rPr>
                <w:sz w:val="24"/>
              </w:rPr>
            </w:pPr>
            <w:r>
              <w:rPr>
                <w:rFonts w:hint="eastAsia"/>
                <w:sz w:val="24"/>
              </w:rPr>
              <w:t>另生产工艺中需加入纯净水，纯净水全部外购桶装水，用量</w:t>
            </w:r>
            <w:r>
              <w:rPr>
                <w:sz w:val="24"/>
              </w:rPr>
              <w:t>4</w:t>
            </w:r>
            <w:r>
              <w:rPr>
                <w:rFonts w:hint="eastAsia"/>
                <w:sz w:val="24"/>
              </w:rPr>
              <w:t>吨/年，全部消耗。</w:t>
            </w:r>
          </w:p>
          <w:p>
            <w:pPr>
              <w:spacing w:line="360" w:lineRule="auto"/>
              <w:ind w:firstLine="482" w:firstLineChars="200"/>
              <w:rPr>
                <w:b/>
                <w:sz w:val="24"/>
              </w:rPr>
            </w:pPr>
            <w:r>
              <w:rPr>
                <w:rFonts w:hint="eastAsia"/>
                <w:b/>
                <w:sz w:val="24"/>
              </w:rPr>
              <w:t>（2）排水</w:t>
            </w:r>
          </w:p>
          <w:p>
            <w:pPr>
              <w:autoSpaceDE w:val="0"/>
              <w:autoSpaceDN w:val="0"/>
              <w:spacing w:line="360" w:lineRule="auto"/>
              <w:ind w:firstLine="480" w:firstLineChars="200"/>
              <w:rPr>
                <w:kern w:val="0"/>
                <w:sz w:val="24"/>
              </w:rPr>
            </w:pPr>
            <w:r>
              <w:rPr>
                <w:rFonts w:hint="eastAsia"/>
                <w:kern w:val="0"/>
                <w:sz w:val="24"/>
              </w:rPr>
              <w:t>本项目产生的废水包括设备清洗废水、生活污水。</w:t>
            </w:r>
          </w:p>
          <w:p>
            <w:pPr>
              <w:pStyle w:val="72"/>
              <w:numPr>
                <w:ilvl w:val="0"/>
                <w:numId w:val="5"/>
              </w:numPr>
              <w:autoSpaceDE w:val="0"/>
              <w:autoSpaceDN w:val="0"/>
              <w:spacing w:line="360" w:lineRule="auto"/>
              <w:ind w:firstLineChars="0"/>
              <w:rPr>
                <w:kern w:val="0"/>
                <w:sz w:val="24"/>
              </w:rPr>
            </w:pPr>
            <w:r>
              <w:rPr>
                <w:rFonts w:hint="eastAsia"/>
                <w:kern w:val="0"/>
                <w:sz w:val="24"/>
              </w:rPr>
              <w:t>设备清洗废水</w:t>
            </w:r>
          </w:p>
          <w:p>
            <w:pPr>
              <w:autoSpaceDE w:val="0"/>
              <w:autoSpaceDN w:val="0"/>
              <w:spacing w:line="360" w:lineRule="auto"/>
              <w:ind w:firstLine="480" w:firstLineChars="200"/>
              <w:rPr>
                <w:sz w:val="24"/>
              </w:rPr>
            </w:pPr>
            <w:r>
              <w:rPr>
                <w:rFonts w:hint="eastAsia"/>
                <w:sz w:val="24"/>
              </w:rPr>
              <w:t>清洗废水按使用量的</w:t>
            </w:r>
            <w:r>
              <w:rPr>
                <w:sz w:val="24"/>
              </w:rPr>
              <w:t>90%</w:t>
            </w:r>
            <w:r>
              <w:rPr>
                <w:rFonts w:hint="eastAsia"/>
                <w:sz w:val="24"/>
              </w:rPr>
              <w:t>计，设备清洗废水量为</w:t>
            </w:r>
            <w:r>
              <w:rPr>
                <w:sz w:val="24"/>
              </w:rPr>
              <w:t>2.4</w:t>
            </w:r>
            <w:r>
              <w:rPr>
                <w:rFonts w:hint="eastAsia"/>
                <w:sz w:val="24"/>
              </w:rPr>
              <w:t>m</w:t>
            </w:r>
            <w:r>
              <w:rPr>
                <w:sz w:val="24"/>
                <w:vertAlign w:val="superscript"/>
              </w:rPr>
              <w:t>3</w:t>
            </w:r>
            <w:r>
              <w:rPr>
                <w:sz w:val="24"/>
              </w:rPr>
              <w:t>/</w:t>
            </w:r>
            <w:r>
              <w:rPr>
                <w:rFonts w:hint="eastAsia"/>
                <w:sz w:val="24"/>
              </w:rPr>
              <w:t>d（</w:t>
            </w:r>
            <w:r>
              <w:rPr>
                <w:sz w:val="24"/>
              </w:rPr>
              <w:t>720</w:t>
            </w:r>
            <w:r>
              <w:rPr>
                <w:rFonts w:hint="eastAsia"/>
                <w:sz w:val="24"/>
              </w:rPr>
              <w:t>m</w:t>
            </w:r>
            <w:r>
              <w:rPr>
                <w:sz w:val="24"/>
                <w:vertAlign w:val="superscript"/>
              </w:rPr>
              <w:t>3</w:t>
            </w:r>
            <w:r>
              <w:rPr>
                <w:sz w:val="24"/>
              </w:rPr>
              <w:t>/</w:t>
            </w:r>
            <w:r>
              <w:rPr>
                <w:rFonts w:hint="eastAsia"/>
                <w:sz w:val="24"/>
              </w:rPr>
              <w:t>a）。清洗废水经厂区污水处理站处理达标后，排入镶黄旗</w:t>
            </w:r>
            <w:r>
              <w:rPr>
                <w:sz w:val="24"/>
              </w:rPr>
              <w:t>污水处理厂。</w:t>
            </w:r>
            <w:r>
              <w:rPr>
                <w:rFonts w:hint="eastAsia"/>
                <w:sz w:val="24"/>
              </w:rPr>
              <w:t>待园区集中污水处理厂投入运行后，接入园区污水处理厂集中处置。</w:t>
            </w:r>
          </w:p>
          <w:p>
            <w:pPr>
              <w:pStyle w:val="72"/>
              <w:numPr>
                <w:ilvl w:val="0"/>
                <w:numId w:val="5"/>
              </w:numPr>
              <w:autoSpaceDE w:val="0"/>
              <w:autoSpaceDN w:val="0"/>
              <w:spacing w:line="360" w:lineRule="auto"/>
              <w:ind w:firstLineChars="0"/>
              <w:rPr>
                <w:kern w:val="0"/>
                <w:sz w:val="24"/>
              </w:rPr>
            </w:pPr>
            <w:r>
              <w:rPr>
                <w:rFonts w:hint="eastAsia"/>
                <w:kern w:val="0"/>
                <w:sz w:val="24"/>
              </w:rPr>
              <w:t>生活污水</w:t>
            </w:r>
          </w:p>
          <w:p>
            <w:pPr>
              <w:autoSpaceDE w:val="0"/>
              <w:autoSpaceDN w:val="0"/>
              <w:spacing w:line="360" w:lineRule="auto"/>
              <w:ind w:firstLine="480" w:firstLineChars="200"/>
              <w:rPr>
                <w:kern w:val="0"/>
                <w:sz w:val="24"/>
              </w:rPr>
            </w:pPr>
            <w:r>
              <w:rPr>
                <w:rFonts w:hint="eastAsia"/>
                <w:kern w:val="0"/>
                <w:sz w:val="24"/>
              </w:rPr>
              <w:t>生活污水产生系数以0.8</w:t>
            </w:r>
            <w:r>
              <w:rPr>
                <w:kern w:val="0"/>
                <w:sz w:val="24"/>
              </w:rPr>
              <w:t>0</w:t>
            </w:r>
            <w:r>
              <w:rPr>
                <w:rFonts w:hint="eastAsia"/>
                <w:kern w:val="0"/>
                <w:sz w:val="24"/>
              </w:rPr>
              <w:t>计，约</w:t>
            </w:r>
            <w:r>
              <w:rPr>
                <w:sz w:val="24"/>
              </w:rPr>
              <w:t>2.2</w:t>
            </w:r>
            <w:r>
              <w:rPr>
                <w:rFonts w:hint="eastAsia"/>
                <w:sz w:val="24"/>
              </w:rPr>
              <w:t>m</w:t>
            </w:r>
            <w:r>
              <w:rPr>
                <w:sz w:val="24"/>
                <w:vertAlign w:val="superscript"/>
              </w:rPr>
              <w:t>3</w:t>
            </w:r>
            <w:r>
              <w:rPr>
                <w:sz w:val="24"/>
              </w:rPr>
              <w:t>/d</w:t>
            </w:r>
            <w:r>
              <w:rPr>
                <w:rFonts w:hint="eastAsia"/>
                <w:sz w:val="24"/>
              </w:rPr>
              <w:t>（</w:t>
            </w:r>
            <w:r>
              <w:rPr>
                <w:sz w:val="24"/>
              </w:rPr>
              <w:t>660t/a</w:t>
            </w:r>
            <w:r>
              <w:rPr>
                <w:rFonts w:hint="eastAsia"/>
                <w:sz w:val="24"/>
              </w:rPr>
              <w:t>）</w:t>
            </w:r>
            <w:r>
              <w:rPr>
                <w:rFonts w:hint="eastAsia"/>
                <w:kern w:val="0"/>
                <w:sz w:val="24"/>
              </w:rPr>
              <w:t>，依托一期工程化粪池沉淀后直接</w:t>
            </w:r>
            <w:r>
              <w:rPr>
                <w:sz w:val="24"/>
              </w:rPr>
              <w:t>排入</w:t>
            </w:r>
            <w:r>
              <w:rPr>
                <w:rFonts w:hint="eastAsia"/>
                <w:sz w:val="24"/>
              </w:rPr>
              <w:t>镶黄旗</w:t>
            </w:r>
            <w:r>
              <w:rPr>
                <w:sz w:val="24"/>
              </w:rPr>
              <w:t>污水处理厂。</w:t>
            </w:r>
          </w:p>
          <w:p>
            <w:pPr>
              <w:widowControl/>
              <w:jc w:val="left"/>
              <w:rPr>
                <w:rFonts w:cs="宋体"/>
                <w:kern w:val="0"/>
                <w:sz w:val="24"/>
              </w:rPr>
            </w:pPr>
            <w:r>
              <w:rPr>
                <w:rFonts w:cs="宋体"/>
                <w:kern w:val="0"/>
                <w:sz w:val="24"/>
              </w:rPr>
              <w:drawing>
                <wp:inline distT="0" distB="0" distL="0" distR="0">
                  <wp:extent cx="5187950" cy="2665095"/>
                  <wp:effectExtent l="0" t="0" r="0" b="0"/>
                  <wp:docPr id="14385237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23733"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6811" cy="2670094"/>
                          </a:xfrm>
                          <a:prstGeom prst="rect">
                            <a:avLst/>
                          </a:prstGeom>
                          <a:noFill/>
                          <a:ln>
                            <a:noFill/>
                          </a:ln>
                        </pic:spPr>
                      </pic:pic>
                    </a:graphicData>
                  </a:graphic>
                </wp:inline>
              </w:drawing>
            </w:r>
          </w:p>
          <w:p>
            <w:pPr>
              <w:widowControl/>
              <w:jc w:val="left"/>
              <w:rPr>
                <w:rFonts w:cs="宋体"/>
                <w:kern w:val="0"/>
                <w:sz w:val="24"/>
              </w:rPr>
            </w:pPr>
          </w:p>
          <w:p>
            <w:pPr>
              <w:pStyle w:val="2"/>
              <w:ind w:firstLine="482"/>
              <w:jc w:val="center"/>
              <w:rPr>
                <w:b/>
                <w:bCs/>
                <w:sz w:val="24"/>
              </w:rPr>
            </w:pPr>
            <w:r>
              <w:rPr>
                <w:rFonts w:hint="eastAsia"/>
                <w:b/>
                <w:bCs/>
                <w:sz w:val="24"/>
              </w:rPr>
              <w:t>图2</w:t>
            </w:r>
            <w:r>
              <w:rPr>
                <w:b/>
                <w:bCs/>
                <w:sz w:val="24"/>
              </w:rPr>
              <w:t xml:space="preserve">-2 </w:t>
            </w:r>
            <w:r>
              <w:rPr>
                <w:rFonts w:hint="eastAsia"/>
                <w:b/>
                <w:bCs/>
                <w:sz w:val="24"/>
              </w:rPr>
              <w:t xml:space="preserve">二期工程水平衡图 </w:t>
            </w:r>
            <w:r>
              <w:rPr>
                <w:b/>
                <w:bCs/>
                <w:sz w:val="24"/>
              </w:rPr>
              <w:t xml:space="preserve"> </w:t>
            </w:r>
            <w:r>
              <w:rPr>
                <w:rFonts w:hint="eastAsia"/>
                <w:b/>
                <w:bCs/>
                <w:sz w:val="24"/>
              </w:rPr>
              <w:t>单位：m</w:t>
            </w:r>
            <w:r>
              <w:rPr>
                <w:b/>
                <w:bCs/>
                <w:sz w:val="24"/>
                <w:vertAlign w:val="superscript"/>
              </w:rPr>
              <w:t>3</w:t>
            </w:r>
            <w:r>
              <w:rPr>
                <w:b/>
                <w:bCs/>
                <w:sz w:val="24"/>
              </w:rPr>
              <w:t>/</w:t>
            </w:r>
            <w:r>
              <w:rPr>
                <w:rFonts w:hint="eastAsia"/>
                <w:b/>
                <w:bCs/>
                <w:sz w:val="24"/>
              </w:rPr>
              <w:t>d</w:t>
            </w:r>
          </w:p>
          <w:p>
            <w:pPr>
              <w:pStyle w:val="3"/>
            </w:pPr>
          </w:p>
          <w:p/>
          <w:p>
            <w:pPr>
              <w:pStyle w:val="2"/>
            </w:pPr>
          </w:p>
          <w:p>
            <w:pPr>
              <w:widowControl/>
              <w:jc w:val="left"/>
              <w:rPr>
                <w:rFonts w:cs="宋体"/>
                <w:kern w:val="0"/>
                <w:sz w:val="24"/>
              </w:rPr>
            </w:pPr>
          </w:p>
          <w:p>
            <w:pPr>
              <w:widowControl/>
              <w:jc w:val="left"/>
              <w:rPr>
                <w:rFonts w:cs="宋体"/>
                <w:kern w:val="0"/>
                <w:sz w:val="24"/>
              </w:rPr>
            </w:pPr>
            <w:r>
              <w:rPr>
                <w:rFonts w:cs="宋体"/>
                <w:kern w:val="0"/>
                <w:sz w:val="24"/>
              </w:rPr>
              <w:drawing>
                <wp:inline distT="0" distB="0" distL="0" distR="0">
                  <wp:extent cx="5187950" cy="2726055"/>
                  <wp:effectExtent l="0" t="0" r="0" b="0"/>
                  <wp:docPr id="203315026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0264"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97747" cy="2731109"/>
                          </a:xfrm>
                          <a:prstGeom prst="rect">
                            <a:avLst/>
                          </a:prstGeom>
                          <a:noFill/>
                          <a:ln>
                            <a:noFill/>
                          </a:ln>
                        </pic:spPr>
                      </pic:pic>
                    </a:graphicData>
                  </a:graphic>
                </wp:inline>
              </w:drawing>
            </w:r>
          </w:p>
          <w:p>
            <w:pPr>
              <w:pStyle w:val="2"/>
              <w:ind w:firstLine="482"/>
              <w:jc w:val="center"/>
              <w:rPr>
                <w:sz w:val="24"/>
              </w:rPr>
            </w:pPr>
            <w:r>
              <w:rPr>
                <w:rFonts w:hint="eastAsia"/>
                <w:b/>
                <w:bCs/>
                <w:sz w:val="24"/>
              </w:rPr>
              <w:t>图2</w:t>
            </w:r>
            <w:r>
              <w:rPr>
                <w:b/>
                <w:bCs/>
                <w:sz w:val="24"/>
              </w:rPr>
              <w:t xml:space="preserve">-3 </w:t>
            </w:r>
            <w:r>
              <w:rPr>
                <w:rFonts w:hint="eastAsia"/>
                <w:b/>
                <w:bCs/>
                <w:sz w:val="24"/>
              </w:rPr>
              <w:t>二期工程完成后全厂水平衡图 单位：m</w:t>
            </w:r>
            <w:r>
              <w:rPr>
                <w:b/>
                <w:bCs/>
                <w:sz w:val="24"/>
                <w:vertAlign w:val="superscript"/>
              </w:rPr>
              <w:t>3</w:t>
            </w:r>
            <w:r>
              <w:rPr>
                <w:b/>
                <w:bCs/>
                <w:sz w:val="24"/>
              </w:rPr>
              <w:t>/</w:t>
            </w:r>
            <w:r>
              <w:rPr>
                <w:rFonts w:hint="eastAsia"/>
                <w:b/>
                <w:bCs/>
                <w:sz w:val="24"/>
              </w:rPr>
              <w:t>d</w:t>
            </w:r>
          </w:p>
          <w:p>
            <w:pPr>
              <w:autoSpaceDE w:val="0"/>
              <w:autoSpaceDN w:val="0"/>
              <w:spacing w:line="360" w:lineRule="auto"/>
              <w:ind w:firstLine="482" w:firstLineChars="200"/>
              <w:rPr>
                <w:b/>
                <w:bCs/>
                <w:kern w:val="0"/>
                <w:sz w:val="24"/>
              </w:rPr>
            </w:pPr>
            <w:r>
              <w:rPr>
                <w:rFonts w:hint="eastAsia"/>
                <w:b/>
                <w:bCs/>
                <w:kern w:val="0"/>
                <w:sz w:val="24"/>
              </w:rPr>
              <w:t>（3）</w:t>
            </w:r>
            <w:r>
              <w:rPr>
                <w:b/>
                <w:bCs/>
                <w:kern w:val="0"/>
                <w:sz w:val="24"/>
              </w:rPr>
              <w:t>供电工程</w:t>
            </w:r>
          </w:p>
          <w:p>
            <w:pPr>
              <w:autoSpaceDE w:val="0"/>
              <w:autoSpaceDN w:val="0"/>
              <w:spacing w:line="360" w:lineRule="auto"/>
              <w:ind w:firstLine="480" w:firstLineChars="200"/>
              <w:rPr>
                <w:kern w:val="0"/>
                <w:sz w:val="24"/>
              </w:rPr>
            </w:pPr>
            <w:r>
              <w:rPr>
                <w:kern w:val="0"/>
                <w:sz w:val="24"/>
              </w:rPr>
              <w:t>项目</w:t>
            </w:r>
            <w:r>
              <w:rPr>
                <w:rFonts w:hint="eastAsia"/>
                <w:kern w:val="0"/>
                <w:sz w:val="24"/>
              </w:rPr>
              <w:t>用</w:t>
            </w:r>
            <w:r>
              <w:rPr>
                <w:kern w:val="0"/>
                <w:sz w:val="24"/>
              </w:rPr>
              <w:t>电</w:t>
            </w:r>
            <w:r>
              <w:rPr>
                <w:rFonts w:hint="eastAsia"/>
                <w:kern w:val="0"/>
                <w:sz w:val="24"/>
              </w:rPr>
              <w:t>依托镶黄旗供电系统</w:t>
            </w:r>
            <w:r>
              <w:rPr>
                <w:kern w:val="0"/>
                <w:sz w:val="24"/>
              </w:rPr>
              <w:t>，</w:t>
            </w:r>
            <w:r>
              <w:rPr>
                <w:rFonts w:hint="eastAsia"/>
                <w:kern w:val="0"/>
                <w:sz w:val="24"/>
              </w:rPr>
              <w:t>一期工程</w:t>
            </w:r>
            <w:r>
              <w:rPr>
                <w:kern w:val="0"/>
                <w:sz w:val="24"/>
              </w:rPr>
              <w:t>年用电量</w:t>
            </w:r>
            <w:r>
              <w:rPr>
                <w:rFonts w:hint="eastAsia"/>
                <w:sz w:val="24"/>
              </w:rPr>
              <w:t>15</w:t>
            </w:r>
            <w:r>
              <w:rPr>
                <w:sz w:val="24"/>
              </w:rPr>
              <w:t>万Kwh</w:t>
            </w:r>
            <w:r>
              <w:rPr>
                <w:rFonts w:hint="eastAsia"/>
                <w:sz w:val="24"/>
              </w:rPr>
              <w:t>，二期工程用电量4</w:t>
            </w:r>
            <w:r>
              <w:rPr>
                <w:sz w:val="24"/>
              </w:rPr>
              <w:t>5</w:t>
            </w:r>
            <w:r>
              <w:rPr>
                <w:rFonts w:hint="eastAsia"/>
                <w:sz w:val="24"/>
              </w:rPr>
              <w:t>万</w:t>
            </w:r>
            <w:r>
              <w:rPr>
                <w:sz w:val="24"/>
              </w:rPr>
              <w:t>Kwh</w:t>
            </w:r>
            <w:r>
              <w:rPr>
                <w:kern w:val="0"/>
                <w:sz w:val="24"/>
              </w:rPr>
              <w:t>。</w:t>
            </w:r>
          </w:p>
          <w:p>
            <w:pPr>
              <w:autoSpaceDE w:val="0"/>
              <w:autoSpaceDN w:val="0"/>
              <w:spacing w:line="360" w:lineRule="auto"/>
              <w:ind w:firstLine="482" w:firstLineChars="200"/>
              <w:rPr>
                <w:b/>
                <w:bCs/>
                <w:kern w:val="0"/>
                <w:sz w:val="24"/>
              </w:rPr>
            </w:pPr>
            <w:r>
              <w:rPr>
                <w:rFonts w:hint="eastAsia"/>
                <w:b/>
                <w:bCs/>
                <w:kern w:val="0"/>
                <w:sz w:val="24"/>
              </w:rPr>
              <w:t>（4）</w:t>
            </w:r>
            <w:r>
              <w:rPr>
                <w:b/>
                <w:bCs/>
                <w:kern w:val="0"/>
                <w:sz w:val="24"/>
              </w:rPr>
              <w:t>供暖工程</w:t>
            </w:r>
          </w:p>
          <w:p>
            <w:pPr>
              <w:pStyle w:val="39"/>
              <w:spacing w:line="360" w:lineRule="auto"/>
              <w:ind w:firstLine="480"/>
              <w:rPr>
                <w:kern w:val="0"/>
                <w:sz w:val="24"/>
              </w:rPr>
            </w:pPr>
            <w:r>
              <w:rPr>
                <w:rFonts w:hint="eastAsia"/>
                <w:kern w:val="0"/>
                <w:sz w:val="24"/>
              </w:rPr>
              <w:t>生产加热采用电加热，办公室供暖是由热力公司供应的。</w:t>
            </w: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kern w:val="0"/>
                <w:sz w:val="24"/>
              </w:rPr>
            </w:pPr>
          </w:p>
          <w:p>
            <w:pPr>
              <w:pStyle w:val="39"/>
              <w:spacing w:line="360" w:lineRule="auto"/>
              <w:ind w:firstLine="480"/>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16" w:hRule="atLeast"/>
          <w:jc w:val="center"/>
        </w:trPr>
        <w:tc>
          <w:tcPr>
            <w:tcW w:w="1021" w:type="dxa"/>
            <w:vAlign w:val="center"/>
          </w:tcPr>
          <w:p>
            <w:pPr>
              <w:pStyle w:val="19"/>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工艺流程和产排污环节</w:t>
            </w:r>
          </w:p>
        </w:tc>
        <w:tc>
          <w:tcPr>
            <w:tcW w:w="7983" w:type="dxa"/>
          </w:tcPr>
          <w:p>
            <w:pPr>
              <w:autoSpaceDE w:val="0"/>
              <w:autoSpaceDN w:val="0"/>
              <w:spacing w:line="360" w:lineRule="auto"/>
              <w:ind w:firstLine="480" w:firstLineChars="200"/>
              <w:rPr>
                <w:kern w:val="0"/>
                <w:sz w:val="24"/>
              </w:rPr>
            </w:pPr>
            <w:r>
              <w:rPr>
                <w:rFonts w:hint="eastAsia"/>
                <w:kern w:val="0"/>
                <w:sz w:val="24"/>
              </w:rPr>
              <w:t>1.施工期工艺流程简述</w:t>
            </w:r>
          </w:p>
          <w:p>
            <w:pPr>
              <w:autoSpaceDE w:val="0"/>
              <w:autoSpaceDN w:val="0"/>
              <w:spacing w:line="360" w:lineRule="auto"/>
              <w:ind w:firstLine="480" w:firstLineChars="200"/>
              <w:rPr>
                <w:kern w:val="0"/>
                <w:sz w:val="24"/>
              </w:rPr>
            </w:pPr>
            <w:r>
              <w:rPr>
                <w:rFonts w:hint="eastAsia"/>
                <w:kern w:val="0"/>
                <w:sz w:val="24"/>
              </w:rPr>
              <w:t>施工期存在主要问题是在主体修建、设备安装等过程中产生的施工噪声、废水、扬尘、废弃包装材料和弃渣弃土等。</w:t>
            </w:r>
          </w:p>
          <w:p>
            <w:pPr>
              <w:autoSpaceDE w:val="0"/>
              <w:autoSpaceDN w:val="0"/>
              <w:spacing w:line="360" w:lineRule="auto"/>
              <w:ind w:firstLine="420" w:firstLineChars="200"/>
              <w:rPr>
                <w:kern w:val="0"/>
                <w:sz w:val="24"/>
              </w:rPr>
            </w:pPr>
            <w:r>
              <mc:AlternateContent>
                <mc:Choice Requires="wps">
                  <w:drawing>
                    <wp:anchor distT="0" distB="0" distL="114300" distR="114300" simplePos="0" relativeHeight="251659264" behindDoc="0" locked="0" layoutInCell="1" allowOverlap="1">
                      <wp:simplePos x="0" y="0"/>
                      <wp:positionH relativeFrom="column">
                        <wp:posOffset>2723515</wp:posOffset>
                      </wp:positionH>
                      <wp:positionV relativeFrom="paragraph">
                        <wp:posOffset>266700</wp:posOffset>
                      </wp:positionV>
                      <wp:extent cx="523875" cy="219075"/>
                      <wp:effectExtent l="0" t="0" r="9525" b="9525"/>
                      <wp:wrapNone/>
                      <wp:docPr id="1709836702" name="文本框 1"/>
                      <wp:cNvGraphicFramePr/>
                      <a:graphic xmlns:a="http://schemas.openxmlformats.org/drawingml/2006/main">
                        <a:graphicData uri="http://schemas.microsoft.com/office/word/2010/wordprocessingShape">
                          <wps:wsp>
                            <wps:cNvSpPr txBox="1"/>
                            <wps:spPr>
                              <a:xfrm>
                                <a:off x="0" y="0"/>
                                <a:ext cx="523875" cy="219075"/>
                              </a:xfrm>
                              <a:prstGeom prst="rect">
                                <a:avLst/>
                              </a:prstGeom>
                              <a:solidFill>
                                <a:schemeClr val="bg1"/>
                              </a:solidFill>
                              <a:ln w="6350">
                                <a:noFill/>
                              </a:ln>
                            </wps:spPr>
                            <wps:txbx>
                              <w:txbxContent>
                                <w:p>
                                  <w:pPr>
                                    <w:rPr>
                                      <w:sz w:val="11"/>
                                      <w:szCs w:val="11"/>
                                    </w:rPr>
                                  </w:pPr>
                                  <w:r>
                                    <w:rPr>
                                      <w:rFonts w:hint="eastAsia"/>
                                      <w:sz w:val="11"/>
                                      <w:szCs w:val="11"/>
                                    </w:rPr>
                                    <w:t>清掏处理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214.45pt;margin-top:21pt;height:17.25pt;width:41.25pt;z-index:251659264;mso-width-relative:page;mso-height-relative:page;" fillcolor="#FFFFFF [3212]" filled="t" stroked="f" coordsize="21600,21600" o:gfxdata="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f31y81QAAAAkB&#10;AAAPAAAAAAAAAAEAIAAAACIAAABkcnMvZG93bnJldi54bWxQSwECFAAUAAAACACHTuJAShpTgFcC&#10;AACXBAAADgAAAAAAAAABACAAAAAkAQAAZHJzL2Uyb0RvYy54bWxQSwUGAAAAAAYABgBZAQAA7QUA&#10;AAAA&#10;">
                      <v:fill on="t" focussize="0,0"/>
                      <v:stroke on="f" weight="0.5pt"/>
                      <v:imagedata o:title=""/>
                      <o:lock v:ext="edit" aspectratio="f"/>
                      <v:textbox>
                        <w:txbxContent>
                          <w:p>
                            <w:pPr>
                              <w:rPr>
                                <w:sz w:val="11"/>
                                <w:szCs w:val="11"/>
                              </w:rPr>
                            </w:pPr>
                            <w:r>
                              <w:rPr>
                                <w:rFonts w:hint="eastAsia"/>
                                <w:sz w:val="11"/>
                                <w:szCs w:val="11"/>
                              </w:rPr>
                              <w:t>清掏处理</w:t>
                            </w:r>
                          </w:p>
                        </w:txbxContent>
                      </v:textbox>
                    </v:shape>
                  </w:pict>
                </mc:Fallback>
              </mc:AlternateContent>
            </w:r>
            <w:r>
              <w:rPr>
                <w:rFonts w:hint="eastAsia"/>
                <w:kern w:val="0"/>
                <w:sz w:val="24"/>
              </w:rPr>
              <w:t>本工程施工工艺流程及产污节点见下图：</w:t>
            </w:r>
          </w:p>
          <w:p>
            <w:pPr>
              <w:pStyle w:val="3"/>
            </w:pPr>
            <w:r>
              <w:drawing>
                <wp:inline distT="0" distB="0" distL="0" distR="0">
                  <wp:extent cx="3639185" cy="2802890"/>
                  <wp:effectExtent l="0" t="0" r="18415" b="16510"/>
                  <wp:docPr id="1158825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2587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639185" cy="2802890"/>
                          </a:xfrm>
                          <a:prstGeom prst="rect">
                            <a:avLst/>
                          </a:prstGeom>
                          <a:noFill/>
                          <a:ln>
                            <a:noFill/>
                          </a:ln>
                        </pic:spPr>
                      </pic:pic>
                    </a:graphicData>
                  </a:graphic>
                </wp:inline>
              </w:drawing>
            </w:r>
          </w:p>
          <w:p>
            <w:pPr>
              <w:autoSpaceDE w:val="0"/>
              <w:autoSpaceDN w:val="0"/>
              <w:spacing w:line="360" w:lineRule="auto"/>
              <w:ind w:firstLine="482" w:firstLineChars="200"/>
              <w:jc w:val="center"/>
              <w:rPr>
                <w:b/>
                <w:bCs/>
                <w:kern w:val="0"/>
                <w:sz w:val="24"/>
              </w:rPr>
            </w:pPr>
            <w:r>
              <w:rPr>
                <w:rFonts w:hint="eastAsia"/>
                <w:b/>
                <w:bCs/>
                <w:kern w:val="0"/>
                <w:sz w:val="24"/>
              </w:rPr>
              <w:t>图2</w:t>
            </w:r>
            <w:r>
              <w:rPr>
                <w:b/>
                <w:bCs/>
                <w:kern w:val="0"/>
                <w:sz w:val="24"/>
              </w:rPr>
              <w:t xml:space="preserve">-4  </w:t>
            </w:r>
            <w:r>
              <w:rPr>
                <w:rFonts w:hint="eastAsia"/>
                <w:b/>
                <w:bCs/>
                <w:kern w:val="0"/>
                <w:sz w:val="24"/>
              </w:rPr>
              <w:t>项目施工流程及产污节点图</w:t>
            </w:r>
          </w:p>
          <w:p>
            <w:pPr>
              <w:autoSpaceDE w:val="0"/>
              <w:autoSpaceDN w:val="0"/>
              <w:spacing w:line="360" w:lineRule="auto"/>
              <w:ind w:firstLine="480" w:firstLineChars="200"/>
              <w:rPr>
                <w:kern w:val="0"/>
                <w:sz w:val="24"/>
              </w:rPr>
            </w:pPr>
            <w:r>
              <w:rPr>
                <w:rFonts w:hint="eastAsia"/>
                <w:kern w:val="0"/>
                <w:sz w:val="24"/>
              </w:rPr>
              <w:t>施工期工程建设主要有场地平整、基础工程、主体工程和装修工程，其产污位置及污染物种类如下：</w:t>
            </w:r>
          </w:p>
          <w:p>
            <w:pPr>
              <w:autoSpaceDE w:val="0"/>
              <w:autoSpaceDN w:val="0"/>
              <w:spacing w:line="360" w:lineRule="auto"/>
              <w:ind w:firstLine="480" w:firstLineChars="200"/>
              <w:rPr>
                <w:kern w:val="0"/>
                <w:sz w:val="24"/>
              </w:rPr>
            </w:pPr>
            <w:r>
              <w:rPr>
                <w:rFonts w:hint="eastAsia"/>
                <w:kern w:val="0"/>
                <w:sz w:val="24"/>
              </w:rPr>
              <w:t>（1）场地平整</w:t>
            </w:r>
          </w:p>
          <w:p>
            <w:pPr>
              <w:autoSpaceDE w:val="0"/>
              <w:autoSpaceDN w:val="0"/>
              <w:spacing w:line="360" w:lineRule="auto"/>
              <w:ind w:firstLine="480" w:firstLineChars="200"/>
              <w:rPr>
                <w:kern w:val="0"/>
                <w:sz w:val="24"/>
              </w:rPr>
            </w:pPr>
            <w:r>
              <w:rPr>
                <w:rFonts w:hint="eastAsia"/>
                <w:kern w:val="0"/>
                <w:sz w:val="24"/>
              </w:rPr>
              <w:t>在场地平整过程中，存在着施工机械噪声、扬尘对周边环境的影响。另外，在场地平整过程中会对地表现有植被造成一定程度的破坏。</w:t>
            </w:r>
          </w:p>
          <w:p>
            <w:pPr>
              <w:autoSpaceDE w:val="0"/>
              <w:autoSpaceDN w:val="0"/>
              <w:spacing w:line="360" w:lineRule="auto"/>
              <w:ind w:firstLine="480" w:firstLineChars="200"/>
              <w:rPr>
                <w:kern w:val="0"/>
                <w:sz w:val="24"/>
              </w:rPr>
            </w:pPr>
            <w:r>
              <w:rPr>
                <w:rFonts w:hint="eastAsia"/>
                <w:kern w:val="0"/>
                <w:sz w:val="24"/>
              </w:rPr>
              <w:t>（2）基础、主体工程施工</w:t>
            </w:r>
          </w:p>
          <w:p>
            <w:pPr>
              <w:autoSpaceDE w:val="0"/>
              <w:autoSpaceDN w:val="0"/>
              <w:spacing w:line="360" w:lineRule="auto"/>
              <w:ind w:firstLine="480" w:firstLineChars="200"/>
              <w:rPr>
                <w:kern w:val="0"/>
                <w:sz w:val="24"/>
              </w:rPr>
            </w:pPr>
            <w:r>
              <w:rPr>
                <w:rFonts w:hint="eastAsia"/>
                <w:kern w:val="0"/>
                <w:sz w:val="24"/>
              </w:rPr>
              <w:t>基础工程施工阶段（包括场地开挖、地基处理、基础施工等），临时堆放的挖方如果保存不善，将产生局部水土流失；施工机械设备（混凝土输送泵、打桩机、装载机） 运行中会产生噪声并排放一定量尾气，机械设备等在清洗过程中产生的施工废水；工程挖方尽量先用于回填，多余的作为建筑渣土弃土运出场外；施工场地挖填方和机械行驶等过程中均会产生一定量扬尘。</w:t>
            </w:r>
          </w:p>
          <w:p>
            <w:pPr>
              <w:autoSpaceDE w:val="0"/>
              <w:autoSpaceDN w:val="0"/>
              <w:spacing w:line="360" w:lineRule="auto"/>
              <w:ind w:firstLine="480" w:firstLineChars="200"/>
              <w:rPr>
                <w:kern w:val="0"/>
                <w:sz w:val="24"/>
              </w:rPr>
            </w:pPr>
            <w:r>
              <w:rPr>
                <w:rFonts w:hint="eastAsia"/>
                <w:kern w:val="0"/>
                <w:sz w:val="24"/>
              </w:rPr>
              <w:t>（3）附属工程（装饰、设备安装工程）施工</w:t>
            </w:r>
          </w:p>
          <w:p>
            <w:pPr>
              <w:autoSpaceDE w:val="0"/>
              <w:autoSpaceDN w:val="0"/>
              <w:spacing w:line="360" w:lineRule="auto"/>
              <w:ind w:firstLine="480" w:firstLineChars="200"/>
              <w:rPr>
                <w:kern w:val="0"/>
                <w:sz w:val="24"/>
              </w:rPr>
            </w:pPr>
            <w:r>
              <w:rPr>
                <w:rFonts w:hint="eastAsia"/>
                <w:kern w:val="0"/>
                <w:sz w:val="24"/>
              </w:rPr>
              <w:t xml:space="preserve">对建筑物的室内外进行装修时，钻机、电锤、切割机等产生噪声。 </w:t>
            </w:r>
          </w:p>
          <w:p>
            <w:pPr>
              <w:autoSpaceDE w:val="0"/>
              <w:autoSpaceDN w:val="0"/>
              <w:spacing w:line="360" w:lineRule="auto"/>
              <w:ind w:firstLine="480" w:firstLineChars="200"/>
              <w:rPr>
                <w:kern w:val="0"/>
                <w:sz w:val="24"/>
              </w:rPr>
            </w:pPr>
            <w:r>
              <w:rPr>
                <w:rFonts w:hint="eastAsia"/>
                <w:kern w:val="0"/>
                <w:sz w:val="24"/>
              </w:rPr>
              <w:t>（4）施工人员</w:t>
            </w:r>
          </w:p>
          <w:p>
            <w:pPr>
              <w:autoSpaceDE w:val="0"/>
              <w:autoSpaceDN w:val="0"/>
              <w:spacing w:line="360" w:lineRule="auto"/>
              <w:ind w:firstLine="480" w:firstLineChars="200"/>
              <w:rPr>
                <w:kern w:val="0"/>
                <w:sz w:val="24"/>
              </w:rPr>
            </w:pPr>
            <w:r>
              <w:rPr>
                <w:rFonts w:hint="eastAsia"/>
                <w:kern w:val="0"/>
                <w:sz w:val="24"/>
              </w:rPr>
              <w:t>工程施工过程中，施工人员生活会有生活污水和垃圾产生。</w:t>
            </w:r>
          </w:p>
          <w:p>
            <w:pPr>
              <w:autoSpaceDE w:val="0"/>
              <w:autoSpaceDN w:val="0"/>
              <w:spacing w:line="360" w:lineRule="auto"/>
              <w:ind w:firstLine="480" w:firstLineChars="200"/>
              <w:rPr>
                <w:kern w:val="0"/>
                <w:sz w:val="24"/>
              </w:rPr>
            </w:pPr>
            <w:r>
              <w:rPr>
                <w:rFonts w:hint="eastAsia"/>
                <w:kern w:val="0"/>
                <w:sz w:val="24"/>
              </w:rPr>
              <w:t>综上，本项目在施工建设期间，各种建筑施工机械在运转中的噪声，其噪声强度与施工设备的种类及施工队伍的管理等有关，建筑施工引起的扬尘将使周围空气中的TSP浓度升高；建筑施工中将产生的建设垃圾和施工弃土以及机械设备清洗中产生的泥浆污水，如管理或处理不当，将对项目所在地周围环境造成一定的污染；场地平整过程中会对地表现有植被造成一定程度的破坏；临时堆放的挖方如果保存不善，将产生局部水土流失。</w:t>
            </w:r>
          </w:p>
          <w:p>
            <w:pPr>
              <w:autoSpaceDE w:val="0"/>
              <w:autoSpaceDN w:val="0"/>
              <w:spacing w:line="360" w:lineRule="auto"/>
              <w:ind w:firstLine="482" w:firstLineChars="200"/>
              <w:rPr>
                <w:b/>
                <w:bCs/>
                <w:kern w:val="0"/>
                <w:sz w:val="24"/>
              </w:rPr>
            </w:pPr>
            <w:r>
              <w:rPr>
                <w:rFonts w:hint="eastAsia"/>
                <w:b/>
                <w:bCs/>
                <w:kern w:val="0"/>
                <w:sz w:val="24"/>
              </w:rPr>
              <w:t>2、运营期工艺流程简述</w:t>
            </w:r>
          </w:p>
          <w:p>
            <w:pPr>
              <w:autoSpaceDE w:val="0"/>
              <w:autoSpaceDN w:val="0"/>
              <w:spacing w:line="360" w:lineRule="auto"/>
              <w:ind w:firstLine="480" w:firstLineChars="200"/>
              <w:rPr>
                <w:kern w:val="0"/>
                <w:sz w:val="24"/>
              </w:rPr>
            </w:pPr>
            <w:r>
              <w:rPr>
                <w:rFonts w:hint="eastAsia"/>
                <w:kern w:val="0"/>
                <w:sz w:val="24"/>
              </w:rPr>
              <w:t>本项目加工产品为奶油制品包含酶解黄油、风味奶油制品，复合调味料和食品添加剂（食品用香精）加工，其中奶油制品、复合调味料、生产分为一期和二期投入，工艺相同，食品添加剂（食品用香精）在一期工程投入。</w:t>
            </w:r>
          </w:p>
          <w:p>
            <w:pPr>
              <w:autoSpaceDE w:val="0"/>
              <w:autoSpaceDN w:val="0"/>
              <w:spacing w:line="360" w:lineRule="auto"/>
              <w:ind w:firstLine="482" w:firstLineChars="200"/>
              <w:rPr>
                <w:b/>
                <w:bCs/>
                <w:kern w:val="0"/>
                <w:sz w:val="24"/>
              </w:rPr>
            </w:pPr>
            <w:r>
              <w:rPr>
                <w:rFonts w:hint="eastAsia"/>
                <w:b/>
                <w:bCs/>
                <w:kern w:val="0"/>
                <w:sz w:val="24"/>
              </w:rPr>
              <w:t>2</w:t>
            </w:r>
            <w:r>
              <w:rPr>
                <w:b/>
                <w:bCs/>
                <w:kern w:val="0"/>
                <w:sz w:val="24"/>
              </w:rPr>
              <w:t xml:space="preserve">.1 </w:t>
            </w:r>
            <w:r>
              <w:rPr>
                <w:rFonts w:hint="eastAsia"/>
                <w:b/>
                <w:bCs/>
                <w:kern w:val="0"/>
                <w:sz w:val="24"/>
              </w:rPr>
              <w:t>奶油制品</w:t>
            </w:r>
          </w:p>
          <w:p>
            <w:pPr>
              <w:pStyle w:val="2"/>
              <w:ind w:firstLine="480"/>
            </w:pPr>
            <w:r>
              <w:rPr>
                <w:rFonts w:hint="eastAsia"/>
                <w:kern w:val="0"/>
                <w:sz w:val="24"/>
              </w:rPr>
              <w:t>（1）酶解黄油</w:t>
            </w:r>
          </w:p>
          <w:p>
            <w:pPr>
              <w:pStyle w:val="72"/>
              <w:numPr>
                <w:ilvl w:val="0"/>
                <w:numId w:val="6"/>
              </w:numPr>
              <w:autoSpaceDE w:val="0"/>
              <w:autoSpaceDN w:val="0"/>
              <w:spacing w:line="360" w:lineRule="auto"/>
              <w:ind w:firstLineChars="0"/>
              <w:rPr>
                <w:kern w:val="0"/>
                <w:sz w:val="24"/>
              </w:rPr>
            </w:pPr>
            <w:r>
              <w:rPr>
                <w:rFonts w:hint="eastAsia"/>
                <w:kern w:val="0"/>
                <w:sz w:val="24"/>
              </w:rPr>
              <w:t>黄油（奶油）预处理溶解：黄油（奶油）入库后进行加热处理；加热方式为电加热。</w:t>
            </w:r>
          </w:p>
          <w:p>
            <w:pPr>
              <w:pStyle w:val="72"/>
              <w:numPr>
                <w:ilvl w:val="0"/>
                <w:numId w:val="6"/>
              </w:numPr>
              <w:autoSpaceDE w:val="0"/>
              <w:autoSpaceDN w:val="0"/>
              <w:spacing w:line="360" w:lineRule="auto"/>
              <w:ind w:firstLineChars="0"/>
              <w:rPr>
                <w:kern w:val="0"/>
                <w:sz w:val="24"/>
              </w:rPr>
            </w:pPr>
            <w:r>
              <w:rPr>
                <w:kern w:val="0"/>
                <w:sz w:val="24"/>
              </w:rPr>
              <w:t xml:space="preserve"> </w:t>
            </w:r>
            <w:r>
              <w:rPr>
                <w:rFonts w:hint="eastAsia"/>
                <w:kern w:val="0"/>
                <w:sz w:val="24"/>
              </w:rPr>
              <w:t>加入酶制剂：处理后的黄油（奶油）加入酶解罐，并加入酶制剂，一般添加量为0.1%</w:t>
            </w:r>
            <w:r>
              <w:rPr>
                <w:kern w:val="0"/>
                <w:sz w:val="24"/>
              </w:rPr>
              <w:t>-</w:t>
            </w:r>
            <w:r>
              <w:rPr>
                <w:rFonts w:hint="eastAsia"/>
                <w:kern w:val="0"/>
                <w:sz w:val="24"/>
              </w:rPr>
              <w:t>2%之间，根据实际情况进行调整。</w:t>
            </w:r>
          </w:p>
          <w:p>
            <w:pPr>
              <w:pStyle w:val="72"/>
              <w:numPr>
                <w:ilvl w:val="0"/>
                <w:numId w:val="6"/>
              </w:numPr>
              <w:autoSpaceDE w:val="0"/>
              <w:autoSpaceDN w:val="0"/>
              <w:spacing w:line="360" w:lineRule="auto"/>
              <w:ind w:firstLineChars="0"/>
              <w:rPr>
                <w:kern w:val="0"/>
                <w:sz w:val="24"/>
              </w:rPr>
            </w:pPr>
            <w:r>
              <w:rPr>
                <w:rFonts w:hint="eastAsia"/>
                <w:kern w:val="0"/>
                <w:sz w:val="24"/>
              </w:rPr>
              <w:t>搅拌混合：加入酶制剂的黄油（奶油）进入酶解罐内进行搅拌混合，让酶制剂更好的与脂肪相互作用，在加热条件下更好的分解脂肪，酶制剂的最适合作用温度一般为3</w:t>
            </w:r>
            <w:r>
              <w:rPr>
                <w:kern w:val="0"/>
                <w:sz w:val="24"/>
              </w:rPr>
              <w:t>5-40</w:t>
            </w:r>
            <w:r>
              <w:rPr>
                <w:rFonts w:hint="eastAsia"/>
                <w:kern w:val="0"/>
                <w:sz w:val="24"/>
              </w:rPr>
              <w:t>度，其作用时间的长短由工艺调整。加热过程中，可以更快的将大分子脂肪分解为小分子脂肪、少量的蛋白质和水。</w:t>
            </w:r>
          </w:p>
          <w:p>
            <w:pPr>
              <w:pStyle w:val="72"/>
              <w:numPr>
                <w:ilvl w:val="0"/>
                <w:numId w:val="6"/>
              </w:numPr>
              <w:autoSpaceDE w:val="0"/>
              <w:autoSpaceDN w:val="0"/>
              <w:spacing w:line="360" w:lineRule="auto"/>
              <w:ind w:firstLineChars="0"/>
              <w:rPr>
                <w:kern w:val="0"/>
                <w:sz w:val="24"/>
              </w:rPr>
            </w:pPr>
            <w:r>
              <w:rPr>
                <w:rFonts w:hint="eastAsia"/>
                <w:kern w:val="0"/>
                <w:sz w:val="24"/>
              </w:rPr>
              <w:t>静置分离：加热后的混合物静置一段时间。脂肪、少量的蛋白质和水混合物通过离心分离方法，将其中的脂肪分离提纯出来。在分离提纯过程中，需要过滤，以保证所得到的酶解黄油脂肪纯度。</w:t>
            </w:r>
          </w:p>
          <w:p>
            <w:pPr>
              <w:pStyle w:val="72"/>
              <w:numPr>
                <w:ilvl w:val="0"/>
                <w:numId w:val="6"/>
              </w:numPr>
              <w:autoSpaceDE w:val="0"/>
              <w:autoSpaceDN w:val="0"/>
              <w:spacing w:line="360" w:lineRule="auto"/>
              <w:ind w:firstLineChars="0"/>
              <w:rPr>
                <w:kern w:val="0"/>
                <w:sz w:val="24"/>
              </w:rPr>
            </w:pPr>
            <w:r>
              <w:rPr>
                <w:rFonts w:hint="eastAsia"/>
                <w:kern w:val="0"/>
                <w:sz w:val="24"/>
              </w:rPr>
              <w:t>检验：分离后的酶解黄油进行检验，合格的产品进入下一阶段灌装，不合格的产品返回杀菌环节再进行处理。</w:t>
            </w:r>
          </w:p>
          <w:p>
            <w:pPr>
              <w:pStyle w:val="72"/>
              <w:numPr>
                <w:ilvl w:val="0"/>
                <w:numId w:val="6"/>
              </w:numPr>
              <w:autoSpaceDE w:val="0"/>
              <w:autoSpaceDN w:val="0"/>
              <w:spacing w:line="360" w:lineRule="auto"/>
              <w:ind w:firstLineChars="0"/>
              <w:rPr>
                <w:kern w:val="0"/>
                <w:sz w:val="24"/>
              </w:rPr>
            </w:pPr>
            <w:r>
              <w:rPr>
                <w:rFonts w:hint="eastAsia"/>
                <w:kern w:val="0"/>
                <w:sz w:val="24"/>
              </w:rPr>
              <w:t>灌装、封包：将产品灌装到容器中，包装好，成为待销售的产品。</w:t>
            </w:r>
          </w:p>
          <w:p>
            <w:pPr>
              <w:pStyle w:val="72"/>
              <w:numPr>
                <w:ilvl w:val="0"/>
                <w:numId w:val="6"/>
              </w:numPr>
              <w:autoSpaceDE w:val="0"/>
              <w:autoSpaceDN w:val="0"/>
              <w:spacing w:line="360" w:lineRule="auto"/>
              <w:ind w:firstLineChars="0"/>
              <w:rPr>
                <w:kern w:val="0"/>
                <w:sz w:val="24"/>
              </w:rPr>
            </w:pPr>
            <w:r>
              <w:rPr>
                <w:rFonts w:hint="eastAsia"/>
                <w:kern w:val="0"/>
                <w:sz w:val="24"/>
              </w:rPr>
              <w:t>冷库储藏：将包装好的产品放置在冷库，待出货。</w:t>
            </w:r>
          </w:p>
          <w:p>
            <w:pPr>
              <w:pStyle w:val="2"/>
              <w:spacing w:line="360" w:lineRule="auto"/>
              <w:ind w:firstLine="482"/>
              <w:rPr>
                <w:b/>
                <w:bCs/>
                <w:sz w:val="24"/>
              </w:rPr>
            </w:pPr>
            <w:r>
              <w:rPr>
                <w:rFonts w:hint="eastAsia"/>
                <w:b/>
                <w:bCs/>
                <w:sz w:val="24"/>
              </w:rPr>
              <w:t>产污环节：以上生产过程中主要为设备清洗废水、设备噪声。离心、过滤产生的奶渣、天然香料。</w:t>
            </w:r>
          </w:p>
          <w:p>
            <w:pPr>
              <w:pStyle w:val="72"/>
              <w:autoSpaceDE w:val="0"/>
              <w:autoSpaceDN w:val="0"/>
              <w:spacing w:line="360" w:lineRule="auto"/>
              <w:ind w:left="840" w:firstLine="0" w:firstLineChars="0"/>
              <w:rPr>
                <w:kern w:val="0"/>
                <w:sz w:val="24"/>
              </w:rPr>
            </w:pPr>
            <w:r>
              <w:drawing>
                <wp:inline distT="0" distB="0" distL="0" distR="0">
                  <wp:extent cx="3810000" cy="6000750"/>
                  <wp:effectExtent l="0" t="0" r="0" b="0"/>
                  <wp:docPr id="605689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89997" name="图片 1"/>
                          <pic:cNvPicPr>
                            <a:picLocks noChangeAspect="1"/>
                          </pic:cNvPicPr>
                        </pic:nvPicPr>
                        <pic:blipFill>
                          <a:blip r:embed="rId16"/>
                          <a:stretch>
                            <a:fillRect/>
                          </a:stretch>
                        </pic:blipFill>
                        <pic:spPr>
                          <a:xfrm>
                            <a:off x="0" y="0"/>
                            <a:ext cx="3810000" cy="6000750"/>
                          </a:xfrm>
                          <a:prstGeom prst="rect">
                            <a:avLst/>
                          </a:prstGeom>
                        </pic:spPr>
                      </pic:pic>
                    </a:graphicData>
                  </a:graphic>
                </wp:inline>
              </w:drawing>
            </w:r>
          </w:p>
          <w:p>
            <w:pPr>
              <w:autoSpaceDE w:val="0"/>
              <w:autoSpaceDN w:val="0"/>
              <w:spacing w:line="360" w:lineRule="auto"/>
              <w:jc w:val="center"/>
              <w:rPr>
                <w:b/>
                <w:bCs/>
                <w:kern w:val="0"/>
                <w:sz w:val="24"/>
              </w:rPr>
            </w:pPr>
            <w:r>
              <w:rPr>
                <w:rFonts w:hint="eastAsia"/>
                <w:b/>
                <w:bCs/>
                <w:kern w:val="0"/>
                <w:sz w:val="24"/>
              </w:rPr>
              <w:t>图2</w:t>
            </w:r>
            <w:r>
              <w:rPr>
                <w:b/>
                <w:bCs/>
                <w:kern w:val="0"/>
                <w:sz w:val="24"/>
              </w:rPr>
              <w:t xml:space="preserve">-5 </w:t>
            </w:r>
            <w:r>
              <w:rPr>
                <w:rFonts w:hint="eastAsia"/>
                <w:b/>
                <w:bCs/>
                <w:kern w:val="0"/>
                <w:sz w:val="24"/>
              </w:rPr>
              <w:t>奶油制品工艺流程及产污环节图</w:t>
            </w:r>
          </w:p>
          <w:p>
            <w:pPr>
              <w:numPr>
                <w:ilvl w:val="0"/>
                <w:numId w:val="7"/>
              </w:numPr>
              <w:autoSpaceDE w:val="0"/>
              <w:autoSpaceDN w:val="0"/>
              <w:spacing w:line="360" w:lineRule="auto"/>
              <w:ind w:firstLine="480"/>
              <w:jc w:val="left"/>
            </w:pPr>
            <w:r>
              <w:rPr>
                <w:rFonts w:hint="eastAsia"/>
                <w:kern w:val="0"/>
                <w:sz w:val="24"/>
              </w:rPr>
              <w:t>各种风味的奶油制品</w:t>
            </w:r>
          </w:p>
          <w:p>
            <w:pPr>
              <w:widowControl/>
              <w:jc w:val="center"/>
              <w:rPr>
                <w:rFonts w:cs="宋体"/>
                <w:kern w:val="0"/>
                <w:sz w:val="24"/>
              </w:rPr>
            </w:pPr>
            <w:r>
              <w:rPr>
                <w:rFonts w:cs="宋体"/>
                <w:kern w:val="0"/>
                <w:sz w:val="24"/>
              </w:rPr>
              <w:drawing>
                <wp:inline distT="0" distB="0" distL="0" distR="0">
                  <wp:extent cx="3470275" cy="5610225"/>
                  <wp:effectExtent l="0" t="0" r="0" b="0"/>
                  <wp:docPr id="3179793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79354"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74925" cy="5616910"/>
                          </a:xfrm>
                          <a:prstGeom prst="rect">
                            <a:avLst/>
                          </a:prstGeom>
                          <a:noFill/>
                          <a:ln>
                            <a:noFill/>
                          </a:ln>
                        </pic:spPr>
                      </pic:pic>
                    </a:graphicData>
                  </a:graphic>
                </wp:inline>
              </w:drawing>
            </w:r>
          </w:p>
          <w:p>
            <w:pPr>
              <w:widowControl/>
              <w:jc w:val="left"/>
              <w:rPr>
                <w:rFonts w:cs="宋体"/>
                <w:kern w:val="0"/>
                <w:sz w:val="24"/>
              </w:rPr>
            </w:pPr>
          </w:p>
          <w:p>
            <w:pPr>
              <w:autoSpaceDE w:val="0"/>
              <w:autoSpaceDN w:val="0"/>
              <w:spacing w:line="360" w:lineRule="auto"/>
              <w:jc w:val="center"/>
              <w:rPr>
                <w:b/>
                <w:bCs/>
                <w:kern w:val="0"/>
                <w:sz w:val="24"/>
              </w:rPr>
            </w:pPr>
            <w:r>
              <w:rPr>
                <w:rFonts w:hint="eastAsia"/>
                <w:b/>
                <w:bCs/>
                <w:kern w:val="0"/>
                <w:sz w:val="24"/>
              </w:rPr>
              <w:t>图2</w:t>
            </w:r>
            <w:r>
              <w:rPr>
                <w:b/>
                <w:bCs/>
                <w:kern w:val="0"/>
                <w:sz w:val="24"/>
              </w:rPr>
              <w:t xml:space="preserve">-6 </w:t>
            </w:r>
            <w:r>
              <w:rPr>
                <w:rFonts w:hint="eastAsia"/>
                <w:b/>
                <w:bCs/>
                <w:kern w:val="0"/>
                <w:sz w:val="24"/>
              </w:rPr>
              <w:t>各种风味的奶油制品工艺流程及产污环节图</w:t>
            </w:r>
          </w:p>
          <w:p>
            <w:pPr>
              <w:pStyle w:val="72"/>
              <w:numPr>
                <w:ilvl w:val="0"/>
                <w:numId w:val="8"/>
              </w:numPr>
              <w:autoSpaceDE w:val="0"/>
              <w:autoSpaceDN w:val="0"/>
              <w:spacing w:line="360" w:lineRule="auto"/>
              <w:ind w:firstLineChars="0"/>
              <w:rPr>
                <w:kern w:val="0"/>
                <w:sz w:val="24"/>
              </w:rPr>
            </w:pPr>
            <w:r>
              <w:rPr>
                <w:rFonts w:hint="eastAsia"/>
                <w:kern w:val="0"/>
                <w:sz w:val="24"/>
              </w:rPr>
              <w:t>配料：按配方要求，将所需原料（黄油和天然香料）按一定比例进行配料。</w:t>
            </w:r>
          </w:p>
          <w:p>
            <w:pPr>
              <w:pStyle w:val="72"/>
              <w:numPr>
                <w:ilvl w:val="0"/>
                <w:numId w:val="8"/>
              </w:numPr>
              <w:autoSpaceDE w:val="0"/>
              <w:autoSpaceDN w:val="0"/>
              <w:spacing w:line="360" w:lineRule="auto"/>
              <w:ind w:firstLineChars="0"/>
              <w:rPr>
                <w:kern w:val="0"/>
                <w:sz w:val="24"/>
              </w:rPr>
            </w:pPr>
            <w:r>
              <w:rPr>
                <w:rFonts w:hint="eastAsia"/>
                <w:kern w:val="0"/>
                <w:sz w:val="24"/>
              </w:rPr>
              <w:t>加热搅拌：原料进入夹层锅内进行加热、搅拌混合，加热、搅拌过程中，可以更快的将天然香料的香气融入到黄油（奶油）中。加热方式为电加热。</w:t>
            </w:r>
          </w:p>
          <w:p>
            <w:pPr>
              <w:autoSpaceDE w:val="0"/>
              <w:autoSpaceDN w:val="0"/>
              <w:spacing w:line="360" w:lineRule="auto"/>
              <w:ind w:left="480"/>
              <w:rPr>
                <w:kern w:val="0"/>
                <w:sz w:val="24"/>
              </w:rPr>
            </w:pPr>
            <w:r>
              <w:rPr>
                <w:rFonts w:hint="eastAsia"/>
                <w:kern w:val="0"/>
                <w:sz w:val="24"/>
              </w:rPr>
              <w:t>③分离：天然香料和黄油（奶油）的混合物，通过离心、过滤，将其中的天然香料、黄油（奶油）分离提纯。</w:t>
            </w:r>
          </w:p>
          <w:p>
            <w:pPr>
              <w:autoSpaceDE w:val="0"/>
              <w:autoSpaceDN w:val="0"/>
              <w:spacing w:line="360" w:lineRule="auto"/>
              <w:ind w:firstLine="480" w:firstLineChars="200"/>
              <w:rPr>
                <w:kern w:val="0"/>
                <w:sz w:val="24"/>
              </w:rPr>
            </w:pPr>
            <w:r>
              <w:rPr>
                <w:rFonts w:hint="eastAsia"/>
                <w:kern w:val="0"/>
                <w:sz w:val="24"/>
              </w:rPr>
              <w:t>④检验：对分离后的产品进行检验，合格的进入下一阶段灌装，不合格的产品返回杀菌环节再进行处理。</w:t>
            </w:r>
          </w:p>
          <w:p>
            <w:pPr>
              <w:autoSpaceDE w:val="0"/>
              <w:autoSpaceDN w:val="0"/>
              <w:spacing w:line="360" w:lineRule="auto"/>
              <w:ind w:firstLine="480" w:firstLineChars="200"/>
              <w:rPr>
                <w:kern w:val="0"/>
                <w:sz w:val="24"/>
              </w:rPr>
            </w:pPr>
            <w:r>
              <w:rPr>
                <w:rFonts w:hint="eastAsia"/>
                <w:kern w:val="0"/>
                <w:sz w:val="24"/>
              </w:rPr>
              <w:t>⑤灌装：将产品灌装到容器中，包装好，成为待销售的产品。</w:t>
            </w:r>
          </w:p>
          <w:p>
            <w:pPr>
              <w:pStyle w:val="72"/>
              <w:autoSpaceDE w:val="0"/>
              <w:autoSpaceDN w:val="0"/>
              <w:spacing w:line="360" w:lineRule="auto"/>
              <w:ind w:left="480" w:firstLine="0" w:firstLineChars="0"/>
              <w:rPr>
                <w:kern w:val="0"/>
                <w:sz w:val="24"/>
              </w:rPr>
            </w:pPr>
            <w:r>
              <w:rPr>
                <w:rFonts w:hint="eastAsia"/>
                <w:kern w:val="0"/>
                <w:sz w:val="24"/>
              </w:rPr>
              <w:t>⑥冷库储藏：将包装好的产品放置在冷库，待出货。</w:t>
            </w:r>
          </w:p>
          <w:p>
            <w:pPr>
              <w:pStyle w:val="2"/>
              <w:spacing w:line="360" w:lineRule="auto"/>
              <w:ind w:firstLine="482"/>
              <w:rPr>
                <w:b/>
                <w:bCs/>
                <w:sz w:val="24"/>
              </w:rPr>
            </w:pPr>
            <w:r>
              <w:rPr>
                <w:rFonts w:hint="eastAsia"/>
                <w:b/>
                <w:bCs/>
                <w:sz w:val="24"/>
              </w:rPr>
              <w:t>产污环节：以上生产过程中主要为设备清洗废水、设备噪声。离心、过滤产生的奶渣、天然香料。</w:t>
            </w:r>
          </w:p>
          <w:p>
            <w:pPr>
              <w:pStyle w:val="3"/>
              <w:spacing w:after="0" w:line="360" w:lineRule="auto"/>
              <w:ind w:left="0" w:leftChars="0" w:firstLine="241" w:firstLineChars="100"/>
              <w:rPr>
                <w:b/>
                <w:bCs/>
              </w:rPr>
            </w:pPr>
            <w:r>
              <w:rPr>
                <w:rFonts w:hint="eastAsia"/>
                <w:b/>
                <w:bCs/>
              </w:rPr>
              <w:t>2</w:t>
            </w:r>
            <w:r>
              <w:rPr>
                <w:b/>
                <w:bCs/>
              </w:rPr>
              <w:t>.2</w:t>
            </w:r>
            <w:r>
              <w:rPr>
                <w:rFonts w:hint="eastAsia"/>
                <w:b/>
                <w:bCs/>
              </w:rPr>
              <w:t>食品用香精生产工艺流程</w:t>
            </w:r>
          </w:p>
          <w:p>
            <w:pPr>
              <w:spacing w:line="360" w:lineRule="auto"/>
              <w:rPr>
                <w:sz w:val="24"/>
              </w:rPr>
            </w:pPr>
            <w:r>
              <w:rPr>
                <w:rFonts w:hint="eastAsia"/>
              </w:rPr>
              <w:t xml:space="preserve"> </w:t>
            </w:r>
            <w:r>
              <w:t xml:space="preserve">  </w:t>
            </w:r>
            <w:r>
              <w:rPr>
                <w:sz w:val="24"/>
              </w:rPr>
              <w:t xml:space="preserve">  </w:t>
            </w:r>
            <w:r>
              <w:rPr>
                <w:rFonts w:hint="eastAsia"/>
                <w:sz w:val="24"/>
              </w:rPr>
              <w:t>食品用香精生产包括液体香精和浆（膏）状香精两种，两者的区别浆（膏）状需要静置处理，液体香精不需要静置。</w:t>
            </w:r>
          </w:p>
          <w:p>
            <w:pPr>
              <w:widowControl/>
              <w:jc w:val="left"/>
              <w:rPr>
                <w:rFonts w:cs="宋体"/>
                <w:kern w:val="0"/>
                <w:sz w:val="24"/>
              </w:rPr>
            </w:pPr>
            <w:r>
              <w:rPr>
                <w:rFonts w:cs="宋体"/>
                <w:kern w:val="0"/>
                <w:sz w:val="24"/>
              </w:rPr>
              <w:drawing>
                <wp:inline distT="0" distB="0" distL="0" distR="0">
                  <wp:extent cx="5102860" cy="5346700"/>
                  <wp:effectExtent l="0" t="0" r="2540" b="6350"/>
                  <wp:docPr id="2343233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23377"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07926" cy="5352234"/>
                          </a:xfrm>
                          <a:prstGeom prst="rect">
                            <a:avLst/>
                          </a:prstGeom>
                          <a:noFill/>
                          <a:ln>
                            <a:noFill/>
                          </a:ln>
                        </pic:spPr>
                      </pic:pic>
                    </a:graphicData>
                  </a:graphic>
                </wp:inline>
              </w:drawing>
            </w:r>
          </w:p>
          <w:p>
            <w:pPr>
              <w:autoSpaceDE w:val="0"/>
              <w:autoSpaceDN w:val="0"/>
              <w:spacing w:line="360" w:lineRule="auto"/>
              <w:jc w:val="center"/>
            </w:pPr>
            <w:r>
              <w:t xml:space="preserve"> </w:t>
            </w:r>
          </w:p>
          <w:p>
            <w:pPr>
              <w:pStyle w:val="2"/>
              <w:ind w:firstLine="482"/>
              <w:jc w:val="center"/>
              <w:rPr>
                <w:b/>
                <w:bCs/>
                <w:sz w:val="24"/>
              </w:rPr>
            </w:pPr>
            <w:r>
              <w:rPr>
                <w:rFonts w:hint="eastAsia"/>
                <w:b/>
                <w:bCs/>
                <w:sz w:val="24"/>
              </w:rPr>
              <w:t>图2</w:t>
            </w:r>
            <w:r>
              <w:rPr>
                <w:b/>
                <w:bCs/>
                <w:sz w:val="24"/>
              </w:rPr>
              <w:t>-7</w:t>
            </w:r>
            <w:r>
              <w:rPr>
                <w:rFonts w:hint="eastAsia"/>
                <w:b/>
                <w:bCs/>
                <w:sz w:val="24"/>
              </w:rPr>
              <w:t xml:space="preserve"> 液体香精生产工艺及产污环节图</w:t>
            </w:r>
          </w:p>
          <w:p>
            <w:pPr>
              <w:widowControl/>
              <w:jc w:val="left"/>
              <w:rPr>
                <w:rFonts w:cs="宋体"/>
                <w:kern w:val="0"/>
                <w:sz w:val="24"/>
              </w:rPr>
            </w:pPr>
            <w:r>
              <w:t xml:space="preserve"> </w:t>
            </w:r>
            <w:r>
              <w:rPr>
                <w:rFonts w:cs="宋体"/>
                <w:kern w:val="0"/>
                <w:sz w:val="24"/>
              </w:rPr>
              <w:drawing>
                <wp:inline distT="0" distB="0" distL="0" distR="0">
                  <wp:extent cx="5206365" cy="6319520"/>
                  <wp:effectExtent l="0" t="0" r="0" b="5080"/>
                  <wp:docPr id="15263256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25622"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13982" cy="6328821"/>
                          </a:xfrm>
                          <a:prstGeom prst="rect">
                            <a:avLst/>
                          </a:prstGeom>
                          <a:noFill/>
                          <a:ln>
                            <a:noFill/>
                          </a:ln>
                        </pic:spPr>
                      </pic:pic>
                    </a:graphicData>
                  </a:graphic>
                </wp:inline>
              </w:drawing>
            </w:r>
          </w:p>
          <w:p>
            <w:pPr>
              <w:widowControl/>
              <w:jc w:val="left"/>
              <w:rPr>
                <w:rFonts w:cs="宋体"/>
                <w:kern w:val="0"/>
                <w:sz w:val="24"/>
              </w:rPr>
            </w:pPr>
          </w:p>
          <w:p>
            <w:pPr>
              <w:pStyle w:val="2"/>
              <w:ind w:firstLine="482"/>
              <w:jc w:val="center"/>
              <w:rPr>
                <w:b/>
                <w:bCs/>
                <w:sz w:val="24"/>
              </w:rPr>
            </w:pPr>
            <w:r>
              <w:rPr>
                <w:rFonts w:hint="eastAsia"/>
                <w:b/>
                <w:bCs/>
                <w:sz w:val="24"/>
              </w:rPr>
              <w:t>图2</w:t>
            </w:r>
            <w:r>
              <w:rPr>
                <w:b/>
                <w:bCs/>
                <w:sz w:val="24"/>
              </w:rPr>
              <w:t>-8</w:t>
            </w:r>
            <w:r>
              <w:rPr>
                <w:rFonts w:hint="eastAsia"/>
                <w:b/>
                <w:bCs/>
                <w:sz w:val="24"/>
              </w:rPr>
              <w:t xml:space="preserve"> 浆（膏）香精生产工艺及产污环节图</w:t>
            </w:r>
          </w:p>
          <w:p>
            <w:pPr>
              <w:pStyle w:val="3"/>
            </w:pPr>
            <w:r>
              <w:rPr>
                <w:rFonts w:hint="eastAsia"/>
              </w:rPr>
              <w:t>生产工艺说明：</w:t>
            </w:r>
          </w:p>
          <w:p>
            <w:pPr>
              <w:spacing w:line="360" w:lineRule="auto"/>
              <w:ind w:firstLine="176" w:firstLineChars="84"/>
              <w:jc w:val="left"/>
              <w:rPr>
                <w:sz w:val="24"/>
              </w:rPr>
            </w:pPr>
            <w:r>
              <w:rPr>
                <w:rFonts w:hint="eastAsia"/>
              </w:rPr>
              <w:t xml:space="preserve"> </w:t>
            </w:r>
            <w:r>
              <w:t xml:space="preserve">       </w:t>
            </w:r>
            <w:r>
              <w:rPr>
                <w:sz w:val="24"/>
              </w:rPr>
              <w:t xml:space="preserve">   </w:t>
            </w:r>
            <w:r>
              <w:rPr>
                <w:rFonts w:hint="eastAsia"/>
                <w:sz w:val="24"/>
              </w:rPr>
              <w:t>项目生产以原料的物理混合搅拌为主，无化学反应。</w:t>
            </w:r>
          </w:p>
          <w:p>
            <w:pPr>
              <w:pStyle w:val="2"/>
              <w:spacing w:line="360" w:lineRule="auto"/>
              <w:ind w:left="319" w:firstLine="0" w:firstLineChars="0"/>
              <w:jc w:val="left"/>
              <w:rPr>
                <w:sz w:val="24"/>
              </w:rPr>
            </w:pPr>
            <w:r>
              <w:rPr>
                <w:rFonts w:hint="eastAsia"/>
                <w:sz w:val="24"/>
              </w:rPr>
              <w:t>（1）领料：按配方要求，领取原料，主要包括辛癸酸甘油酯（MCT）、食用酒精、三乙酸甘油酯、丙二醇、丁位十二内酯、丁位癸内酯、香兰素、乙基麦芽酚、丁酸、乙偶姻、丙位壬内酯、饮用纯净水等。</w:t>
            </w:r>
          </w:p>
          <w:p>
            <w:pPr>
              <w:pStyle w:val="3"/>
              <w:spacing w:after="0" w:line="360" w:lineRule="auto"/>
              <w:ind w:left="319" w:leftChars="0" w:firstLine="0"/>
              <w:jc w:val="left"/>
              <w:rPr>
                <w:szCs w:val="24"/>
              </w:rPr>
            </w:pPr>
            <w:r>
              <w:rPr>
                <w:rFonts w:hint="eastAsia"/>
                <w:szCs w:val="24"/>
              </w:rPr>
              <w:t>（2）配料：按配方要求，称量投料。</w:t>
            </w:r>
          </w:p>
          <w:p>
            <w:pPr>
              <w:pStyle w:val="72"/>
              <w:spacing w:line="360" w:lineRule="auto"/>
              <w:ind w:left="319" w:firstLine="0" w:firstLineChars="0"/>
              <w:jc w:val="left"/>
              <w:rPr>
                <w:sz w:val="24"/>
              </w:rPr>
            </w:pPr>
            <w:r>
              <w:rPr>
                <w:rFonts w:hint="eastAsia"/>
                <w:sz w:val="24"/>
              </w:rPr>
              <w:t>（3）搅拌：投完料后，进行搅拌。</w:t>
            </w:r>
          </w:p>
          <w:p>
            <w:pPr>
              <w:pStyle w:val="2"/>
              <w:spacing w:line="360" w:lineRule="auto"/>
              <w:ind w:left="319" w:firstLine="0" w:firstLineChars="0"/>
              <w:jc w:val="left"/>
              <w:rPr>
                <w:sz w:val="24"/>
              </w:rPr>
            </w:pPr>
            <w:r>
              <w:rPr>
                <w:rFonts w:hint="eastAsia"/>
                <w:sz w:val="24"/>
              </w:rPr>
              <w:t>（4）静置：浆（膏）状香精，辅料投完搅拌后需要静置，液体香精不需要。</w:t>
            </w:r>
          </w:p>
          <w:p>
            <w:pPr>
              <w:pStyle w:val="3"/>
              <w:spacing w:after="0" w:line="360" w:lineRule="auto"/>
              <w:ind w:left="0" w:leftChars="0" w:firstLine="240" w:firstLineChars="100"/>
              <w:jc w:val="left"/>
              <w:rPr>
                <w:szCs w:val="24"/>
              </w:rPr>
            </w:pPr>
            <w:r>
              <w:rPr>
                <w:rFonts w:hint="eastAsia"/>
                <w:szCs w:val="24"/>
              </w:rPr>
              <w:t>（5）过滤、灌装：产品做好后，边过滤边灌装称重。</w:t>
            </w:r>
          </w:p>
          <w:p>
            <w:pPr>
              <w:ind w:firstLine="240"/>
              <w:rPr>
                <w:sz w:val="24"/>
              </w:rPr>
            </w:pPr>
            <w:r>
              <w:rPr>
                <w:rFonts w:hint="eastAsia"/>
                <w:sz w:val="24"/>
              </w:rPr>
              <w:t>（6）包装、入库：灌装好的产品包装后入库。</w:t>
            </w:r>
          </w:p>
          <w:p>
            <w:pPr>
              <w:pStyle w:val="3"/>
              <w:spacing w:before="120" w:beforeLines="50" w:afterLines="50" w:line="360" w:lineRule="auto"/>
              <w:ind w:left="0" w:leftChars="0" w:firstLine="241" w:firstLineChars="100"/>
              <w:jc w:val="left"/>
              <w:rPr>
                <w:b/>
                <w:bCs/>
                <w:szCs w:val="24"/>
              </w:rPr>
            </w:pPr>
            <w:r>
              <w:rPr>
                <w:rFonts w:hint="eastAsia"/>
                <w:b/>
                <w:bCs/>
                <w:szCs w:val="24"/>
              </w:rPr>
              <w:t>产污环节：香精生产过程主要为过滤物，设备噪声，搅拌挥发的有机废气（以非甲烷总烃计）、原料香味（恶臭气体），工器具、设备清洗废水。</w:t>
            </w:r>
          </w:p>
          <w:p>
            <w:pPr>
              <w:autoSpaceDE w:val="0"/>
              <w:autoSpaceDN w:val="0"/>
              <w:spacing w:line="360" w:lineRule="auto"/>
              <w:ind w:firstLine="482" w:firstLineChars="200"/>
              <w:rPr>
                <w:b/>
                <w:bCs/>
                <w:kern w:val="0"/>
                <w:sz w:val="24"/>
              </w:rPr>
            </w:pPr>
            <w:r>
              <w:rPr>
                <w:rFonts w:hint="eastAsia"/>
                <w:b/>
                <w:bCs/>
                <w:kern w:val="0"/>
                <w:sz w:val="24"/>
              </w:rPr>
              <w:t>2</w:t>
            </w:r>
            <w:r>
              <w:rPr>
                <w:b/>
                <w:bCs/>
                <w:kern w:val="0"/>
                <w:sz w:val="24"/>
              </w:rPr>
              <w:t xml:space="preserve">.3 </w:t>
            </w:r>
            <w:r>
              <w:rPr>
                <w:rFonts w:hint="eastAsia"/>
                <w:b/>
                <w:bCs/>
                <w:kern w:val="0"/>
                <w:sz w:val="24"/>
              </w:rPr>
              <w:t>复合调味料生产工艺流程</w:t>
            </w:r>
          </w:p>
          <w:p>
            <w:pPr>
              <w:autoSpaceDE w:val="0"/>
              <w:autoSpaceDN w:val="0"/>
              <w:spacing w:line="360" w:lineRule="auto"/>
              <w:ind w:firstLine="482" w:firstLineChars="200"/>
              <w:rPr>
                <w:b/>
                <w:bCs/>
                <w:kern w:val="0"/>
                <w:sz w:val="24"/>
              </w:rPr>
            </w:pPr>
            <w:r>
              <w:rPr>
                <w:rFonts w:hint="eastAsia"/>
                <w:b/>
                <w:bCs/>
                <w:kern w:val="0"/>
                <w:sz w:val="24"/>
              </w:rPr>
              <w:t>工艺过程说明：</w:t>
            </w:r>
          </w:p>
          <w:p>
            <w:pPr>
              <w:pStyle w:val="2"/>
              <w:numPr>
                <w:ilvl w:val="0"/>
                <w:numId w:val="9"/>
              </w:numPr>
              <w:spacing w:line="360" w:lineRule="auto"/>
              <w:ind w:firstLineChars="0"/>
              <w:rPr>
                <w:sz w:val="24"/>
              </w:rPr>
            </w:pPr>
            <w:r>
              <w:rPr>
                <w:rFonts w:hint="eastAsia"/>
                <w:sz w:val="24"/>
              </w:rPr>
              <w:t>称量配料：将原料按配方要求称量，进行混合。主要原料是鸡蛋（鸡蛋粉、蛋黄液）、可可粉、桶装饮用纯净水、白砂糖（糖浆）。</w:t>
            </w:r>
          </w:p>
          <w:p>
            <w:pPr>
              <w:pStyle w:val="3"/>
              <w:numPr>
                <w:ilvl w:val="0"/>
                <w:numId w:val="9"/>
              </w:numPr>
              <w:spacing w:line="360" w:lineRule="auto"/>
              <w:ind w:leftChars="0"/>
              <w:rPr>
                <w:szCs w:val="24"/>
              </w:rPr>
            </w:pPr>
            <w:r>
              <w:rPr>
                <w:rFonts w:hint="eastAsia"/>
                <w:szCs w:val="24"/>
              </w:rPr>
              <w:t>搅拌、酶解：原料放入酶解罐（发酵罐）中进行搅拌酶解，此过程设备封闭。</w:t>
            </w:r>
          </w:p>
          <w:p>
            <w:pPr>
              <w:numPr>
                <w:ilvl w:val="0"/>
                <w:numId w:val="9"/>
              </w:numPr>
              <w:spacing w:line="360" w:lineRule="auto"/>
              <w:rPr>
                <w:sz w:val="24"/>
              </w:rPr>
            </w:pPr>
            <w:r>
              <w:rPr>
                <w:rFonts w:hint="eastAsia"/>
                <w:sz w:val="24"/>
              </w:rPr>
              <w:t>检验：有过程检验，产品检验，出货检验。</w:t>
            </w:r>
          </w:p>
          <w:p>
            <w:pPr>
              <w:numPr>
                <w:ilvl w:val="0"/>
                <w:numId w:val="9"/>
              </w:numPr>
              <w:spacing w:line="360" w:lineRule="auto"/>
              <w:rPr>
                <w:sz w:val="24"/>
              </w:rPr>
            </w:pPr>
            <w:r>
              <w:rPr>
                <w:rFonts w:hint="eastAsia"/>
                <w:sz w:val="24"/>
              </w:rPr>
              <w:t>过滤：产品做好后需要过滤，再检验。</w:t>
            </w:r>
          </w:p>
          <w:p>
            <w:pPr>
              <w:numPr>
                <w:ilvl w:val="0"/>
                <w:numId w:val="9"/>
              </w:numPr>
              <w:spacing w:line="360" w:lineRule="auto"/>
              <w:rPr>
                <w:sz w:val="24"/>
              </w:rPr>
            </w:pPr>
            <w:r>
              <w:rPr>
                <w:rFonts w:hint="eastAsia"/>
                <w:sz w:val="24"/>
              </w:rPr>
              <w:t>灌装、称重、包装：产品检验合格后，进行灌装计量包装。</w:t>
            </w:r>
          </w:p>
          <w:p>
            <w:pPr>
              <w:autoSpaceDE w:val="0"/>
              <w:autoSpaceDN w:val="0"/>
              <w:spacing w:before="120" w:beforeLines="50" w:line="360" w:lineRule="auto"/>
              <w:ind w:firstLine="482" w:firstLineChars="200"/>
              <w:rPr>
                <w:b/>
                <w:bCs/>
                <w:kern w:val="0"/>
                <w:sz w:val="24"/>
              </w:rPr>
            </w:pPr>
            <w:r>
              <w:rPr>
                <w:rFonts w:hint="eastAsia"/>
                <w:b/>
                <w:bCs/>
                <w:kern w:val="0"/>
                <w:sz w:val="24"/>
              </w:rPr>
              <w:t>产污环节：设备运行噪声，工器具、设备清洗废水、过滤物、原料预处理鸡蛋壳。</w:t>
            </w:r>
          </w:p>
          <w:p>
            <w:pPr>
              <w:pStyle w:val="2"/>
            </w:pPr>
          </w:p>
          <w:p>
            <w:pPr>
              <w:pStyle w:val="3"/>
            </w:pPr>
          </w:p>
          <w:p/>
          <w:p>
            <w:pPr>
              <w:pStyle w:val="2"/>
            </w:pPr>
          </w:p>
          <w:p>
            <w:pPr>
              <w:pStyle w:val="3"/>
            </w:pPr>
          </w:p>
          <w:p/>
          <w:p>
            <w:pPr>
              <w:pStyle w:val="2"/>
            </w:pPr>
          </w:p>
          <w:p>
            <w:pPr>
              <w:pStyle w:val="3"/>
            </w:pPr>
          </w:p>
          <w:p/>
          <w:p>
            <w:pPr>
              <w:widowControl/>
              <w:jc w:val="center"/>
              <w:rPr>
                <w:rFonts w:cs="宋体"/>
                <w:kern w:val="0"/>
                <w:sz w:val="24"/>
              </w:rPr>
            </w:pPr>
            <w:r>
              <mc:AlternateContent>
                <mc:Choice Requires="wps">
                  <w:drawing>
                    <wp:anchor distT="0" distB="0" distL="114300" distR="114300" simplePos="0" relativeHeight="251661312" behindDoc="0" locked="0" layoutInCell="1" allowOverlap="1">
                      <wp:simplePos x="0" y="0"/>
                      <wp:positionH relativeFrom="column">
                        <wp:posOffset>2411095</wp:posOffset>
                      </wp:positionH>
                      <wp:positionV relativeFrom="paragraph">
                        <wp:posOffset>3467735</wp:posOffset>
                      </wp:positionV>
                      <wp:extent cx="859790" cy="435610"/>
                      <wp:effectExtent l="0" t="0" r="0" b="3175"/>
                      <wp:wrapNone/>
                      <wp:docPr id="1686914474" name="文本框 63"/>
                      <wp:cNvGraphicFramePr/>
                      <a:graphic xmlns:a="http://schemas.openxmlformats.org/drawingml/2006/main">
                        <a:graphicData uri="http://schemas.microsoft.com/office/word/2010/wordprocessingShape">
                          <wps:wsp>
                            <wps:cNvSpPr txBox="1"/>
                            <wps:spPr>
                              <a:xfrm>
                                <a:off x="0" y="0"/>
                                <a:ext cx="859971" cy="435429"/>
                              </a:xfrm>
                              <a:prstGeom prst="rect">
                                <a:avLst/>
                              </a:prstGeom>
                              <a:noFill/>
                              <a:ln w="6350">
                                <a:noFill/>
                              </a:ln>
                            </wps:spPr>
                            <wps:txbx>
                              <w:txbxContent>
                                <w:p>
                                  <w:r>
                                    <w:rPr>
                                      <w:rFonts w:hint="eastAsia"/>
                                    </w:rPr>
                                    <w:t>设备噪声、清洗废水过滤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3" o:spid="_x0000_s1026" o:spt="202" type="#_x0000_t202" style="position:absolute;left:0pt;margin-left:189.85pt;margin-top:273.05pt;height:34.3pt;width:67.7pt;z-index:251661312;mso-width-relative:page;mso-height-relative:page;" filled="f" stroked="f" coordsize="21600,21600" o:gfxdata="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pBgz3AAAAAsBAAAPAAAAAAAAAAEAIAAA&#10;ACIAAABkcnMvZG93bnJldi54bWxQSwECFAAUAAAACACHTuJAvOYzk0ECAABvBAAADgAAAAAAAAAB&#10;ACAAAAArAQAAZHJzL2Uyb0RvYy54bWxQSwUGAAAAAAYABgBZAQAA3gUAAAAA&#10;">
                      <v:fill on="f" focussize="0,0"/>
                      <v:stroke on="f" weight="0.5pt"/>
                      <v:imagedata o:title=""/>
                      <o:lock v:ext="edit" aspectratio="f"/>
                      <v:textbox>
                        <w:txbxContent>
                          <w:p>
                            <w:r>
                              <w:rPr>
                                <w:rFonts w:hint="eastAsia"/>
                              </w:rPr>
                              <w:t>设备噪声、清洗废水过滤</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1790700</wp:posOffset>
                      </wp:positionH>
                      <wp:positionV relativeFrom="paragraph">
                        <wp:posOffset>3620135</wp:posOffset>
                      </wp:positionV>
                      <wp:extent cx="621030" cy="0"/>
                      <wp:effectExtent l="0" t="76200" r="27305" b="95250"/>
                      <wp:wrapNone/>
                      <wp:docPr id="1482488972" name="直接箭头连接符 62"/>
                      <wp:cNvGraphicFramePr/>
                      <a:graphic xmlns:a="http://schemas.openxmlformats.org/drawingml/2006/main">
                        <a:graphicData uri="http://schemas.microsoft.com/office/word/2010/wordprocessingShape">
                          <wps:wsp>
                            <wps:cNvCnPr/>
                            <wps:spPr>
                              <a:xfrm>
                                <a:off x="0" y="0"/>
                                <a:ext cx="6207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62" o:spid="_x0000_s1026" o:spt="32" type="#_x0000_t32" style="position:absolute;left:0pt;margin-left:141pt;margin-top:285.05pt;height:0pt;width:48.9pt;z-index:251660288;mso-width-relative:page;mso-height-relative:page;" filled="f" stroked="t" coordsize="21600,21600" o:gfxdata="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zfENoAAAALAQAADwAAAAAAAAABACAAAAAiAAAAZHJz&#10;L2Rvd25yZXYueG1sUEsBAhQAFAAAAAgAh07iQLLIkpECAgAA0wMAAA4AAAAAAAAAAQAgAAAAKQEA&#10;AGRycy9lMm9Eb2MueG1sUEsFBgAAAAAGAAYAWQEAAJ0FAAAAAA==&#10;">
                      <v:fill on="f" focussize="0,0"/>
                      <v:stroke color="#000000 [3213]" joinstyle="round" endarrow="block"/>
                      <v:imagedata o:title=""/>
                      <o:lock v:ext="edit" aspectratio="f"/>
                    </v:shape>
                  </w:pict>
                </mc:Fallback>
              </mc:AlternateContent>
            </w:r>
            <w:r>
              <w:rPr>
                <w:rFonts w:cs="宋体"/>
                <w:kern w:val="0"/>
                <w:sz w:val="24"/>
              </w:rPr>
              <w:drawing>
                <wp:inline distT="0" distB="0" distL="0" distR="0">
                  <wp:extent cx="3939540" cy="7870825"/>
                  <wp:effectExtent l="0" t="0" r="3810" b="0"/>
                  <wp:docPr id="888795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9520"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42091" cy="7875975"/>
                          </a:xfrm>
                          <a:prstGeom prst="rect">
                            <a:avLst/>
                          </a:prstGeom>
                          <a:noFill/>
                          <a:ln>
                            <a:noFill/>
                          </a:ln>
                        </pic:spPr>
                      </pic:pic>
                    </a:graphicData>
                  </a:graphic>
                </wp:inline>
              </w:drawing>
            </w:r>
          </w:p>
          <w:p>
            <w:pPr>
              <w:pStyle w:val="3"/>
              <w:jc w:val="center"/>
              <w:rPr>
                <w:b/>
                <w:bCs/>
              </w:rPr>
            </w:pPr>
            <w:r>
              <w:rPr>
                <w:rFonts w:hint="eastAsia"/>
                <w:b/>
                <w:bCs/>
              </w:rPr>
              <w:t>图2</w:t>
            </w:r>
            <w:r>
              <w:rPr>
                <w:b/>
                <w:bCs/>
              </w:rPr>
              <w:t xml:space="preserve">-9 </w:t>
            </w:r>
            <w:r>
              <w:rPr>
                <w:rFonts w:hint="eastAsia"/>
                <w:b/>
                <w:bCs/>
              </w:rPr>
              <w:t>复合调味料生产工艺及产污环节图</w:t>
            </w:r>
          </w:p>
          <w:p>
            <w:pPr>
              <w:spacing w:line="360" w:lineRule="auto"/>
              <w:ind w:firstLine="480" w:firstLineChars="200"/>
              <w:rPr>
                <w:rFonts w:cs="宋体"/>
                <w:sz w:val="24"/>
              </w:rPr>
            </w:pPr>
            <w:r>
              <w:rPr>
                <w:rFonts w:hint="eastAsia" w:cs="宋体"/>
                <w:sz w:val="24"/>
              </w:rPr>
              <w:t>项目运营期的产污情况一览表见下表。</w:t>
            </w:r>
          </w:p>
          <w:p>
            <w:pPr>
              <w:adjustRightInd w:val="0"/>
              <w:snapToGrid w:val="0"/>
              <w:spacing w:line="400" w:lineRule="exact"/>
              <w:jc w:val="center"/>
              <w:rPr>
                <w:b/>
                <w:sz w:val="24"/>
              </w:rPr>
            </w:pPr>
            <w:r>
              <w:rPr>
                <w:rFonts w:hint="eastAsia"/>
                <w:b/>
                <w:sz w:val="24"/>
              </w:rPr>
              <w:t xml:space="preserve">表 </w:t>
            </w:r>
            <w:r>
              <w:rPr>
                <w:b/>
                <w:sz w:val="24"/>
              </w:rPr>
              <w:t>2-14</w:t>
            </w:r>
            <w:r>
              <w:rPr>
                <w:rFonts w:hint="eastAsia"/>
                <w:b/>
                <w:sz w:val="24"/>
              </w:rPr>
              <w:t>项目运营期污染物产生情况一览表</w:t>
            </w:r>
          </w:p>
          <w:tbl>
            <w:tblPr>
              <w:tblStyle w:val="21"/>
              <w:tblW w:w="5000" w:type="pct"/>
              <w:tblInd w:w="0" w:type="dxa"/>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31"/>
              <w:gridCol w:w="1021"/>
              <w:gridCol w:w="1608"/>
              <w:gridCol w:w="2178"/>
              <w:gridCol w:w="2846"/>
            </w:tblGrid>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8" w:hRule="atLeast"/>
              </w:trPr>
              <w:tc>
                <w:tcPr>
                  <w:tcW w:w="436" w:type="pct"/>
                  <w:tcBorders>
                    <w:top w:val="single" w:color="auto" w:sz="12" w:space="0"/>
                    <w:left w:val="nil"/>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时期</w:t>
                  </w:r>
                </w:p>
              </w:tc>
              <w:tc>
                <w:tcPr>
                  <w:tcW w:w="609" w:type="pct"/>
                  <w:tcBorders>
                    <w:top w:val="single" w:color="auto" w:sz="12" w:space="0"/>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环境要素</w:t>
                  </w:r>
                </w:p>
              </w:tc>
              <w:tc>
                <w:tcPr>
                  <w:tcW w:w="959" w:type="pct"/>
                  <w:tcBorders>
                    <w:top w:val="single" w:color="auto" w:sz="12" w:space="0"/>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污染源</w:t>
                  </w:r>
                </w:p>
              </w:tc>
              <w:tc>
                <w:tcPr>
                  <w:tcW w:w="1299" w:type="pct"/>
                  <w:tcBorders>
                    <w:top w:val="single" w:color="auto" w:sz="12" w:space="0"/>
                    <w:bottom w:val="single" w:color="auto" w:sz="2" w:space="0"/>
                    <w:right w:val="single" w:color="auto" w:sz="4" w:space="0"/>
                  </w:tcBorders>
                  <w:vAlign w:val="center"/>
                </w:tcPr>
                <w:p>
                  <w:pPr>
                    <w:pStyle w:val="3"/>
                    <w:spacing w:after="0"/>
                    <w:ind w:left="0" w:leftChars="0" w:firstLine="0"/>
                    <w:jc w:val="center"/>
                    <w:rPr>
                      <w:b/>
                      <w:bCs/>
                      <w:sz w:val="18"/>
                      <w:szCs w:val="18"/>
                    </w:rPr>
                  </w:pPr>
                  <w:r>
                    <w:rPr>
                      <w:rFonts w:hint="eastAsia"/>
                      <w:b/>
                      <w:bCs/>
                      <w:sz w:val="18"/>
                      <w:szCs w:val="18"/>
                    </w:rPr>
                    <w:t>主要污染因子</w:t>
                  </w:r>
                </w:p>
              </w:tc>
              <w:tc>
                <w:tcPr>
                  <w:tcW w:w="1698" w:type="pct"/>
                  <w:tcBorders>
                    <w:top w:val="single" w:color="auto" w:sz="12" w:space="0"/>
                    <w:left w:val="single" w:color="auto" w:sz="4" w:space="0"/>
                    <w:bottom w:val="single" w:color="auto" w:sz="2" w:space="0"/>
                    <w:right w:val="nil"/>
                  </w:tcBorders>
                  <w:vAlign w:val="center"/>
                </w:tcPr>
                <w:p>
                  <w:pPr>
                    <w:pStyle w:val="3"/>
                    <w:spacing w:after="0"/>
                    <w:ind w:left="0" w:leftChars="0" w:firstLine="0"/>
                    <w:jc w:val="center"/>
                    <w:rPr>
                      <w:b/>
                      <w:bCs/>
                      <w:sz w:val="18"/>
                      <w:szCs w:val="18"/>
                    </w:rPr>
                  </w:pPr>
                  <w:r>
                    <w:rPr>
                      <w:rFonts w:hint="eastAsia"/>
                      <w:b/>
                      <w:bCs/>
                      <w:sz w:val="18"/>
                      <w:szCs w:val="18"/>
                    </w:rPr>
                    <w:t>排放去向</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0" w:hRule="atLeast"/>
              </w:trPr>
              <w:tc>
                <w:tcPr>
                  <w:tcW w:w="436" w:type="pct"/>
                  <w:vMerge w:val="restart"/>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一期工程</w:t>
                  </w:r>
                </w:p>
              </w:tc>
              <w:tc>
                <w:tcPr>
                  <w:tcW w:w="609" w:type="pct"/>
                  <w:vMerge w:val="restar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b/>
                      <w:bCs/>
                      <w:sz w:val="18"/>
                      <w:szCs w:val="18"/>
                    </w:rPr>
                    <w:t>废水</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设备清洗废水</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sz w:val="18"/>
                      <w:szCs w:val="18"/>
                    </w:rPr>
                    <w:t>COD</w:t>
                  </w:r>
                  <w:r>
                    <w:rPr>
                      <w:rFonts w:hint="eastAsia"/>
                      <w:sz w:val="18"/>
                      <w:szCs w:val="18"/>
                    </w:rPr>
                    <w:t>、氨氮、S</w:t>
                  </w:r>
                  <w:r>
                    <w:rPr>
                      <w:sz w:val="18"/>
                      <w:szCs w:val="18"/>
                    </w:rPr>
                    <w:t>S</w:t>
                  </w:r>
                  <w:r>
                    <w:rPr>
                      <w:rFonts w:hint="eastAsia"/>
                      <w:sz w:val="18"/>
                      <w:szCs w:val="18"/>
                    </w:rPr>
                    <w:t>等</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经污水处理站预处理后排入镶黄旗污水处理厂，待园区集中污水处理厂投入运行后，接入园区污水处理厂集中处置。</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2"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sz w:val="18"/>
                      <w:szCs w:val="18"/>
                    </w:rPr>
                  </w:pPr>
                </w:p>
              </w:tc>
              <w:tc>
                <w:tcPr>
                  <w:tcW w:w="609" w:type="pct"/>
                  <w:vMerge w:val="continue"/>
                  <w:tcBorders>
                    <w:top w:val="single" w:color="auto" w:sz="2" w:space="0"/>
                    <w:bottom w:val="single" w:color="auto" w:sz="2" w:space="0"/>
                  </w:tcBorders>
                  <w:vAlign w:val="center"/>
                </w:tcPr>
                <w:p>
                  <w:pPr>
                    <w:pStyle w:val="3"/>
                    <w:spacing w:after="0"/>
                    <w:ind w:left="0" w:leftChars="0" w:firstLine="0"/>
                    <w:jc w:val="center"/>
                    <w:rPr>
                      <w:sz w:val="18"/>
                      <w:szCs w:val="18"/>
                    </w:rPr>
                  </w:pP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生活污水</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sz w:val="18"/>
                      <w:szCs w:val="18"/>
                    </w:rPr>
                    <w:t>COD</w:t>
                  </w:r>
                  <w:r>
                    <w:rPr>
                      <w:rFonts w:hint="eastAsia"/>
                      <w:sz w:val="18"/>
                      <w:szCs w:val="18"/>
                    </w:rPr>
                    <w:t>、</w:t>
                  </w:r>
                  <w:r>
                    <w:rPr>
                      <w:sz w:val="18"/>
                      <w:szCs w:val="18"/>
                    </w:rPr>
                    <w:t>NH</w:t>
                  </w:r>
                  <w:r>
                    <w:rPr>
                      <w:sz w:val="18"/>
                      <w:szCs w:val="18"/>
                      <w:vertAlign w:val="subscript"/>
                    </w:rPr>
                    <w:t>3</w:t>
                  </w:r>
                  <w:r>
                    <w:rPr>
                      <w:sz w:val="18"/>
                      <w:szCs w:val="18"/>
                    </w:rPr>
                    <w:t>-N</w:t>
                  </w:r>
                  <w:r>
                    <w:rPr>
                      <w:rFonts w:hint="eastAsia"/>
                      <w:sz w:val="18"/>
                      <w:szCs w:val="18"/>
                    </w:rPr>
                    <w:t>、</w:t>
                  </w:r>
                  <w:r>
                    <w:rPr>
                      <w:sz w:val="18"/>
                      <w:szCs w:val="18"/>
                    </w:rPr>
                    <w:t>BOD</w:t>
                  </w:r>
                  <w:r>
                    <w:rPr>
                      <w:sz w:val="18"/>
                      <w:szCs w:val="18"/>
                      <w:vertAlign w:val="subscript"/>
                    </w:rPr>
                    <w:t>5</w:t>
                  </w:r>
                  <w:r>
                    <w:rPr>
                      <w:rFonts w:hint="eastAsia"/>
                      <w:sz w:val="18"/>
                      <w:szCs w:val="18"/>
                    </w:rPr>
                    <w:t>、</w:t>
                  </w:r>
                  <w:r>
                    <w:rPr>
                      <w:sz w:val="18"/>
                      <w:szCs w:val="18"/>
                    </w:rPr>
                    <w:t>SS</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生活污水排入化粪池后排入镶黄旗污水处理厂</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0"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vMerge w:val="restart"/>
                  <w:tcBorders>
                    <w:top w:val="single" w:color="auto" w:sz="2" w:space="0"/>
                  </w:tcBorders>
                  <w:vAlign w:val="center"/>
                </w:tcPr>
                <w:p>
                  <w:pPr>
                    <w:pStyle w:val="3"/>
                    <w:spacing w:after="0"/>
                    <w:ind w:left="0" w:leftChars="0" w:firstLine="0"/>
                    <w:jc w:val="center"/>
                    <w:rPr>
                      <w:b/>
                      <w:bCs/>
                      <w:sz w:val="18"/>
                      <w:szCs w:val="18"/>
                    </w:rPr>
                  </w:pPr>
                  <w:r>
                    <w:rPr>
                      <w:rFonts w:hint="eastAsia"/>
                      <w:b/>
                      <w:bCs/>
                      <w:sz w:val="18"/>
                      <w:szCs w:val="18"/>
                    </w:rPr>
                    <w:t>废气</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香精生产废气</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非甲烷总烃、异味、颗粒物</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加强通风</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vMerge w:val="continue"/>
                  <w:tcBorders>
                    <w:bottom w:val="single" w:color="auto" w:sz="2" w:space="0"/>
                  </w:tcBorders>
                  <w:vAlign w:val="center"/>
                </w:tcPr>
                <w:p>
                  <w:pPr>
                    <w:pStyle w:val="3"/>
                    <w:spacing w:after="0"/>
                    <w:ind w:left="0" w:leftChars="0" w:firstLine="0"/>
                    <w:jc w:val="center"/>
                    <w:rPr>
                      <w:b/>
                      <w:bCs/>
                      <w:sz w:val="18"/>
                      <w:szCs w:val="18"/>
                    </w:rPr>
                  </w:pP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复合调味品投料搅拌废气</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颗粒物</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车间封闭，湿式搅拌</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tcBorders>
                    <w:top w:val="single" w:color="auto" w:sz="2" w:space="0"/>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噪声</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设备噪声</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sz w:val="18"/>
                      <w:szCs w:val="18"/>
                    </w:rPr>
                    <w:t>Leq</w:t>
                  </w:r>
                  <w:r>
                    <w:rPr>
                      <w:rFonts w:hint="eastAsia"/>
                      <w:sz w:val="18"/>
                      <w:szCs w:val="18"/>
                    </w:rPr>
                    <w:t>（</w:t>
                  </w:r>
                  <w:r>
                    <w:rPr>
                      <w:sz w:val="18"/>
                      <w:szCs w:val="18"/>
                    </w:rPr>
                    <w:t>A</w:t>
                  </w:r>
                  <w:r>
                    <w:rPr>
                      <w:rFonts w:hint="eastAsia"/>
                      <w:sz w:val="18"/>
                      <w:szCs w:val="18"/>
                    </w:rPr>
                    <w:t>）</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隔声、减振</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vMerge w:val="restart"/>
                  <w:tcBorders>
                    <w:top w:val="single" w:color="auto" w:sz="2" w:space="0"/>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固废</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奶油制品生产过滤</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过滤奶渣</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外售综合利用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vMerge w:val="continue"/>
                  <w:tcBorders>
                    <w:top w:val="single" w:color="auto" w:sz="2" w:space="0"/>
                    <w:bottom w:val="single" w:color="auto" w:sz="2" w:space="0"/>
                  </w:tcBorders>
                  <w:vAlign w:val="center"/>
                </w:tcPr>
                <w:p>
                  <w:pPr>
                    <w:pStyle w:val="3"/>
                    <w:spacing w:after="0"/>
                    <w:ind w:left="0" w:leftChars="0" w:firstLine="0"/>
                    <w:jc w:val="center"/>
                    <w:rPr>
                      <w:b/>
                      <w:bCs/>
                      <w:sz w:val="18"/>
                      <w:szCs w:val="18"/>
                    </w:rPr>
                  </w:pP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香精生产过滤</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过滤物</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与生活垃圾一同处理</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vMerge w:val="continue"/>
                  <w:tcBorders>
                    <w:top w:val="single" w:color="auto" w:sz="2" w:space="0"/>
                    <w:bottom w:val="single" w:color="auto" w:sz="2" w:space="0"/>
                  </w:tcBorders>
                  <w:vAlign w:val="center"/>
                </w:tcPr>
                <w:p>
                  <w:pPr>
                    <w:pStyle w:val="3"/>
                    <w:spacing w:after="0"/>
                    <w:ind w:left="0" w:leftChars="0" w:firstLine="0"/>
                    <w:jc w:val="center"/>
                    <w:rPr>
                      <w:b/>
                      <w:bCs/>
                      <w:sz w:val="18"/>
                      <w:szCs w:val="18"/>
                    </w:rPr>
                  </w:pP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复合调味料生产过滤</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过滤物、蛋壳</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与生活垃圾一同处理</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vMerge w:val="continue"/>
                  <w:tcBorders>
                    <w:top w:val="single" w:color="auto" w:sz="2" w:space="0"/>
                    <w:bottom w:val="single" w:color="auto" w:sz="2" w:space="0"/>
                  </w:tcBorders>
                  <w:vAlign w:val="center"/>
                </w:tcPr>
                <w:p>
                  <w:pPr>
                    <w:pStyle w:val="3"/>
                    <w:spacing w:after="0"/>
                    <w:ind w:left="0" w:leftChars="0" w:firstLine="0"/>
                    <w:jc w:val="center"/>
                    <w:rPr>
                      <w:b/>
                      <w:bCs/>
                      <w:sz w:val="18"/>
                      <w:szCs w:val="18"/>
                    </w:rPr>
                  </w:pP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实验室废物</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实验废液、擦拭废纸巾、废实验器具、废手套、废气样品</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暂存危废间，定期交</w:t>
                  </w:r>
                </w:p>
                <w:p>
                  <w:pPr>
                    <w:pStyle w:val="3"/>
                    <w:spacing w:after="0"/>
                    <w:ind w:left="0" w:leftChars="0" w:firstLine="0"/>
                    <w:jc w:val="center"/>
                    <w:rPr>
                      <w:sz w:val="18"/>
                      <w:szCs w:val="18"/>
                    </w:rPr>
                  </w:pPr>
                  <w:r>
                    <w:rPr>
                      <w:rFonts w:hint="eastAsia"/>
                      <w:sz w:val="18"/>
                      <w:szCs w:val="18"/>
                    </w:rPr>
                    <w:t>由有资质单位处置</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436" w:type="pct"/>
                  <w:vMerge w:val="continue"/>
                  <w:tcBorders>
                    <w:top w:val="single" w:color="auto" w:sz="2" w:space="0"/>
                    <w:left w:val="nil"/>
                    <w:bottom w:val="single" w:color="auto" w:sz="2" w:space="0"/>
                  </w:tcBorders>
                  <w:vAlign w:val="center"/>
                </w:tcPr>
                <w:p>
                  <w:pPr>
                    <w:pStyle w:val="3"/>
                    <w:spacing w:after="0"/>
                    <w:ind w:left="0" w:leftChars="0" w:firstLine="0"/>
                    <w:jc w:val="center"/>
                    <w:rPr>
                      <w:b/>
                      <w:bCs/>
                      <w:sz w:val="18"/>
                      <w:szCs w:val="18"/>
                    </w:rPr>
                  </w:pPr>
                </w:p>
              </w:tc>
              <w:tc>
                <w:tcPr>
                  <w:tcW w:w="609" w:type="pct"/>
                  <w:vMerge w:val="continue"/>
                  <w:tcBorders>
                    <w:top w:val="single" w:color="auto" w:sz="2" w:space="0"/>
                    <w:bottom w:val="single" w:color="auto" w:sz="2" w:space="0"/>
                  </w:tcBorders>
                  <w:vAlign w:val="center"/>
                </w:tcPr>
                <w:p>
                  <w:pPr>
                    <w:pStyle w:val="3"/>
                    <w:spacing w:after="0"/>
                    <w:ind w:left="0" w:leftChars="0" w:firstLine="0"/>
                    <w:jc w:val="center"/>
                    <w:rPr>
                      <w:b/>
                      <w:bCs/>
                      <w:sz w:val="18"/>
                      <w:szCs w:val="18"/>
                    </w:rPr>
                  </w:pP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办公生活</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生活垃圾</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环卫部门处置</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2" w:hRule="atLeast"/>
              </w:trPr>
              <w:tc>
                <w:tcPr>
                  <w:tcW w:w="436" w:type="pct"/>
                  <w:vMerge w:val="restart"/>
                  <w:tcBorders>
                    <w:top w:val="single" w:color="auto" w:sz="2" w:space="0"/>
                    <w:left w:val="nil"/>
                  </w:tcBorders>
                  <w:vAlign w:val="center"/>
                </w:tcPr>
                <w:p>
                  <w:pPr>
                    <w:pStyle w:val="3"/>
                    <w:spacing w:after="0"/>
                    <w:ind w:left="0" w:leftChars="0" w:firstLine="0"/>
                    <w:jc w:val="center"/>
                    <w:rPr>
                      <w:b/>
                      <w:bCs/>
                      <w:sz w:val="18"/>
                      <w:szCs w:val="18"/>
                    </w:rPr>
                  </w:pPr>
                  <w:r>
                    <w:rPr>
                      <w:rFonts w:hint="eastAsia"/>
                      <w:b/>
                      <w:bCs/>
                      <w:sz w:val="18"/>
                      <w:szCs w:val="18"/>
                    </w:rPr>
                    <w:t>二期工程</w:t>
                  </w:r>
                </w:p>
              </w:tc>
              <w:tc>
                <w:tcPr>
                  <w:tcW w:w="609" w:type="pct"/>
                  <w:tcBorders>
                    <w:top w:val="single" w:color="auto" w:sz="2" w:space="0"/>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废水</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设备清洗废水</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sz w:val="18"/>
                      <w:szCs w:val="18"/>
                    </w:rPr>
                    <w:t>COD</w:t>
                  </w:r>
                  <w:r>
                    <w:rPr>
                      <w:rFonts w:hint="eastAsia"/>
                      <w:sz w:val="18"/>
                      <w:szCs w:val="18"/>
                    </w:rPr>
                    <w:t>、氨氮、S</w:t>
                  </w:r>
                  <w:r>
                    <w:rPr>
                      <w:sz w:val="18"/>
                      <w:szCs w:val="18"/>
                    </w:rPr>
                    <w:t>S</w:t>
                  </w:r>
                  <w:r>
                    <w:rPr>
                      <w:rFonts w:hint="eastAsia"/>
                      <w:sz w:val="18"/>
                      <w:szCs w:val="18"/>
                    </w:rPr>
                    <w:t>等</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依托一期污水处理站预处理后排入镶黄旗污水处理厂</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36" w:type="pct"/>
                  <w:vMerge w:val="continue"/>
                  <w:tcBorders>
                    <w:left w:val="nil"/>
                  </w:tcBorders>
                  <w:vAlign w:val="center"/>
                </w:tcPr>
                <w:p>
                  <w:pPr>
                    <w:pStyle w:val="3"/>
                    <w:spacing w:after="0"/>
                    <w:ind w:left="0" w:leftChars="0" w:firstLine="0"/>
                    <w:jc w:val="center"/>
                    <w:rPr>
                      <w:b/>
                      <w:bCs/>
                      <w:sz w:val="18"/>
                      <w:szCs w:val="18"/>
                    </w:rPr>
                  </w:pPr>
                </w:p>
              </w:tc>
              <w:tc>
                <w:tcPr>
                  <w:tcW w:w="609" w:type="pct"/>
                  <w:tcBorders>
                    <w:top w:val="single" w:color="auto" w:sz="2" w:space="0"/>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废气</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复合调味品投料搅拌废气</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颗粒物</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车间封闭，湿式搅拌</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8" w:hRule="atLeast"/>
              </w:trPr>
              <w:tc>
                <w:tcPr>
                  <w:tcW w:w="436" w:type="pct"/>
                  <w:vMerge w:val="continue"/>
                  <w:tcBorders>
                    <w:left w:val="nil"/>
                  </w:tcBorders>
                  <w:vAlign w:val="center"/>
                </w:tcPr>
                <w:p>
                  <w:pPr>
                    <w:pStyle w:val="3"/>
                    <w:spacing w:after="0"/>
                    <w:ind w:left="0" w:leftChars="0" w:firstLine="0"/>
                    <w:jc w:val="center"/>
                    <w:rPr>
                      <w:b/>
                      <w:bCs/>
                      <w:sz w:val="18"/>
                      <w:szCs w:val="18"/>
                    </w:rPr>
                  </w:pPr>
                </w:p>
              </w:tc>
              <w:tc>
                <w:tcPr>
                  <w:tcW w:w="609" w:type="pct"/>
                  <w:tcBorders>
                    <w:top w:val="single" w:color="auto" w:sz="2" w:space="0"/>
                    <w:bottom w:val="single" w:color="auto" w:sz="2" w:space="0"/>
                  </w:tcBorders>
                  <w:vAlign w:val="center"/>
                </w:tcPr>
                <w:p>
                  <w:pPr>
                    <w:pStyle w:val="3"/>
                    <w:spacing w:after="0"/>
                    <w:ind w:left="0" w:leftChars="0" w:firstLine="0"/>
                    <w:jc w:val="center"/>
                    <w:rPr>
                      <w:b/>
                      <w:bCs/>
                      <w:sz w:val="18"/>
                      <w:szCs w:val="18"/>
                    </w:rPr>
                  </w:pPr>
                  <w:r>
                    <w:rPr>
                      <w:rFonts w:hint="eastAsia"/>
                      <w:b/>
                      <w:bCs/>
                      <w:sz w:val="18"/>
                      <w:szCs w:val="18"/>
                    </w:rPr>
                    <w:t>噪声</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设备噪声</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sz w:val="18"/>
                      <w:szCs w:val="18"/>
                    </w:rPr>
                    <w:t>Leq</w:t>
                  </w:r>
                  <w:r>
                    <w:rPr>
                      <w:rFonts w:hint="eastAsia"/>
                      <w:sz w:val="18"/>
                      <w:szCs w:val="18"/>
                    </w:rPr>
                    <w:t>（</w:t>
                  </w:r>
                  <w:r>
                    <w:rPr>
                      <w:sz w:val="18"/>
                      <w:szCs w:val="18"/>
                    </w:rPr>
                    <w:t>A</w:t>
                  </w:r>
                  <w:r>
                    <w:rPr>
                      <w:rFonts w:hint="eastAsia"/>
                      <w:sz w:val="18"/>
                      <w:szCs w:val="18"/>
                    </w:rPr>
                    <w:t>）</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隔声、减振</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4" w:hRule="atLeast"/>
              </w:trPr>
              <w:tc>
                <w:tcPr>
                  <w:tcW w:w="436" w:type="pct"/>
                  <w:vMerge w:val="continue"/>
                  <w:tcBorders>
                    <w:left w:val="nil"/>
                  </w:tcBorders>
                  <w:vAlign w:val="center"/>
                </w:tcPr>
                <w:p>
                  <w:pPr>
                    <w:pStyle w:val="3"/>
                    <w:spacing w:after="0"/>
                    <w:ind w:left="0" w:leftChars="0" w:firstLine="0"/>
                    <w:jc w:val="center"/>
                    <w:rPr>
                      <w:b/>
                      <w:bCs/>
                      <w:sz w:val="18"/>
                      <w:szCs w:val="18"/>
                    </w:rPr>
                  </w:pPr>
                </w:p>
              </w:tc>
              <w:tc>
                <w:tcPr>
                  <w:tcW w:w="609" w:type="pct"/>
                  <w:vMerge w:val="restart"/>
                  <w:tcBorders>
                    <w:top w:val="single" w:color="auto" w:sz="2" w:space="0"/>
                  </w:tcBorders>
                  <w:vAlign w:val="center"/>
                </w:tcPr>
                <w:p>
                  <w:pPr>
                    <w:pStyle w:val="3"/>
                    <w:spacing w:after="0"/>
                    <w:ind w:left="0" w:leftChars="0" w:firstLine="0"/>
                    <w:jc w:val="center"/>
                    <w:rPr>
                      <w:b/>
                      <w:bCs/>
                      <w:sz w:val="18"/>
                      <w:szCs w:val="18"/>
                    </w:rPr>
                  </w:pPr>
                  <w:r>
                    <w:rPr>
                      <w:rFonts w:hint="eastAsia"/>
                      <w:b/>
                      <w:bCs/>
                      <w:sz w:val="18"/>
                      <w:szCs w:val="18"/>
                    </w:rPr>
                    <w:t>固废</w:t>
                  </w:r>
                </w:p>
              </w:tc>
              <w:tc>
                <w:tcPr>
                  <w:tcW w:w="95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奶油制品</w:t>
                  </w:r>
                </w:p>
              </w:tc>
              <w:tc>
                <w:tcPr>
                  <w:tcW w:w="1299" w:type="pct"/>
                  <w:tcBorders>
                    <w:top w:val="single" w:color="auto" w:sz="2" w:space="0"/>
                    <w:bottom w:val="single" w:color="auto" w:sz="2" w:space="0"/>
                  </w:tcBorders>
                  <w:vAlign w:val="center"/>
                </w:tcPr>
                <w:p>
                  <w:pPr>
                    <w:pStyle w:val="3"/>
                    <w:spacing w:after="0"/>
                    <w:ind w:left="0" w:leftChars="0" w:firstLine="0"/>
                    <w:jc w:val="center"/>
                    <w:rPr>
                      <w:sz w:val="18"/>
                      <w:szCs w:val="18"/>
                    </w:rPr>
                  </w:pPr>
                  <w:r>
                    <w:rPr>
                      <w:rFonts w:hint="eastAsia"/>
                      <w:sz w:val="18"/>
                      <w:szCs w:val="18"/>
                    </w:rPr>
                    <w:t>过滤奶渣</w:t>
                  </w:r>
                </w:p>
              </w:tc>
              <w:tc>
                <w:tcPr>
                  <w:tcW w:w="1698" w:type="pct"/>
                  <w:tcBorders>
                    <w:top w:val="single" w:color="auto" w:sz="2" w:space="0"/>
                    <w:bottom w:val="single" w:color="auto" w:sz="2" w:space="0"/>
                    <w:right w:val="nil"/>
                  </w:tcBorders>
                  <w:vAlign w:val="center"/>
                </w:tcPr>
                <w:p>
                  <w:pPr>
                    <w:pStyle w:val="3"/>
                    <w:spacing w:after="0"/>
                    <w:ind w:left="0" w:leftChars="0" w:firstLine="0"/>
                    <w:jc w:val="center"/>
                    <w:rPr>
                      <w:sz w:val="18"/>
                      <w:szCs w:val="18"/>
                    </w:rPr>
                  </w:pPr>
                  <w:r>
                    <w:rPr>
                      <w:rFonts w:hint="eastAsia"/>
                      <w:sz w:val="18"/>
                      <w:szCs w:val="18"/>
                    </w:rPr>
                    <w:t>外售综合利用</w:t>
                  </w:r>
                </w:p>
              </w:tc>
            </w:tr>
            <w:tr>
              <w:tblPrEx>
                <w:tblBorders>
                  <w:top w:val="single" w:color="auto" w:sz="12" w:space="0"/>
                  <w:left w:val="single" w:color="auto" w:sz="2" w:space="0"/>
                  <w:bottom w:val="single" w:color="auto" w:sz="1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436" w:type="pct"/>
                  <w:vMerge w:val="continue"/>
                  <w:tcBorders>
                    <w:left w:val="nil"/>
                    <w:bottom w:val="single" w:color="auto" w:sz="12" w:space="0"/>
                  </w:tcBorders>
                  <w:vAlign w:val="center"/>
                </w:tcPr>
                <w:p>
                  <w:pPr>
                    <w:pStyle w:val="3"/>
                    <w:spacing w:after="0"/>
                    <w:ind w:left="0" w:leftChars="0" w:firstLine="0"/>
                    <w:jc w:val="center"/>
                    <w:rPr>
                      <w:b/>
                      <w:bCs/>
                      <w:sz w:val="18"/>
                      <w:szCs w:val="18"/>
                    </w:rPr>
                  </w:pPr>
                </w:p>
              </w:tc>
              <w:tc>
                <w:tcPr>
                  <w:tcW w:w="609" w:type="pct"/>
                  <w:vMerge w:val="continue"/>
                  <w:tcBorders>
                    <w:bottom w:val="single" w:color="auto" w:sz="12" w:space="0"/>
                  </w:tcBorders>
                  <w:vAlign w:val="center"/>
                </w:tcPr>
                <w:p>
                  <w:pPr>
                    <w:pStyle w:val="3"/>
                    <w:spacing w:after="0"/>
                    <w:ind w:left="0" w:leftChars="0" w:firstLine="0"/>
                    <w:jc w:val="center"/>
                    <w:rPr>
                      <w:b/>
                      <w:bCs/>
                      <w:sz w:val="18"/>
                      <w:szCs w:val="18"/>
                    </w:rPr>
                  </w:pPr>
                </w:p>
              </w:tc>
              <w:tc>
                <w:tcPr>
                  <w:tcW w:w="959" w:type="pct"/>
                  <w:tcBorders>
                    <w:top w:val="single" w:color="auto" w:sz="2" w:space="0"/>
                    <w:bottom w:val="single" w:color="auto" w:sz="12" w:space="0"/>
                  </w:tcBorders>
                  <w:vAlign w:val="center"/>
                </w:tcPr>
                <w:p>
                  <w:pPr>
                    <w:pStyle w:val="3"/>
                    <w:spacing w:after="0"/>
                    <w:ind w:left="0" w:leftChars="0" w:firstLine="0"/>
                    <w:jc w:val="center"/>
                    <w:rPr>
                      <w:sz w:val="18"/>
                      <w:szCs w:val="18"/>
                    </w:rPr>
                  </w:pPr>
                  <w:r>
                    <w:rPr>
                      <w:rFonts w:hint="eastAsia"/>
                      <w:sz w:val="18"/>
                      <w:szCs w:val="18"/>
                    </w:rPr>
                    <w:t>复合调味料生产过滤</w:t>
                  </w:r>
                </w:p>
              </w:tc>
              <w:tc>
                <w:tcPr>
                  <w:tcW w:w="1299" w:type="pct"/>
                  <w:tcBorders>
                    <w:top w:val="single" w:color="auto" w:sz="2" w:space="0"/>
                    <w:bottom w:val="single" w:color="auto" w:sz="12" w:space="0"/>
                  </w:tcBorders>
                  <w:vAlign w:val="center"/>
                </w:tcPr>
                <w:p>
                  <w:pPr>
                    <w:pStyle w:val="3"/>
                    <w:spacing w:after="0"/>
                    <w:ind w:left="0" w:leftChars="0" w:firstLine="0"/>
                    <w:jc w:val="center"/>
                    <w:rPr>
                      <w:sz w:val="18"/>
                      <w:szCs w:val="18"/>
                    </w:rPr>
                  </w:pPr>
                  <w:r>
                    <w:rPr>
                      <w:rFonts w:hint="eastAsia"/>
                      <w:sz w:val="18"/>
                      <w:szCs w:val="18"/>
                    </w:rPr>
                    <w:t>过滤物、蛋壳</w:t>
                  </w:r>
                </w:p>
              </w:tc>
              <w:tc>
                <w:tcPr>
                  <w:tcW w:w="1698" w:type="pct"/>
                  <w:tcBorders>
                    <w:top w:val="single" w:color="auto" w:sz="2" w:space="0"/>
                    <w:bottom w:val="single" w:color="auto" w:sz="12" w:space="0"/>
                    <w:right w:val="nil"/>
                  </w:tcBorders>
                  <w:vAlign w:val="center"/>
                </w:tcPr>
                <w:p>
                  <w:pPr>
                    <w:pStyle w:val="3"/>
                    <w:spacing w:after="0"/>
                    <w:ind w:left="0" w:leftChars="0" w:firstLine="0"/>
                    <w:jc w:val="center"/>
                    <w:rPr>
                      <w:sz w:val="18"/>
                      <w:szCs w:val="18"/>
                    </w:rPr>
                  </w:pPr>
                  <w:r>
                    <w:rPr>
                      <w:rFonts w:hint="eastAsia"/>
                      <w:sz w:val="18"/>
                      <w:szCs w:val="18"/>
                    </w:rPr>
                    <w:t>与生活垃圾一同处理</w:t>
                  </w:r>
                </w:p>
              </w:tc>
            </w:tr>
          </w:tbl>
          <w:p>
            <w:pPr>
              <w:pStyle w:val="34"/>
              <w:spacing w:line="360" w:lineRule="auto"/>
              <w:ind w:firstLine="422" w:firstLineChars="200"/>
              <w:rPr>
                <w:rFonts w:ascii="Times New Roman" w:hAnsi="Times New Roman"/>
                <w:b/>
                <w:bC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21" w:type="dxa"/>
            <w:vAlign w:val="center"/>
          </w:tcPr>
          <w:p>
            <w:pPr>
              <w:pStyle w:val="19"/>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bCs/>
                <w:kern w:val="2"/>
                <w:szCs w:val="24"/>
              </w:rPr>
              <w:t>与项目有关的原有环境污染问题</w:t>
            </w:r>
          </w:p>
        </w:tc>
        <w:tc>
          <w:tcPr>
            <w:tcW w:w="7983" w:type="dxa"/>
          </w:tcPr>
          <w:p>
            <w:pPr>
              <w:spacing w:line="360" w:lineRule="auto"/>
              <w:ind w:firstLine="480" w:firstLineChars="200"/>
              <w:rPr>
                <w:sz w:val="24"/>
                <w:szCs w:val="22"/>
              </w:rPr>
            </w:pPr>
          </w:p>
          <w:p>
            <w:pPr>
              <w:spacing w:line="360" w:lineRule="auto"/>
              <w:ind w:firstLine="480" w:firstLineChars="200"/>
              <w:rPr>
                <w:sz w:val="24"/>
                <w:szCs w:val="22"/>
              </w:rPr>
            </w:pPr>
          </w:p>
          <w:p>
            <w:pPr>
              <w:spacing w:line="360" w:lineRule="auto"/>
              <w:ind w:firstLine="480" w:firstLineChars="200"/>
              <w:rPr>
                <w:sz w:val="24"/>
                <w:szCs w:val="22"/>
              </w:rPr>
            </w:pPr>
          </w:p>
          <w:p>
            <w:pPr>
              <w:spacing w:line="360" w:lineRule="auto"/>
              <w:ind w:firstLine="480" w:firstLineChars="200"/>
              <w:rPr>
                <w:sz w:val="24"/>
                <w:szCs w:val="22"/>
              </w:rPr>
            </w:pPr>
            <w:r>
              <w:rPr>
                <w:rFonts w:hint="eastAsia"/>
                <w:sz w:val="24"/>
                <w:szCs w:val="22"/>
              </w:rPr>
              <w:t>本项目为新建项目，不存在原有环境污染问题。</w:t>
            </w:r>
          </w:p>
        </w:tc>
      </w:tr>
    </w:tbl>
    <w:p>
      <w:pPr>
        <w:pStyle w:val="19"/>
        <w:jc w:val="center"/>
        <w:outlineLvl w:val="0"/>
        <w:rPr>
          <w:rFonts w:ascii="Times New Roman" w:hAnsi="Times New Roman"/>
          <w:b/>
          <w:bCs/>
          <w:snapToGrid w:val="0"/>
          <w:sz w:val="30"/>
          <w:szCs w:val="30"/>
        </w:rPr>
      </w:pPr>
      <w:r>
        <w:rPr>
          <w:rFonts w:ascii="Times New Roman" w:hAnsi="Times New Roman"/>
        </w:rPr>
        <w:br w:type="page"/>
      </w:r>
      <w:r>
        <w:rPr>
          <w:rFonts w:hint="eastAsia" w:ascii="Times New Roman" w:hAnsi="Times New Roman"/>
          <w:b/>
          <w:bCs/>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83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7" w:hRule="atLeast"/>
          <w:jc w:val="center"/>
        </w:trPr>
        <w:tc>
          <w:tcPr>
            <w:tcW w:w="700" w:type="dxa"/>
            <w:vAlign w:val="center"/>
          </w:tcPr>
          <w:p>
            <w:pPr>
              <w:adjustRightInd w:val="0"/>
              <w:snapToGrid w:val="0"/>
              <w:jc w:val="center"/>
              <w:rPr>
                <w:rFonts w:cs="宋体"/>
                <w:kern w:val="0"/>
                <w:sz w:val="24"/>
              </w:rPr>
            </w:pPr>
            <w:r>
              <w:rPr>
                <w:rFonts w:hint="eastAsia" w:cs="宋体"/>
                <w:kern w:val="0"/>
                <w:sz w:val="24"/>
              </w:rPr>
              <w:t>区域</w:t>
            </w:r>
          </w:p>
          <w:p>
            <w:pPr>
              <w:adjustRightInd w:val="0"/>
              <w:snapToGrid w:val="0"/>
              <w:jc w:val="center"/>
              <w:rPr>
                <w:rFonts w:cs="宋体"/>
                <w:kern w:val="0"/>
                <w:sz w:val="24"/>
              </w:rPr>
            </w:pPr>
            <w:r>
              <w:rPr>
                <w:rFonts w:hint="eastAsia" w:cs="宋体"/>
                <w:kern w:val="0"/>
                <w:sz w:val="24"/>
              </w:rPr>
              <w:t>环境</w:t>
            </w:r>
          </w:p>
          <w:p>
            <w:pPr>
              <w:adjustRightInd w:val="0"/>
              <w:snapToGrid w:val="0"/>
              <w:jc w:val="center"/>
              <w:rPr>
                <w:rFonts w:cs="宋体"/>
                <w:kern w:val="0"/>
                <w:sz w:val="24"/>
              </w:rPr>
            </w:pPr>
            <w:r>
              <w:rPr>
                <w:rFonts w:hint="eastAsia" w:cs="宋体"/>
                <w:kern w:val="0"/>
                <w:sz w:val="24"/>
              </w:rPr>
              <w:t>质量</w:t>
            </w:r>
          </w:p>
          <w:p>
            <w:pPr>
              <w:adjustRightInd w:val="0"/>
              <w:snapToGrid w:val="0"/>
              <w:jc w:val="center"/>
              <w:rPr>
                <w:rFonts w:cs="宋体"/>
                <w:kern w:val="0"/>
                <w:szCs w:val="21"/>
              </w:rPr>
            </w:pPr>
            <w:r>
              <w:rPr>
                <w:rFonts w:hint="eastAsia" w:cs="宋体"/>
                <w:kern w:val="0"/>
                <w:sz w:val="24"/>
              </w:rPr>
              <w:t>现状</w:t>
            </w:r>
          </w:p>
        </w:tc>
        <w:tc>
          <w:tcPr>
            <w:tcW w:w="8361" w:type="dxa"/>
            <w:vAlign w:val="center"/>
          </w:tcPr>
          <w:p>
            <w:pPr>
              <w:spacing w:line="360" w:lineRule="auto"/>
              <w:ind w:firstLine="482" w:firstLineChars="200"/>
              <w:rPr>
                <w:b/>
                <w:sz w:val="24"/>
              </w:rPr>
            </w:pPr>
            <w:r>
              <w:rPr>
                <w:rFonts w:hint="eastAsia"/>
                <w:b/>
                <w:sz w:val="24"/>
              </w:rPr>
              <w:t>1、环境空气质量现状</w:t>
            </w:r>
          </w:p>
          <w:p>
            <w:pPr>
              <w:spacing w:line="360" w:lineRule="auto"/>
              <w:ind w:firstLine="480"/>
              <w:rPr>
                <w:kern w:val="0"/>
                <w:sz w:val="24"/>
                <w:szCs w:val="20"/>
              </w:rPr>
            </w:pPr>
            <w:r>
              <w:rPr>
                <w:rFonts w:hint="eastAsia"/>
                <w:kern w:val="0"/>
                <w:sz w:val="24"/>
                <w:szCs w:val="20"/>
              </w:rPr>
              <w:t>（1）达标区域判定</w:t>
            </w:r>
          </w:p>
          <w:p>
            <w:pPr>
              <w:spacing w:line="360" w:lineRule="auto"/>
              <w:ind w:firstLine="480"/>
              <w:rPr>
                <w:kern w:val="0"/>
                <w:sz w:val="24"/>
                <w:szCs w:val="20"/>
              </w:rPr>
            </w:pPr>
            <w:r>
              <w:rPr>
                <w:rFonts w:hint="eastAsia"/>
                <w:kern w:val="0"/>
                <w:sz w:val="24"/>
                <w:szCs w:val="20"/>
              </w:rPr>
              <w:t>根据《环境影响评价技术导则-大气环境》（HJ2.2-2018）相关要求，</w:t>
            </w:r>
            <w:bookmarkStart w:id="3" w:name="_Hlk153547161"/>
            <w:r>
              <w:rPr>
                <w:rFonts w:hint="eastAsia"/>
                <w:kern w:val="0"/>
                <w:sz w:val="24"/>
                <w:szCs w:val="20"/>
              </w:rPr>
              <w:t>本次评价收集了2022年《内蒙古自治区生态环境状况公报》中锡林郭勒盟的环境空气质量监测数据，作为区域环境质量达标判定依据。具体判定数据见下表。</w:t>
            </w:r>
          </w:p>
          <w:p>
            <w:pPr>
              <w:adjustRightInd w:val="0"/>
              <w:snapToGrid w:val="0"/>
              <w:spacing w:line="400" w:lineRule="exact"/>
              <w:jc w:val="center"/>
              <w:rPr>
                <w:b/>
                <w:sz w:val="24"/>
              </w:rPr>
            </w:pPr>
            <w:r>
              <w:rPr>
                <w:b/>
                <w:sz w:val="24"/>
              </w:rPr>
              <w:t>表</w:t>
            </w:r>
            <w:r>
              <w:rPr>
                <w:rFonts w:hint="eastAsia"/>
                <w:b/>
                <w:sz w:val="24"/>
              </w:rPr>
              <w:t>3-1</w:t>
            </w:r>
            <w:r>
              <w:rPr>
                <w:b/>
                <w:sz w:val="24"/>
              </w:rPr>
              <w:t xml:space="preserve">    区域环境空气质量现状评价表</w:t>
            </w:r>
          </w:p>
          <w:tbl>
            <w:tblPr>
              <w:tblStyle w:val="21"/>
              <w:tblW w:w="804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18"/>
              <w:gridCol w:w="3085"/>
              <w:gridCol w:w="1200"/>
              <w:gridCol w:w="1227"/>
              <w:gridCol w:w="1023"/>
              <w:gridCol w:w="79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18" w:type="dxa"/>
                  <w:vAlign w:val="center"/>
                </w:tcPr>
                <w:p>
                  <w:pPr>
                    <w:jc w:val="center"/>
                  </w:pPr>
                  <w:r>
                    <w:t>污染物</w:t>
                  </w:r>
                </w:p>
              </w:tc>
              <w:tc>
                <w:tcPr>
                  <w:tcW w:w="3085" w:type="dxa"/>
                  <w:vAlign w:val="center"/>
                </w:tcPr>
                <w:p>
                  <w:pPr>
                    <w:pStyle w:val="33"/>
                    <w:spacing w:before="28"/>
                    <w:ind w:left="147" w:right="129"/>
                    <w:textAlignment w:val="baseline"/>
                    <w:rPr>
                      <w:rFonts w:ascii="Times New Roman" w:hAnsi="Times New Roman"/>
                      <w:lang w:bidi="ar"/>
                    </w:rPr>
                  </w:pPr>
                  <w:r>
                    <w:rPr>
                      <w:rFonts w:hint="eastAsia" w:ascii="Times New Roman" w:hAnsi="Times New Roman"/>
                      <w:lang w:bidi="ar"/>
                    </w:rPr>
                    <w:t>年评价指标</w:t>
                  </w:r>
                </w:p>
              </w:tc>
              <w:tc>
                <w:tcPr>
                  <w:tcW w:w="1200" w:type="dxa"/>
                  <w:vAlign w:val="center"/>
                </w:tcPr>
                <w:p>
                  <w:pPr>
                    <w:pStyle w:val="33"/>
                    <w:spacing w:before="28"/>
                    <w:ind w:right="129"/>
                    <w:textAlignment w:val="baseline"/>
                    <w:rPr>
                      <w:rFonts w:ascii="Times New Roman" w:hAnsi="Times New Roman"/>
                      <w:lang w:bidi="ar"/>
                    </w:rPr>
                  </w:pPr>
                  <w:r>
                    <w:rPr>
                      <w:rFonts w:hint="eastAsia" w:ascii="Times New Roman" w:hAnsi="Times New Roman"/>
                      <w:lang w:bidi="ar"/>
                    </w:rPr>
                    <w:t>现状浓度</w:t>
                  </w:r>
                </w:p>
                <w:p>
                  <w:pPr>
                    <w:pStyle w:val="33"/>
                    <w:spacing w:before="28"/>
                    <w:ind w:right="129"/>
                    <w:textAlignment w:val="baseline"/>
                    <w:rPr>
                      <w:rFonts w:ascii="Times New Roman" w:hAnsi="Times New Roman"/>
                      <w:lang w:bidi="ar"/>
                    </w:rPr>
                  </w:pPr>
                  <w:r>
                    <w:rPr>
                      <w:rFonts w:hint="eastAsia" w:ascii="Times New Roman" w:hAnsi="Times New Roman"/>
                      <w:lang w:bidi="ar"/>
                    </w:rPr>
                    <w:t>（</w:t>
                  </w:r>
                  <w:r>
                    <w:rPr>
                      <w:rFonts w:ascii="Times New Roman" w:hAnsi="Times New Roman"/>
                      <w:lang w:bidi="ar"/>
                    </w:rPr>
                    <w:t>μg/m</w:t>
                  </w:r>
                  <w:r>
                    <w:rPr>
                      <w:rFonts w:ascii="Times New Roman" w:hAnsi="Times New Roman"/>
                      <w:vertAlign w:val="superscript"/>
                      <w:lang w:bidi="ar"/>
                    </w:rPr>
                    <w:t>3</w:t>
                  </w:r>
                  <w:r>
                    <w:rPr>
                      <w:rFonts w:hint="eastAsia" w:ascii="Times New Roman" w:hAnsi="Times New Roman"/>
                      <w:lang w:bidi="ar"/>
                    </w:rPr>
                    <w:t>）</w:t>
                  </w:r>
                </w:p>
              </w:tc>
              <w:tc>
                <w:tcPr>
                  <w:tcW w:w="1227" w:type="dxa"/>
                  <w:vAlign w:val="center"/>
                </w:tcPr>
                <w:p>
                  <w:pPr>
                    <w:pStyle w:val="33"/>
                    <w:spacing w:before="28"/>
                    <w:ind w:left="147" w:right="129"/>
                    <w:textAlignment w:val="baseline"/>
                    <w:rPr>
                      <w:rFonts w:ascii="Times New Roman" w:hAnsi="Times New Roman"/>
                      <w:lang w:bidi="ar"/>
                    </w:rPr>
                  </w:pPr>
                  <w:r>
                    <w:rPr>
                      <w:rFonts w:hint="eastAsia" w:ascii="Times New Roman" w:hAnsi="Times New Roman"/>
                      <w:lang w:bidi="ar"/>
                    </w:rPr>
                    <w:t>标准值</w:t>
                  </w:r>
                </w:p>
                <w:p>
                  <w:pPr>
                    <w:pStyle w:val="33"/>
                    <w:spacing w:before="28"/>
                    <w:ind w:left="147" w:right="129"/>
                    <w:textAlignment w:val="baseline"/>
                    <w:rPr>
                      <w:rFonts w:ascii="Times New Roman" w:hAnsi="Times New Roman"/>
                      <w:lang w:bidi="ar"/>
                    </w:rPr>
                  </w:pPr>
                  <w:r>
                    <w:rPr>
                      <w:rFonts w:hint="eastAsia" w:ascii="Times New Roman" w:hAnsi="Times New Roman"/>
                      <w:lang w:bidi="ar"/>
                    </w:rPr>
                    <w:t>（</w:t>
                  </w:r>
                  <w:r>
                    <w:rPr>
                      <w:rFonts w:ascii="Times New Roman" w:hAnsi="Times New Roman"/>
                      <w:lang w:bidi="ar"/>
                    </w:rPr>
                    <w:t>μg/m</w:t>
                  </w:r>
                  <w:r>
                    <w:rPr>
                      <w:rFonts w:ascii="Times New Roman" w:hAnsi="Times New Roman"/>
                      <w:vertAlign w:val="superscript"/>
                      <w:lang w:bidi="ar"/>
                    </w:rPr>
                    <w:t>3</w:t>
                  </w:r>
                  <w:r>
                    <w:rPr>
                      <w:rFonts w:hint="eastAsia" w:ascii="Times New Roman" w:hAnsi="Times New Roman"/>
                      <w:lang w:bidi="ar"/>
                    </w:rPr>
                    <w:t>）</w:t>
                  </w:r>
                </w:p>
              </w:tc>
              <w:tc>
                <w:tcPr>
                  <w:tcW w:w="1023" w:type="dxa"/>
                  <w:vAlign w:val="center"/>
                </w:tcPr>
                <w:p>
                  <w:pPr>
                    <w:pStyle w:val="33"/>
                    <w:spacing w:before="28"/>
                    <w:ind w:right="129" w:firstLine="210" w:firstLineChars="100"/>
                    <w:textAlignment w:val="baseline"/>
                    <w:rPr>
                      <w:rFonts w:ascii="Times New Roman" w:hAnsi="Times New Roman"/>
                      <w:lang w:bidi="ar"/>
                    </w:rPr>
                  </w:pPr>
                  <w:r>
                    <w:rPr>
                      <w:rFonts w:hint="eastAsia" w:ascii="Times New Roman" w:hAnsi="Times New Roman"/>
                      <w:lang w:bidi="ar"/>
                    </w:rPr>
                    <w:t>占标率</w:t>
                  </w:r>
                </w:p>
                <w:p>
                  <w:pPr>
                    <w:pStyle w:val="33"/>
                    <w:spacing w:before="28"/>
                    <w:ind w:right="129" w:firstLine="210" w:firstLineChars="100"/>
                    <w:textAlignment w:val="baseline"/>
                    <w:rPr>
                      <w:rFonts w:ascii="Times New Roman" w:hAnsi="Times New Roman"/>
                      <w:lang w:bidi="ar"/>
                    </w:rPr>
                  </w:pPr>
                  <w:r>
                    <w:rPr>
                      <w:rFonts w:hint="eastAsia" w:ascii="Times New Roman" w:hAnsi="Times New Roman"/>
                      <w:lang w:bidi="ar"/>
                    </w:rPr>
                    <w:t>（</w:t>
                  </w:r>
                  <w:r>
                    <w:rPr>
                      <w:rFonts w:ascii="Times New Roman" w:hAnsi="Times New Roman"/>
                      <w:lang w:bidi="ar"/>
                    </w:rPr>
                    <w:t>%</w:t>
                  </w:r>
                  <w:r>
                    <w:rPr>
                      <w:rFonts w:hint="eastAsia" w:ascii="Times New Roman" w:hAnsi="Times New Roman"/>
                      <w:lang w:bidi="ar"/>
                    </w:rPr>
                    <w:t>）</w:t>
                  </w:r>
                </w:p>
              </w:tc>
              <w:tc>
                <w:tcPr>
                  <w:tcW w:w="795" w:type="dxa"/>
                  <w:vAlign w:val="center"/>
                </w:tcPr>
                <w:p>
                  <w:pPr>
                    <w:pStyle w:val="33"/>
                    <w:spacing w:before="28"/>
                    <w:ind w:right="129"/>
                    <w:textAlignment w:val="baseline"/>
                    <w:rPr>
                      <w:rFonts w:ascii="Times New Roman" w:hAnsi="Times New Roman"/>
                      <w:lang w:bidi="ar"/>
                    </w:rPr>
                  </w:pPr>
                  <w:r>
                    <w:rPr>
                      <w:rFonts w:hint="eastAsia" w:ascii="Times New Roman" w:hAnsi="Times New Roman"/>
                      <w:lang w:bidi="ar"/>
                    </w:rPr>
                    <w:t>达标情况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18" w:type="dxa"/>
                  <w:vAlign w:val="center"/>
                </w:tcPr>
                <w:p>
                  <w:pPr>
                    <w:jc w:val="center"/>
                  </w:pPr>
                  <w:r>
                    <w:t>SO</w:t>
                  </w:r>
                  <w:r>
                    <w:rPr>
                      <w:vertAlign w:val="subscript"/>
                    </w:rPr>
                    <w:t>2</w:t>
                  </w:r>
                </w:p>
              </w:tc>
              <w:tc>
                <w:tcPr>
                  <w:tcW w:w="3085" w:type="dxa"/>
                  <w:vAlign w:val="center"/>
                </w:tcPr>
                <w:p>
                  <w:pPr>
                    <w:jc w:val="center"/>
                  </w:pPr>
                  <w:r>
                    <w:t>年平均质量浓度</w:t>
                  </w:r>
                </w:p>
              </w:tc>
              <w:tc>
                <w:tcPr>
                  <w:tcW w:w="1200" w:type="dxa"/>
                  <w:vAlign w:val="center"/>
                </w:tcPr>
                <w:p>
                  <w:pPr>
                    <w:pStyle w:val="82"/>
                    <w:spacing w:line="240" w:lineRule="atLeast"/>
                    <w:rPr>
                      <w:rFonts w:ascii="Times New Roman" w:hAnsi="Times New Roman"/>
                    </w:rPr>
                  </w:pPr>
                  <w:r>
                    <w:rPr>
                      <w:rFonts w:hint="eastAsia" w:ascii="Times New Roman" w:hAnsi="Times New Roman"/>
                    </w:rPr>
                    <w:t>9</w:t>
                  </w:r>
                </w:p>
              </w:tc>
              <w:tc>
                <w:tcPr>
                  <w:tcW w:w="1227" w:type="dxa"/>
                  <w:vAlign w:val="center"/>
                </w:tcPr>
                <w:p>
                  <w:pPr>
                    <w:pStyle w:val="82"/>
                    <w:spacing w:line="240" w:lineRule="atLeast"/>
                    <w:rPr>
                      <w:rFonts w:ascii="Times New Roman" w:hAnsi="Times New Roman"/>
                    </w:rPr>
                  </w:pPr>
                  <w:r>
                    <w:rPr>
                      <w:rFonts w:ascii="Times New Roman" w:hAnsi="Times New Roman"/>
                    </w:rPr>
                    <w:t>60</w:t>
                  </w:r>
                </w:p>
              </w:tc>
              <w:tc>
                <w:tcPr>
                  <w:tcW w:w="1023" w:type="dxa"/>
                  <w:vAlign w:val="center"/>
                </w:tcPr>
                <w:p>
                  <w:pPr>
                    <w:pStyle w:val="82"/>
                    <w:spacing w:line="240" w:lineRule="atLeast"/>
                    <w:rPr>
                      <w:rFonts w:ascii="Times New Roman" w:hAnsi="Times New Roman"/>
                    </w:rPr>
                  </w:pPr>
                  <w:r>
                    <w:rPr>
                      <w:rFonts w:ascii="Times New Roman" w:hAnsi="Times New Roman"/>
                    </w:rPr>
                    <w:t>15.0%</w:t>
                  </w:r>
                </w:p>
              </w:tc>
              <w:tc>
                <w:tcPr>
                  <w:tcW w:w="795" w:type="dxa"/>
                  <w:vMerge w:val="restart"/>
                  <w:vAlign w:val="center"/>
                </w:tcPr>
                <w:p>
                  <w:pPr>
                    <w:jc w:val="center"/>
                  </w:pPr>
                  <w: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18" w:type="dxa"/>
                  <w:vAlign w:val="center"/>
                </w:tcPr>
                <w:p>
                  <w:pPr>
                    <w:jc w:val="center"/>
                  </w:pPr>
                  <w:r>
                    <w:t>NO</w:t>
                  </w:r>
                  <w:r>
                    <w:rPr>
                      <w:vertAlign w:val="subscript"/>
                    </w:rPr>
                    <w:t>2</w:t>
                  </w:r>
                </w:p>
              </w:tc>
              <w:tc>
                <w:tcPr>
                  <w:tcW w:w="3085" w:type="dxa"/>
                  <w:vAlign w:val="center"/>
                </w:tcPr>
                <w:p>
                  <w:pPr>
                    <w:jc w:val="center"/>
                  </w:pPr>
                  <w:r>
                    <w:t>年平均质量浓度</w:t>
                  </w:r>
                </w:p>
              </w:tc>
              <w:tc>
                <w:tcPr>
                  <w:tcW w:w="1200" w:type="dxa"/>
                  <w:vAlign w:val="center"/>
                </w:tcPr>
                <w:p>
                  <w:pPr>
                    <w:pStyle w:val="82"/>
                    <w:spacing w:line="240" w:lineRule="atLeast"/>
                    <w:rPr>
                      <w:rFonts w:ascii="Times New Roman" w:hAnsi="Times New Roman"/>
                    </w:rPr>
                  </w:pPr>
                  <w:r>
                    <w:rPr>
                      <w:rFonts w:ascii="Times New Roman" w:hAnsi="Times New Roman"/>
                    </w:rPr>
                    <w:t>10</w:t>
                  </w:r>
                </w:p>
              </w:tc>
              <w:tc>
                <w:tcPr>
                  <w:tcW w:w="1227" w:type="dxa"/>
                  <w:vAlign w:val="center"/>
                </w:tcPr>
                <w:p>
                  <w:pPr>
                    <w:pStyle w:val="82"/>
                    <w:spacing w:line="240" w:lineRule="atLeast"/>
                    <w:rPr>
                      <w:rFonts w:ascii="Times New Roman" w:hAnsi="Times New Roman"/>
                    </w:rPr>
                  </w:pPr>
                  <w:r>
                    <w:rPr>
                      <w:rFonts w:ascii="Times New Roman" w:hAnsi="Times New Roman"/>
                    </w:rPr>
                    <w:t>40</w:t>
                  </w:r>
                </w:p>
              </w:tc>
              <w:tc>
                <w:tcPr>
                  <w:tcW w:w="1023" w:type="dxa"/>
                  <w:vAlign w:val="center"/>
                </w:tcPr>
                <w:p>
                  <w:pPr>
                    <w:pStyle w:val="82"/>
                    <w:spacing w:line="240" w:lineRule="atLeast"/>
                    <w:rPr>
                      <w:rFonts w:ascii="Times New Roman" w:hAnsi="Times New Roman"/>
                    </w:rPr>
                  </w:pPr>
                  <w:r>
                    <w:rPr>
                      <w:rFonts w:ascii="Times New Roman" w:hAnsi="Times New Roman"/>
                    </w:rPr>
                    <w:t>25.0%</w:t>
                  </w:r>
                </w:p>
              </w:tc>
              <w:tc>
                <w:tcPr>
                  <w:tcW w:w="795" w:type="dxa"/>
                  <w:vMerge w:val="continue"/>
                  <w:vAlign w:val="center"/>
                </w:tcPr>
                <w:p>
                  <w:pPr>
                    <w:jc w:val="cente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18" w:type="dxa"/>
                  <w:vAlign w:val="center"/>
                </w:tcPr>
                <w:p>
                  <w:pPr>
                    <w:jc w:val="center"/>
                  </w:pPr>
                  <w:r>
                    <w:t>PM</w:t>
                  </w:r>
                  <w:r>
                    <w:rPr>
                      <w:vertAlign w:val="subscript"/>
                    </w:rPr>
                    <w:t>10</w:t>
                  </w:r>
                </w:p>
              </w:tc>
              <w:tc>
                <w:tcPr>
                  <w:tcW w:w="3085" w:type="dxa"/>
                  <w:vAlign w:val="center"/>
                </w:tcPr>
                <w:p>
                  <w:pPr>
                    <w:jc w:val="center"/>
                  </w:pPr>
                  <w:r>
                    <w:t>年平均质量浓度</w:t>
                  </w:r>
                </w:p>
              </w:tc>
              <w:tc>
                <w:tcPr>
                  <w:tcW w:w="1200" w:type="dxa"/>
                  <w:vAlign w:val="center"/>
                </w:tcPr>
                <w:p>
                  <w:pPr>
                    <w:pStyle w:val="82"/>
                    <w:spacing w:line="240" w:lineRule="atLeast"/>
                    <w:rPr>
                      <w:rFonts w:ascii="Times New Roman" w:hAnsi="Times New Roman"/>
                    </w:rPr>
                  </w:pPr>
                  <w:r>
                    <w:rPr>
                      <w:rFonts w:ascii="Times New Roman" w:hAnsi="Times New Roman"/>
                    </w:rPr>
                    <w:t>24</w:t>
                  </w:r>
                </w:p>
              </w:tc>
              <w:tc>
                <w:tcPr>
                  <w:tcW w:w="1227" w:type="dxa"/>
                  <w:vAlign w:val="center"/>
                </w:tcPr>
                <w:p>
                  <w:pPr>
                    <w:pStyle w:val="82"/>
                    <w:spacing w:line="240" w:lineRule="atLeast"/>
                    <w:rPr>
                      <w:rFonts w:ascii="Times New Roman" w:hAnsi="Times New Roman"/>
                    </w:rPr>
                  </w:pPr>
                  <w:r>
                    <w:rPr>
                      <w:rFonts w:ascii="Times New Roman" w:hAnsi="Times New Roman"/>
                    </w:rPr>
                    <w:t>70</w:t>
                  </w:r>
                </w:p>
              </w:tc>
              <w:tc>
                <w:tcPr>
                  <w:tcW w:w="1023" w:type="dxa"/>
                  <w:vAlign w:val="center"/>
                </w:tcPr>
                <w:p>
                  <w:pPr>
                    <w:pStyle w:val="82"/>
                    <w:spacing w:line="240" w:lineRule="atLeast"/>
                    <w:rPr>
                      <w:rFonts w:ascii="Times New Roman" w:hAnsi="Times New Roman"/>
                    </w:rPr>
                  </w:pPr>
                  <w:r>
                    <w:rPr>
                      <w:rFonts w:ascii="Times New Roman" w:hAnsi="Times New Roman"/>
                    </w:rPr>
                    <w:t>34.3%</w:t>
                  </w:r>
                </w:p>
              </w:tc>
              <w:tc>
                <w:tcPr>
                  <w:tcW w:w="795" w:type="dxa"/>
                  <w:vMerge w:val="continue"/>
                  <w:vAlign w:val="center"/>
                </w:tcPr>
                <w:p>
                  <w:pPr>
                    <w:jc w:val="cente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18" w:type="dxa"/>
                  <w:vAlign w:val="center"/>
                </w:tcPr>
                <w:p>
                  <w:pPr>
                    <w:jc w:val="center"/>
                  </w:pPr>
                  <w:r>
                    <w:t>PM</w:t>
                  </w:r>
                  <w:r>
                    <w:rPr>
                      <w:vertAlign w:val="subscript"/>
                    </w:rPr>
                    <w:t>2.5</w:t>
                  </w:r>
                </w:p>
              </w:tc>
              <w:tc>
                <w:tcPr>
                  <w:tcW w:w="3085" w:type="dxa"/>
                  <w:vAlign w:val="center"/>
                </w:tcPr>
                <w:p>
                  <w:pPr>
                    <w:jc w:val="center"/>
                  </w:pPr>
                  <w:r>
                    <w:t>年平均质量浓度</w:t>
                  </w:r>
                </w:p>
              </w:tc>
              <w:tc>
                <w:tcPr>
                  <w:tcW w:w="1200" w:type="dxa"/>
                  <w:vAlign w:val="center"/>
                </w:tcPr>
                <w:p>
                  <w:pPr>
                    <w:pStyle w:val="82"/>
                    <w:spacing w:line="240" w:lineRule="atLeast"/>
                    <w:rPr>
                      <w:rFonts w:ascii="Times New Roman" w:hAnsi="Times New Roman"/>
                    </w:rPr>
                  </w:pPr>
                  <w:r>
                    <w:rPr>
                      <w:rFonts w:hint="eastAsia" w:ascii="Times New Roman" w:hAnsi="Times New Roman"/>
                    </w:rPr>
                    <w:t>7</w:t>
                  </w:r>
                </w:p>
              </w:tc>
              <w:tc>
                <w:tcPr>
                  <w:tcW w:w="1227" w:type="dxa"/>
                  <w:vAlign w:val="center"/>
                </w:tcPr>
                <w:p>
                  <w:pPr>
                    <w:pStyle w:val="82"/>
                    <w:spacing w:line="240" w:lineRule="atLeast"/>
                    <w:rPr>
                      <w:rFonts w:ascii="Times New Roman" w:hAnsi="Times New Roman"/>
                    </w:rPr>
                  </w:pPr>
                  <w:r>
                    <w:rPr>
                      <w:rFonts w:ascii="Times New Roman" w:hAnsi="Times New Roman"/>
                    </w:rPr>
                    <w:t>35</w:t>
                  </w:r>
                </w:p>
              </w:tc>
              <w:tc>
                <w:tcPr>
                  <w:tcW w:w="1023" w:type="dxa"/>
                  <w:vAlign w:val="center"/>
                </w:tcPr>
                <w:p>
                  <w:pPr>
                    <w:pStyle w:val="82"/>
                    <w:spacing w:line="240" w:lineRule="atLeast"/>
                    <w:rPr>
                      <w:rFonts w:ascii="Times New Roman" w:hAnsi="Times New Roman"/>
                    </w:rPr>
                  </w:pPr>
                  <w:r>
                    <w:rPr>
                      <w:rFonts w:ascii="Times New Roman" w:hAnsi="Times New Roman"/>
                    </w:rPr>
                    <w:t>20.0%</w:t>
                  </w:r>
                </w:p>
              </w:tc>
              <w:tc>
                <w:tcPr>
                  <w:tcW w:w="795" w:type="dxa"/>
                  <w:vMerge w:val="continue"/>
                  <w:vAlign w:val="center"/>
                </w:tcPr>
                <w:p>
                  <w:pPr>
                    <w:jc w:val="cente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18" w:type="dxa"/>
                  <w:vAlign w:val="center"/>
                </w:tcPr>
                <w:p>
                  <w:pPr>
                    <w:jc w:val="center"/>
                  </w:pPr>
                  <w:r>
                    <w:t>CO</w:t>
                  </w:r>
                </w:p>
              </w:tc>
              <w:tc>
                <w:tcPr>
                  <w:tcW w:w="3085" w:type="dxa"/>
                  <w:vAlign w:val="center"/>
                </w:tcPr>
                <w:p>
                  <w:pPr>
                    <w:jc w:val="center"/>
                  </w:pPr>
                  <w:r>
                    <w:t>全年24小时平均第95百分位数</w:t>
                  </w:r>
                </w:p>
              </w:tc>
              <w:tc>
                <w:tcPr>
                  <w:tcW w:w="1200" w:type="dxa"/>
                  <w:vAlign w:val="center"/>
                </w:tcPr>
                <w:p>
                  <w:pPr>
                    <w:pStyle w:val="82"/>
                    <w:spacing w:line="240" w:lineRule="atLeast"/>
                    <w:rPr>
                      <w:rFonts w:ascii="Times New Roman" w:hAnsi="Times New Roman"/>
                    </w:rPr>
                  </w:pPr>
                  <w:r>
                    <w:rPr>
                      <w:rFonts w:ascii="Times New Roman" w:hAnsi="Times New Roman"/>
                    </w:rPr>
                    <w:t>700</w:t>
                  </w:r>
                </w:p>
              </w:tc>
              <w:tc>
                <w:tcPr>
                  <w:tcW w:w="1227" w:type="dxa"/>
                  <w:vAlign w:val="center"/>
                </w:tcPr>
                <w:p>
                  <w:pPr>
                    <w:pStyle w:val="82"/>
                    <w:spacing w:line="240" w:lineRule="atLeast"/>
                    <w:rPr>
                      <w:rFonts w:ascii="Times New Roman" w:hAnsi="Times New Roman"/>
                    </w:rPr>
                  </w:pPr>
                  <w:r>
                    <w:rPr>
                      <w:rFonts w:ascii="Times New Roman" w:hAnsi="Times New Roman"/>
                    </w:rPr>
                    <w:t>4000</w:t>
                  </w:r>
                </w:p>
              </w:tc>
              <w:tc>
                <w:tcPr>
                  <w:tcW w:w="1023" w:type="dxa"/>
                  <w:vAlign w:val="center"/>
                </w:tcPr>
                <w:p>
                  <w:pPr>
                    <w:pStyle w:val="82"/>
                    <w:spacing w:line="240" w:lineRule="atLeast"/>
                    <w:rPr>
                      <w:rFonts w:ascii="Times New Roman" w:hAnsi="Times New Roman"/>
                    </w:rPr>
                  </w:pPr>
                  <w:r>
                    <w:rPr>
                      <w:rFonts w:ascii="Times New Roman" w:hAnsi="Times New Roman"/>
                    </w:rPr>
                    <w:t>17.5%</w:t>
                  </w:r>
                </w:p>
              </w:tc>
              <w:tc>
                <w:tcPr>
                  <w:tcW w:w="795" w:type="dxa"/>
                  <w:vMerge w:val="continue"/>
                  <w:vAlign w:val="center"/>
                </w:tcPr>
                <w:p>
                  <w:pPr>
                    <w:jc w:val="cente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718" w:type="dxa"/>
                  <w:vAlign w:val="center"/>
                </w:tcPr>
                <w:p>
                  <w:pPr>
                    <w:jc w:val="center"/>
                  </w:pPr>
                  <w:r>
                    <w:t>O</w:t>
                  </w:r>
                  <w:r>
                    <w:rPr>
                      <w:vertAlign w:val="subscript"/>
                    </w:rPr>
                    <w:t>3</w:t>
                  </w:r>
                </w:p>
              </w:tc>
              <w:tc>
                <w:tcPr>
                  <w:tcW w:w="3085" w:type="dxa"/>
                  <w:vAlign w:val="center"/>
                </w:tcPr>
                <w:p>
                  <w:pPr>
                    <w:jc w:val="center"/>
                  </w:pPr>
                  <w:r>
                    <w:t>日最大8小时平均第90百分位数</w:t>
                  </w:r>
                </w:p>
              </w:tc>
              <w:tc>
                <w:tcPr>
                  <w:tcW w:w="1200" w:type="dxa"/>
                  <w:vAlign w:val="center"/>
                </w:tcPr>
                <w:p>
                  <w:pPr>
                    <w:pStyle w:val="82"/>
                    <w:spacing w:line="240" w:lineRule="atLeast"/>
                    <w:rPr>
                      <w:rFonts w:ascii="Times New Roman" w:hAnsi="Times New Roman"/>
                    </w:rPr>
                  </w:pPr>
                  <w:r>
                    <w:rPr>
                      <w:rFonts w:ascii="Times New Roman" w:hAnsi="Times New Roman"/>
                    </w:rPr>
                    <w:t>118</w:t>
                  </w:r>
                </w:p>
              </w:tc>
              <w:tc>
                <w:tcPr>
                  <w:tcW w:w="1227" w:type="dxa"/>
                  <w:vAlign w:val="center"/>
                </w:tcPr>
                <w:p>
                  <w:pPr>
                    <w:pStyle w:val="82"/>
                    <w:spacing w:line="240" w:lineRule="atLeast"/>
                    <w:rPr>
                      <w:rFonts w:ascii="Times New Roman" w:hAnsi="Times New Roman"/>
                    </w:rPr>
                  </w:pPr>
                  <w:r>
                    <w:rPr>
                      <w:rFonts w:ascii="Times New Roman" w:hAnsi="Times New Roman"/>
                    </w:rPr>
                    <w:t>160</w:t>
                  </w:r>
                </w:p>
              </w:tc>
              <w:tc>
                <w:tcPr>
                  <w:tcW w:w="1023" w:type="dxa"/>
                  <w:vAlign w:val="center"/>
                </w:tcPr>
                <w:p>
                  <w:pPr>
                    <w:pStyle w:val="82"/>
                    <w:spacing w:line="240" w:lineRule="atLeast"/>
                    <w:rPr>
                      <w:rFonts w:ascii="Times New Roman" w:hAnsi="Times New Roman"/>
                    </w:rPr>
                  </w:pPr>
                  <w:r>
                    <w:rPr>
                      <w:rFonts w:ascii="Times New Roman" w:hAnsi="Times New Roman"/>
                    </w:rPr>
                    <w:t>73.8%</w:t>
                  </w:r>
                </w:p>
              </w:tc>
              <w:tc>
                <w:tcPr>
                  <w:tcW w:w="795" w:type="dxa"/>
                  <w:vMerge w:val="continue"/>
                  <w:vAlign w:val="center"/>
                </w:tcPr>
                <w:p>
                  <w:pPr>
                    <w:jc w:val="center"/>
                  </w:pPr>
                </w:p>
              </w:tc>
            </w:tr>
          </w:tbl>
          <w:p>
            <w:pPr>
              <w:spacing w:line="360" w:lineRule="auto"/>
              <w:ind w:firstLine="480"/>
              <w:rPr>
                <w:kern w:val="0"/>
                <w:szCs w:val="21"/>
              </w:rPr>
            </w:pPr>
            <w:r>
              <w:rPr>
                <w:rFonts w:cs="宋体"/>
                <w:szCs w:val="21"/>
              </w:rPr>
              <w:t>注：环境空气质量达标是指参与评价的六项污染物浓度均达标，即为环境空气质量达标。其中PM</w:t>
            </w:r>
            <w:r>
              <w:rPr>
                <w:rFonts w:cs="宋体"/>
                <w:szCs w:val="21"/>
                <w:vertAlign w:val="subscript"/>
              </w:rPr>
              <w:t>10</w:t>
            </w:r>
            <w:r>
              <w:rPr>
                <w:rFonts w:cs="宋体"/>
                <w:szCs w:val="21"/>
              </w:rPr>
              <w:t>、PM</w:t>
            </w:r>
            <w:r>
              <w:rPr>
                <w:rFonts w:cs="宋体"/>
                <w:szCs w:val="21"/>
                <w:vertAlign w:val="subscript"/>
              </w:rPr>
              <w:t>2.5</w:t>
            </w:r>
            <w:r>
              <w:rPr>
                <w:rFonts w:cs="宋体"/>
                <w:szCs w:val="21"/>
              </w:rPr>
              <w:t>、SO</w:t>
            </w:r>
            <w:r>
              <w:rPr>
                <w:rFonts w:cs="宋体"/>
                <w:szCs w:val="21"/>
                <w:vertAlign w:val="subscript"/>
              </w:rPr>
              <w:t>2</w:t>
            </w:r>
            <w:r>
              <w:rPr>
                <w:rFonts w:cs="宋体"/>
                <w:szCs w:val="21"/>
              </w:rPr>
              <w:t>、NO</w:t>
            </w:r>
            <w:r>
              <w:rPr>
                <w:rFonts w:cs="宋体"/>
                <w:szCs w:val="21"/>
                <w:vertAlign w:val="subscript"/>
              </w:rPr>
              <w:t>2</w:t>
            </w:r>
            <w:r>
              <w:rPr>
                <w:rFonts w:cs="宋体"/>
                <w:szCs w:val="21"/>
              </w:rPr>
              <w:t>按照年均浓度进行达标评价，CO和O</w:t>
            </w:r>
            <w:r>
              <w:rPr>
                <w:rFonts w:cs="宋体"/>
                <w:szCs w:val="21"/>
                <w:vertAlign w:val="subscript"/>
              </w:rPr>
              <w:t>3</w:t>
            </w:r>
            <w:r>
              <w:rPr>
                <w:rFonts w:cs="宋体"/>
                <w:szCs w:val="21"/>
              </w:rPr>
              <w:t>按</w:t>
            </w:r>
            <w:r>
              <w:rPr>
                <w:rFonts w:hint="eastAsia"/>
                <w:kern w:val="0"/>
                <w:szCs w:val="21"/>
              </w:rPr>
              <w:t>照百分位数浓度进行达标评价。</w:t>
            </w:r>
          </w:p>
          <w:p>
            <w:pPr>
              <w:spacing w:line="360" w:lineRule="auto"/>
              <w:ind w:firstLine="480"/>
              <w:rPr>
                <w:rFonts w:cs="宋体"/>
                <w:sz w:val="24"/>
              </w:rPr>
            </w:pPr>
            <w:r>
              <w:rPr>
                <w:rFonts w:hint="eastAsia"/>
                <w:kern w:val="0"/>
                <w:sz w:val="24"/>
                <w:szCs w:val="20"/>
              </w:rPr>
              <w:t>由上表可知，六项基本污染物占标率最大值70.63%，最小值12.50%，各污染物浓度均优于《环境空气质量标准》（GB3095-2012）中二级标准限值，因此本项目所在区域判定为达标区。</w:t>
            </w:r>
          </w:p>
          <w:bookmarkEnd w:id="3"/>
          <w:p>
            <w:pPr>
              <w:spacing w:line="360" w:lineRule="auto"/>
              <w:ind w:firstLine="480" w:firstLineChars="200"/>
              <w:rPr>
                <w:kern w:val="0"/>
                <w:sz w:val="24"/>
              </w:rPr>
            </w:pPr>
            <w:r>
              <w:rPr>
                <w:rFonts w:hint="eastAsia"/>
                <w:kern w:val="0"/>
                <w:sz w:val="24"/>
              </w:rPr>
              <w:t>本项目特征污染物为非甲烷总烃和异味，根据《建设项目环境影响报告表编制技术指南（污染影响类）（试行）》内容、格式及编制技术指南常见问题解答：“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非甲烷总烃无环境质量标准，无需进行大气环境现状监测。</w:t>
            </w:r>
          </w:p>
          <w:p>
            <w:pPr>
              <w:snapToGrid w:val="0"/>
              <w:spacing w:line="360" w:lineRule="auto"/>
              <w:ind w:firstLine="482" w:firstLineChars="200"/>
              <w:rPr>
                <w:b/>
                <w:bCs/>
                <w:sz w:val="24"/>
              </w:rPr>
            </w:pPr>
            <w:r>
              <w:rPr>
                <w:rFonts w:hint="eastAsia"/>
                <w:b/>
                <w:bCs/>
                <w:sz w:val="24"/>
              </w:rPr>
              <w:t>2、声环境质量现状</w:t>
            </w:r>
          </w:p>
          <w:p>
            <w:pPr>
              <w:spacing w:line="360" w:lineRule="auto"/>
              <w:ind w:firstLine="480" w:firstLineChars="200"/>
              <w:rPr>
                <w:kern w:val="0"/>
                <w:sz w:val="24"/>
              </w:rPr>
            </w:pPr>
            <w:r>
              <w:rPr>
                <w:rFonts w:hint="eastAsia"/>
                <w:kern w:val="0"/>
                <w:sz w:val="24"/>
              </w:rPr>
              <w:t>本项目周边50m范围无居民等声环境保护目标，无环境保护目标，因此根据《建设项目环境影响报告表编制技术指南（污染影响类）（试行）》无需进行声环境现状监测。</w:t>
            </w:r>
          </w:p>
          <w:p>
            <w:pPr>
              <w:pStyle w:val="84"/>
              <w:adjustRightInd w:val="0"/>
              <w:snapToGrid w:val="0"/>
              <w:spacing w:line="360" w:lineRule="auto"/>
              <w:ind w:firstLine="482"/>
              <w:rPr>
                <w:b/>
                <w:bCs/>
                <w:sz w:val="24"/>
              </w:rPr>
            </w:pPr>
            <w:r>
              <w:rPr>
                <w:b/>
                <w:bCs/>
                <w:sz w:val="24"/>
              </w:rPr>
              <w:t>3、</w:t>
            </w:r>
            <w:r>
              <w:rPr>
                <w:rFonts w:hint="eastAsia"/>
                <w:b/>
                <w:bCs/>
                <w:sz w:val="24"/>
              </w:rPr>
              <w:t>地表水</w:t>
            </w:r>
            <w:r>
              <w:rPr>
                <w:b/>
                <w:bCs/>
                <w:sz w:val="24"/>
              </w:rPr>
              <w:t>环境质量现状</w:t>
            </w:r>
          </w:p>
          <w:p>
            <w:pPr>
              <w:pStyle w:val="84"/>
              <w:adjustRightInd w:val="0"/>
              <w:snapToGrid w:val="0"/>
              <w:spacing w:line="360" w:lineRule="auto"/>
              <w:ind w:firstLine="480"/>
              <w:rPr>
                <w:sz w:val="24"/>
              </w:rPr>
            </w:pPr>
            <w:r>
              <w:rPr>
                <w:rFonts w:hint="eastAsia"/>
                <w:sz w:val="24"/>
              </w:rPr>
              <w:t>项目生产废水经污水处理站预处理达标后排入镶黄旗污水处理厂进一步处理，因此本次未对地表水环境质量现状进行检测。</w:t>
            </w:r>
          </w:p>
          <w:p>
            <w:pPr>
              <w:pStyle w:val="84"/>
              <w:adjustRightInd w:val="0"/>
              <w:snapToGrid w:val="0"/>
              <w:spacing w:line="360" w:lineRule="auto"/>
              <w:ind w:firstLine="482"/>
              <w:rPr>
                <w:b/>
                <w:bCs/>
                <w:sz w:val="24"/>
              </w:rPr>
            </w:pPr>
            <w:r>
              <w:rPr>
                <w:rFonts w:hint="eastAsia"/>
                <w:b/>
                <w:bCs/>
                <w:sz w:val="24"/>
              </w:rPr>
              <w:t>4、</w:t>
            </w:r>
            <w:r>
              <w:rPr>
                <w:b/>
                <w:bCs/>
                <w:sz w:val="24"/>
              </w:rPr>
              <w:t>地下水</w:t>
            </w:r>
            <w:r>
              <w:rPr>
                <w:rFonts w:hint="eastAsia"/>
                <w:b/>
                <w:bCs/>
                <w:sz w:val="24"/>
              </w:rPr>
              <w:t>和土壤环境质量现状</w:t>
            </w:r>
          </w:p>
          <w:p>
            <w:pPr>
              <w:adjustRightInd w:val="0"/>
              <w:snapToGrid w:val="0"/>
              <w:spacing w:line="500" w:lineRule="exact"/>
              <w:ind w:firstLine="480" w:firstLineChars="200"/>
              <w:rPr>
                <w:kern w:val="0"/>
                <w:sz w:val="24"/>
                <w:szCs w:val="20"/>
              </w:rPr>
            </w:pPr>
            <w:r>
              <w:rPr>
                <w:rFonts w:hint="eastAsia"/>
                <w:kern w:val="0"/>
                <w:sz w:val="24"/>
                <w:szCs w:val="20"/>
              </w:rPr>
              <w:t>本次为食品加工项目，基本</w:t>
            </w:r>
            <w:r>
              <w:rPr>
                <w:kern w:val="0"/>
                <w:sz w:val="24"/>
                <w:szCs w:val="20"/>
              </w:rPr>
              <w:t>不对地下水和</w:t>
            </w:r>
            <w:r>
              <w:rPr>
                <w:rFonts w:hint="eastAsia"/>
                <w:kern w:val="0"/>
                <w:sz w:val="24"/>
                <w:szCs w:val="20"/>
              </w:rPr>
              <w:t>土壤产生污染途径，因此本次评价不对土壤和</w:t>
            </w:r>
            <w:r>
              <w:rPr>
                <w:kern w:val="0"/>
                <w:sz w:val="24"/>
                <w:szCs w:val="20"/>
              </w:rPr>
              <w:t>地下水</w:t>
            </w:r>
            <w:r>
              <w:rPr>
                <w:rFonts w:hint="eastAsia"/>
                <w:kern w:val="0"/>
                <w:sz w:val="24"/>
                <w:szCs w:val="20"/>
              </w:rPr>
              <w:t>环境进行现状调查。</w:t>
            </w:r>
          </w:p>
          <w:p>
            <w:pPr>
              <w:pStyle w:val="84"/>
              <w:adjustRightInd w:val="0"/>
              <w:snapToGrid w:val="0"/>
              <w:spacing w:before="120" w:beforeLines="50" w:line="360" w:lineRule="auto"/>
              <w:ind w:firstLine="482"/>
              <w:rPr>
                <w:b/>
                <w:bCs/>
                <w:sz w:val="24"/>
              </w:rPr>
            </w:pPr>
            <w:r>
              <w:rPr>
                <w:rFonts w:hint="eastAsia"/>
                <w:b/>
                <w:bCs/>
                <w:sz w:val="24"/>
              </w:rPr>
              <w:t>5、生态环境</w:t>
            </w:r>
          </w:p>
          <w:p>
            <w:pPr>
              <w:adjustRightInd w:val="0"/>
              <w:snapToGrid w:val="0"/>
              <w:spacing w:line="500" w:lineRule="exact"/>
              <w:ind w:firstLine="480" w:firstLineChars="200"/>
              <w:rPr>
                <w:kern w:val="0"/>
                <w:sz w:val="24"/>
                <w:szCs w:val="20"/>
              </w:rPr>
            </w:pPr>
            <w:r>
              <w:rPr>
                <w:rFonts w:hint="eastAsia"/>
                <w:sz w:val="24"/>
              </w:rPr>
              <w:t>本项目位于</w:t>
            </w:r>
            <w:r>
              <w:rPr>
                <w:rFonts w:hint="eastAsia"/>
                <w:bCs/>
                <w:kern w:val="0"/>
                <w:sz w:val="24"/>
              </w:rPr>
              <w:t>镶黄旗奶制品产业园</w:t>
            </w:r>
            <w:r>
              <w:rPr>
                <w:rFonts w:hint="eastAsia"/>
                <w:sz w:val="24"/>
              </w:rPr>
              <w:t>，占地为工业用地，周边为城镇生态，无生态环境保护目标</w:t>
            </w:r>
            <w:r>
              <w:rPr>
                <w:rFonts w:hint="eastAsia"/>
                <w:kern w:val="0"/>
                <w:sz w:val="24"/>
                <w:szCs w:val="20"/>
              </w:rPr>
              <w:t>。</w:t>
            </w:r>
          </w:p>
          <w:p>
            <w:pPr>
              <w:spacing w:line="360" w:lineRule="auto"/>
              <w:ind w:firstLine="480" w:firstLineChars="200"/>
              <w:jc w:val="left"/>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700" w:type="dxa"/>
            <w:vAlign w:val="center"/>
          </w:tcPr>
          <w:p>
            <w:pPr>
              <w:adjustRightInd w:val="0"/>
              <w:snapToGrid w:val="0"/>
              <w:jc w:val="center"/>
              <w:rPr>
                <w:rFonts w:cs="宋体"/>
                <w:kern w:val="0"/>
                <w:sz w:val="24"/>
              </w:rPr>
            </w:pPr>
            <w:r>
              <w:rPr>
                <w:rFonts w:hint="eastAsia" w:cs="宋体"/>
                <w:kern w:val="0"/>
                <w:sz w:val="24"/>
              </w:rPr>
              <w:t>环境</w:t>
            </w:r>
          </w:p>
          <w:p>
            <w:pPr>
              <w:adjustRightInd w:val="0"/>
              <w:snapToGrid w:val="0"/>
              <w:jc w:val="center"/>
              <w:rPr>
                <w:rFonts w:cs="宋体"/>
                <w:kern w:val="0"/>
                <w:sz w:val="24"/>
              </w:rPr>
            </w:pPr>
            <w:r>
              <w:rPr>
                <w:rFonts w:hint="eastAsia" w:cs="宋体"/>
                <w:kern w:val="0"/>
                <w:sz w:val="24"/>
              </w:rPr>
              <w:t>保护</w:t>
            </w:r>
          </w:p>
          <w:p>
            <w:pPr>
              <w:adjustRightInd w:val="0"/>
              <w:snapToGrid w:val="0"/>
              <w:jc w:val="center"/>
              <w:rPr>
                <w:rFonts w:cs="宋体"/>
                <w:kern w:val="0"/>
                <w:szCs w:val="21"/>
              </w:rPr>
            </w:pPr>
            <w:r>
              <w:rPr>
                <w:rFonts w:hint="eastAsia" w:cs="宋体"/>
                <w:kern w:val="0"/>
                <w:sz w:val="24"/>
              </w:rPr>
              <w:t>目标</w:t>
            </w:r>
          </w:p>
        </w:tc>
        <w:tc>
          <w:tcPr>
            <w:tcW w:w="8361" w:type="dxa"/>
            <w:vAlign w:val="center"/>
          </w:tcPr>
          <w:p>
            <w:pPr>
              <w:pStyle w:val="8"/>
              <w:spacing w:line="500" w:lineRule="exact"/>
              <w:ind w:firstLine="482" w:firstLineChars="200"/>
              <w:rPr>
                <w:b/>
                <w:bCs/>
              </w:rPr>
            </w:pPr>
            <w:r>
              <w:rPr>
                <w:b/>
                <w:bCs/>
              </w:rPr>
              <w:t>1、大气环境</w:t>
            </w:r>
          </w:p>
          <w:p>
            <w:pPr>
              <w:pStyle w:val="8"/>
              <w:spacing w:line="500" w:lineRule="exact"/>
              <w:ind w:firstLine="480" w:firstLineChars="200"/>
            </w:pPr>
            <w:r>
              <w:t>项目位于</w:t>
            </w:r>
            <w:r>
              <w:rPr>
                <w:rFonts w:hint="eastAsia"/>
                <w:bCs/>
              </w:rPr>
              <w:t>镶黄旗奶制品产业园</w:t>
            </w:r>
            <w:r>
              <w:t>，厂界外500米范围内无自然保护区、风景名胜区，</w:t>
            </w:r>
            <w:r>
              <w:rPr>
                <w:rFonts w:hint="eastAsia"/>
                <w:bCs/>
              </w:rPr>
              <w:t>项目周边零散棚户居住户已基本搬迁完毕，因此</w:t>
            </w:r>
            <w:r>
              <w:rPr>
                <w:rFonts w:hint="eastAsia"/>
              </w:rPr>
              <w:t>主要</w:t>
            </w:r>
            <w:r>
              <w:t>敏感目标</w:t>
            </w:r>
            <w:r>
              <w:rPr>
                <w:rFonts w:hint="eastAsia"/>
              </w:rPr>
              <w:t>为新宝拉格镇居民和塔泰小区</w:t>
            </w:r>
            <w:r>
              <w:t>。</w:t>
            </w:r>
          </w:p>
          <w:p>
            <w:pPr>
              <w:pStyle w:val="8"/>
              <w:spacing w:line="500" w:lineRule="exact"/>
              <w:ind w:firstLine="482" w:firstLineChars="200"/>
              <w:rPr>
                <w:b/>
                <w:bCs/>
              </w:rPr>
            </w:pPr>
            <w:r>
              <w:rPr>
                <w:b/>
                <w:bCs/>
              </w:rPr>
              <w:t>2、声环境</w:t>
            </w:r>
          </w:p>
          <w:p>
            <w:pPr>
              <w:pStyle w:val="8"/>
              <w:spacing w:line="500" w:lineRule="exact"/>
              <w:ind w:firstLine="465"/>
            </w:pPr>
            <w:r>
              <w:t>建设项目厂界50m范围内无声环境保护目标。</w:t>
            </w:r>
          </w:p>
          <w:p>
            <w:pPr>
              <w:pStyle w:val="8"/>
              <w:spacing w:line="500" w:lineRule="exact"/>
              <w:ind w:firstLine="482" w:firstLineChars="200"/>
              <w:rPr>
                <w:b/>
                <w:bCs/>
              </w:rPr>
            </w:pPr>
            <w:r>
              <w:rPr>
                <w:b/>
                <w:bCs/>
              </w:rPr>
              <w:t>3、地下水</w:t>
            </w:r>
          </w:p>
          <w:p>
            <w:pPr>
              <w:pStyle w:val="8"/>
              <w:spacing w:line="500" w:lineRule="exact"/>
              <w:ind w:firstLine="480" w:firstLineChars="200"/>
            </w:pPr>
            <w:r>
              <w:t>厂界外500m范围内无集中式饮用水水源和热水、矿泉水、温泉等特殊地下水资源。</w:t>
            </w:r>
          </w:p>
          <w:p>
            <w:pPr>
              <w:pStyle w:val="8"/>
              <w:spacing w:line="500" w:lineRule="exact"/>
              <w:ind w:firstLine="482" w:firstLineChars="200"/>
              <w:rPr>
                <w:b/>
                <w:bCs/>
              </w:rPr>
            </w:pPr>
            <w:r>
              <w:rPr>
                <w:b/>
                <w:bCs/>
              </w:rPr>
              <w:t>4、生态环境</w:t>
            </w:r>
          </w:p>
          <w:p>
            <w:pPr>
              <w:adjustRightInd w:val="0"/>
              <w:snapToGrid w:val="0"/>
              <w:spacing w:line="500" w:lineRule="exact"/>
              <w:ind w:firstLine="480" w:firstLineChars="200"/>
              <w:rPr>
                <w:kern w:val="0"/>
                <w:sz w:val="24"/>
                <w:szCs w:val="20"/>
              </w:rPr>
            </w:pPr>
            <w:r>
              <w:rPr>
                <w:rFonts w:hint="eastAsia"/>
                <w:sz w:val="24"/>
              </w:rPr>
              <w:t>本项目位于</w:t>
            </w:r>
            <w:r>
              <w:rPr>
                <w:rFonts w:hint="eastAsia"/>
                <w:bCs/>
                <w:kern w:val="0"/>
                <w:sz w:val="24"/>
              </w:rPr>
              <w:t>镶黄旗奶制品产业园</w:t>
            </w:r>
            <w:r>
              <w:rPr>
                <w:rFonts w:hint="eastAsia"/>
                <w:sz w:val="24"/>
              </w:rPr>
              <w:t>，占地为工业用地，周边为城镇生态，无生态环境保护目标</w:t>
            </w:r>
            <w:r>
              <w:rPr>
                <w:rFonts w:hint="eastAsia"/>
                <w:kern w:val="0"/>
                <w:sz w:val="24"/>
                <w:szCs w:val="20"/>
              </w:rPr>
              <w:t>。</w:t>
            </w:r>
          </w:p>
          <w:p>
            <w:pPr>
              <w:pStyle w:val="8"/>
              <w:spacing w:line="500" w:lineRule="exact"/>
              <w:ind w:firstLine="480" w:firstLineChars="200"/>
            </w:pPr>
            <w:r>
              <w:rPr>
                <w:rFonts w:hint="eastAsia"/>
              </w:rPr>
              <w:t>本项目环境保护目标情况见下表3-</w:t>
            </w:r>
            <w:r>
              <w:t>2</w:t>
            </w:r>
            <w:r>
              <w:rPr>
                <w:rFonts w:hint="eastAsia"/>
              </w:rPr>
              <w:t>。</w:t>
            </w:r>
          </w:p>
          <w:p>
            <w:pPr>
              <w:adjustRightInd w:val="0"/>
              <w:snapToGrid w:val="0"/>
              <w:spacing w:line="400" w:lineRule="exact"/>
              <w:jc w:val="center"/>
              <w:rPr>
                <w:b/>
                <w:sz w:val="24"/>
              </w:rPr>
            </w:pPr>
            <w:r>
              <w:rPr>
                <w:rFonts w:hint="eastAsia"/>
                <w:b/>
                <w:sz w:val="24"/>
              </w:rPr>
              <w:t>表3-</w:t>
            </w:r>
            <w:r>
              <w:rPr>
                <w:b/>
                <w:sz w:val="24"/>
              </w:rPr>
              <w:t>2</w:t>
            </w:r>
            <w:r>
              <w:rPr>
                <w:rFonts w:hint="eastAsia"/>
                <w:b/>
                <w:sz w:val="24"/>
              </w:rPr>
              <w:t>环境保护目标一览表</w:t>
            </w:r>
          </w:p>
          <w:tbl>
            <w:tblPr>
              <w:tblStyle w:val="21"/>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876"/>
              <w:gridCol w:w="1440"/>
              <w:gridCol w:w="1320"/>
              <w:gridCol w:w="599"/>
              <w:gridCol w:w="739"/>
              <w:gridCol w:w="802"/>
              <w:gridCol w:w="19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vMerge w:val="restart"/>
                  <w:vAlign w:val="center"/>
                </w:tcPr>
                <w:p>
                  <w:pPr>
                    <w:widowControl/>
                    <w:spacing w:line="340" w:lineRule="exact"/>
                    <w:ind w:left="-105" w:leftChars="-50" w:right="-105" w:rightChars="-50"/>
                    <w:jc w:val="center"/>
                    <w:rPr>
                      <w:rFonts w:cs="宋体"/>
                      <w:kern w:val="0"/>
                      <w:szCs w:val="21"/>
                    </w:rPr>
                  </w:pPr>
                  <w:r>
                    <w:rPr>
                      <w:rFonts w:cs="宋体"/>
                      <w:kern w:val="0"/>
                      <w:szCs w:val="21"/>
                    </w:rPr>
                    <w:t>环境要素</w:t>
                  </w:r>
                </w:p>
              </w:tc>
              <w:tc>
                <w:tcPr>
                  <w:tcW w:w="538" w:type="pct"/>
                  <w:vMerge w:val="restart"/>
                  <w:vAlign w:val="center"/>
                </w:tcPr>
                <w:p>
                  <w:pPr>
                    <w:widowControl/>
                    <w:spacing w:line="340" w:lineRule="exact"/>
                    <w:ind w:left="-105" w:leftChars="-50" w:right="-105" w:rightChars="-50"/>
                    <w:jc w:val="center"/>
                    <w:rPr>
                      <w:rFonts w:cs="宋体"/>
                      <w:kern w:val="0"/>
                      <w:szCs w:val="21"/>
                    </w:rPr>
                  </w:pPr>
                  <w:r>
                    <w:rPr>
                      <w:rFonts w:cs="宋体"/>
                      <w:kern w:val="0"/>
                      <w:szCs w:val="21"/>
                    </w:rPr>
                    <w:t>保护目标</w:t>
                  </w:r>
                </w:p>
              </w:tc>
              <w:tc>
                <w:tcPr>
                  <w:tcW w:w="1696" w:type="pct"/>
                  <w:gridSpan w:val="2"/>
                  <w:vAlign w:val="center"/>
                </w:tcPr>
                <w:p>
                  <w:pPr>
                    <w:widowControl/>
                    <w:spacing w:line="340" w:lineRule="exact"/>
                    <w:ind w:left="-105" w:leftChars="-50" w:right="-105" w:rightChars="-50"/>
                    <w:jc w:val="center"/>
                    <w:rPr>
                      <w:rFonts w:cs="宋体"/>
                      <w:kern w:val="0"/>
                      <w:szCs w:val="21"/>
                    </w:rPr>
                  </w:pPr>
                  <w:r>
                    <w:rPr>
                      <w:rFonts w:cs="宋体"/>
                      <w:kern w:val="0"/>
                      <w:szCs w:val="21"/>
                    </w:rPr>
                    <w:t>坐标</w:t>
                  </w:r>
                </w:p>
              </w:tc>
              <w:tc>
                <w:tcPr>
                  <w:tcW w:w="368" w:type="pct"/>
                  <w:vMerge w:val="restart"/>
                  <w:vAlign w:val="center"/>
                </w:tcPr>
                <w:p>
                  <w:pPr>
                    <w:widowControl/>
                    <w:spacing w:line="340" w:lineRule="exact"/>
                    <w:ind w:left="-105" w:leftChars="-50" w:right="-105" w:rightChars="-50"/>
                    <w:jc w:val="center"/>
                    <w:rPr>
                      <w:rFonts w:cs="宋体"/>
                      <w:kern w:val="0"/>
                      <w:szCs w:val="21"/>
                    </w:rPr>
                  </w:pPr>
                  <w:r>
                    <w:rPr>
                      <w:rFonts w:cs="宋体"/>
                      <w:kern w:val="0"/>
                      <w:szCs w:val="21"/>
                    </w:rPr>
                    <w:t>保护对象</w:t>
                  </w:r>
                </w:p>
              </w:tc>
              <w:tc>
                <w:tcPr>
                  <w:tcW w:w="454" w:type="pct"/>
                  <w:vMerge w:val="restart"/>
                  <w:vAlign w:val="center"/>
                </w:tcPr>
                <w:p>
                  <w:pPr>
                    <w:widowControl/>
                    <w:spacing w:line="340" w:lineRule="exact"/>
                    <w:ind w:left="-105" w:leftChars="-50" w:right="-105" w:rightChars="-50"/>
                    <w:jc w:val="center"/>
                    <w:rPr>
                      <w:rFonts w:cs="宋体"/>
                      <w:kern w:val="0"/>
                      <w:szCs w:val="21"/>
                    </w:rPr>
                  </w:pPr>
                  <w:r>
                    <w:rPr>
                      <w:rFonts w:cs="宋体"/>
                      <w:kern w:val="0"/>
                      <w:szCs w:val="21"/>
                    </w:rPr>
                    <w:t>相对厂址方位</w:t>
                  </w:r>
                </w:p>
              </w:tc>
              <w:tc>
                <w:tcPr>
                  <w:tcW w:w="493" w:type="pct"/>
                  <w:vMerge w:val="restart"/>
                  <w:vAlign w:val="center"/>
                </w:tcPr>
                <w:p>
                  <w:pPr>
                    <w:widowControl/>
                    <w:spacing w:line="340" w:lineRule="exact"/>
                    <w:ind w:left="-105" w:leftChars="-50" w:right="-105" w:rightChars="-50"/>
                    <w:jc w:val="center"/>
                    <w:rPr>
                      <w:rFonts w:cs="宋体"/>
                      <w:kern w:val="0"/>
                      <w:szCs w:val="21"/>
                    </w:rPr>
                  </w:pPr>
                  <w:r>
                    <w:rPr>
                      <w:rFonts w:cs="宋体"/>
                      <w:kern w:val="0"/>
                      <w:szCs w:val="21"/>
                    </w:rPr>
                    <w:t>相对厂界距离/m</w:t>
                  </w:r>
                </w:p>
              </w:tc>
              <w:tc>
                <w:tcPr>
                  <w:tcW w:w="1177" w:type="pct"/>
                  <w:vMerge w:val="restart"/>
                  <w:vAlign w:val="center"/>
                </w:tcPr>
                <w:p>
                  <w:pPr>
                    <w:pStyle w:val="76"/>
                    <w:spacing w:line="340" w:lineRule="exact"/>
                    <w:ind w:left="-105" w:leftChars="-50" w:right="-105" w:rightChars="-50" w:firstLine="0"/>
                    <w:jc w:val="center"/>
                    <w:rPr>
                      <w:szCs w:val="21"/>
                    </w:rPr>
                  </w:pPr>
                  <w:r>
                    <w:rPr>
                      <w:szCs w:val="21"/>
                    </w:rPr>
                    <w:t>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4" w:type="pct"/>
                  <w:vMerge w:val="continue"/>
                  <w:vAlign w:val="center"/>
                </w:tcPr>
                <w:p>
                  <w:pPr>
                    <w:widowControl/>
                    <w:spacing w:line="340" w:lineRule="exact"/>
                    <w:ind w:left="-105" w:leftChars="-50" w:right="-105" w:rightChars="-50"/>
                    <w:jc w:val="center"/>
                    <w:rPr>
                      <w:rFonts w:cs="宋体"/>
                      <w:kern w:val="0"/>
                      <w:szCs w:val="21"/>
                    </w:rPr>
                  </w:pPr>
                </w:p>
              </w:tc>
              <w:tc>
                <w:tcPr>
                  <w:tcW w:w="538" w:type="pct"/>
                  <w:vMerge w:val="continue"/>
                  <w:vAlign w:val="center"/>
                </w:tcPr>
                <w:p>
                  <w:pPr>
                    <w:widowControl/>
                    <w:spacing w:line="340" w:lineRule="exact"/>
                    <w:ind w:left="-105" w:leftChars="-50" w:right="-105" w:rightChars="-50"/>
                    <w:jc w:val="center"/>
                    <w:rPr>
                      <w:rFonts w:cs="宋体"/>
                      <w:kern w:val="0"/>
                      <w:szCs w:val="21"/>
                    </w:rPr>
                  </w:pPr>
                </w:p>
              </w:tc>
              <w:tc>
                <w:tcPr>
                  <w:tcW w:w="885" w:type="pct"/>
                  <w:vAlign w:val="center"/>
                </w:tcPr>
                <w:p>
                  <w:pPr>
                    <w:widowControl/>
                    <w:spacing w:line="340" w:lineRule="exact"/>
                    <w:ind w:left="-105" w:leftChars="-50" w:right="-105" w:rightChars="-50"/>
                    <w:jc w:val="center"/>
                    <w:rPr>
                      <w:rFonts w:cs="宋体"/>
                      <w:kern w:val="0"/>
                      <w:szCs w:val="21"/>
                    </w:rPr>
                  </w:pPr>
                  <w:r>
                    <w:rPr>
                      <w:rFonts w:hint="eastAsia" w:cs="宋体"/>
                      <w:kern w:val="0"/>
                      <w:szCs w:val="21"/>
                    </w:rPr>
                    <w:t>东经</w:t>
                  </w:r>
                </w:p>
              </w:tc>
              <w:tc>
                <w:tcPr>
                  <w:tcW w:w="811" w:type="pct"/>
                  <w:vAlign w:val="center"/>
                </w:tcPr>
                <w:p>
                  <w:pPr>
                    <w:widowControl/>
                    <w:spacing w:line="340" w:lineRule="exact"/>
                    <w:ind w:left="-105" w:leftChars="-50" w:right="-105" w:rightChars="-50"/>
                    <w:jc w:val="center"/>
                    <w:rPr>
                      <w:rFonts w:cs="宋体"/>
                      <w:kern w:val="0"/>
                      <w:szCs w:val="21"/>
                    </w:rPr>
                  </w:pPr>
                  <w:r>
                    <w:rPr>
                      <w:rFonts w:hint="eastAsia" w:cs="宋体"/>
                      <w:kern w:val="0"/>
                      <w:szCs w:val="21"/>
                    </w:rPr>
                    <w:t>北纬</w:t>
                  </w:r>
                </w:p>
              </w:tc>
              <w:tc>
                <w:tcPr>
                  <w:tcW w:w="368" w:type="pct"/>
                  <w:vMerge w:val="continue"/>
                  <w:vAlign w:val="center"/>
                </w:tcPr>
                <w:p>
                  <w:pPr>
                    <w:widowControl/>
                    <w:spacing w:line="340" w:lineRule="exact"/>
                    <w:ind w:left="-105" w:leftChars="-50" w:right="-105" w:rightChars="-50"/>
                    <w:jc w:val="center"/>
                    <w:rPr>
                      <w:rFonts w:cs="宋体"/>
                      <w:kern w:val="0"/>
                      <w:szCs w:val="21"/>
                    </w:rPr>
                  </w:pPr>
                </w:p>
              </w:tc>
              <w:tc>
                <w:tcPr>
                  <w:tcW w:w="454" w:type="pct"/>
                  <w:vMerge w:val="continue"/>
                  <w:vAlign w:val="center"/>
                </w:tcPr>
                <w:p>
                  <w:pPr>
                    <w:widowControl/>
                    <w:spacing w:line="340" w:lineRule="exact"/>
                    <w:ind w:left="-105" w:leftChars="-50" w:right="-105" w:rightChars="-50"/>
                    <w:jc w:val="center"/>
                    <w:rPr>
                      <w:rFonts w:cs="宋体"/>
                      <w:kern w:val="0"/>
                      <w:szCs w:val="21"/>
                    </w:rPr>
                  </w:pPr>
                </w:p>
              </w:tc>
              <w:tc>
                <w:tcPr>
                  <w:tcW w:w="493" w:type="pct"/>
                  <w:vMerge w:val="continue"/>
                  <w:vAlign w:val="center"/>
                </w:tcPr>
                <w:p>
                  <w:pPr>
                    <w:widowControl/>
                    <w:spacing w:line="340" w:lineRule="exact"/>
                    <w:ind w:left="-105" w:leftChars="-50" w:right="-105" w:rightChars="-50"/>
                    <w:jc w:val="center"/>
                    <w:rPr>
                      <w:rFonts w:cs="宋体"/>
                      <w:kern w:val="0"/>
                      <w:szCs w:val="21"/>
                    </w:rPr>
                  </w:pPr>
                </w:p>
              </w:tc>
              <w:tc>
                <w:tcPr>
                  <w:tcW w:w="1177" w:type="pct"/>
                  <w:vMerge w:val="continue"/>
                  <w:vAlign w:val="center"/>
                </w:tcPr>
                <w:p>
                  <w:pPr>
                    <w:pStyle w:val="76"/>
                    <w:spacing w:line="340" w:lineRule="exact"/>
                    <w:ind w:left="-105" w:leftChars="-50" w:right="-105" w:rightChars="-50" w:firstLine="0"/>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74" w:type="pct"/>
                  <w:vMerge w:val="restart"/>
                  <w:vAlign w:val="center"/>
                </w:tcPr>
                <w:p>
                  <w:pPr>
                    <w:widowControl/>
                    <w:spacing w:line="340" w:lineRule="exact"/>
                    <w:ind w:left="-105" w:leftChars="-50" w:right="-105" w:rightChars="-50"/>
                    <w:jc w:val="center"/>
                    <w:rPr>
                      <w:rFonts w:cs="宋体"/>
                      <w:kern w:val="0"/>
                      <w:szCs w:val="21"/>
                    </w:rPr>
                  </w:pPr>
                  <w:r>
                    <w:rPr>
                      <w:rFonts w:cs="宋体"/>
                      <w:kern w:val="0"/>
                      <w:szCs w:val="21"/>
                    </w:rPr>
                    <w:t>环境空气</w:t>
                  </w:r>
                </w:p>
              </w:tc>
              <w:tc>
                <w:tcPr>
                  <w:tcW w:w="538" w:type="pct"/>
                  <w:vAlign w:val="center"/>
                </w:tcPr>
                <w:p>
                  <w:pPr>
                    <w:pStyle w:val="33"/>
                    <w:kinsoku w:val="0"/>
                    <w:overflowPunct w:val="0"/>
                    <w:spacing w:line="340" w:lineRule="exact"/>
                    <w:ind w:left="-105" w:leftChars="-50" w:right="-105" w:rightChars="-50"/>
                    <w:jc w:val="center"/>
                    <w:rPr>
                      <w:rFonts w:ascii="Times New Roman" w:hAnsi="Times New Roman"/>
                      <w:sz w:val="24"/>
                    </w:rPr>
                  </w:pPr>
                  <w:r>
                    <w:rPr>
                      <w:rFonts w:hint="eastAsia" w:ascii="Times New Roman" w:hAnsi="Times New Roman"/>
                    </w:rPr>
                    <w:t>新宝拉格镇居民</w:t>
                  </w:r>
                </w:p>
              </w:tc>
              <w:tc>
                <w:tcPr>
                  <w:tcW w:w="885" w:type="pct"/>
                  <w:vAlign w:val="center"/>
                </w:tcPr>
                <w:p>
                  <w:pPr>
                    <w:pStyle w:val="33"/>
                    <w:kinsoku w:val="0"/>
                    <w:overflowPunct w:val="0"/>
                    <w:spacing w:line="340" w:lineRule="exact"/>
                    <w:ind w:left="-105" w:leftChars="-50" w:right="-105" w:rightChars="-50"/>
                    <w:jc w:val="center"/>
                    <w:rPr>
                      <w:rFonts w:ascii="Times New Roman" w:hAnsi="Times New Roman"/>
                      <w:sz w:val="24"/>
                    </w:rPr>
                  </w:pPr>
                  <w:r>
                    <w:rPr>
                      <w:rFonts w:ascii="Times New Roman" w:hAnsi="Times New Roman"/>
                      <w:sz w:val="24"/>
                    </w:rPr>
                    <w:t xml:space="preserve">113.5002932 </w:t>
                  </w:r>
                </w:p>
              </w:tc>
              <w:tc>
                <w:tcPr>
                  <w:tcW w:w="811" w:type="pct"/>
                  <w:vAlign w:val="center"/>
                </w:tcPr>
                <w:p>
                  <w:pPr>
                    <w:pStyle w:val="33"/>
                    <w:kinsoku w:val="0"/>
                    <w:overflowPunct w:val="0"/>
                    <w:spacing w:line="340" w:lineRule="exact"/>
                    <w:ind w:left="-105" w:leftChars="-50" w:right="-105" w:rightChars="-50"/>
                    <w:jc w:val="center"/>
                    <w:rPr>
                      <w:rFonts w:ascii="Times New Roman" w:hAnsi="Times New Roman"/>
                      <w:sz w:val="24"/>
                    </w:rPr>
                  </w:pPr>
                  <w:r>
                    <w:rPr>
                      <w:rFonts w:ascii="Times New Roman" w:hAnsi="Times New Roman"/>
                      <w:sz w:val="24"/>
                    </w:rPr>
                    <w:t>42.1402624</w:t>
                  </w:r>
                </w:p>
              </w:tc>
              <w:tc>
                <w:tcPr>
                  <w:tcW w:w="368" w:type="pct"/>
                  <w:vAlign w:val="center"/>
                </w:tcPr>
                <w:p>
                  <w:pPr>
                    <w:widowControl/>
                    <w:spacing w:line="340" w:lineRule="exact"/>
                    <w:ind w:left="-105" w:leftChars="-50" w:right="-105" w:rightChars="-50"/>
                    <w:jc w:val="center"/>
                    <w:rPr>
                      <w:rFonts w:cs="宋体"/>
                      <w:kern w:val="0"/>
                      <w:szCs w:val="21"/>
                    </w:rPr>
                  </w:pPr>
                  <w:r>
                    <w:rPr>
                      <w:rFonts w:hint="eastAsia" w:cs="宋体"/>
                      <w:kern w:val="0"/>
                      <w:szCs w:val="21"/>
                    </w:rPr>
                    <w:t>居民</w:t>
                  </w:r>
                </w:p>
              </w:tc>
              <w:tc>
                <w:tcPr>
                  <w:tcW w:w="454" w:type="pct"/>
                  <w:vAlign w:val="center"/>
                </w:tcPr>
                <w:p>
                  <w:pPr>
                    <w:pStyle w:val="33"/>
                    <w:kinsoku w:val="0"/>
                    <w:overflowPunct w:val="0"/>
                    <w:spacing w:line="340" w:lineRule="exact"/>
                    <w:ind w:left="-105" w:leftChars="-50" w:right="-105" w:rightChars="-50"/>
                    <w:jc w:val="center"/>
                    <w:rPr>
                      <w:rFonts w:ascii="Times New Roman" w:hAnsi="Times New Roman"/>
                      <w:kern w:val="0"/>
                      <w:szCs w:val="21"/>
                    </w:rPr>
                  </w:pPr>
                  <w:r>
                    <w:rPr>
                      <w:rFonts w:ascii="Times New Roman" w:hAnsi="Times New Roman"/>
                      <w:lang w:val="en-US"/>
                    </w:rPr>
                    <w:t>SW</w:t>
                  </w:r>
                </w:p>
              </w:tc>
              <w:tc>
                <w:tcPr>
                  <w:tcW w:w="493" w:type="pct"/>
                  <w:vAlign w:val="center"/>
                </w:tcPr>
                <w:p>
                  <w:pPr>
                    <w:pStyle w:val="33"/>
                    <w:kinsoku w:val="0"/>
                    <w:overflowPunct w:val="0"/>
                    <w:spacing w:line="340" w:lineRule="exact"/>
                    <w:ind w:left="-105" w:leftChars="-50" w:right="-105" w:rightChars="-50"/>
                    <w:jc w:val="center"/>
                    <w:rPr>
                      <w:rFonts w:ascii="Times New Roman" w:hAnsi="Times New Roman"/>
                      <w:kern w:val="0"/>
                      <w:szCs w:val="21"/>
                      <w:lang w:val="en-US"/>
                    </w:rPr>
                  </w:pPr>
                  <w:r>
                    <w:rPr>
                      <w:rFonts w:ascii="Times New Roman" w:hAnsi="Times New Roman"/>
                      <w:lang w:val="en-US"/>
                    </w:rPr>
                    <w:t>350</w:t>
                  </w:r>
                </w:p>
              </w:tc>
              <w:tc>
                <w:tcPr>
                  <w:tcW w:w="1177" w:type="pct"/>
                  <w:vMerge w:val="restart"/>
                  <w:vAlign w:val="center"/>
                </w:tcPr>
                <w:p>
                  <w:pPr>
                    <w:adjustRightInd w:val="0"/>
                    <w:snapToGrid w:val="0"/>
                    <w:spacing w:line="340" w:lineRule="exact"/>
                    <w:ind w:left="-105" w:leftChars="-50" w:right="-105" w:rightChars="-50"/>
                    <w:jc w:val="center"/>
                    <w:rPr>
                      <w:szCs w:val="21"/>
                    </w:rPr>
                  </w:pPr>
                  <w:r>
                    <w:rPr>
                      <w:szCs w:val="21"/>
                    </w:rPr>
                    <w:t>《环境空气质量标准》（GB3095-2012）二级标准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74" w:type="pct"/>
                  <w:vMerge w:val="continue"/>
                  <w:vAlign w:val="center"/>
                </w:tcPr>
                <w:p>
                  <w:pPr>
                    <w:widowControl/>
                    <w:spacing w:line="340" w:lineRule="exact"/>
                    <w:ind w:left="-105" w:leftChars="-50" w:right="-105" w:rightChars="-50"/>
                    <w:jc w:val="center"/>
                    <w:rPr>
                      <w:rFonts w:cs="宋体"/>
                      <w:kern w:val="0"/>
                      <w:szCs w:val="21"/>
                    </w:rPr>
                  </w:pPr>
                </w:p>
              </w:tc>
              <w:tc>
                <w:tcPr>
                  <w:tcW w:w="538" w:type="pct"/>
                  <w:vAlign w:val="center"/>
                </w:tcPr>
                <w:p>
                  <w:pPr>
                    <w:pStyle w:val="33"/>
                    <w:kinsoku w:val="0"/>
                    <w:overflowPunct w:val="0"/>
                    <w:spacing w:line="340" w:lineRule="exact"/>
                    <w:ind w:left="-105" w:leftChars="-50" w:right="-105" w:rightChars="-50"/>
                    <w:jc w:val="center"/>
                    <w:rPr>
                      <w:rFonts w:ascii="Times New Roman" w:hAnsi="Times New Roman"/>
                    </w:rPr>
                  </w:pPr>
                  <w:r>
                    <w:rPr>
                      <w:rFonts w:hint="eastAsia" w:ascii="Times New Roman" w:hAnsi="Times New Roman"/>
                    </w:rPr>
                    <w:t>塔泰小区</w:t>
                  </w:r>
                </w:p>
              </w:tc>
              <w:tc>
                <w:tcPr>
                  <w:tcW w:w="885" w:type="pct"/>
                  <w:vAlign w:val="center"/>
                </w:tcPr>
                <w:p>
                  <w:pPr>
                    <w:pStyle w:val="33"/>
                    <w:kinsoku w:val="0"/>
                    <w:overflowPunct w:val="0"/>
                    <w:spacing w:line="340" w:lineRule="exact"/>
                    <w:ind w:left="-105" w:leftChars="-50" w:right="-105" w:rightChars="-50"/>
                    <w:jc w:val="center"/>
                    <w:rPr>
                      <w:rFonts w:ascii="Times New Roman" w:hAnsi="Times New Roman"/>
                      <w:sz w:val="24"/>
                    </w:rPr>
                  </w:pPr>
                  <w:r>
                    <w:rPr>
                      <w:rFonts w:ascii="Times New Roman" w:hAnsi="Times New Roman"/>
                      <w:sz w:val="24"/>
                    </w:rPr>
                    <w:t xml:space="preserve">113.5003392 </w:t>
                  </w:r>
                </w:p>
              </w:tc>
              <w:tc>
                <w:tcPr>
                  <w:tcW w:w="811" w:type="pct"/>
                  <w:vAlign w:val="center"/>
                </w:tcPr>
                <w:p>
                  <w:pPr>
                    <w:pStyle w:val="33"/>
                    <w:kinsoku w:val="0"/>
                    <w:overflowPunct w:val="0"/>
                    <w:spacing w:line="340" w:lineRule="exact"/>
                    <w:ind w:left="-105" w:leftChars="-50" w:right="-105" w:rightChars="-50"/>
                    <w:jc w:val="center"/>
                    <w:rPr>
                      <w:rFonts w:ascii="Times New Roman" w:hAnsi="Times New Roman"/>
                      <w:sz w:val="24"/>
                    </w:rPr>
                  </w:pPr>
                  <w:r>
                    <w:rPr>
                      <w:rFonts w:ascii="Times New Roman" w:hAnsi="Times New Roman"/>
                      <w:sz w:val="24"/>
                    </w:rPr>
                    <w:t>42.1402389</w:t>
                  </w:r>
                </w:p>
              </w:tc>
              <w:tc>
                <w:tcPr>
                  <w:tcW w:w="368" w:type="pct"/>
                  <w:vAlign w:val="center"/>
                </w:tcPr>
                <w:p>
                  <w:pPr>
                    <w:widowControl/>
                    <w:spacing w:line="340" w:lineRule="exact"/>
                    <w:ind w:left="-105" w:leftChars="-50" w:right="-105" w:rightChars="-50"/>
                    <w:jc w:val="center"/>
                    <w:rPr>
                      <w:rFonts w:cs="宋体"/>
                      <w:kern w:val="0"/>
                      <w:szCs w:val="21"/>
                    </w:rPr>
                  </w:pPr>
                  <w:r>
                    <w:rPr>
                      <w:rFonts w:hint="eastAsia" w:cs="宋体"/>
                      <w:kern w:val="0"/>
                      <w:szCs w:val="21"/>
                    </w:rPr>
                    <w:t>居民</w:t>
                  </w:r>
                </w:p>
              </w:tc>
              <w:tc>
                <w:tcPr>
                  <w:tcW w:w="454" w:type="pct"/>
                  <w:vAlign w:val="center"/>
                </w:tcPr>
                <w:p>
                  <w:pPr>
                    <w:pStyle w:val="33"/>
                    <w:kinsoku w:val="0"/>
                    <w:overflowPunct w:val="0"/>
                    <w:spacing w:line="340" w:lineRule="exact"/>
                    <w:ind w:left="-105" w:leftChars="-50" w:right="-105" w:rightChars="-50"/>
                    <w:jc w:val="center"/>
                    <w:rPr>
                      <w:rFonts w:ascii="Times New Roman" w:hAnsi="Times New Roman"/>
                      <w:lang w:val="en-US"/>
                    </w:rPr>
                  </w:pPr>
                  <w:r>
                    <w:rPr>
                      <w:rFonts w:ascii="Times New Roman" w:hAnsi="Times New Roman"/>
                      <w:lang w:val="en-US"/>
                    </w:rPr>
                    <w:t>SW</w:t>
                  </w:r>
                </w:p>
              </w:tc>
              <w:tc>
                <w:tcPr>
                  <w:tcW w:w="493" w:type="pct"/>
                  <w:vAlign w:val="center"/>
                </w:tcPr>
                <w:p>
                  <w:pPr>
                    <w:pStyle w:val="33"/>
                    <w:kinsoku w:val="0"/>
                    <w:overflowPunct w:val="0"/>
                    <w:spacing w:line="340" w:lineRule="exact"/>
                    <w:ind w:left="-105" w:leftChars="-50" w:right="-105" w:rightChars="-50"/>
                    <w:jc w:val="center"/>
                    <w:rPr>
                      <w:rFonts w:ascii="Times New Roman" w:hAnsi="Times New Roman"/>
                      <w:lang w:val="en-US"/>
                    </w:rPr>
                  </w:pPr>
                  <w:r>
                    <w:rPr>
                      <w:rFonts w:ascii="Times New Roman" w:hAnsi="Times New Roman"/>
                      <w:lang w:val="en-US"/>
                    </w:rPr>
                    <w:t>387</w:t>
                  </w:r>
                </w:p>
              </w:tc>
              <w:tc>
                <w:tcPr>
                  <w:tcW w:w="1177" w:type="pct"/>
                  <w:vMerge w:val="continue"/>
                  <w:vAlign w:val="center"/>
                </w:tcPr>
                <w:p>
                  <w:pPr>
                    <w:adjustRightInd w:val="0"/>
                    <w:snapToGrid w:val="0"/>
                    <w:spacing w:line="340" w:lineRule="exact"/>
                    <w:ind w:left="-105" w:leftChars="-50" w:right="-105" w:rightChars="-50"/>
                    <w:jc w:val="center"/>
                    <w:rPr>
                      <w:szCs w:val="21"/>
                    </w:rPr>
                  </w:pPr>
                </w:p>
              </w:tc>
            </w:tr>
          </w:tbl>
          <w:p>
            <w:pPr>
              <w:pStyle w:val="8"/>
              <w:spacing w:line="500" w:lineRule="exact"/>
              <w:ind w:firstLine="480" w:firstLineChars="200"/>
            </w:pPr>
          </w:p>
          <w:p>
            <w:pPr>
              <w:pStyle w:val="39"/>
              <w:spacing w:line="360" w:lineRule="auto"/>
              <w:ind w:firstLine="480"/>
              <w:rPr>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700" w:type="dxa"/>
            <w:tcMar>
              <w:left w:w="28" w:type="dxa"/>
              <w:right w:w="28" w:type="dxa"/>
            </w:tcMar>
            <w:vAlign w:val="center"/>
          </w:tcPr>
          <w:p>
            <w:pPr>
              <w:adjustRightInd w:val="0"/>
              <w:snapToGrid w:val="0"/>
              <w:jc w:val="center"/>
              <w:rPr>
                <w:rFonts w:cs="宋体"/>
                <w:kern w:val="0"/>
                <w:sz w:val="24"/>
              </w:rPr>
            </w:pPr>
            <w:r>
              <w:rPr>
                <w:rFonts w:hint="eastAsia" w:cs="宋体"/>
                <w:kern w:val="0"/>
                <w:sz w:val="24"/>
              </w:rPr>
              <w:t>污染</w:t>
            </w:r>
          </w:p>
          <w:p>
            <w:pPr>
              <w:adjustRightInd w:val="0"/>
              <w:snapToGrid w:val="0"/>
              <w:jc w:val="center"/>
              <w:rPr>
                <w:rFonts w:cs="宋体"/>
                <w:kern w:val="0"/>
                <w:sz w:val="24"/>
              </w:rPr>
            </w:pPr>
            <w:r>
              <w:rPr>
                <w:rFonts w:hint="eastAsia" w:cs="宋体"/>
                <w:kern w:val="0"/>
                <w:sz w:val="24"/>
              </w:rPr>
              <w:t>物排</w:t>
            </w:r>
          </w:p>
          <w:p>
            <w:pPr>
              <w:adjustRightInd w:val="0"/>
              <w:snapToGrid w:val="0"/>
              <w:jc w:val="center"/>
              <w:rPr>
                <w:rFonts w:cs="宋体"/>
                <w:kern w:val="0"/>
                <w:sz w:val="24"/>
              </w:rPr>
            </w:pPr>
            <w:r>
              <w:rPr>
                <w:rFonts w:hint="eastAsia" w:cs="宋体"/>
                <w:kern w:val="0"/>
                <w:sz w:val="24"/>
              </w:rPr>
              <w:t>放控</w:t>
            </w:r>
          </w:p>
          <w:p>
            <w:pPr>
              <w:adjustRightInd w:val="0"/>
              <w:snapToGrid w:val="0"/>
              <w:jc w:val="center"/>
              <w:rPr>
                <w:rFonts w:cs="宋体"/>
                <w:kern w:val="0"/>
                <w:sz w:val="24"/>
              </w:rPr>
            </w:pPr>
            <w:r>
              <w:rPr>
                <w:rFonts w:hint="eastAsia" w:cs="宋体"/>
                <w:kern w:val="0"/>
                <w:sz w:val="24"/>
              </w:rPr>
              <w:t>制标</w:t>
            </w:r>
          </w:p>
          <w:p>
            <w:pPr>
              <w:adjustRightInd w:val="0"/>
              <w:snapToGrid w:val="0"/>
              <w:jc w:val="center"/>
              <w:rPr>
                <w:rFonts w:cs="宋体"/>
                <w:kern w:val="0"/>
                <w:szCs w:val="21"/>
              </w:rPr>
            </w:pPr>
            <w:r>
              <w:rPr>
                <w:rFonts w:hint="eastAsia" w:cs="宋体"/>
                <w:kern w:val="0"/>
                <w:sz w:val="24"/>
              </w:rPr>
              <w:t>准</w:t>
            </w:r>
          </w:p>
        </w:tc>
        <w:tc>
          <w:tcPr>
            <w:tcW w:w="8361" w:type="dxa"/>
            <w:vAlign w:val="center"/>
          </w:tcPr>
          <w:p>
            <w:pPr>
              <w:spacing w:line="360" w:lineRule="auto"/>
              <w:ind w:firstLine="480" w:firstLineChars="200"/>
              <w:rPr>
                <w:kern w:val="0"/>
                <w:sz w:val="24"/>
              </w:rPr>
            </w:pPr>
            <w:r>
              <w:rPr>
                <w:rFonts w:hint="eastAsia"/>
                <w:kern w:val="0"/>
                <w:sz w:val="24"/>
              </w:rPr>
              <w:t>1、废气排放标准</w:t>
            </w:r>
            <w:bookmarkStart w:id="4" w:name="_Hlk18418911"/>
          </w:p>
          <w:bookmarkEnd w:id="4"/>
          <w:p>
            <w:pPr>
              <w:spacing w:before="120" w:beforeLines="50" w:line="360" w:lineRule="auto"/>
              <w:ind w:firstLine="480" w:firstLineChars="200"/>
              <w:rPr>
                <w:sz w:val="24"/>
              </w:rPr>
            </w:pPr>
            <w:r>
              <w:rPr>
                <w:sz w:val="24"/>
              </w:rPr>
              <w:t>本项目施工</w:t>
            </w:r>
            <w:r>
              <w:rPr>
                <w:rFonts w:hint="eastAsia"/>
                <w:sz w:val="24"/>
              </w:rPr>
              <w:t>期</w:t>
            </w:r>
            <w:r>
              <w:rPr>
                <w:sz w:val="24"/>
              </w:rPr>
              <w:t>产生的粉尘等执行《大气污染物综合排放标准》（GB16297-1996）中的标准限值。</w:t>
            </w:r>
          </w:p>
          <w:p>
            <w:pPr>
              <w:adjustRightInd w:val="0"/>
              <w:snapToGrid w:val="0"/>
              <w:spacing w:line="400" w:lineRule="exact"/>
              <w:jc w:val="center"/>
              <w:rPr>
                <w:b/>
                <w:bCs/>
                <w:sz w:val="24"/>
              </w:rPr>
            </w:pPr>
            <w:r>
              <w:rPr>
                <w:rFonts w:hint="eastAsia"/>
                <w:b/>
                <w:sz w:val="24"/>
              </w:rPr>
              <w:t>表3</w:t>
            </w:r>
            <w:r>
              <w:rPr>
                <w:b/>
                <w:sz w:val="24"/>
              </w:rPr>
              <w:t>-3 《大气污染物综合排放标准》（GB16297-1996）</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59"/>
              <w:gridCol w:w="3585"/>
              <w:gridCol w:w="28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4" w:hRule="atLeast"/>
              </w:trPr>
              <w:tc>
                <w:tcPr>
                  <w:tcW w:w="1839" w:type="dxa"/>
                  <w:vMerge w:val="restart"/>
                  <w:vAlign w:val="center"/>
                </w:tcPr>
                <w:p>
                  <w:pPr>
                    <w:pStyle w:val="2"/>
                    <w:adjustRightInd w:val="0"/>
                    <w:snapToGrid w:val="0"/>
                    <w:ind w:firstLine="422"/>
                    <w:jc w:val="center"/>
                    <w:rPr>
                      <w:b/>
                      <w:bCs/>
                      <w:szCs w:val="21"/>
                    </w:rPr>
                  </w:pPr>
                  <w:bookmarkStart w:id="5" w:name="_Hlk500331681"/>
                  <w:r>
                    <w:rPr>
                      <w:b/>
                      <w:bCs/>
                      <w:szCs w:val="21"/>
                    </w:rPr>
                    <w:t>污染物</w:t>
                  </w:r>
                </w:p>
              </w:tc>
              <w:tc>
                <w:tcPr>
                  <w:tcW w:w="6796" w:type="dxa"/>
                  <w:gridSpan w:val="2"/>
                  <w:vAlign w:val="center"/>
                </w:tcPr>
                <w:p>
                  <w:pPr>
                    <w:pStyle w:val="2"/>
                    <w:adjustRightInd w:val="0"/>
                    <w:snapToGrid w:val="0"/>
                    <w:ind w:firstLine="422"/>
                    <w:jc w:val="center"/>
                    <w:rPr>
                      <w:b/>
                      <w:bCs/>
                      <w:szCs w:val="21"/>
                    </w:rPr>
                  </w:pPr>
                  <w:r>
                    <w:rPr>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69" w:hRule="atLeast"/>
              </w:trPr>
              <w:tc>
                <w:tcPr>
                  <w:tcW w:w="1839" w:type="dxa"/>
                  <w:vMerge w:val="continue"/>
                  <w:vAlign w:val="center"/>
                </w:tcPr>
                <w:p>
                  <w:pPr>
                    <w:widowControl/>
                    <w:adjustRightInd w:val="0"/>
                    <w:snapToGrid w:val="0"/>
                    <w:jc w:val="left"/>
                    <w:rPr>
                      <w:b/>
                      <w:bCs/>
                      <w:szCs w:val="21"/>
                    </w:rPr>
                  </w:pPr>
                </w:p>
              </w:tc>
              <w:tc>
                <w:tcPr>
                  <w:tcW w:w="3827" w:type="dxa"/>
                  <w:vAlign w:val="center"/>
                </w:tcPr>
                <w:p>
                  <w:pPr>
                    <w:pStyle w:val="2"/>
                    <w:adjustRightInd w:val="0"/>
                    <w:snapToGrid w:val="0"/>
                    <w:ind w:firstLine="422"/>
                    <w:jc w:val="center"/>
                    <w:rPr>
                      <w:b/>
                      <w:bCs/>
                      <w:szCs w:val="21"/>
                    </w:rPr>
                  </w:pPr>
                  <w:r>
                    <w:rPr>
                      <w:b/>
                      <w:bCs/>
                      <w:szCs w:val="21"/>
                    </w:rPr>
                    <w:t>监控点</w:t>
                  </w:r>
                </w:p>
              </w:tc>
              <w:tc>
                <w:tcPr>
                  <w:tcW w:w="2969" w:type="dxa"/>
                  <w:vAlign w:val="center"/>
                </w:tcPr>
                <w:p>
                  <w:pPr>
                    <w:pStyle w:val="2"/>
                    <w:adjustRightInd w:val="0"/>
                    <w:snapToGrid w:val="0"/>
                    <w:ind w:firstLine="422"/>
                    <w:jc w:val="center"/>
                    <w:rPr>
                      <w:b/>
                      <w:bCs/>
                      <w:szCs w:val="21"/>
                    </w:rPr>
                  </w:pPr>
                  <w:r>
                    <w:rPr>
                      <w:b/>
                      <w:bCs/>
                      <w:szCs w:val="21"/>
                    </w:rPr>
                    <w:t>浓度mg/m</w:t>
                  </w:r>
                  <w:r>
                    <w:rPr>
                      <w:b/>
                      <w:bCs/>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58" w:hRule="atLeast"/>
              </w:trPr>
              <w:tc>
                <w:tcPr>
                  <w:tcW w:w="1839" w:type="dxa"/>
                  <w:vAlign w:val="center"/>
                </w:tcPr>
                <w:p>
                  <w:pPr>
                    <w:pStyle w:val="2"/>
                    <w:adjustRightInd w:val="0"/>
                    <w:snapToGrid w:val="0"/>
                    <w:jc w:val="center"/>
                    <w:rPr>
                      <w:szCs w:val="21"/>
                    </w:rPr>
                  </w:pPr>
                  <w:r>
                    <w:rPr>
                      <w:szCs w:val="21"/>
                    </w:rPr>
                    <w:t>颗粒物</w:t>
                  </w:r>
                </w:p>
              </w:tc>
              <w:tc>
                <w:tcPr>
                  <w:tcW w:w="3827" w:type="dxa"/>
                  <w:vAlign w:val="center"/>
                </w:tcPr>
                <w:p>
                  <w:pPr>
                    <w:pStyle w:val="2"/>
                    <w:adjustRightInd w:val="0"/>
                    <w:snapToGrid w:val="0"/>
                    <w:jc w:val="center"/>
                    <w:rPr>
                      <w:szCs w:val="21"/>
                    </w:rPr>
                  </w:pPr>
                  <w:r>
                    <w:rPr>
                      <w:szCs w:val="21"/>
                    </w:rPr>
                    <w:t>周界外浓度最高点</w:t>
                  </w:r>
                </w:p>
              </w:tc>
              <w:tc>
                <w:tcPr>
                  <w:tcW w:w="2969" w:type="dxa"/>
                  <w:vAlign w:val="center"/>
                </w:tcPr>
                <w:p>
                  <w:pPr>
                    <w:pStyle w:val="2"/>
                    <w:adjustRightInd w:val="0"/>
                    <w:snapToGrid w:val="0"/>
                    <w:jc w:val="center"/>
                    <w:rPr>
                      <w:szCs w:val="21"/>
                    </w:rPr>
                  </w:pPr>
                  <w:r>
                    <w:rPr>
                      <w:szCs w:val="21"/>
                    </w:rPr>
                    <w:t>1.0</w:t>
                  </w:r>
                </w:p>
              </w:tc>
            </w:tr>
            <w:bookmarkEnd w:id="5"/>
          </w:tbl>
          <w:p>
            <w:pPr>
              <w:spacing w:line="360" w:lineRule="auto"/>
              <w:ind w:firstLine="480" w:firstLineChars="200"/>
              <w:rPr>
                <w:sz w:val="24"/>
              </w:rPr>
            </w:pPr>
            <w:r>
              <w:rPr>
                <w:sz w:val="24"/>
              </w:rPr>
              <w:t>运营期的</w:t>
            </w:r>
            <w:r>
              <w:rPr>
                <w:rFonts w:hint="eastAsia"/>
                <w:sz w:val="24"/>
              </w:rPr>
              <w:t>非甲烷总烃、颗粒物</w:t>
            </w:r>
            <w:r>
              <w:rPr>
                <w:sz w:val="24"/>
              </w:rPr>
              <w:t>排放执行</w:t>
            </w:r>
            <w:r>
              <w:rPr>
                <w:rFonts w:hint="eastAsia"/>
                <w:sz w:val="24"/>
              </w:rPr>
              <w:t>《大气污染物排放标准标准》（GB16297-1996　）新建二级标准。</w:t>
            </w:r>
          </w:p>
          <w:p>
            <w:pPr>
              <w:spacing w:line="360" w:lineRule="auto"/>
              <w:ind w:firstLine="480" w:firstLineChars="200"/>
              <w:rPr>
                <w:sz w:val="24"/>
              </w:rPr>
            </w:pPr>
            <w:r>
              <w:rPr>
                <w:rFonts w:hint="eastAsia"/>
                <w:sz w:val="24"/>
              </w:rPr>
              <w:t>臭气浓度执行</w:t>
            </w:r>
            <w:r>
              <w:rPr>
                <w:sz w:val="24"/>
              </w:rPr>
              <w:t>《恶臭污染物排放标准》（GB 14554-93）表1</w:t>
            </w:r>
            <w:r>
              <w:rPr>
                <w:rFonts w:hint="eastAsia"/>
                <w:sz w:val="24"/>
              </w:rPr>
              <w:t>和表2标准</w:t>
            </w:r>
            <w:r>
              <w:rPr>
                <w:sz w:val="24"/>
              </w:rPr>
              <w:t>。</w:t>
            </w:r>
          </w:p>
          <w:p>
            <w:pPr>
              <w:adjustRightInd w:val="0"/>
              <w:snapToGrid w:val="0"/>
              <w:spacing w:line="400" w:lineRule="exact"/>
              <w:jc w:val="center"/>
              <w:rPr>
                <w:b/>
                <w:sz w:val="24"/>
              </w:rPr>
            </w:pPr>
            <w:r>
              <w:rPr>
                <w:rFonts w:hint="eastAsia"/>
                <w:b/>
                <w:sz w:val="24"/>
              </w:rPr>
              <w:t>表3</w:t>
            </w:r>
            <w:r>
              <w:rPr>
                <w:b/>
                <w:sz w:val="24"/>
              </w:rPr>
              <w:t xml:space="preserve">-4 </w:t>
            </w:r>
            <w:r>
              <w:rPr>
                <w:rFonts w:hint="eastAsia"/>
                <w:b/>
                <w:sz w:val="24"/>
              </w:rPr>
              <w:t>运行期大气污染物排放标准</w:t>
            </w:r>
          </w:p>
          <w:tbl>
            <w:tblPr>
              <w:tblStyle w:val="21"/>
              <w:tblW w:w="7971"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13"/>
              <w:gridCol w:w="2126"/>
              <w:gridCol w:w="3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41" w:type="dxa"/>
                  <w:tcBorders>
                    <w:top w:val="single" w:color="auto" w:sz="12" w:space="0"/>
                    <w:left w:val="nil"/>
                    <w:bottom w:val="single" w:color="auto" w:sz="4" w:space="0"/>
                    <w:right w:val="single" w:color="auto" w:sz="4" w:space="0"/>
                  </w:tcBorders>
                  <w:vAlign w:val="center"/>
                </w:tcPr>
                <w:p>
                  <w:pPr>
                    <w:pStyle w:val="80"/>
                    <w:rPr>
                      <w:b/>
                      <w:bCs/>
                      <w:color w:val="auto"/>
                    </w:rPr>
                  </w:pPr>
                  <w:r>
                    <w:rPr>
                      <w:rFonts w:hint="eastAsia"/>
                      <w:b/>
                      <w:bCs/>
                      <w:color w:val="auto"/>
                    </w:rPr>
                    <w:t>类别</w:t>
                  </w:r>
                </w:p>
              </w:tc>
              <w:tc>
                <w:tcPr>
                  <w:tcW w:w="1113" w:type="dxa"/>
                  <w:tcBorders>
                    <w:top w:val="single" w:color="auto" w:sz="12" w:space="0"/>
                    <w:left w:val="single" w:color="auto" w:sz="4" w:space="0"/>
                    <w:bottom w:val="single" w:color="auto" w:sz="4" w:space="0"/>
                    <w:right w:val="single" w:color="auto" w:sz="4" w:space="0"/>
                  </w:tcBorders>
                  <w:vAlign w:val="center"/>
                </w:tcPr>
                <w:p>
                  <w:pPr>
                    <w:pStyle w:val="80"/>
                    <w:rPr>
                      <w:b/>
                      <w:bCs/>
                      <w:color w:val="auto"/>
                    </w:rPr>
                  </w:pPr>
                  <w:r>
                    <w:rPr>
                      <w:b/>
                      <w:bCs/>
                      <w:color w:val="auto"/>
                    </w:rPr>
                    <w:t>污染物</w:t>
                  </w:r>
                </w:p>
              </w:tc>
              <w:tc>
                <w:tcPr>
                  <w:tcW w:w="2126" w:type="dxa"/>
                  <w:tcBorders>
                    <w:top w:val="single" w:color="auto" w:sz="12" w:space="0"/>
                    <w:left w:val="single" w:color="auto" w:sz="4" w:space="0"/>
                    <w:bottom w:val="single" w:color="auto" w:sz="4" w:space="0"/>
                    <w:right w:val="single" w:color="auto" w:sz="4" w:space="0"/>
                  </w:tcBorders>
                  <w:vAlign w:val="center"/>
                </w:tcPr>
                <w:p>
                  <w:pPr>
                    <w:pStyle w:val="80"/>
                    <w:rPr>
                      <w:b/>
                      <w:bCs/>
                      <w:color w:val="auto"/>
                    </w:rPr>
                  </w:pPr>
                  <w:r>
                    <w:rPr>
                      <w:b/>
                      <w:bCs/>
                      <w:color w:val="auto"/>
                    </w:rPr>
                    <w:t>最高允许排放浓度（mg/m</w:t>
                  </w:r>
                  <w:r>
                    <w:rPr>
                      <w:b/>
                      <w:bCs/>
                      <w:color w:val="auto"/>
                      <w:vertAlign w:val="superscript"/>
                    </w:rPr>
                    <w:t>3</w:t>
                  </w:r>
                  <w:r>
                    <w:rPr>
                      <w:b/>
                      <w:bCs/>
                      <w:color w:val="auto"/>
                    </w:rPr>
                    <w:t>）</w:t>
                  </w:r>
                </w:p>
              </w:tc>
              <w:tc>
                <w:tcPr>
                  <w:tcW w:w="3691" w:type="dxa"/>
                  <w:tcBorders>
                    <w:top w:val="single" w:color="auto" w:sz="12" w:space="0"/>
                    <w:left w:val="single" w:color="auto" w:sz="4" w:space="0"/>
                    <w:bottom w:val="single" w:color="auto" w:sz="4" w:space="0"/>
                    <w:right w:val="nil"/>
                  </w:tcBorders>
                  <w:vAlign w:val="center"/>
                </w:tcPr>
                <w:p>
                  <w:pPr>
                    <w:pStyle w:val="80"/>
                    <w:rPr>
                      <w:b/>
                      <w:bCs/>
                      <w:color w:val="auto"/>
                    </w:rPr>
                  </w:pPr>
                  <w:r>
                    <w:rPr>
                      <w:b/>
                      <w:bCs/>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vMerge w:val="restart"/>
                  <w:tcBorders>
                    <w:top w:val="single" w:color="auto" w:sz="4" w:space="0"/>
                    <w:left w:val="nil"/>
                    <w:right w:val="single" w:color="auto" w:sz="4" w:space="0"/>
                  </w:tcBorders>
                  <w:vAlign w:val="center"/>
                </w:tcPr>
                <w:p>
                  <w:pPr>
                    <w:pStyle w:val="80"/>
                    <w:rPr>
                      <w:color w:val="auto"/>
                    </w:rPr>
                  </w:pPr>
                  <w:r>
                    <w:rPr>
                      <w:rFonts w:hint="eastAsia"/>
                      <w:color w:val="auto"/>
                    </w:rPr>
                    <w:t>企业边界</w:t>
                  </w:r>
                </w:p>
              </w:tc>
              <w:tc>
                <w:tcPr>
                  <w:tcW w:w="1113" w:type="dxa"/>
                  <w:tcBorders>
                    <w:top w:val="single" w:color="auto" w:sz="4" w:space="0"/>
                    <w:left w:val="single" w:color="auto" w:sz="4" w:space="0"/>
                    <w:bottom w:val="single" w:color="auto" w:sz="4" w:space="0"/>
                    <w:right w:val="single" w:color="auto" w:sz="4" w:space="0"/>
                  </w:tcBorders>
                  <w:vAlign w:val="center"/>
                </w:tcPr>
                <w:p>
                  <w:pPr>
                    <w:pStyle w:val="80"/>
                    <w:rPr>
                      <w:color w:val="auto"/>
                    </w:rPr>
                  </w:pPr>
                  <w:r>
                    <w:rPr>
                      <w:color w:val="auto"/>
                    </w:rPr>
                    <w:t>臭气浓度</w:t>
                  </w:r>
                </w:p>
              </w:tc>
              <w:tc>
                <w:tcPr>
                  <w:tcW w:w="2126" w:type="dxa"/>
                  <w:tcBorders>
                    <w:top w:val="single" w:color="auto" w:sz="4" w:space="0"/>
                    <w:left w:val="single" w:color="auto" w:sz="4" w:space="0"/>
                    <w:bottom w:val="single" w:color="auto" w:sz="4" w:space="0"/>
                    <w:right w:val="single" w:color="auto" w:sz="4" w:space="0"/>
                  </w:tcBorders>
                  <w:vAlign w:val="center"/>
                </w:tcPr>
                <w:p>
                  <w:pPr>
                    <w:pStyle w:val="80"/>
                    <w:rPr>
                      <w:color w:val="auto"/>
                    </w:rPr>
                  </w:pPr>
                  <w:r>
                    <w:rPr>
                      <w:color w:val="auto"/>
                    </w:rPr>
                    <w:t>20（无量纲）</w:t>
                  </w:r>
                </w:p>
              </w:tc>
              <w:tc>
                <w:tcPr>
                  <w:tcW w:w="3691" w:type="dxa"/>
                  <w:tcBorders>
                    <w:top w:val="single" w:color="auto" w:sz="4" w:space="0"/>
                    <w:left w:val="single" w:color="auto" w:sz="4" w:space="0"/>
                    <w:bottom w:val="single" w:color="auto" w:sz="4" w:space="0"/>
                    <w:right w:val="nil"/>
                  </w:tcBorders>
                  <w:vAlign w:val="center"/>
                </w:tcPr>
                <w:p>
                  <w:pPr>
                    <w:pStyle w:val="80"/>
                    <w:rPr>
                      <w:color w:val="auto"/>
                    </w:rPr>
                  </w:pPr>
                  <w:r>
                    <w:rPr>
                      <w:color w:val="auto"/>
                    </w:rPr>
                    <w:t>《恶臭污染物排放标准》（GB 14554-93）中表1恶臭污染物厂界标准值中的二级限值要求（新扩改建）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vMerge w:val="continue"/>
                  <w:tcBorders>
                    <w:left w:val="nil"/>
                    <w:right w:val="single" w:color="auto" w:sz="4" w:space="0"/>
                  </w:tcBorders>
                  <w:vAlign w:val="center"/>
                </w:tcPr>
                <w:p>
                  <w:pPr>
                    <w:pStyle w:val="80"/>
                    <w:rPr>
                      <w:color w:val="auto"/>
                    </w:rPr>
                  </w:pPr>
                </w:p>
              </w:tc>
              <w:tc>
                <w:tcPr>
                  <w:tcW w:w="1113" w:type="dxa"/>
                  <w:tcBorders>
                    <w:top w:val="single" w:color="auto" w:sz="4" w:space="0"/>
                    <w:left w:val="single" w:color="auto" w:sz="4" w:space="0"/>
                    <w:bottom w:val="single" w:color="auto" w:sz="4" w:space="0"/>
                    <w:right w:val="single" w:color="auto" w:sz="4" w:space="0"/>
                  </w:tcBorders>
                  <w:vAlign w:val="center"/>
                </w:tcPr>
                <w:p>
                  <w:pPr>
                    <w:pStyle w:val="80"/>
                    <w:rPr>
                      <w:color w:val="auto"/>
                    </w:rPr>
                  </w:pPr>
                  <w:r>
                    <w:rPr>
                      <w:rFonts w:hint="eastAsia"/>
                      <w:color w:val="auto"/>
                    </w:rPr>
                    <w:t>颗粒物</w:t>
                  </w:r>
                </w:p>
              </w:tc>
              <w:tc>
                <w:tcPr>
                  <w:tcW w:w="2126" w:type="dxa"/>
                  <w:tcBorders>
                    <w:top w:val="single" w:color="auto" w:sz="4" w:space="0"/>
                    <w:left w:val="single" w:color="auto" w:sz="4" w:space="0"/>
                    <w:bottom w:val="single" w:color="auto" w:sz="4" w:space="0"/>
                    <w:right w:val="single" w:color="auto" w:sz="4" w:space="0"/>
                  </w:tcBorders>
                  <w:vAlign w:val="center"/>
                </w:tcPr>
                <w:p>
                  <w:pPr>
                    <w:pStyle w:val="80"/>
                    <w:rPr>
                      <w:color w:val="auto"/>
                    </w:rPr>
                  </w:pPr>
                  <w:r>
                    <w:rPr>
                      <w:rFonts w:hint="eastAsia"/>
                      <w:color w:val="auto"/>
                    </w:rPr>
                    <w:t>1</w:t>
                  </w:r>
                  <w:r>
                    <w:rPr>
                      <w:color w:val="auto"/>
                    </w:rPr>
                    <w:t>.0</w:t>
                  </w:r>
                </w:p>
              </w:tc>
              <w:tc>
                <w:tcPr>
                  <w:tcW w:w="3691" w:type="dxa"/>
                  <w:vMerge w:val="restart"/>
                  <w:tcBorders>
                    <w:top w:val="single" w:color="auto" w:sz="4" w:space="0"/>
                    <w:left w:val="single" w:color="auto" w:sz="4" w:space="0"/>
                    <w:right w:val="nil"/>
                  </w:tcBorders>
                  <w:vAlign w:val="center"/>
                </w:tcPr>
                <w:p>
                  <w:pPr>
                    <w:pStyle w:val="80"/>
                    <w:rPr>
                      <w:color w:val="auto"/>
                    </w:rPr>
                  </w:pPr>
                  <w:r>
                    <w:rPr>
                      <w:rFonts w:hint="eastAsia"/>
                      <w:color w:val="auto"/>
                    </w:rPr>
                    <w:t>《大气污染物排放标准标准》（GB 16297-1996　）新建二级标准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1" w:type="dxa"/>
                  <w:vMerge w:val="continue"/>
                  <w:tcBorders>
                    <w:left w:val="nil"/>
                    <w:right w:val="single" w:color="auto" w:sz="4" w:space="0"/>
                  </w:tcBorders>
                  <w:vAlign w:val="center"/>
                </w:tcPr>
                <w:p>
                  <w:pPr>
                    <w:pStyle w:val="80"/>
                    <w:rPr>
                      <w:color w:val="auto"/>
                    </w:rPr>
                  </w:pPr>
                </w:p>
              </w:tc>
              <w:tc>
                <w:tcPr>
                  <w:tcW w:w="1113" w:type="dxa"/>
                  <w:tcBorders>
                    <w:top w:val="single" w:color="auto" w:sz="4" w:space="0"/>
                    <w:left w:val="single" w:color="auto" w:sz="4" w:space="0"/>
                    <w:bottom w:val="single" w:color="auto" w:sz="4" w:space="0"/>
                    <w:right w:val="single" w:color="auto" w:sz="4" w:space="0"/>
                  </w:tcBorders>
                  <w:vAlign w:val="center"/>
                </w:tcPr>
                <w:p>
                  <w:pPr>
                    <w:pStyle w:val="80"/>
                    <w:rPr>
                      <w:color w:val="auto"/>
                    </w:rPr>
                  </w:pPr>
                  <w:r>
                    <w:rPr>
                      <w:rFonts w:hint="eastAsia"/>
                      <w:color w:val="auto"/>
                    </w:rPr>
                    <w:t>非甲烷总烃</w:t>
                  </w:r>
                </w:p>
              </w:tc>
              <w:tc>
                <w:tcPr>
                  <w:tcW w:w="2126" w:type="dxa"/>
                  <w:tcBorders>
                    <w:top w:val="single" w:color="auto" w:sz="4" w:space="0"/>
                    <w:left w:val="single" w:color="auto" w:sz="4" w:space="0"/>
                    <w:bottom w:val="single" w:color="auto" w:sz="4" w:space="0"/>
                    <w:right w:val="single" w:color="auto" w:sz="4" w:space="0"/>
                  </w:tcBorders>
                  <w:vAlign w:val="center"/>
                </w:tcPr>
                <w:p>
                  <w:pPr>
                    <w:pStyle w:val="80"/>
                    <w:rPr>
                      <w:color w:val="auto"/>
                    </w:rPr>
                  </w:pPr>
                  <w:r>
                    <w:rPr>
                      <w:rFonts w:hint="eastAsia"/>
                      <w:color w:val="auto"/>
                    </w:rPr>
                    <w:t>4</w:t>
                  </w:r>
                  <w:r>
                    <w:rPr>
                      <w:color w:val="auto"/>
                    </w:rPr>
                    <w:t>.0</w:t>
                  </w:r>
                </w:p>
              </w:tc>
              <w:tc>
                <w:tcPr>
                  <w:tcW w:w="3691" w:type="dxa"/>
                  <w:vMerge w:val="continue"/>
                  <w:tcBorders>
                    <w:left w:val="single" w:color="auto" w:sz="4" w:space="0"/>
                    <w:right w:val="nil"/>
                  </w:tcBorders>
                  <w:vAlign w:val="center"/>
                </w:tcPr>
                <w:p>
                  <w:pPr>
                    <w:pStyle w:val="80"/>
                    <w:rPr>
                      <w:color w:val="auto"/>
                    </w:rPr>
                  </w:pPr>
                </w:p>
              </w:tc>
            </w:tr>
          </w:tbl>
          <w:p>
            <w:pPr>
              <w:spacing w:before="120" w:beforeLines="50" w:line="360" w:lineRule="auto"/>
              <w:ind w:firstLine="480" w:firstLineChars="200"/>
              <w:rPr>
                <w:sz w:val="24"/>
                <w:szCs w:val="20"/>
              </w:rPr>
            </w:pPr>
            <w:r>
              <w:rPr>
                <w:rFonts w:hint="eastAsia"/>
                <w:sz w:val="24"/>
                <w:szCs w:val="20"/>
              </w:rPr>
              <w:t>2、废水排放标准</w:t>
            </w:r>
          </w:p>
          <w:p>
            <w:pPr>
              <w:spacing w:line="360" w:lineRule="auto"/>
              <w:ind w:firstLine="470" w:firstLineChars="196"/>
              <w:rPr>
                <w:bCs/>
                <w:sz w:val="24"/>
              </w:rPr>
            </w:pPr>
            <w:r>
              <w:rPr>
                <w:rFonts w:hint="eastAsia"/>
                <w:bCs/>
                <w:sz w:val="24"/>
              </w:rPr>
              <w:t>本项目生产废水、生活废水满足《污水综合排放标准》（G</w:t>
            </w:r>
            <w:r>
              <w:rPr>
                <w:bCs/>
                <w:sz w:val="24"/>
              </w:rPr>
              <w:t>B8978-1996）</w:t>
            </w:r>
            <w:r>
              <w:rPr>
                <w:rFonts w:hint="eastAsia"/>
                <w:bCs/>
                <w:sz w:val="24"/>
              </w:rPr>
              <w:t>三级标准及镶黄旗污水处理厂进水水质标准。</w:t>
            </w:r>
          </w:p>
          <w:p>
            <w:pPr>
              <w:adjustRightInd w:val="0"/>
              <w:snapToGrid w:val="0"/>
              <w:spacing w:line="400" w:lineRule="exact"/>
              <w:jc w:val="center"/>
              <w:rPr>
                <w:b/>
                <w:sz w:val="24"/>
              </w:rPr>
            </w:pPr>
            <w:r>
              <w:rPr>
                <w:rFonts w:hint="eastAsia"/>
                <w:b/>
                <w:sz w:val="24"/>
              </w:rPr>
              <w:t>表3</w:t>
            </w:r>
            <w:r>
              <w:rPr>
                <w:b/>
                <w:sz w:val="24"/>
              </w:rPr>
              <w:t>-5</w:t>
            </w:r>
            <w:r>
              <w:rPr>
                <w:rFonts w:hint="eastAsia"/>
                <w:b/>
                <w:sz w:val="24"/>
              </w:rPr>
              <w:t>废水排放标准</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53"/>
              <w:gridCol w:w="40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污染物</w:t>
                  </w:r>
                </w:p>
              </w:tc>
              <w:tc>
                <w:tcPr>
                  <w:tcW w:w="2512" w:type="pct"/>
                  <w:vAlign w:val="center"/>
                </w:tcPr>
                <w:p>
                  <w:pPr>
                    <w:pStyle w:val="3"/>
                    <w:spacing w:after="0"/>
                    <w:ind w:left="0" w:leftChars="0" w:firstLine="0"/>
                    <w:jc w:val="center"/>
                    <w:rPr>
                      <w:sz w:val="21"/>
                      <w:szCs w:val="21"/>
                    </w:rPr>
                  </w:pPr>
                  <w:r>
                    <w:rPr>
                      <w:rFonts w:hint="eastAsia"/>
                      <w:sz w:val="21"/>
                      <w:szCs w:val="21"/>
                    </w:rPr>
                    <w:t>标准限值mg</w:t>
                  </w:r>
                  <w:r>
                    <w:rPr>
                      <w:sz w:val="21"/>
                      <w:szCs w:val="21"/>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P</w:t>
                  </w:r>
                  <w:r>
                    <w:rPr>
                      <w:sz w:val="21"/>
                      <w:szCs w:val="21"/>
                    </w:rPr>
                    <w:t>H</w:t>
                  </w:r>
                </w:p>
              </w:tc>
              <w:tc>
                <w:tcPr>
                  <w:tcW w:w="2512" w:type="pct"/>
                  <w:vAlign w:val="center"/>
                </w:tcPr>
                <w:p>
                  <w:pPr>
                    <w:pStyle w:val="3"/>
                    <w:spacing w:after="0"/>
                    <w:ind w:left="0" w:leftChars="0" w:firstLine="0"/>
                    <w:jc w:val="center"/>
                    <w:rPr>
                      <w:sz w:val="21"/>
                      <w:szCs w:val="21"/>
                    </w:rPr>
                  </w:pPr>
                  <w:r>
                    <w:rPr>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C</w:t>
                  </w:r>
                  <w:r>
                    <w:rPr>
                      <w:sz w:val="21"/>
                      <w:szCs w:val="21"/>
                    </w:rPr>
                    <w:t>OD</w:t>
                  </w:r>
                </w:p>
              </w:tc>
              <w:tc>
                <w:tcPr>
                  <w:tcW w:w="2512" w:type="pct"/>
                  <w:vAlign w:val="center"/>
                </w:tcPr>
                <w:p>
                  <w:pPr>
                    <w:pStyle w:val="3"/>
                    <w:spacing w:after="0"/>
                    <w:ind w:left="0" w:leftChars="0" w:firstLine="0"/>
                    <w:jc w:val="center"/>
                    <w:rPr>
                      <w:sz w:val="21"/>
                      <w:szCs w:val="21"/>
                    </w:rPr>
                  </w:pPr>
                  <w:r>
                    <w:rPr>
                      <w:rFonts w:hint="eastAsia"/>
                      <w:sz w:val="21"/>
                      <w:szCs w:val="21"/>
                    </w:rPr>
                    <w:t>5</w:t>
                  </w:r>
                  <w:r>
                    <w:rPr>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B</w:t>
                  </w:r>
                  <w:r>
                    <w:rPr>
                      <w:sz w:val="21"/>
                      <w:szCs w:val="21"/>
                    </w:rPr>
                    <w:t>OD</w:t>
                  </w:r>
                  <w:r>
                    <w:rPr>
                      <w:sz w:val="21"/>
                      <w:szCs w:val="21"/>
                      <w:vertAlign w:val="subscript"/>
                    </w:rPr>
                    <w:t>5</w:t>
                  </w:r>
                </w:p>
              </w:tc>
              <w:tc>
                <w:tcPr>
                  <w:tcW w:w="2512" w:type="pct"/>
                  <w:vAlign w:val="center"/>
                </w:tcPr>
                <w:p>
                  <w:pPr>
                    <w:pStyle w:val="3"/>
                    <w:spacing w:after="0"/>
                    <w:ind w:left="0" w:leftChars="0" w:firstLine="0"/>
                    <w:jc w:val="center"/>
                    <w:rPr>
                      <w:sz w:val="21"/>
                      <w:szCs w:val="21"/>
                    </w:rPr>
                  </w:pPr>
                  <w:r>
                    <w:rPr>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S</w:t>
                  </w:r>
                  <w:r>
                    <w:rPr>
                      <w:sz w:val="21"/>
                      <w:szCs w:val="21"/>
                    </w:rPr>
                    <w:t>S</w:t>
                  </w:r>
                </w:p>
              </w:tc>
              <w:tc>
                <w:tcPr>
                  <w:tcW w:w="2512" w:type="pct"/>
                  <w:vAlign w:val="center"/>
                </w:tcPr>
                <w:p>
                  <w:pPr>
                    <w:pStyle w:val="3"/>
                    <w:spacing w:after="0"/>
                    <w:ind w:left="0" w:leftChars="0" w:firstLine="0"/>
                    <w:jc w:val="center"/>
                    <w:rPr>
                      <w:sz w:val="21"/>
                      <w:szCs w:val="21"/>
                    </w:rPr>
                  </w:pPr>
                  <w:r>
                    <w:rPr>
                      <w:rFonts w:hint="eastAsia"/>
                      <w:sz w:val="21"/>
                      <w:szCs w:val="21"/>
                    </w:rPr>
                    <w:t>4</w:t>
                  </w:r>
                  <w:r>
                    <w:rPr>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氨氮</w:t>
                  </w:r>
                </w:p>
              </w:tc>
              <w:tc>
                <w:tcPr>
                  <w:tcW w:w="2512" w:type="pct"/>
                  <w:vAlign w:val="center"/>
                </w:tcPr>
                <w:p>
                  <w:pPr>
                    <w:pStyle w:val="3"/>
                    <w:spacing w:after="0"/>
                    <w:ind w:left="0" w:leftChars="0" w:firstLine="0"/>
                    <w:jc w:val="center"/>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色度</w:t>
                  </w:r>
                </w:p>
              </w:tc>
              <w:tc>
                <w:tcPr>
                  <w:tcW w:w="2512" w:type="pct"/>
                  <w:vAlign w:val="center"/>
                </w:tcPr>
                <w:p>
                  <w:pPr>
                    <w:pStyle w:val="3"/>
                    <w:spacing w:after="0"/>
                    <w:ind w:left="0" w:leftChars="0" w:firstLine="0"/>
                    <w:jc w:val="center"/>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88" w:type="pct"/>
                  <w:vAlign w:val="center"/>
                </w:tcPr>
                <w:p>
                  <w:pPr>
                    <w:pStyle w:val="3"/>
                    <w:spacing w:after="0"/>
                    <w:ind w:left="0" w:leftChars="0" w:firstLine="0"/>
                    <w:jc w:val="center"/>
                    <w:rPr>
                      <w:sz w:val="21"/>
                      <w:szCs w:val="21"/>
                    </w:rPr>
                  </w:pPr>
                  <w:r>
                    <w:rPr>
                      <w:rFonts w:hint="eastAsia"/>
                      <w:sz w:val="21"/>
                      <w:szCs w:val="21"/>
                    </w:rPr>
                    <w:t>阴离子表面活性剂</w:t>
                  </w:r>
                </w:p>
              </w:tc>
              <w:tc>
                <w:tcPr>
                  <w:tcW w:w="2512" w:type="pct"/>
                  <w:vAlign w:val="center"/>
                </w:tcPr>
                <w:p>
                  <w:pPr>
                    <w:pStyle w:val="3"/>
                    <w:spacing w:after="0"/>
                    <w:ind w:left="0" w:leftChars="0" w:firstLine="0"/>
                    <w:jc w:val="center"/>
                    <w:rPr>
                      <w:sz w:val="21"/>
                      <w:szCs w:val="21"/>
                    </w:rPr>
                  </w:pPr>
                  <w:r>
                    <w:rPr>
                      <w:rFonts w:hint="eastAsia"/>
                      <w:sz w:val="21"/>
                      <w:szCs w:val="21"/>
                    </w:rPr>
                    <w:t>2</w:t>
                  </w:r>
                  <w:r>
                    <w:rPr>
                      <w:sz w:val="21"/>
                      <w:szCs w:val="21"/>
                    </w:rPr>
                    <w:t>0</w:t>
                  </w:r>
                </w:p>
              </w:tc>
            </w:tr>
          </w:tbl>
          <w:p>
            <w:pPr>
              <w:spacing w:before="120" w:beforeLines="50" w:line="360" w:lineRule="auto"/>
              <w:ind w:firstLine="480" w:firstLineChars="200"/>
              <w:rPr>
                <w:sz w:val="24"/>
                <w:szCs w:val="20"/>
              </w:rPr>
            </w:pPr>
            <w:r>
              <w:rPr>
                <w:rFonts w:hint="eastAsia"/>
                <w:sz w:val="24"/>
                <w:szCs w:val="20"/>
              </w:rPr>
              <w:t>3、噪声排放标准</w:t>
            </w:r>
          </w:p>
          <w:p>
            <w:pPr>
              <w:adjustRightInd w:val="0"/>
              <w:snapToGrid w:val="0"/>
              <w:spacing w:line="360" w:lineRule="auto"/>
              <w:ind w:firstLine="480" w:firstLineChars="200"/>
              <w:rPr>
                <w:sz w:val="24"/>
              </w:rPr>
            </w:pPr>
            <w:r>
              <w:rPr>
                <w:sz w:val="24"/>
              </w:rPr>
              <w:t>项目施工期噪声排放执行《建筑施工场界环境噪声排放标准》（GB12523-2011）中标准；运营期</w:t>
            </w:r>
            <w:r>
              <w:rPr>
                <w:rFonts w:hint="eastAsia"/>
                <w:sz w:val="24"/>
              </w:rPr>
              <w:t>噪声</w:t>
            </w:r>
            <w:r>
              <w:rPr>
                <w:sz w:val="24"/>
              </w:rPr>
              <w:t>排放</w:t>
            </w:r>
            <w:r>
              <w:rPr>
                <w:rFonts w:hint="eastAsia"/>
                <w:sz w:val="24"/>
              </w:rPr>
              <w:t>标准</w:t>
            </w:r>
            <w:r>
              <w:rPr>
                <w:sz w:val="24"/>
              </w:rPr>
              <w:t>执行《工业企业厂界环境噪声排放标准》（GB12348-2008）3类声环境功能区标准</w:t>
            </w:r>
            <w:r>
              <w:rPr>
                <w:rFonts w:hint="eastAsia"/>
                <w:sz w:val="24"/>
              </w:rPr>
              <w:t>。</w:t>
            </w:r>
          </w:p>
          <w:p>
            <w:pPr>
              <w:adjustRightInd w:val="0"/>
              <w:snapToGrid w:val="0"/>
              <w:spacing w:line="400" w:lineRule="exact"/>
              <w:jc w:val="center"/>
              <w:rPr>
                <w:b/>
                <w:sz w:val="24"/>
              </w:rPr>
            </w:pPr>
            <w:r>
              <w:rPr>
                <w:rFonts w:hint="eastAsia"/>
                <w:b/>
                <w:sz w:val="24"/>
              </w:rPr>
              <w:t>表3</w:t>
            </w:r>
            <w:r>
              <w:rPr>
                <w:b/>
                <w:sz w:val="24"/>
              </w:rPr>
              <w:t>-6 建筑施工场界环境噪声排放标准    单位：dB（A）</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05"/>
              <w:gridCol w:w="39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69" w:type="dxa"/>
                  <w:vAlign w:val="center"/>
                </w:tcPr>
                <w:p>
                  <w:pPr>
                    <w:adjustRightInd w:val="0"/>
                    <w:snapToGrid w:val="0"/>
                    <w:jc w:val="center"/>
                    <w:rPr>
                      <w:szCs w:val="21"/>
                    </w:rPr>
                  </w:pPr>
                  <w:r>
                    <w:rPr>
                      <w:szCs w:val="21"/>
                    </w:rPr>
                    <w:t>昼间</w:t>
                  </w:r>
                </w:p>
              </w:tc>
              <w:tc>
                <w:tcPr>
                  <w:tcW w:w="4185" w:type="dxa"/>
                  <w:vAlign w:val="center"/>
                </w:tcPr>
                <w:p>
                  <w:pPr>
                    <w:adjustRightInd w:val="0"/>
                    <w:snapToGrid w:val="0"/>
                    <w:jc w:val="center"/>
                    <w:rPr>
                      <w:szCs w:val="21"/>
                    </w:rPr>
                  </w:pPr>
                  <w:r>
                    <w:rPr>
                      <w:szCs w:val="21"/>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69" w:type="dxa"/>
                  <w:vAlign w:val="center"/>
                </w:tcPr>
                <w:p>
                  <w:pPr>
                    <w:adjustRightInd w:val="0"/>
                    <w:snapToGrid w:val="0"/>
                    <w:jc w:val="center"/>
                    <w:rPr>
                      <w:szCs w:val="21"/>
                    </w:rPr>
                  </w:pPr>
                  <w:r>
                    <w:rPr>
                      <w:szCs w:val="21"/>
                    </w:rPr>
                    <w:t>70</w:t>
                  </w:r>
                </w:p>
              </w:tc>
              <w:tc>
                <w:tcPr>
                  <w:tcW w:w="4185" w:type="dxa"/>
                  <w:vAlign w:val="center"/>
                </w:tcPr>
                <w:p>
                  <w:pPr>
                    <w:adjustRightInd w:val="0"/>
                    <w:snapToGrid w:val="0"/>
                    <w:jc w:val="center"/>
                    <w:rPr>
                      <w:szCs w:val="21"/>
                    </w:rPr>
                  </w:pPr>
                  <w:r>
                    <w:rPr>
                      <w:szCs w:val="21"/>
                    </w:rPr>
                    <w:t>55</w:t>
                  </w:r>
                </w:p>
              </w:tc>
            </w:tr>
          </w:tbl>
          <w:p>
            <w:pPr>
              <w:adjustRightInd w:val="0"/>
              <w:snapToGrid w:val="0"/>
              <w:spacing w:line="400" w:lineRule="exact"/>
              <w:jc w:val="center"/>
              <w:rPr>
                <w:b/>
                <w:sz w:val="24"/>
              </w:rPr>
            </w:pPr>
            <w:r>
              <w:rPr>
                <w:rFonts w:hint="eastAsia"/>
                <w:b/>
                <w:sz w:val="24"/>
              </w:rPr>
              <w:t>表3</w:t>
            </w:r>
            <w:r>
              <w:rPr>
                <w:b/>
                <w:sz w:val="24"/>
              </w:rPr>
              <w:t>-7 工业企业厂界环境噪声排放限值     单位：dB（A）</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2122"/>
              <w:gridCol w:w="3443"/>
              <w:gridCol w:w="25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122" w:type="dxa"/>
                  <w:vAlign w:val="center"/>
                </w:tcPr>
                <w:p>
                  <w:pPr>
                    <w:pStyle w:val="70"/>
                    <w:spacing w:line="240" w:lineRule="auto"/>
                    <w:jc w:val="center"/>
                    <w:rPr>
                      <w:rFonts w:ascii="Times New Roman" w:hAnsi="Times New Roman"/>
                    </w:rPr>
                  </w:pPr>
                  <w:r>
                    <w:rPr>
                      <w:rFonts w:ascii="Times New Roman" w:hAnsi="Times New Roman"/>
                    </w:rPr>
                    <w:t>功能区</w:t>
                  </w:r>
                </w:p>
              </w:tc>
              <w:tc>
                <w:tcPr>
                  <w:tcW w:w="3443" w:type="dxa"/>
                  <w:vAlign w:val="center"/>
                </w:tcPr>
                <w:p>
                  <w:pPr>
                    <w:pStyle w:val="70"/>
                    <w:spacing w:line="240" w:lineRule="auto"/>
                    <w:jc w:val="center"/>
                    <w:rPr>
                      <w:rFonts w:ascii="Times New Roman" w:hAnsi="Times New Roman"/>
                    </w:rPr>
                  </w:pPr>
                  <w:r>
                    <w:rPr>
                      <w:rFonts w:ascii="Times New Roman" w:hAnsi="Times New Roman"/>
                    </w:rPr>
                    <w:t>昼间</w:t>
                  </w:r>
                </w:p>
              </w:tc>
              <w:tc>
                <w:tcPr>
                  <w:tcW w:w="2580" w:type="dxa"/>
                  <w:vAlign w:val="center"/>
                </w:tcPr>
                <w:p>
                  <w:pPr>
                    <w:pStyle w:val="70"/>
                    <w:spacing w:line="240" w:lineRule="auto"/>
                    <w:jc w:val="center"/>
                    <w:rPr>
                      <w:rFonts w:ascii="Times New Roman" w:hAnsi="Times New Roman"/>
                    </w:rPr>
                  </w:pPr>
                  <w:r>
                    <w:rPr>
                      <w:rFonts w:ascii="Times New Roman" w:hAnsi="Times New Roma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2122" w:type="dxa"/>
                  <w:vAlign w:val="center"/>
                </w:tcPr>
                <w:p>
                  <w:pPr>
                    <w:pStyle w:val="70"/>
                    <w:spacing w:line="240" w:lineRule="auto"/>
                    <w:jc w:val="center"/>
                    <w:rPr>
                      <w:rFonts w:ascii="Times New Roman" w:hAnsi="Times New Roman"/>
                    </w:rPr>
                  </w:pPr>
                  <w:r>
                    <w:rPr>
                      <w:rFonts w:ascii="Times New Roman" w:hAnsi="Times New Roman"/>
                    </w:rPr>
                    <w:t>3类</w:t>
                  </w:r>
                </w:p>
              </w:tc>
              <w:tc>
                <w:tcPr>
                  <w:tcW w:w="3443" w:type="dxa"/>
                  <w:vAlign w:val="center"/>
                </w:tcPr>
                <w:p>
                  <w:pPr>
                    <w:pStyle w:val="70"/>
                    <w:spacing w:line="240" w:lineRule="auto"/>
                    <w:jc w:val="center"/>
                    <w:rPr>
                      <w:rFonts w:ascii="Times New Roman" w:hAnsi="Times New Roman"/>
                    </w:rPr>
                  </w:pPr>
                  <w:r>
                    <w:rPr>
                      <w:rFonts w:ascii="Times New Roman" w:hAnsi="Times New Roman"/>
                    </w:rPr>
                    <w:t>65</w:t>
                  </w:r>
                </w:p>
              </w:tc>
              <w:tc>
                <w:tcPr>
                  <w:tcW w:w="2580" w:type="dxa"/>
                  <w:vAlign w:val="center"/>
                </w:tcPr>
                <w:p>
                  <w:pPr>
                    <w:pStyle w:val="70"/>
                    <w:spacing w:line="240" w:lineRule="auto"/>
                    <w:jc w:val="center"/>
                    <w:rPr>
                      <w:rFonts w:ascii="Times New Roman" w:hAnsi="Times New Roman"/>
                    </w:rPr>
                  </w:pPr>
                  <w:r>
                    <w:rPr>
                      <w:rFonts w:ascii="Times New Roman" w:hAnsi="Times New Roman"/>
                    </w:rPr>
                    <w:t>55</w:t>
                  </w:r>
                </w:p>
              </w:tc>
            </w:tr>
          </w:tbl>
          <w:p>
            <w:pPr>
              <w:spacing w:line="360" w:lineRule="auto"/>
              <w:ind w:firstLine="480" w:firstLineChars="200"/>
              <w:rPr>
                <w:sz w:val="24"/>
              </w:rPr>
            </w:pPr>
            <w:r>
              <w:rPr>
                <w:rFonts w:hint="eastAsia"/>
                <w:sz w:val="24"/>
                <w:szCs w:val="20"/>
              </w:rPr>
              <w:t>4、固废</w:t>
            </w:r>
          </w:p>
          <w:p>
            <w:pPr>
              <w:adjustRightInd w:val="0"/>
              <w:snapToGrid w:val="0"/>
              <w:spacing w:line="360" w:lineRule="auto"/>
              <w:ind w:firstLine="480" w:firstLineChars="200"/>
              <w:rPr>
                <w:rFonts w:cs="宋体"/>
                <w:kern w:val="0"/>
                <w:szCs w:val="21"/>
              </w:rPr>
            </w:pPr>
            <w:r>
              <w:rPr>
                <w:rFonts w:hint="eastAsia"/>
                <w:sz w:val="24"/>
                <w:szCs w:val="20"/>
              </w:rPr>
              <w:t>一般固废执行《一般工业固体废物贮存和填埋污染控制标准》（GB18599-2020）中的相关规定。危险废物执行《危险废物贮存污染控制标准》（GB 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700" w:type="dxa"/>
            <w:vAlign w:val="center"/>
          </w:tcPr>
          <w:p>
            <w:pPr>
              <w:adjustRightInd w:val="0"/>
              <w:snapToGrid w:val="0"/>
              <w:jc w:val="center"/>
              <w:rPr>
                <w:rFonts w:cs="宋体"/>
                <w:kern w:val="0"/>
                <w:sz w:val="24"/>
              </w:rPr>
            </w:pPr>
            <w:r>
              <w:rPr>
                <w:rFonts w:hint="eastAsia" w:cs="宋体"/>
                <w:kern w:val="0"/>
                <w:sz w:val="24"/>
              </w:rPr>
              <w:t>总量</w:t>
            </w:r>
          </w:p>
          <w:p>
            <w:pPr>
              <w:adjustRightInd w:val="0"/>
              <w:snapToGrid w:val="0"/>
              <w:jc w:val="center"/>
              <w:rPr>
                <w:rFonts w:cs="宋体"/>
                <w:kern w:val="0"/>
                <w:sz w:val="24"/>
              </w:rPr>
            </w:pPr>
            <w:r>
              <w:rPr>
                <w:rFonts w:hint="eastAsia" w:cs="宋体"/>
                <w:kern w:val="0"/>
                <w:sz w:val="24"/>
              </w:rPr>
              <w:t>控制</w:t>
            </w:r>
          </w:p>
          <w:p>
            <w:pPr>
              <w:adjustRightInd w:val="0"/>
              <w:snapToGrid w:val="0"/>
              <w:jc w:val="center"/>
              <w:rPr>
                <w:rFonts w:cs="宋体"/>
                <w:kern w:val="0"/>
                <w:sz w:val="24"/>
              </w:rPr>
            </w:pPr>
            <w:r>
              <w:rPr>
                <w:rFonts w:hint="eastAsia" w:cs="宋体"/>
                <w:kern w:val="0"/>
                <w:sz w:val="24"/>
              </w:rPr>
              <w:t>指标</w:t>
            </w:r>
          </w:p>
        </w:tc>
        <w:tc>
          <w:tcPr>
            <w:tcW w:w="8361" w:type="dxa"/>
            <w:vAlign w:val="center"/>
          </w:tcPr>
          <w:p>
            <w:pPr>
              <w:pStyle w:val="84"/>
              <w:tabs>
                <w:tab w:val="left" w:pos="341"/>
              </w:tabs>
              <w:snapToGrid w:val="0"/>
              <w:spacing w:line="360" w:lineRule="auto"/>
              <w:ind w:firstLine="511" w:firstLineChars="213"/>
              <w:rPr>
                <w:bCs/>
                <w:sz w:val="24"/>
              </w:rPr>
            </w:pPr>
            <w:r>
              <w:rPr>
                <w:bCs/>
                <w:sz w:val="24"/>
              </w:rPr>
              <w:t>根据《</w:t>
            </w:r>
            <w:r>
              <w:rPr>
                <w:rFonts w:hint="eastAsia"/>
                <w:bCs/>
                <w:sz w:val="24"/>
              </w:rPr>
              <w:t>“</w:t>
            </w:r>
            <w:r>
              <w:rPr>
                <w:bCs/>
                <w:sz w:val="24"/>
              </w:rPr>
              <w:t>十四五</w:t>
            </w:r>
            <w:r>
              <w:rPr>
                <w:rFonts w:hint="eastAsia"/>
                <w:bCs/>
                <w:sz w:val="24"/>
              </w:rPr>
              <w:t>”</w:t>
            </w:r>
            <w:r>
              <w:rPr>
                <w:bCs/>
                <w:sz w:val="24"/>
              </w:rPr>
              <w:t>污染减排综合工作方案编制技术指南》（环办综合函〔2020〕603号）</w:t>
            </w:r>
            <w:r>
              <w:rPr>
                <w:rFonts w:hint="eastAsia"/>
                <w:bCs/>
                <w:sz w:val="24"/>
              </w:rPr>
              <w:t>，</w:t>
            </w:r>
            <w:r>
              <w:rPr>
                <w:bCs/>
                <w:sz w:val="24"/>
              </w:rPr>
              <w:t>结合本项目污染源及污染物排放特征，确定本项目</w:t>
            </w:r>
            <w:r>
              <w:rPr>
                <w:rFonts w:hint="eastAsia"/>
                <w:bCs/>
                <w:sz w:val="24"/>
              </w:rPr>
              <w:t>涉及</w:t>
            </w:r>
            <w:r>
              <w:rPr>
                <w:bCs/>
                <w:sz w:val="24"/>
              </w:rPr>
              <w:t>的污染因子为：COD、氨氮</w:t>
            </w:r>
            <w:r>
              <w:rPr>
                <w:rFonts w:hint="eastAsia"/>
                <w:bCs/>
                <w:sz w:val="24"/>
              </w:rPr>
              <w:t>。</w:t>
            </w:r>
          </w:p>
          <w:p>
            <w:pPr>
              <w:pStyle w:val="34"/>
              <w:spacing w:line="360" w:lineRule="auto"/>
              <w:ind w:firstLine="480" w:firstLineChars="200"/>
              <w:jc w:val="left"/>
              <w:rPr>
                <w:rFonts w:ascii="Times New Roman" w:hAnsi="Times New Roman"/>
                <w:bCs/>
                <w:sz w:val="24"/>
              </w:rPr>
            </w:pPr>
            <w:r>
              <w:rPr>
                <w:rFonts w:hint="eastAsia" w:ascii="Times New Roman" w:hAnsi="Times New Roman"/>
                <w:bCs/>
                <w:sz w:val="24"/>
              </w:rPr>
              <w:t>一期工程废水排放总量为</w:t>
            </w:r>
            <w:r>
              <w:rPr>
                <w:rFonts w:ascii="Times New Roman" w:hAnsi="Times New Roman"/>
                <w:bCs/>
                <w:sz w:val="24"/>
              </w:rPr>
              <w:t>600</w:t>
            </w:r>
            <w:r>
              <w:rPr>
                <w:rFonts w:hint="eastAsia" w:ascii="Times New Roman" w:hAnsi="Times New Roman"/>
                <w:bCs/>
                <w:sz w:val="24"/>
              </w:rPr>
              <w:t>m</w:t>
            </w:r>
            <w:r>
              <w:rPr>
                <w:rFonts w:ascii="Times New Roman" w:hAnsi="Times New Roman"/>
                <w:bCs/>
                <w:sz w:val="24"/>
                <w:vertAlign w:val="superscript"/>
              </w:rPr>
              <w:t>3</w:t>
            </w:r>
            <w:r>
              <w:rPr>
                <w:rFonts w:ascii="Times New Roman" w:hAnsi="Times New Roman"/>
                <w:bCs/>
                <w:sz w:val="24"/>
              </w:rPr>
              <w:t>/a</w:t>
            </w:r>
            <w:r>
              <w:rPr>
                <w:rFonts w:hint="eastAsia" w:ascii="Times New Roman" w:hAnsi="Times New Roman"/>
                <w:bCs/>
                <w:sz w:val="24"/>
              </w:rPr>
              <w:t>，二期工程完成后全厂生产废水排放总量</w:t>
            </w:r>
            <w:r>
              <w:rPr>
                <w:rFonts w:ascii="Times New Roman" w:hAnsi="Times New Roman"/>
                <w:bCs/>
                <w:sz w:val="24"/>
              </w:rPr>
              <w:t>1680</w:t>
            </w:r>
            <w:r>
              <w:rPr>
                <w:rFonts w:hint="eastAsia" w:ascii="Times New Roman" w:hAnsi="Times New Roman"/>
                <w:bCs/>
                <w:sz w:val="24"/>
              </w:rPr>
              <w:t>m</w:t>
            </w:r>
            <w:r>
              <w:rPr>
                <w:rFonts w:ascii="Times New Roman" w:hAnsi="Times New Roman"/>
                <w:bCs/>
                <w:sz w:val="24"/>
                <w:vertAlign w:val="superscript"/>
              </w:rPr>
              <w:t>3</w:t>
            </w:r>
            <w:r>
              <w:rPr>
                <w:rFonts w:ascii="Times New Roman" w:hAnsi="Times New Roman"/>
                <w:bCs/>
                <w:sz w:val="24"/>
              </w:rPr>
              <w:t>/</w:t>
            </w:r>
            <w:r>
              <w:rPr>
                <w:rFonts w:hint="eastAsia" w:ascii="Times New Roman" w:hAnsi="Times New Roman"/>
                <w:bCs/>
                <w:sz w:val="24"/>
              </w:rPr>
              <w:t>a，</w:t>
            </w:r>
            <w:r>
              <w:rPr>
                <w:rFonts w:hint="eastAsia" w:ascii="Times New Roman" w:hAnsi="Times New Roman" w:cs="Times New Roman"/>
                <w:bCs/>
                <w:kern w:val="2"/>
                <w:sz w:val="24"/>
                <w:szCs w:val="24"/>
              </w:rPr>
              <w:t>镶黄旗</w:t>
            </w:r>
            <w:r>
              <w:rPr>
                <w:rFonts w:hint="eastAsia" w:ascii="Times New Roman" w:hAnsi="Times New Roman"/>
                <w:bCs/>
                <w:sz w:val="24"/>
              </w:rPr>
              <w:t>污水处理厂的出水水质执行《城镇污水处理厂污染物排放标准及修改单》（</w:t>
            </w:r>
            <w:r>
              <w:rPr>
                <w:rFonts w:ascii="Times New Roman" w:hAnsi="Times New Roman"/>
                <w:bCs/>
                <w:sz w:val="24"/>
              </w:rPr>
              <w:t>GB18918-2002</w:t>
            </w:r>
            <w:r>
              <w:rPr>
                <w:rFonts w:hint="eastAsia" w:ascii="Times New Roman" w:hAnsi="Times New Roman"/>
                <w:bCs/>
                <w:sz w:val="24"/>
              </w:rPr>
              <w:t>）一级</w:t>
            </w:r>
            <w:r>
              <w:rPr>
                <w:rFonts w:ascii="Times New Roman" w:hAnsi="Times New Roman"/>
                <w:bCs/>
                <w:sz w:val="24"/>
              </w:rPr>
              <w:t xml:space="preserve">A </w:t>
            </w:r>
            <w:r>
              <w:rPr>
                <w:rFonts w:hint="eastAsia" w:ascii="Times New Roman" w:hAnsi="Times New Roman"/>
                <w:bCs/>
                <w:sz w:val="24"/>
              </w:rPr>
              <w:t>标准，即：</w:t>
            </w:r>
            <w:r>
              <w:rPr>
                <w:rFonts w:ascii="Times New Roman" w:hAnsi="Times New Roman"/>
                <w:bCs/>
                <w:sz w:val="24"/>
              </w:rPr>
              <w:t>COD</w:t>
            </w:r>
            <w:r>
              <w:rPr>
                <w:rFonts w:hint="eastAsia" w:ascii="Times New Roman" w:hAnsi="Times New Roman"/>
                <w:bCs/>
                <w:sz w:val="24"/>
              </w:rPr>
              <w:t>的出水水质标准为：</w:t>
            </w:r>
            <w:r>
              <w:rPr>
                <w:rFonts w:ascii="Times New Roman" w:hAnsi="Times New Roman"/>
                <w:bCs/>
                <w:sz w:val="24"/>
              </w:rPr>
              <w:t>50 mg/L</w:t>
            </w:r>
            <w:r>
              <w:rPr>
                <w:rFonts w:hint="eastAsia" w:ascii="Times New Roman" w:hAnsi="Times New Roman"/>
                <w:bCs/>
                <w:sz w:val="24"/>
              </w:rPr>
              <w:t>，氨氮的出水水质标准为：</w:t>
            </w:r>
            <w:r>
              <w:rPr>
                <w:rFonts w:ascii="Times New Roman" w:hAnsi="Times New Roman"/>
                <w:bCs/>
                <w:sz w:val="24"/>
              </w:rPr>
              <w:t>5 mg/L</w:t>
            </w:r>
            <w:r>
              <w:rPr>
                <w:rFonts w:hint="eastAsia" w:ascii="Times New Roman" w:hAnsi="Times New Roman"/>
                <w:bCs/>
                <w:sz w:val="24"/>
              </w:rPr>
              <w:t>。</w:t>
            </w:r>
          </w:p>
          <w:p>
            <w:pPr>
              <w:pStyle w:val="34"/>
              <w:spacing w:line="360" w:lineRule="auto"/>
              <w:ind w:firstLine="480" w:firstLineChars="200"/>
              <w:jc w:val="left"/>
              <w:rPr>
                <w:rFonts w:ascii="Times New Roman" w:hAnsi="Times New Roman"/>
                <w:bCs/>
                <w:sz w:val="24"/>
              </w:rPr>
            </w:pPr>
            <w:r>
              <w:rPr>
                <w:rFonts w:hint="eastAsia" w:ascii="Times New Roman" w:hAnsi="Times New Roman"/>
                <w:bCs/>
                <w:sz w:val="24"/>
              </w:rPr>
              <w:t>故经污水处理厂处理后总量核算如下：</w:t>
            </w:r>
          </w:p>
          <w:p>
            <w:pPr>
              <w:pStyle w:val="84"/>
              <w:tabs>
                <w:tab w:val="left" w:pos="341"/>
              </w:tabs>
              <w:snapToGrid w:val="0"/>
              <w:spacing w:line="360" w:lineRule="auto"/>
              <w:ind w:firstLine="511" w:firstLineChars="213"/>
              <w:rPr>
                <w:bCs/>
                <w:sz w:val="24"/>
              </w:rPr>
            </w:pPr>
            <w:r>
              <w:rPr>
                <w:rFonts w:hint="eastAsia"/>
                <w:bCs/>
                <w:sz w:val="24"/>
              </w:rPr>
              <w:t>一期工程：</w:t>
            </w:r>
          </w:p>
          <w:p>
            <w:pPr>
              <w:pStyle w:val="84"/>
              <w:tabs>
                <w:tab w:val="left" w:pos="341"/>
              </w:tabs>
              <w:snapToGrid w:val="0"/>
              <w:spacing w:line="360" w:lineRule="auto"/>
              <w:ind w:firstLine="511" w:firstLineChars="213"/>
              <w:rPr>
                <w:bCs/>
                <w:sz w:val="24"/>
              </w:rPr>
            </w:pPr>
            <w:r>
              <w:rPr>
                <w:bCs/>
                <w:sz w:val="24"/>
              </w:rPr>
              <w:t xml:space="preserve">COD </w:t>
            </w:r>
            <w:r>
              <w:rPr>
                <w:rFonts w:hint="eastAsia"/>
                <w:bCs/>
                <w:sz w:val="24"/>
              </w:rPr>
              <w:t>的核算量为：</w:t>
            </w:r>
            <w:r>
              <w:rPr>
                <w:bCs/>
                <w:sz w:val="24"/>
              </w:rPr>
              <w:t>50mg/L</w:t>
            </w:r>
            <w:r>
              <w:rPr>
                <w:rFonts w:hint="eastAsia"/>
                <w:bCs/>
                <w:sz w:val="24"/>
              </w:rPr>
              <w:t>×</w:t>
            </w:r>
            <w:r>
              <w:rPr>
                <w:bCs/>
                <w:sz w:val="24"/>
              </w:rPr>
              <w:t>600</w:t>
            </w:r>
            <w:r>
              <w:rPr>
                <w:rFonts w:hint="eastAsia"/>
                <w:bCs/>
                <w:sz w:val="24"/>
              </w:rPr>
              <w:t>m</w:t>
            </w:r>
            <w:r>
              <w:rPr>
                <w:bCs/>
                <w:sz w:val="24"/>
                <w:vertAlign w:val="superscript"/>
              </w:rPr>
              <w:t>3</w:t>
            </w:r>
            <w:r>
              <w:rPr>
                <w:bCs/>
                <w:sz w:val="24"/>
              </w:rPr>
              <w:t>/a</w:t>
            </w:r>
            <w:r>
              <w:rPr>
                <w:rFonts w:hint="eastAsia"/>
                <w:bCs/>
                <w:sz w:val="24"/>
              </w:rPr>
              <w:t>×</w:t>
            </w:r>
            <w:r>
              <w:rPr>
                <w:bCs/>
                <w:sz w:val="24"/>
              </w:rPr>
              <w:t>10</w:t>
            </w:r>
            <w:r>
              <w:rPr>
                <w:bCs/>
                <w:sz w:val="24"/>
                <w:vertAlign w:val="superscript"/>
              </w:rPr>
              <w:t>-6</w:t>
            </w:r>
            <w:r>
              <w:rPr>
                <w:bCs/>
                <w:sz w:val="24"/>
              </w:rPr>
              <w:t>=0.03t/a</w:t>
            </w:r>
            <w:r>
              <w:rPr>
                <w:rFonts w:hint="eastAsia"/>
                <w:bCs/>
                <w:sz w:val="24"/>
              </w:rPr>
              <w:t>；</w:t>
            </w:r>
          </w:p>
          <w:p>
            <w:pPr>
              <w:pStyle w:val="84"/>
              <w:tabs>
                <w:tab w:val="left" w:pos="341"/>
              </w:tabs>
              <w:snapToGrid w:val="0"/>
              <w:spacing w:line="360" w:lineRule="auto"/>
              <w:ind w:firstLine="511" w:firstLineChars="213"/>
              <w:rPr>
                <w:bCs/>
                <w:sz w:val="24"/>
              </w:rPr>
            </w:pPr>
            <w:r>
              <w:rPr>
                <w:bCs/>
                <w:sz w:val="24"/>
              </w:rPr>
              <w:t>NH</w:t>
            </w:r>
            <w:r>
              <w:rPr>
                <w:bCs/>
                <w:sz w:val="24"/>
                <w:vertAlign w:val="subscript"/>
              </w:rPr>
              <w:t>3</w:t>
            </w:r>
            <w:r>
              <w:rPr>
                <w:bCs/>
                <w:sz w:val="24"/>
              </w:rPr>
              <w:t xml:space="preserve">-N </w:t>
            </w:r>
            <w:r>
              <w:rPr>
                <w:rFonts w:hint="eastAsia"/>
                <w:bCs/>
                <w:sz w:val="24"/>
              </w:rPr>
              <w:t>的核算量为：</w:t>
            </w:r>
            <w:r>
              <w:rPr>
                <w:bCs/>
                <w:sz w:val="24"/>
              </w:rPr>
              <w:t>5 mg/L</w:t>
            </w:r>
            <w:r>
              <w:rPr>
                <w:rFonts w:hint="eastAsia"/>
                <w:bCs/>
                <w:sz w:val="24"/>
              </w:rPr>
              <w:t>×</w:t>
            </w:r>
            <w:r>
              <w:rPr>
                <w:bCs/>
                <w:sz w:val="24"/>
              </w:rPr>
              <w:t>600</w:t>
            </w:r>
            <w:r>
              <w:rPr>
                <w:rFonts w:hint="eastAsia"/>
                <w:bCs/>
                <w:sz w:val="24"/>
              </w:rPr>
              <w:t>m</w:t>
            </w:r>
            <w:r>
              <w:rPr>
                <w:bCs/>
                <w:sz w:val="24"/>
                <w:vertAlign w:val="superscript"/>
              </w:rPr>
              <w:t>3</w:t>
            </w:r>
            <w:r>
              <w:rPr>
                <w:bCs/>
                <w:sz w:val="24"/>
              </w:rPr>
              <w:t>/a</w:t>
            </w:r>
            <w:r>
              <w:rPr>
                <w:rFonts w:hint="eastAsia"/>
                <w:bCs/>
                <w:sz w:val="24"/>
              </w:rPr>
              <w:t>×</w:t>
            </w:r>
            <w:r>
              <w:rPr>
                <w:bCs/>
                <w:sz w:val="24"/>
              </w:rPr>
              <w:t>10</w:t>
            </w:r>
            <w:r>
              <w:rPr>
                <w:bCs/>
                <w:sz w:val="24"/>
                <w:vertAlign w:val="superscript"/>
              </w:rPr>
              <w:t>-6</w:t>
            </w:r>
            <w:r>
              <w:rPr>
                <w:bCs/>
                <w:sz w:val="24"/>
              </w:rPr>
              <w:t>=0.003t/a</w:t>
            </w:r>
            <w:r>
              <w:rPr>
                <w:rFonts w:hint="eastAsia"/>
                <w:bCs/>
                <w:sz w:val="24"/>
              </w:rPr>
              <w:t>；</w:t>
            </w:r>
          </w:p>
          <w:p>
            <w:pPr>
              <w:pStyle w:val="84"/>
              <w:tabs>
                <w:tab w:val="left" w:pos="341"/>
              </w:tabs>
              <w:snapToGrid w:val="0"/>
              <w:spacing w:line="360" w:lineRule="auto"/>
              <w:ind w:firstLine="511" w:firstLineChars="213"/>
              <w:rPr>
                <w:bCs/>
                <w:sz w:val="24"/>
              </w:rPr>
            </w:pPr>
            <w:r>
              <w:rPr>
                <w:rFonts w:hint="eastAsia"/>
                <w:bCs/>
                <w:sz w:val="24"/>
              </w:rPr>
              <w:t>二期工程完成后全厂：</w:t>
            </w:r>
          </w:p>
          <w:p>
            <w:pPr>
              <w:pStyle w:val="84"/>
              <w:tabs>
                <w:tab w:val="left" w:pos="341"/>
              </w:tabs>
              <w:snapToGrid w:val="0"/>
              <w:spacing w:line="360" w:lineRule="auto"/>
              <w:ind w:firstLine="511" w:firstLineChars="213"/>
              <w:rPr>
                <w:bCs/>
                <w:sz w:val="24"/>
              </w:rPr>
            </w:pPr>
            <w:r>
              <w:rPr>
                <w:bCs/>
                <w:sz w:val="24"/>
              </w:rPr>
              <w:t xml:space="preserve">COD </w:t>
            </w:r>
            <w:r>
              <w:rPr>
                <w:rFonts w:hint="eastAsia"/>
                <w:bCs/>
                <w:sz w:val="24"/>
              </w:rPr>
              <w:t>的核算量为：</w:t>
            </w:r>
            <w:r>
              <w:rPr>
                <w:bCs/>
                <w:sz w:val="24"/>
              </w:rPr>
              <w:t>50mg/L</w:t>
            </w:r>
            <w:r>
              <w:rPr>
                <w:rFonts w:hint="eastAsia"/>
                <w:bCs/>
                <w:sz w:val="24"/>
              </w:rPr>
              <w:t>×</w:t>
            </w:r>
            <w:r>
              <w:rPr>
                <w:bCs/>
                <w:sz w:val="24"/>
              </w:rPr>
              <w:t>1680</w:t>
            </w:r>
            <w:r>
              <w:rPr>
                <w:rFonts w:hint="eastAsia"/>
                <w:bCs/>
                <w:sz w:val="24"/>
              </w:rPr>
              <w:t>m</w:t>
            </w:r>
            <w:r>
              <w:rPr>
                <w:bCs/>
                <w:sz w:val="24"/>
                <w:vertAlign w:val="superscript"/>
              </w:rPr>
              <w:t>3</w:t>
            </w:r>
            <w:r>
              <w:rPr>
                <w:bCs/>
                <w:sz w:val="24"/>
              </w:rPr>
              <w:t>/a</w:t>
            </w:r>
            <w:r>
              <w:rPr>
                <w:rFonts w:hint="eastAsia"/>
                <w:bCs/>
                <w:sz w:val="24"/>
              </w:rPr>
              <w:t>×</w:t>
            </w:r>
            <w:r>
              <w:rPr>
                <w:bCs/>
                <w:sz w:val="24"/>
              </w:rPr>
              <w:t>10</w:t>
            </w:r>
            <w:r>
              <w:rPr>
                <w:bCs/>
                <w:sz w:val="24"/>
                <w:vertAlign w:val="superscript"/>
              </w:rPr>
              <w:t>-6</w:t>
            </w:r>
            <w:r>
              <w:rPr>
                <w:bCs/>
                <w:sz w:val="24"/>
              </w:rPr>
              <w:t>=0.084t/a</w:t>
            </w:r>
            <w:r>
              <w:rPr>
                <w:rFonts w:hint="eastAsia"/>
                <w:bCs/>
                <w:sz w:val="24"/>
              </w:rPr>
              <w:t>；</w:t>
            </w:r>
          </w:p>
          <w:p>
            <w:pPr>
              <w:pStyle w:val="84"/>
              <w:tabs>
                <w:tab w:val="left" w:pos="341"/>
              </w:tabs>
              <w:snapToGrid w:val="0"/>
              <w:spacing w:line="360" w:lineRule="auto"/>
              <w:ind w:firstLine="511" w:firstLineChars="213"/>
              <w:rPr>
                <w:bCs/>
                <w:sz w:val="24"/>
              </w:rPr>
            </w:pPr>
            <w:r>
              <w:rPr>
                <w:bCs/>
                <w:sz w:val="24"/>
              </w:rPr>
              <w:t>NH</w:t>
            </w:r>
            <w:r>
              <w:rPr>
                <w:bCs/>
                <w:sz w:val="24"/>
                <w:vertAlign w:val="subscript"/>
              </w:rPr>
              <w:t>3</w:t>
            </w:r>
            <w:r>
              <w:rPr>
                <w:bCs/>
                <w:sz w:val="24"/>
              </w:rPr>
              <w:t xml:space="preserve">-N </w:t>
            </w:r>
            <w:r>
              <w:rPr>
                <w:rFonts w:hint="eastAsia"/>
                <w:bCs/>
                <w:sz w:val="24"/>
              </w:rPr>
              <w:t>的核算量为：</w:t>
            </w:r>
            <w:r>
              <w:rPr>
                <w:bCs/>
                <w:sz w:val="24"/>
              </w:rPr>
              <w:t>5 mg/L</w:t>
            </w:r>
            <w:r>
              <w:rPr>
                <w:rFonts w:hint="eastAsia"/>
                <w:bCs/>
                <w:sz w:val="24"/>
              </w:rPr>
              <w:t>×</w:t>
            </w:r>
            <w:r>
              <w:rPr>
                <w:bCs/>
                <w:sz w:val="24"/>
              </w:rPr>
              <w:t>1680</w:t>
            </w:r>
            <w:r>
              <w:rPr>
                <w:rFonts w:hint="eastAsia"/>
                <w:bCs/>
                <w:sz w:val="24"/>
              </w:rPr>
              <w:t>m</w:t>
            </w:r>
            <w:r>
              <w:rPr>
                <w:bCs/>
                <w:sz w:val="24"/>
                <w:vertAlign w:val="superscript"/>
              </w:rPr>
              <w:t>3</w:t>
            </w:r>
            <w:r>
              <w:rPr>
                <w:bCs/>
                <w:sz w:val="24"/>
              </w:rPr>
              <w:t>/a</w:t>
            </w:r>
            <w:r>
              <w:rPr>
                <w:rFonts w:hint="eastAsia"/>
                <w:bCs/>
                <w:sz w:val="24"/>
              </w:rPr>
              <w:t>×</w:t>
            </w:r>
            <w:r>
              <w:rPr>
                <w:bCs/>
                <w:sz w:val="24"/>
              </w:rPr>
              <w:t>10</w:t>
            </w:r>
            <w:r>
              <w:rPr>
                <w:bCs/>
                <w:sz w:val="24"/>
                <w:vertAlign w:val="superscript"/>
              </w:rPr>
              <w:t>-6</w:t>
            </w:r>
            <w:r>
              <w:rPr>
                <w:bCs/>
                <w:sz w:val="24"/>
              </w:rPr>
              <w:t>=0.0084t/a</w:t>
            </w:r>
            <w:r>
              <w:rPr>
                <w:rFonts w:hint="eastAsia"/>
                <w:bCs/>
                <w:sz w:val="24"/>
              </w:rPr>
              <w:t>；</w:t>
            </w:r>
          </w:p>
          <w:p>
            <w:pPr>
              <w:pStyle w:val="84"/>
              <w:tabs>
                <w:tab w:val="left" w:pos="341"/>
              </w:tabs>
              <w:snapToGrid w:val="0"/>
              <w:spacing w:line="360" w:lineRule="auto"/>
              <w:ind w:firstLine="511" w:firstLineChars="213"/>
              <w:rPr>
                <w:bCs/>
                <w:sz w:val="24"/>
              </w:rPr>
            </w:pPr>
            <w:r>
              <w:rPr>
                <w:rFonts w:hint="eastAsia"/>
                <w:bCs/>
                <w:sz w:val="24"/>
              </w:rPr>
              <w:t>综上，纳入污水处理厂的</w:t>
            </w:r>
            <w:r>
              <w:rPr>
                <w:bCs/>
                <w:sz w:val="24"/>
              </w:rPr>
              <w:t>COD</w:t>
            </w:r>
            <w:r>
              <w:rPr>
                <w:rFonts w:hint="eastAsia"/>
                <w:bCs/>
                <w:sz w:val="24"/>
              </w:rPr>
              <w:t>的核算量一期工程为：</w:t>
            </w:r>
            <w:r>
              <w:rPr>
                <w:bCs/>
                <w:sz w:val="24"/>
              </w:rPr>
              <w:t>0.031t/a</w:t>
            </w:r>
            <w:r>
              <w:rPr>
                <w:rFonts w:hint="eastAsia"/>
                <w:bCs/>
                <w:sz w:val="24"/>
              </w:rPr>
              <w:t>，</w:t>
            </w:r>
            <w:r>
              <w:rPr>
                <w:bCs/>
                <w:sz w:val="24"/>
              </w:rPr>
              <w:t>NH</w:t>
            </w:r>
            <w:r>
              <w:rPr>
                <w:bCs/>
                <w:sz w:val="24"/>
                <w:vertAlign w:val="subscript"/>
              </w:rPr>
              <w:t>3</w:t>
            </w:r>
            <w:r>
              <w:rPr>
                <w:bCs/>
                <w:sz w:val="24"/>
              </w:rPr>
              <w:t xml:space="preserve">-N </w:t>
            </w:r>
            <w:r>
              <w:rPr>
                <w:rFonts w:hint="eastAsia"/>
                <w:bCs/>
                <w:sz w:val="24"/>
              </w:rPr>
              <w:t>的核算量为：</w:t>
            </w:r>
            <w:r>
              <w:rPr>
                <w:bCs/>
                <w:sz w:val="24"/>
              </w:rPr>
              <w:t>0.003t/a</w:t>
            </w:r>
            <w:r>
              <w:rPr>
                <w:rFonts w:hint="eastAsia"/>
                <w:bCs/>
                <w:sz w:val="24"/>
              </w:rPr>
              <w:t>；经污水处理厂处理后</w:t>
            </w:r>
            <w:r>
              <w:rPr>
                <w:bCs/>
                <w:sz w:val="24"/>
              </w:rPr>
              <w:t>COD</w:t>
            </w:r>
            <w:r>
              <w:rPr>
                <w:rFonts w:hint="eastAsia"/>
                <w:bCs/>
                <w:sz w:val="24"/>
              </w:rPr>
              <w:t>的核算量为：</w:t>
            </w:r>
            <w:r>
              <w:rPr>
                <w:bCs/>
                <w:sz w:val="24"/>
              </w:rPr>
              <w:t>0.084t/a</w:t>
            </w:r>
            <w:r>
              <w:rPr>
                <w:rFonts w:hint="eastAsia"/>
                <w:bCs/>
                <w:sz w:val="24"/>
              </w:rPr>
              <w:t>，</w:t>
            </w:r>
            <w:r>
              <w:rPr>
                <w:bCs/>
                <w:sz w:val="24"/>
              </w:rPr>
              <w:t>NH</w:t>
            </w:r>
            <w:r>
              <w:rPr>
                <w:bCs/>
                <w:sz w:val="24"/>
                <w:vertAlign w:val="subscript"/>
              </w:rPr>
              <w:t>3</w:t>
            </w:r>
            <w:r>
              <w:rPr>
                <w:bCs/>
                <w:sz w:val="24"/>
              </w:rPr>
              <w:t xml:space="preserve">-N </w:t>
            </w:r>
            <w:r>
              <w:rPr>
                <w:rFonts w:hint="eastAsia"/>
                <w:bCs/>
                <w:sz w:val="24"/>
              </w:rPr>
              <w:t>的核算量为：0</w:t>
            </w:r>
            <w:r>
              <w:rPr>
                <w:bCs/>
                <w:sz w:val="24"/>
              </w:rPr>
              <w:t>.0084t/a</w:t>
            </w:r>
            <w:r>
              <w:rPr>
                <w:rFonts w:hint="eastAsia"/>
                <w:bCs/>
                <w:sz w:val="24"/>
              </w:rPr>
              <w:t>。</w:t>
            </w:r>
          </w:p>
          <w:p>
            <w:pPr>
              <w:pStyle w:val="34"/>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该项目</w:t>
            </w:r>
            <w:r>
              <w:rPr>
                <w:rFonts w:hint="eastAsia" w:ascii="Times New Roman" w:hAnsi="Times New Roman" w:cs="Times New Roman"/>
                <w:sz w:val="24"/>
                <w:szCs w:val="24"/>
              </w:rPr>
              <w:t>生产、生活</w:t>
            </w:r>
            <w:r>
              <w:rPr>
                <w:rFonts w:ascii="Times New Roman" w:hAnsi="Times New Roman" w:cs="Times New Roman"/>
                <w:sz w:val="24"/>
                <w:szCs w:val="24"/>
              </w:rPr>
              <w:t>废水</w:t>
            </w:r>
            <w:r>
              <w:rPr>
                <w:rFonts w:hint="eastAsia" w:ascii="Times New Roman" w:hAnsi="Times New Roman"/>
                <w:bCs/>
                <w:sz w:val="24"/>
              </w:rPr>
              <w:t>排入镶黄旗污水处理厂处理</w:t>
            </w:r>
            <w:r>
              <w:rPr>
                <w:rFonts w:ascii="Times New Roman" w:hAnsi="Times New Roman" w:cs="Times New Roman"/>
                <w:sz w:val="24"/>
                <w:szCs w:val="24"/>
              </w:rPr>
              <w:t>， COD、氨氮总量</w:t>
            </w:r>
            <w:r>
              <w:rPr>
                <w:rFonts w:hint="eastAsia" w:ascii="Times New Roman" w:hAnsi="Times New Roman" w:cs="Times New Roman"/>
                <w:sz w:val="24"/>
                <w:szCs w:val="24"/>
              </w:rPr>
              <w:t>纳入镶黄旗污水处理厂总量调配</w:t>
            </w:r>
            <w:r>
              <w:rPr>
                <w:rFonts w:ascii="Times New Roman" w:hAnsi="Times New Roman" w:cs="Times New Roman"/>
                <w:sz w:val="24"/>
                <w:szCs w:val="24"/>
              </w:rPr>
              <w:t>。</w:t>
            </w: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ind w:firstLine="480" w:firstLineChars="200"/>
              <w:jc w:val="left"/>
              <w:rPr>
                <w:rFonts w:ascii="Times New Roman" w:hAnsi="Times New Roman" w:cs="Times New Roman"/>
                <w:sz w:val="24"/>
                <w:szCs w:val="24"/>
              </w:rPr>
            </w:pPr>
          </w:p>
          <w:p>
            <w:pPr>
              <w:pStyle w:val="34"/>
              <w:spacing w:line="360" w:lineRule="auto"/>
              <w:jc w:val="left"/>
              <w:rPr>
                <w:rFonts w:ascii="Times New Roman" w:hAnsi="Times New Roman" w:cs="Times New Roman"/>
                <w:sz w:val="24"/>
                <w:szCs w:val="24"/>
              </w:rPr>
            </w:pPr>
          </w:p>
        </w:tc>
      </w:tr>
    </w:tbl>
    <w:p>
      <w:pPr>
        <w:pStyle w:val="19"/>
        <w:pageBreakBefore/>
        <w:jc w:val="center"/>
        <w:outlineLvl w:val="0"/>
        <w:rPr>
          <w:rFonts w:ascii="Times New Roman" w:hAnsi="Times New Roman"/>
          <w:b/>
          <w:bCs/>
          <w:snapToGrid w:val="0"/>
          <w:sz w:val="30"/>
          <w:szCs w:val="30"/>
        </w:rPr>
      </w:pPr>
      <w:r>
        <w:rPr>
          <w:rFonts w:hint="eastAsia" w:ascii="Times New Roman" w:hAnsi="Times New Roman"/>
          <w:b/>
          <w:bCs/>
          <w:snapToGrid w:val="0"/>
          <w:sz w:val="30"/>
          <w:szCs w:val="30"/>
        </w:rPr>
        <w:t>四、主要环境影响和保护措施</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216" w:type="pct"/>
            <w:vAlign w:val="center"/>
          </w:tcPr>
          <w:p>
            <w:pPr>
              <w:pStyle w:val="19"/>
              <w:adjustRightInd w:val="0"/>
              <w:snapToGrid w:val="0"/>
              <w:spacing w:before="0" w:beforeAutospacing="0" w:after="0" w:afterAutospacing="0"/>
              <w:jc w:val="center"/>
              <w:rPr>
                <w:rFonts w:ascii="Times New Roman" w:hAnsi="Times New Roman" w:cs="宋体"/>
                <w:b/>
                <w:bCs/>
                <w:kern w:val="2"/>
                <w:szCs w:val="24"/>
              </w:rPr>
            </w:pPr>
            <w:r>
              <w:rPr>
                <w:rFonts w:hint="eastAsia" w:ascii="Times New Roman" w:hAnsi="Times New Roman"/>
                <w:b/>
                <w:bCs/>
                <w:kern w:val="2"/>
              </w:rPr>
              <w:t>施工</w:t>
            </w:r>
          </w:p>
          <w:p>
            <w:pPr>
              <w:pStyle w:val="19"/>
              <w:adjustRightInd w:val="0"/>
              <w:snapToGrid w:val="0"/>
              <w:spacing w:before="0" w:beforeAutospacing="0" w:after="0" w:afterAutospacing="0"/>
              <w:jc w:val="center"/>
              <w:rPr>
                <w:rFonts w:ascii="Times New Roman" w:hAnsi="Times New Roman" w:cs="宋体"/>
                <w:b/>
                <w:bCs/>
                <w:kern w:val="2"/>
              </w:rPr>
            </w:pPr>
            <w:r>
              <w:rPr>
                <w:rFonts w:hint="eastAsia" w:ascii="Times New Roman" w:hAnsi="Times New Roman"/>
                <w:b/>
                <w:bCs/>
                <w:kern w:val="2"/>
              </w:rPr>
              <w:t>期环</w:t>
            </w:r>
          </w:p>
          <w:p>
            <w:pPr>
              <w:pStyle w:val="19"/>
              <w:adjustRightInd w:val="0"/>
              <w:snapToGrid w:val="0"/>
              <w:spacing w:before="0" w:beforeAutospacing="0" w:after="0" w:afterAutospacing="0"/>
              <w:jc w:val="center"/>
              <w:rPr>
                <w:rFonts w:ascii="Times New Roman" w:hAnsi="Times New Roman" w:cs="宋体"/>
                <w:b/>
                <w:bCs/>
                <w:kern w:val="2"/>
              </w:rPr>
            </w:pPr>
            <w:r>
              <w:rPr>
                <w:rFonts w:hint="eastAsia" w:ascii="Times New Roman" w:hAnsi="Times New Roman"/>
                <w:b/>
                <w:bCs/>
                <w:kern w:val="2"/>
              </w:rPr>
              <w:t>境保</w:t>
            </w:r>
          </w:p>
          <w:p>
            <w:pPr>
              <w:pStyle w:val="19"/>
              <w:adjustRightInd w:val="0"/>
              <w:snapToGrid w:val="0"/>
              <w:spacing w:before="0" w:beforeAutospacing="0" w:after="0" w:afterAutospacing="0"/>
              <w:jc w:val="center"/>
              <w:rPr>
                <w:rFonts w:ascii="Times New Roman" w:hAnsi="Times New Roman" w:cs="宋体"/>
                <w:b/>
                <w:bCs/>
                <w:kern w:val="2"/>
              </w:rPr>
            </w:pPr>
            <w:r>
              <w:rPr>
                <w:rFonts w:hint="eastAsia" w:ascii="Times New Roman" w:hAnsi="Times New Roman"/>
                <w:b/>
                <w:bCs/>
                <w:kern w:val="2"/>
              </w:rPr>
              <w:t>护措</w:t>
            </w:r>
          </w:p>
          <w:p>
            <w:pPr>
              <w:rPr>
                <w:b/>
                <w:bCs/>
              </w:rPr>
            </w:pPr>
            <w:r>
              <w:rPr>
                <w:rFonts w:hint="eastAsia"/>
                <w:b/>
                <w:bCs/>
              </w:rPr>
              <w:t>施</w:t>
            </w:r>
          </w:p>
          <w:p>
            <w:pPr>
              <w:adjustRightInd w:val="0"/>
              <w:snapToGrid w:val="0"/>
              <w:jc w:val="center"/>
              <w:rPr>
                <w:rFonts w:cs="宋体"/>
                <w:kern w:val="0"/>
                <w:sz w:val="24"/>
              </w:rPr>
            </w:pPr>
          </w:p>
        </w:tc>
        <w:tc>
          <w:tcPr>
            <w:tcW w:w="4784" w:type="pct"/>
            <w:vAlign w:val="center"/>
          </w:tcPr>
          <w:p>
            <w:pPr>
              <w:spacing w:line="360" w:lineRule="auto"/>
              <w:ind w:firstLine="482" w:firstLineChars="200"/>
              <w:rPr>
                <w:b/>
                <w:sz w:val="24"/>
              </w:rPr>
            </w:pPr>
            <w:r>
              <w:rPr>
                <w:rFonts w:hint="eastAsia"/>
                <w:b/>
                <w:sz w:val="24"/>
              </w:rPr>
              <w:t>1、大气环境影响分析及污染防治措施</w:t>
            </w:r>
          </w:p>
          <w:p>
            <w:pPr>
              <w:adjustRightInd w:val="0"/>
              <w:snapToGrid w:val="0"/>
              <w:spacing w:line="360" w:lineRule="auto"/>
              <w:ind w:firstLine="480" w:firstLineChars="200"/>
              <w:jc w:val="left"/>
              <w:rPr>
                <w:sz w:val="24"/>
              </w:rPr>
            </w:pPr>
            <w:r>
              <w:rPr>
                <w:rFonts w:hint="eastAsia"/>
                <w:sz w:val="24"/>
              </w:rPr>
              <w:t>施工期间扬尘主要来源于土方开挖、物料运输和材料堆存过程。在干燥、大风天气起尘量较大，会对施工现场工人和附近环境空气产生一定的影响，但施工扬尘排放点低，仅对近距离范围内的空气环境影响较大。</w:t>
            </w:r>
          </w:p>
          <w:p>
            <w:pPr>
              <w:adjustRightInd w:val="0"/>
              <w:snapToGrid w:val="0"/>
              <w:spacing w:line="360" w:lineRule="auto"/>
              <w:ind w:firstLine="480" w:firstLineChars="200"/>
              <w:jc w:val="left"/>
              <w:rPr>
                <w:sz w:val="24"/>
              </w:rPr>
            </w:pPr>
            <w:r>
              <w:rPr>
                <w:rFonts w:hint="eastAsia"/>
                <w:sz w:val="24"/>
              </w:rPr>
              <w:t>本次评价要求采取以下防治措施：</w:t>
            </w:r>
          </w:p>
          <w:p>
            <w:pPr>
              <w:adjustRightInd w:val="0"/>
              <w:snapToGrid w:val="0"/>
              <w:spacing w:line="360" w:lineRule="auto"/>
              <w:ind w:firstLine="480" w:firstLineChars="200"/>
              <w:jc w:val="left"/>
              <w:rPr>
                <w:sz w:val="24"/>
              </w:rPr>
            </w:pPr>
            <w:r>
              <w:rPr>
                <w:rFonts w:hint="eastAsia"/>
                <w:sz w:val="24"/>
              </w:rPr>
              <w:t>①对临时堆放土方表面压实并进行绿网覆盖，弃料、垃圾及时清运，未及时清运的进行绿网覆盖；</w:t>
            </w:r>
          </w:p>
          <w:p>
            <w:pPr>
              <w:adjustRightInd w:val="0"/>
              <w:snapToGrid w:val="0"/>
              <w:spacing w:line="360" w:lineRule="auto"/>
              <w:ind w:firstLine="480" w:firstLineChars="200"/>
              <w:jc w:val="left"/>
              <w:rPr>
                <w:sz w:val="24"/>
              </w:rPr>
            </w:pPr>
            <w:r>
              <w:rPr>
                <w:rFonts w:hint="eastAsia"/>
                <w:sz w:val="24"/>
              </w:rPr>
              <w:t>②出现四级以上大风天气时，禁止进行土方开挖等易产生扬尘污染的施工作业；物料、弃土和废弃物运输采用密闭方式，不得凌空抛撒；</w:t>
            </w:r>
          </w:p>
          <w:p>
            <w:pPr>
              <w:adjustRightInd w:val="0"/>
              <w:snapToGrid w:val="0"/>
              <w:spacing w:line="360" w:lineRule="auto"/>
              <w:ind w:firstLine="480" w:firstLineChars="200"/>
              <w:jc w:val="left"/>
              <w:rPr>
                <w:sz w:val="24"/>
              </w:rPr>
            </w:pPr>
            <w:r>
              <w:rPr>
                <w:rFonts w:hint="eastAsia"/>
                <w:sz w:val="24"/>
              </w:rPr>
              <w:t>③施工过程中，严禁将废弃物进行燃烧处理，工程结束后做好场地清理、恢复和绿化工作。</w:t>
            </w:r>
          </w:p>
          <w:p>
            <w:pPr>
              <w:adjustRightInd w:val="0"/>
              <w:snapToGrid w:val="0"/>
              <w:spacing w:line="360" w:lineRule="auto"/>
              <w:ind w:firstLine="480" w:firstLineChars="200"/>
              <w:jc w:val="left"/>
              <w:rPr>
                <w:sz w:val="24"/>
              </w:rPr>
            </w:pPr>
            <w:r>
              <w:rPr>
                <w:rFonts w:hint="eastAsia"/>
                <w:sz w:val="24"/>
              </w:rPr>
              <w:t>综上，只要对施工期的废气进行有效防治，其对周围环境的影响较小，不会对周边的大气环境造成严重的危害。</w:t>
            </w:r>
          </w:p>
          <w:p>
            <w:pPr>
              <w:spacing w:line="360" w:lineRule="auto"/>
              <w:ind w:firstLine="482" w:firstLineChars="200"/>
              <w:rPr>
                <w:b/>
                <w:sz w:val="24"/>
              </w:rPr>
            </w:pPr>
            <w:r>
              <w:rPr>
                <w:rFonts w:hint="eastAsia"/>
                <w:b/>
                <w:sz w:val="24"/>
              </w:rPr>
              <w:t>2、水环境影响分析及污染防治措施</w:t>
            </w:r>
          </w:p>
          <w:p>
            <w:pPr>
              <w:adjustRightInd w:val="0"/>
              <w:snapToGrid w:val="0"/>
              <w:spacing w:line="360" w:lineRule="auto"/>
              <w:ind w:firstLine="480" w:firstLineChars="200"/>
              <w:jc w:val="left"/>
              <w:rPr>
                <w:sz w:val="24"/>
              </w:rPr>
            </w:pPr>
            <w:r>
              <w:rPr>
                <w:rFonts w:hint="eastAsia"/>
                <w:sz w:val="24"/>
              </w:rPr>
              <w:t>项目产生的废水主要包括施工时产生的生活废水和施工车辆、机械设备以及地面的冲</w:t>
            </w:r>
            <w:r>
              <w:rPr>
                <w:sz w:val="24"/>
              </w:rPr>
              <w:t>洗废水等。</w:t>
            </w:r>
          </w:p>
          <w:p>
            <w:pPr>
              <w:adjustRightInd w:val="0"/>
              <w:snapToGrid w:val="0"/>
              <w:spacing w:line="360" w:lineRule="auto"/>
              <w:ind w:firstLine="480" w:firstLineChars="200"/>
              <w:jc w:val="left"/>
              <w:rPr>
                <w:sz w:val="24"/>
              </w:rPr>
            </w:pPr>
            <w:r>
              <w:rPr>
                <w:rFonts w:hint="eastAsia" w:cs="宋体"/>
                <w:sz w:val="24"/>
              </w:rPr>
              <w:t>①</w:t>
            </w:r>
            <w:r>
              <w:rPr>
                <w:sz w:val="24"/>
              </w:rPr>
              <w:t>施工车辆、机械的冲洗废水</w:t>
            </w:r>
          </w:p>
          <w:p>
            <w:pPr>
              <w:adjustRightInd w:val="0"/>
              <w:snapToGrid w:val="0"/>
              <w:spacing w:line="360" w:lineRule="auto"/>
              <w:ind w:firstLine="480" w:firstLineChars="200"/>
              <w:jc w:val="left"/>
              <w:rPr>
                <w:sz w:val="24"/>
              </w:rPr>
            </w:pPr>
            <w:r>
              <w:rPr>
                <w:sz w:val="24"/>
              </w:rPr>
              <w:t>本项目现场施工过程中，对施工车辆和机械设备冲洗产生的废水中主要污染物为颗粒物，在施工现场建设简易沉降池对废水进行沉淀处理，处理后废水可用于洒水抑尘。</w:t>
            </w:r>
          </w:p>
          <w:p>
            <w:pPr>
              <w:pStyle w:val="72"/>
              <w:numPr>
                <w:ilvl w:val="0"/>
                <w:numId w:val="8"/>
              </w:numPr>
              <w:adjustRightInd w:val="0"/>
              <w:snapToGrid w:val="0"/>
              <w:spacing w:line="360" w:lineRule="auto"/>
              <w:ind w:firstLineChars="0"/>
              <w:jc w:val="left"/>
              <w:rPr>
                <w:sz w:val="24"/>
              </w:rPr>
            </w:pPr>
            <w:r>
              <w:rPr>
                <w:sz w:val="24"/>
              </w:rPr>
              <w:t>施工人员生活污水</w:t>
            </w:r>
          </w:p>
          <w:p>
            <w:pPr>
              <w:adjustRightInd w:val="0"/>
              <w:snapToGrid w:val="0"/>
              <w:spacing w:line="360" w:lineRule="auto"/>
              <w:ind w:firstLine="480" w:firstLineChars="200"/>
              <w:jc w:val="left"/>
              <w:rPr>
                <w:sz w:val="24"/>
              </w:rPr>
            </w:pPr>
            <w:r>
              <w:rPr>
                <w:sz w:val="24"/>
              </w:rPr>
              <w:t>现场施工人员产生的生活污水是本工程建设期的主要水污染源。施工高峰期人员按 30人计算，施工人员不在厂内住宿，施工人员生活废水全部排入厂区内原有</w:t>
            </w:r>
            <w:r>
              <w:rPr>
                <w:rFonts w:hint="eastAsia"/>
                <w:sz w:val="24"/>
              </w:rPr>
              <w:t>防渗旱厕，定期清掏</w:t>
            </w:r>
            <w:r>
              <w:rPr>
                <w:sz w:val="24"/>
              </w:rPr>
              <w:t>。</w:t>
            </w:r>
          </w:p>
          <w:p>
            <w:pPr>
              <w:adjustRightInd w:val="0"/>
              <w:snapToGrid w:val="0"/>
              <w:spacing w:line="360" w:lineRule="auto"/>
              <w:ind w:firstLine="482" w:firstLineChars="200"/>
              <w:jc w:val="left"/>
              <w:rPr>
                <w:b/>
                <w:sz w:val="24"/>
              </w:rPr>
            </w:pPr>
            <w:r>
              <w:rPr>
                <w:rFonts w:hint="eastAsia"/>
                <w:b/>
                <w:sz w:val="24"/>
              </w:rPr>
              <w:t>3、噪声污染防治措施</w:t>
            </w:r>
          </w:p>
          <w:p>
            <w:pPr>
              <w:adjustRightInd w:val="0"/>
              <w:snapToGrid w:val="0"/>
              <w:spacing w:line="360" w:lineRule="auto"/>
              <w:ind w:firstLine="480" w:firstLineChars="200"/>
              <w:jc w:val="left"/>
              <w:rPr>
                <w:sz w:val="24"/>
              </w:rPr>
            </w:pPr>
            <w:r>
              <w:rPr>
                <w:rFonts w:hint="eastAsia"/>
                <w:sz w:val="24"/>
              </w:rPr>
              <w:t>施工期环境影响主要来源于施工现场机械噪声，施工中常用的施工机械主要有推土机、挖掘机、切割机、运输车辆等，这些设备都将产生噪声，其噪声源强达 80-104dB(A)。污染防治措施如下：</w:t>
            </w:r>
          </w:p>
          <w:p>
            <w:pPr>
              <w:adjustRightInd w:val="0"/>
              <w:snapToGrid w:val="0"/>
              <w:spacing w:line="360" w:lineRule="auto"/>
              <w:ind w:firstLine="480" w:firstLineChars="200"/>
              <w:jc w:val="left"/>
              <w:rPr>
                <w:sz w:val="24"/>
              </w:rPr>
            </w:pPr>
            <w:r>
              <w:rPr>
                <w:rFonts w:hint="eastAsia"/>
                <w:sz w:val="24"/>
              </w:rPr>
              <w:t>（1）合理安排施工计划和施工机械设备组合以及施工时间，避免在同一时间集中使用大量的动力机械设备。</w:t>
            </w:r>
          </w:p>
          <w:p>
            <w:pPr>
              <w:adjustRightInd w:val="0"/>
              <w:snapToGrid w:val="0"/>
              <w:spacing w:line="360" w:lineRule="auto"/>
              <w:ind w:firstLine="480" w:firstLineChars="200"/>
              <w:jc w:val="left"/>
              <w:rPr>
                <w:sz w:val="24"/>
              </w:rPr>
            </w:pPr>
            <w:r>
              <w:rPr>
                <w:rFonts w:hint="eastAsia"/>
                <w:sz w:val="24"/>
              </w:rPr>
              <w:t>（2）从控制声源和噪声传播以及加强管理等几个不同角度对施工噪声进行控制。控制声源：选择低噪声的机械设备。对于开挖和运输土石方的机械设备（挖土机、推土机等），可以通过排气消声器和隔离发动机震动部分的方法来降低噪声，其他产生噪声的部分还可以采用部分封闭或者完全封闭的办法，尽量减少振动面的振幅；闲置的机械设备等应该及时予以关闭；一切动力机械设备都应该经常检修，特别是那些会因为部件松动而产生噪声的机械，以及那些降噪部件容易损坏而导致强噪声产生的机械设备。</w:t>
            </w:r>
          </w:p>
          <w:p>
            <w:pPr>
              <w:adjustRightInd w:val="0"/>
              <w:snapToGrid w:val="0"/>
              <w:spacing w:line="360" w:lineRule="auto"/>
              <w:ind w:firstLine="480" w:firstLineChars="200"/>
              <w:jc w:val="left"/>
              <w:rPr>
                <w:sz w:val="24"/>
              </w:rPr>
            </w:pPr>
            <w:r>
              <w:rPr>
                <w:rFonts w:hint="eastAsia"/>
                <w:sz w:val="24"/>
              </w:rPr>
              <w:t>（3）控制噪声传播：将各种噪声比较大的机械进行一定的隔离和防护消声处理，这样可以减少对项目周围环境的影响。</w:t>
            </w:r>
          </w:p>
          <w:p>
            <w:pPr>
              <w:adjustRightInd w:val="0"/>
              <w:snapToGrid w:val="0"/>
              <w:spacing w:line="360" w:lineRule="auto"/>
              <w:ind w:firstLine="480" w:firstLineChars="200"/>
              <w:jc w:val="left"/>
              <w:rPr>
                <w:sz w:val="24"/>
              </w:rPr>
            </w:pPr>
            <w:r>
              <w:rPr>
                <w:rFonts w:hint="eastAsia"/>
                <w:sz w:val="24"/>
              </w:rPr>
              <w:t>（4）加强现场运输管理：对施工车辆造成的噪声影响要加强管理，运输车辆尽量采用较低声级的喇叭，并在所经过的道路禁止鸣笛。</w:t>
            </w:r>
          </w:p>
          <w:p>
            <w:pPr>
              <w:adjustRightInd w:val="0"/>
              <w:snapToGrid w:val="0"/>
              <w:spacing w:line="360" w:lineRule="auto"/>
              <w:ind w:firstLine="480" w:firstLineChars="200"/>
              <w:jc w:val="left"/>
              <w:rPr>
                <w:sz w:val="24"/>
              </w:rPr>
            </w:pPr>
            <w:r>
              <w:rPr>
                <w:rFonts w:hint="eastAsia"/>
                <w:sz w:val="24"/>
              </w:rPr>
              <w:t>（5）要求建筑施工要限制夜间 22:00 至 6:00 机械施工，严格控制噪声影响强的机械设备在夜间作业，因特殊工艺需连续昼夜施工的必须经当地环保局审批同意后方可施工。</w:t>
            </w:r>
          </w:p>
          <w:p>
            <w:pPr>
              <w:spacing w:line="360" w:lineRule="auto"/>
              <w:ind w:firstLine="482" w:firstLineChars="200"/>
              <w:rPr>
                <w:b/>
                <w:sz w:val="24"/>
              </w:rPr>
            </w:pPr>
            <w:r>
              <w:rPr>
                <w:rFonts w:hint="eastAsia"/>
                <w:b/>
                <w:sz w:val="24"/>
              </w:rPr>
              <w:t>4、固体废物对环境的影响分析</w:t>
            </w:r>
          </w:p>
          <w:p>
            <w:pPr>
              <w:adjustRightInd w:val="0"/>
              <w:snapToGrid w:val="0"/>
              <w:spacing w:line="360" w:lineRule="auto"/>
              <w:ind w:firstLine="480" w:firstLineChars="200"/>
              <w:jc w:val="left"/>
              <w:rPr>
                <w:sz w:val="24"/>
              </w:rPr>
            </w:pPr>
            <w:r>
              <w:rPr>
                <w:rFonts w:hint="eastAsia"/>
                <w:sz w:val="24"/>
              </w:rPr>
              <w:t>施工期产生较多的固体废弃物，如碎砖石、水泥块、铁质弃料、木材弃料等。铁质弃料、木材弃料、废弃金属材料及包装物都可以回收利用，避免资源浪费。碎砖石、水泥块等可用于工程填方。不能回用的建筑垃圾运送至城建部门指定的建筑垃圾堆放点。施工期间会产生少量施工人员生活垃圾，应集中收集后交由环卫部门处理，禁止随意倾倒，以防影响周围环境卫生。</w:t>
            </w:r>
          </w:p>
          <w:p>
            <w:pPr>
              <w:adjustRightInd w:val="0"/>
              <w:snapToGrid w:val="0"/>
              <w:spacing w:line="360" w:lineRule="auto"/>
              <w:ind w:firstLine="480" w:firstLineChars="200"/>
              <w:jc w:val="left"/>
              <w:rPr>
                <w:rFonts w:cs="宋体"/>
                <w:kern w:val="0"/>
                <w:sz w:val="24"/>
              </w:rPr>
            </w:pPr>
            <w:r>
              <w:rPr>
                <w:rFonts w:hint="eastAsia"/>
                <w:sz w:val="24"/>
              </w:rPr>
              <w:t>综上，本项目施工时按照以上提出的各项要求防治，可以使其对环境的影响降至最小程度，而且此类影响将随着项目的完工而结束。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216" w:type="pct"/>
            <w:vAlign w:val="center"/>
          </w:tcPr>
          <w:p>
            <w:pPr>
              <w:adjustRightInd w:val="0"/>
              <w:snapToGrid w:val="0"/>
              <w:jc w:val="center"/>
              <w:rPr>
                <w:rFonts w:cs="宋体"/>
                <w:b/>
                <w:sz w:val="24"/>
              </w:rPr>
            </w:pPr>
            <w:r>
              <w:rPr>
                <w:rFonts w:hint="eastAsia"/>
                <w:b/>
                <w:sz w:val="24"/>
              </w:rPr>
              <w:t>运营</w:t>
            </w:r>
          </w:p>
          <w:p>
            <w:pPr>
              <w:adjustRightInd w:val="0"/>
              <w:snapToGrid w:val="0"/>
              <w:jc w:val="center"/>
              <w:rPr>
                <w:rFonts w:cs="宋体"/>
                <w:b/>
                <w:sz w:val="24"/>
              </w:rPr>
            </w:pPr>
            <w:r>
              <w:rPr>
                <w:rFonts w:hint="eastAsia"/>
                <w:b/>
                <w:sz w:val="24"/>
              </w:rPr>
              <w:t>期环</w:t>
            </w:r>
          </w:p>
          <w:p>
            <w:pPr>
              <w:adjustRightInd w:val="0"/>
              <w:snapToGrid w:val="0"/>
              <w:jc w:val="center"/>
              <w:rPr>
                <w:rFonts w:cs="宋体"/>
                <w:b/>
                <w:sz w:val="24"/>
              </w:rPr>
            </w:pPr>
            <w:r>
              <w:rPr>
                <w:rFonts w:hint="eastAsia"/>
                <w:b/>
                <w:sz w:val="24"/>
              </w:rPr>
              <w:t>境影</w:t>
            </w:r>
          </w:p>
          <w:p>
            <w:pPr>
              <w:adjustRightInd w:val="0"/>
              <w:snapToGrid w:val="0"/>
              <w:jc w:val="center"/>
              <w:rPr>
                <w:rFonts w:cs="宋体"/>
                <w:b/>
                <w:sz w:val="24"/>
              </w:rPr>
            </w:pPr>
            <w:r>
              <w:rPr>
                <w:rFonts w:hint="eastAsia"/>
                <w:b/>
                <w:sz w:val="24"/>
              </w:rPr>
              <w:t>响和</w:t>
            </w:r>
          </w:p>
          <w:p>
            <w:pPr>
              <w:adjustRightInd w:val="0"/>
              <w:snapToGrid w:val="0"/>
              <w:jc w:val="center"/>
              <w:rPr>
                <w:rFonts w:cs="宋体"/>
                <w:b/>
                <w:sz w:val="24"/>
              </w:rPr>
            </w:pPr>
            <w:r>
              <w:rPr>
                <w:rFonts w:hint="eastAsia"/>
                <w:b/>
                <w:sz w:val="24"/>
              </w:rPr>
              <w:t>保护</w:t>
            </w:r>
          </w:p>
          <w:p>
            <w:pPr>
              <w:rPr>
                <w:b/>
                <w:szCs w:val="21"/>
              </w:rPr>
            </w:pPr>
            <w:r>
              <w:rPr>
                <w:rFonts w:hint="eastAsia"/>
                <w:b/>
                <w:sz w:val="24"/>
              </w:rPr>
              <w:t>措施</w:t>
            </w:r>
          </w:p>
          <w:p>
            <w:pPr>
              <w:pStyle w:val="19"/>
              <w:adjustRightInd w:val="0"/>
              <w:snapToGrid w:val="0"/>
              <w:spacing w:before="0" w:beforeAutospacing="0" w:after="0" w:afterAutospacing="0"/>
              <w:jc w:val="center"/>
              <w:rPr>
                <w:rFonts w:ascii="Times New Roman" w:hAnsi="Times New Roman"/>
                <w:kern w:val="2"/>
              </w:rPr>
            </w:pPr>
          </w:p>
        </w:tc>
        <w:tc>
          <w:tcPr>
            <w:tcW w:w="4784" w:type="pct"/>
            <w:vAlign w:val="center"/>
          </w:tcPr>
          <w:p>
            <w:pPr>
              <w:pStyle w:val="31"/>
              <w:adjustRightInd w:val="0"/>
              <w:snapToGrid w:val="0"/>
              <w:ind w:firstLine="482"/>
              <w:jc w:val="both"/>
              <w:rPr>
                <w:rFonts w:ascii="Times New Roman"/>
                <w:b/>
                <w:bCs/>
                <w:color w:val="auto"/>
                <w:sz w:val="24"/>
                <w:szCs w:val="24"/>
              </w:rPr>
            </w:pPr>
            <w:r>
              <w:rPr>
                <w:rFonts w:hint="eastAsia" w:ascii="Times New Roman"/>
                <w:b/>
                <w:bCs/>
                <w:color w:val="auto"/>
                <w:sz w:val="24"/>
                <w:szCs w:val="24"/>
              </w:rPr>
              <w:t>一、废气</w:t>
            </w:r>
          </w:p>
          <w:p>
            <w:pPr>
              <w:pStyle w:val="31"/>
              <w:adjustRightInd w:val="0"/>
              <w:snapToGrid w:val="0"/>
              <w:ind w:firstLine="482"/>
              <w:jc w:val="both"/>
              <w:rPr>
                <w:rFonts w:ascii="Times New Roman"/>
                <w:b/>
                <w:color w:val="auto"/>
                <w:sz w:val="24"/>
                <w:szCs w:val="24"/>
              </w:rPr>
            </w:pPr>
            <w:r>
              <w:rPr>
                <w:rFonts w:hint="eastAsia" w:ascii="Times New Roman"/>
                <w:b/>
                <w:color w:val="auto"/>
                <w:sz w:val="24"/>
                <w:szCs w:val="24"/>
              </w:rPr>
              <w:t>1、废气产生及排放情况</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本项目运营期不设锅炉和柴油发电机等设备，项目产生的废气主要一期工程的复合调味料生产过程称量配料、混合搅拌机分装过程中产生的少量粉尘，香精生产过程中产生的香料异味和有机废气。二期工程主要为奶油制品生产和符合调味品生产，二期工程主要废气为复合调味品粉状原料投料产生极少量的粉尘。</w:t>
            </w:r>
          </w:p>
          <w:p>
            <w:pPr>
              <w:pStyle w:val="31"/>
              <w:adjustRightInd w:val="0"/>
              <w:snapToGrid w:val="0"/>
              <w:ind w:firstLine="482"/>
              <w:jc w:val="both"/>
              <w:rPr>
                <w:rFonts w:ascii="Times New Roman"/>
                <w:b/>
                <w:color w:val="auto"/>
                <w:sz w:val="24"/>
                <w:szCs w:val="24"/>
              </w:rPr>
            </w:pPr>
            <w:r>
              <w:rPr>
                <w:rFonts w:hint="eastAsia" w:ascii="Times New Roman"/>
                <w:b/>
                <w:color w:val="auto"/>
                <w:sz w:val="24"/>
                <w:szCs w:val="24"/>
              </w:rPr>
              <w:t>一期工程：</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（1）复合调味料投料粉尘</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一期工程复合调味料在生产过程使用的原材料涉及粉末状物质，在称量配料和投料过程中会有极少量粉尘产生，参考</w:t>
            </w:r>
            <w:r>
              <w:rPr>
                <w:rFonts w:ascii="Times New Roman"/>
                <w:bCs/>
                <w:color w:val="auto"/>
                <w:sz w:val="24"/>
                <w:szCs w:val="24"/>
              </w:rPr>
              <w:t>《排放源统计调查产排污核算方法和系数手册》</w:t>
            </w:r>
            <w:r>
              <w:rPr>
                <w:rFonts w:hint="eastAsia" w:ascii="Times New Roman"/>
                <w:bCs/>
                <w:color w:val="auto"/>
                <w:sz w:val="24"/>
                <w:szCs w:val="24"/>
              </w:rPr>
              <w:t>-</w:t>
            </w:r>
            <w:r>
              <w:rPr>
                <w:rFonts w:ascii="Times New Roman"/>
                <w:color w:val="auto"/>
                <w:kern w:val="2"/>
                <w:sz w:val="21"/>
                <w:szCs w:val="24"/>
              </w:rPr>
              <w:t xml:space="preserve"> </w:t>
            </w:r>
            <w:r>
              <w:rPr>
                <w:rFonts w:ascii="Times New Roman"/>
                <w:bCs/>
                <w:color w:val="auto"/>
                <w:sz w:val="24"/>
                <w:szCs w:val="24"/>
              </w:rPr>
              <w:t>137 蔬菜、菌类、水果和坚果加工行业系数手册</w:t>
            </w:r>
            <w:r>
              <w:rPr>
                <w:rFonts w:hint="eastAsia" w:ascii="Times New Roman"/>
                <w:bCs/>
                <w:color w:val="auto"/>
                <w:sz w:val="24"/>
                <w:szCs w:val="24"/>
              </w:rPr>
              <w:t>，颗粒物产生系数4</w:t>
            </w:r>
            <w:r>
              <w:rPr>
                <w:rFonts w:ascii="Times New Roman"/>
                <w:bCs/>
                <w:color w:val="auto"/>
                <w:sz w:val="24"/>
                <w:szCs w:val="24"/>
              </w:rPr>
              <w:t>50</w:t>
            </w:r>
            <w:r>
              <w:rPr>
                <w:rFonts w:hint="eastAsia" w:ascii="Times New Roman"/>
                <w:bCs/>
                <w:color w:val="auto"/>
                <w:sz w:val="24"/>
                <w:szCs w:val="24"/>
              </w:rPr>
              <w:t>g</w:t>
            </w:r>
            <w:r>
              <w:rPr>
                <w:rFonts w:ascii="Times New Roman"/>
                <w:bCs/>
                <w:color w:val="auto"/>
                <w:sz w:val="24"/>
                <w:szCs w:val="24"/>
              </w:rPr>
              <w:t>/</w:t>
            </w:r>
            <w:r>
              <w:rPr>
                <w:rFonts w:hint="eastAsia" w:ascii="Times New Roman"/>
                <w:bCs/>
                <w:color w:val="auto"/>
                <w:sz w:val="24"/>
                <w:szCs w:val="24"/>
              </w:rPr>
              <w:t>t产品，项目原料使用量</w:t>
            </w:r>
            <w:r>
              <w:rPr>
                <w:rFonts w:ascii="Times New Roman"/>
                <w:bCs/>
                <w:color w:val="auto"/>
                <w:sz w:val="24"/>
                <w:szCs w:val="24"/>
              </w:rPr>
              <w:t>10</w:t>
            </w:r>
            <w:r>
              <w:rPr>
                <w:rFonts w:hint="eastAsia" w:ascii="Times New Roman"/>
                <w:bCs/>
                <w:color w:val="auto"/>
                <w:sz w:val="24"/>
                <w:szCs w:val="24"/>
              </w:rPr>
              <w:t>吨，其中可可粉、鸡蛋粉原料用量约2吨，则颗粒物产生量0</w:t>
            </w:r>
            <w:r>
              <w:rPr>
                <w:rFonts w:ascii="Times New Roman"/>
                <w:bCs/>
                <w:color w:val="auto"/>
                <w:sz w:val="24"/>
                <w:szCs w:val="24"/>
              </w:rPr>
              <w:t>.009</w:t>
            </w:r>
            <w:r>
              <w:rPr>
                <w:rFonts w:hint="eastAsia" w:ascii="Times New Roman"/>
                <w:bCs/>
                <w:color w:val="auto"/>
                <w:sz w:val="24"/>
                <w:szCs w:val="24"/>
              </w:rPr>
              <w:t>t</w:t>
            </w:r>
            <w:r>
              <w:rPr>
                <w:rFonts w:ascii="Times New Roman"/>
                <w:bCs/>
                <w:color w:val="auto"/>
                <w:sz w:val="24"/>
                <w:szCs w:val="24"/>
              </w:rPr>
              <w:t>/</w:t>
            </w:r>
            <w:r>
              <w:rPr>
                <w:rFonts w:hint="eastAsia" w:ascii="Times New Roman"/>
                <w:bCs/>
                <w:color w:val="auto"/>
                <w:sz w:val="24"/>
                <w:szCs w:val="24"/>
              </w:rPr>
              <w:t>a，产生量较小，并且投料方式为人工采用专用瓢状容器加入复合调味料的搅拌容器中，搅拌容器顶部开设较小投料口，原料加入后，关闭投料口，且基本在封闭搅拌机中进行，且搅拌过程加入湿式原料，极大限度降低粉尘的产生，因此，仅配料和投料过程时产生少量粉尘无组织排放。</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（2）香精投料搅拌有机废气</w:t>
            </w:r>
          </w:p>
          <w:p>
            <w:pPr>
              <w:pStyle w:val="90"/>
              <w:ind w:firstLine="480"/>
              <w:rPr>
                <w:rFonts w:ascii="Times New Roman" w:hAnsi="Times New Roman" w:cs="Times New Roman"/>
              </w:rPr>
            </w:pPr>
            <w:r>
              <w:rPr>
                <w:rFonts w:hint="eastAsia" w:ascii="Times New Roman" w:hAnsi="Times New Roman" w:cs="Times New Roman"/>
              </w:rPr>
              <w:t>项目香精的原料主要为</w:t>
            </w:r>
            <w:r>
              <w:rPr>
                <w:rFonts w:hint="eastAsia" w:ascii="Times New Roman" w:hAnsi="Times New Roman"/>
                <w:szCs w:val="21"/>
              </w:rPr>
              <w:t>辛癸酸甘油酯（MCT）、食用酒精、三乙酸甘油酯、丙二醇、丁位十二内酯、丁位癸内酯、香兰素、乙偶姻、乙基麦芽酚、丁酸、丙位壬内酯、丙位癸内酯、乙基香兰素等，其中食用酒精和丙二醇可能会少量挥发，香精生产仅为混合分装，不含热反应工艺，大部分原料存在香气异味，在低温状态下均较为稳定，自身挥发性极低，本次评价按照最不利影响考虑，考虑食用酒精少量挥发，以非甲烷总烃计，</w:t>
            </w:r>
            <w:r>
              <w:rPr>
                <w:rFonts w:hint="eastAsia" w:ascii="Times New Roman" w:hAnsi="Times New Roman" w:cs="Times New Roman"/>
              </w:rPr>
              <w:t>参考《排放源统计调查产排污核算方法和系数手册》-《日用化学产品制造行业系数手册》香精挥发性有机物的产污系数为250g/t·产品，项目年产</w:t>
            </w:r>
            <w:r>
              <w:rPr>
                <w:rFonts w:ascii="Times New Roman" w:hAnsi="Times New Roman" w:cs="Times New Roman"/>
              </w:rPr>
              <w:t>1</w:t>
            </w:r>
            <w:r>
              <w:rPr>
                <w:rFonts w:hint="eastAsia" w:ascii="Times New Roman" w:hAnsi="Times New Roman" w:cs="Times New Roman"/>
              </w:rPr>
              <w:t>00吨香精（膏状香精、液体香精），则本项目香精生产产生的挥发性有机物为0.</w:t>
            </w:r>
            <w:r>
              <w:rPr>
                <w:rFonts w:ascii="Times New Roman" w:hAnsi="Times New Roman" w:cs="Times New Roman"/>
              </w:rPr>
              <w:t>025</w:t>
            </w:r>
            <w:r>
              <w:rPr>
                <w:rFonts w:hint="eastAsia" w:ascii="Times New Roman" w:hAnsi="Times New Roman" w:cs="Times New Roman"/>
              </w:rPr>
              <w:t>t/a，</w:t>
            </w:r>
            <w:r>
              <w:rPr>
                <w:rFonts w:hint="eastAsia" w:ascii="Times New Roman" w:hAnsi="Times New Roman"/>
                <w:bCs/>
              </w:rPr>
              <w:t>挥发性有机物经车间通风换气和空气净化处理后，在生产车间内以无组织形式排放。</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（3）香精投料搅拌粉尘</w:t>
            </w:r>
          </w:p>
          <w:p>
            <w:pPr>
              <w:pStyle w:val="90"/>
              <w:ind w:firstLine="480"/>
              <w:rPr>
                <w:rFonts w:ascii="Times New Roman" w:hAnsi="Times New Roman" w:cs="Times New Roman"/>
              </w:rPr>
            </w:pPr>
            <w:r>
              <w:rPr>
                <w:rFonts w:hint="eastAsia" w:ascii="Times New Roman" w:hAnsi="Times New Roman"/>
                <w:bCs/>
                <w:szCs w:val="24"/>
              </w:rPr>
              <w:t>香精生产原料中存在少量粉类原料，投料过程中会产生极少量的粉尘，由于粉质原料用量极少，主要为香兰素、乙基麦芽酚、乙偶姻，年用量</w:t>
            </w:r>
            <w:r>
              <w:rPr>
                <w:rFonts w:ascii="Times New Roman" w:hAnsi="Times New Roman"/>
                <w:bCs/>
                <w:szCs w:val="24"/>
              </w:rPr>
              <w:t>10</w:t>
            </w:r>
            <w:r>
              <w:rPr>
                <w:rFonts w:hint="eastAsia" w:ascii="Times New Roman" w:hAnsi="Times New Roman"/>
                <w:bCs/>
                <w:szCs w:val="24"/>
              </w:rPr>
              <w:t>t</w:t>
            </w:r>
            <w:r>
              <w:rPr>
                <w:rFonts w:ascii="Times New Roman" w:hAnsi="Times New Roman"/>
                <w:bCs/>
                <w:szCs w:val="24"/>
              </w:rPr>
              <w:t>/</w:t>
            </w:r>
            <w:r>
              <w:rPr>
                <w:rFonts w:hint="eastAsia" w:ascii="Times New Roman" w:hAnsi="Times New Roman"/>
                <w:bCs/>
                <w:szCs w:val="24"/>
              </w:rPr>
              <w:t>a，参考《逸散性工业粉尘控制技术》，粉尘产生系数0</w:t>
            </w:r>
            <w:r>
              <w:rPr>
                <w:rFonts w:ascii="Times New Roman" w:hAnsi="Times New Roman"/>
                <w:bCs/>
                <w:szCs w:val="24"/>
              </w:rPr>
              <w:t>.05</w:t>
            </w:r>
            <w:r>
              <w:rPr>
                <w:rFonts w:hint="eastAsia" w:ascii="Times New Roman" w:hAnsi="Times New Roman"/>
                <w:bCs/>
                <w:szCs w:val="24"/>
              </w:rPr>
              <w:t>kg</w:t>
            </w:r>
            <w:r>
              <w:rPr>
                <w:rFonts w:ascii="Times New Roman" w:hAnsi="Times New Roman"/>
                <w:bCs/>
                <w:szCs w:val="24"/>
              </w:rPr>
              <w:t>/</w:t>
            </w:r>
            <w:r>
              <w:rPr>
                <w:rFonts w:hint="eastAsia" w:ascii="Times New Roman" w:hAnsi="Times New Roman"/>
                <w:bCs/>
                <w:szCs w:val="24"/>
              </w:rPr>
              <w:t>t原料，则粉尘产生量0</w:t>
            </w:r>
            <w:r>
              <w:rPr>
                <w:rFonts w:ascii="Times New Roman" w:hAnsi="Times New Roman"/>
                <w:bCs/>
                <w:szCs w:val="24"/>
              </w:rPr>
              <w:t>.0005</w:t>
            </w:r>
            <w:r>
              <w:rPr>
                <w:rFonts w:hint="eastAsia" w:ascii="Times New Roman" w:hAnsi="Times New Roman"/>
                <w:bCs/>
                <w:szCs w:val="24"/>
              </w:rPr>
              <w:t>t</w:t>
            </w:r>
            <w:r>
              <w:rPr>
                <w:rFonts w:ascii="Times New Roman" w:hAnsi="Times New Roman"/>
                <w:bCs/>
                <w:szCs w:val="24"/>
              </w:rPr>
              <w:t>/</w:t>
            </w:r>
            <w:r>
              <w:rPr>
                <w:rFonts w:hint="eastAsia" w:ascii="Times New Roman" w:hAnsi="Times New Roman"/>
                <w:bCs/>
                <w:szCs w:val="24"/>
              </w:rPr>
              <w:t>a，项目产生量较小，</w:t>
            </w:r>
            <w:r>
              <w:rPr>
                <w:rFonts w:hint="eastAsia" w:ascii="Times New Roman" w:hAnsi="Times New Roman"/>
                <w:bCs/>
              </w:rPr>
              <w:t>通风换气和空气净化处理后，在生产车间内以无组织形式排放。</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w:t>
            </w:r>
            <w:r>
              <w:rPr>
                <w:rFonts w:ascii="Times New Roman"/>
                <w:bCs/>
                <w:color w:val="auto"/>
                <w:sz w:val="24"/>
                <w:szCs w:val="24"/>
              </w:rPr>
              <w:t>4</w:t>
            </w:r>
            <w:r>
              <w:rPr>
                <w:rFonts w:hint="eastAsia" w:ascii="Times New Roman"/>
                <w:bCs/>
                <w:color w:val="auto"/>
                <w:sz w:val="24"/>
                <w:szCs w:val="24"/>
              </w:rPr>
              <w:t>）香料异味（臭气）</w:t>
            </w:r>
          </w:p>
          <w:p>
            <w:pPr>
              <w:pStyle w:val="31"/>
              <w:adjustRightInd w:val="0"/>
              <w:ind w:firstLine="480"/>
              <w:rPr>
                <w:rFonts w:ascii="Times New Roman"/>
                <w:bCs/>
                <w:color w:val="auto"/>
                <w:sz w:val="24"/>
              </w:rPr>
            </w:pPr>
            <w:r>
              <w:rPr>
                <w:rFonts w:hint="eastAsia" w:ascii="Times New Roman"/>
                <w:bCs/>
                <w:color w:val="auto"/>
                <w:sz w:val="24"/>
              </w:rPr>
              <w:t>项目生产过程中使用的原料会挥发带有特殊气味和生产过程中会产生异味，这种异味能够刺激人的嗅觉器官并引起人们的不适，散发的异味浓度因原料、生产规模、操作工艺等而有较大差异，难以定量确定。加强车间通风，不会对车间生产和周边环境产生不良影响，</w:t>
            </w:r>
            <w:r>
              <w:rPr>
                <w:rFonts w:hint="eastAsia" w:ascii="Times New Roman"/>
                <w:bCs/>
                <w:color w:val="auto"/>
                <w:sz w:val="24"/>
                <w:szCs w:val="24"/>
              </w:rPr>
              <w:t>预计厂界臭气浓度无组织排放浓度可达到《恶臭污染物排放标准》（G</w:t>
            </w:r>
            <w:r>
              <w:rPr>
                <w:rFonts w:ascii="Times New Roman"/>
                <w:bCs/>
                <w:color w:val="auto"/>
                <w:sz w:val="24"/>
                <w:szCs w:val="24"/>
              </w:rPr>
              <w:t>B14554-93</w:t>
            </w:r>
            <w:r>
              <w:rPr>
                <w:rFonts w:hint="eastAsia" w:ascii="Times New Roman"/>
                <w:bCs/>
                <w:color w:val="auto"/>
                <w:sz w:val="24"/>
                <w:szCs w:val="24"/>
              </w:rPr>
              <w:t>）表1恶臭污染物排放标准值（臭气浓度≤2</w:t>
            </w:r>
            <w:r>
              <w:rPr>
                <w:rFonts w:ascii="Times New Roman"/>
                <w:bCs/>
                <w:color w:val="auto"/>
                <w:sz w:val="24"/>
                <w:szCs w:val="24"/>
              </w:rPr>
              <w:t>0</w:t>
            </w:r>
            <w:r>
              <w:rPr>
                <w:rFonts w:hint="eastAsia" w:ascii="Times New Roman"/>
                <w:bCs/>
                <w:color w:val="auto"/>
                <w:sz w:val="24"/>
                <w:szCs w:val="24"/>
              </w:rPr>
              <w:t>（无量纲））。</w:t>
            </w:r>
          </w:p>
          <w:p>
            <w:pPr>
              <w:pStyle w:val="31"/>
              <w:adjustRightInd w:val="0"/>
              <w:snapToGrid w:val="0"/>
              <w:ind w:firstLine="480" w:firstLineChars="0"/>
              <w:jc w:val="both"/>
              <w:rPr>
                <w:rFonts w:ascii="Times New Roman"/>
                <w:bCs/>
                <w:color w:val="auto"/>
                <w:sz w:val="24"/>
                <w:szCs w:val="24"/>
              </w:rPr>
            </w:pPr>
            <w:r>
              <w:rPr>
                <w:rFonts w:hint="eastAsia" w:ascii="Times New Roman"/>
                <w:bCs/>
                <w:color w:val="auto"/>
                <w:sz w:val="24"/>
                <w:szCs w:val="24"/>
              </w:rPr>
              <w:t>（5）污水处理站恶臭</w:t>
            </w:r>
          </w:p>
          <w:p>
            <w:pPr>
              <w:pStyle w:val="31"/>
              <w:adjustRightInd w:val="0"/>
              <w:snapToGrid w:val="0"/>
              <w:ind w:firstLine="480" w:firstLineChars="0"/>
              <w:jc w:val="both"/>
              <w:rPr>
                <w:rFonts w:ascii="Times New Roman"/>
                <w:bCs/>
                <w:color w:val="auto"/>
                <w:sz w:val="24"/>
                <w:szCs w:val="24"/>
              </w:rPr>
            </w:pPr>
            <w:r>
              <w:rPr>
                <w:rFonts w:hint="eastAsia" w:ascii="Times New Roman"/>
                <w:bCs/>
                <w:color w:val="auto"/>
                <w:sz w:val="24"/>
                <w:szCs w:val="24"/>
              </w:rPr>
              <w:t>一期工程设置1套一体化污水处理设备，预处理设备清洗废水后排入市政管网，清洗废水中含有部分香精原料和奶制品污水，储存过程会产生少量恶臭气体（主要为香精原料异味），由于采用的全封闭的一体化污水处理设备，排放极少，参考《</w:t>
            </w:r>
            <w:r>
              <w:rPr>
                <w:rFonts w:ascii="Times New Roman"/>
                <w:bCs/>
                <w:color w:val="auto"/>
                <w:sz w:val="24"/>
                <w:szCs w:val="24"/>
              </w:rPr>
              <w:t>排污</w:t>
            </w:r>
            <w:r>
              <w:rPr>
                <w:rFonts w:hint="eastAsia" w:ascii="Times New Roman"/>
                <w:bCs/>
                <w:color w:val="auto"/>
                <w:sz w:val="24"/>
                <w:szCs w:val="24"/>
              </w:rPr>
              <w:t>许可证申请与核发技术规范  日用化学产品制造工业</w:t>
            </w:r>
            <w:r>
              <w:rPr>
                <w:rFonts w:ascii="Times New Roman"/>
                <w:bCs/>
                <w:color w:val="auto"/>
                <w:sz w:val="24"/>
                <w:szCs w:val="24"/>
              </w:rPr>
              <w:t>》</w:t>
            </w:r>
            <w:r>
              <w:rPr>
                <w:rFonts w:hint="eastAsia" w:ascii="Times New Roman"/>
                <w:bCs/>
                <w:color w:val="auto"/>
                <w:sz w:val="24"/>
                <w:szCs w:val="24"/>
              </w:rPr>
              <w:t>（HJ1104-2020），</w:t>
            </w:r>
            <w:r>
              <w:rPr>
                <w:rFonts w:hint="eastAsia" w:ascii="Times New Roman"/>
                <w:bCs/>
                <w:color w:val="auto"/>
                <w:sz w:val="24"/>
              </w:rPr>
              <w:t>本评价采用臭气浓度对其进行日常监管，</w:t>
            </w:r>
            <w:r>
              <w:rPr>
                <w:rFonts w:hint="eastAsia" w:ascii="Times New Roman"/>
                <w:bCs/>
                <w:color w:val="auto"/>
                <w:sz w:val="24"/>
                <w:szCs w:val="24"/>
              </w:rPr>
              <w:t>本次评价不予量化处理。</w:t>
            </w:r>
          </w:p>
          <w:p>
            <w:pPr>
              <w:adjustRightInd w:val="0"/>
              <w:snapToGrid w:val="0"/>
              <w:spacing w:line="400" w:lineRule="exact"/>
              <w:jc w:val="center"/>
              <w:rPr>
                <w:b/>
                <w:sz w:val="24"/>
              </w:rPr>
            </w:pPr>
            <w:r>
              <w:rPr>
                <w:rFonts w:hint="eastAsia"/>
                <w:b/>
                <w:sz w:val="24"/>
              </w:rPr>
              <w:t>表4</w:t>
            </w:r>
            <w:r>
              <w:rPr>
                <w:b/>
                <w:sz w:val="24"/>
              </w:rPr>
              <w:t>-1</w:t>
            </w:r>
            <w:r>
              <w:rPr>
                <w:rFonts w:hint="eastAsia"/>
                <w:b/>
                <w:sz w:val="24"/>
              </w:rPr>
              <w:t>一期工程废气产生排放情况表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1503"/>
              <w:gridCol w:w="1563"/>
              <w:gridCol w:w="1751"/>
              <w:gridCol w:w="1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污染工序</w:t>
                  </w:r>
                </w:p>
              </w:tc>
              <w:tc>
                <w:tcPr>
                  <w:tcW w:w="896"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排放方式</w:t>
                  </w:r>
                </w:p>
              </w:tc>
              <w:tc>
                <w:tcPr>
                  <w:tcW w:w="932"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污染因子</w:t>
                  </w:r>
                </w:p>
              </w:tc>
              <w:tc>
                <w:tcPr>
                  <w:tcW w:w="1044"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产生量t</w:t>
                  </w:r>
                  <w:r>
                    <w:rPr>
                      <w:rFonts w:ascii="Times New Roman"/>
                      <w:bCs/>
                      <w:color w:val="auto"/>
                      <w:sz w:val="21"/>
                    </w:rPr>
                    <w:t>/</w:t>
                  </w:r>
                  <w:r>
                    <w:rPr>
                      <w:rFonts w:hint="eastAsia" w:ascii="Times New Roman"/>
                      <w:bCs/>
                      <w:color w:val="auto"/>
                      <w:sz w:val="21"/>
                    </w:rPr>
                    <w:t>a</w:t>
                  </w:r>
                </w:p>
              </w:tc>
              <w:tc>
                <w:tcPr>
                  <w:tcW w:w="1075"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排放量t</w:t>
                  </w:r>
                  <w:r>
                    <w:rPr>
                      <w:rFonts w:ascii="Times New Roman"/>
                      <w:bCs/>
                      <w:color w:val="auto"/>
                      <w:sz w:val="21"/>
                    </w:rPr>
                    <w:t>/</w:t>
                  </w:r>
                  <w:r>
                    <w:rPr>
                      <w:rFonts w:hint="eastAsia" w:ascii="Times New Roman"/>
                      <w:bCs/>
                      <w:color w:val="auto"/>
                      <w:sz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3" w:type="pct"/>
                  <w:vMerge w:val="restar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香精配料、投料、搅拌工序</w:t>
                  </w:r>
                </w:p>
              </w:tc>
              <w:tc>
                <w:tcPr>
                  <w:tcW w:w="896"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无组织</w:t>
                  </w:r>
                </w:p>
              </w:tc>
              <w:tc>
                <w:tcPr>
                  <w:tcW w:w="932"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非甲烷总烃</w:t>
                  </w:r>
                </w:p>
              </w:tc>
              <w:tc>
                <w:tcPr>
                  <w:tcW w:w="1044"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0</w:t>
                  </w:r>
                  <w:r>
                    <w:rPr>
                      <w:rFonts w:ascii="Times New Roman"/>
                      <w:bCs/>
                      <w:color w:val="auto"/>
                      <w:sz w:val="21"/>
                    </w:rPr>
                    <w:t>.025</w:t>
                  </w:r>
                </w:p>
              </w:tc>
              <w:tc>
                <w:tcPr>
                  <w:tcW w:w="1075"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color w:val="auto"/>
                      <w:sz w:val="21"/>
                    </w:rPr>
                    <w:t>0.0</w:t>
                  </w:r>
                  <w:r>
                    <w:rPr>
                      <w:rFonts w:ascii="Times New Roman"/>
                      <w:color w:val="auto"/>
                      <w:sz w:val="21"/>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53" w:type="pct"/>
                  <w:vMerge w:val="continue"/>
                  <w:vAlign w:val="center"/>
                </w:tcPr>
                <w:p>
                  <w:pPr>
                    <w:pStyle w:val="31"/>
                    <w:adjustRightInd w:val="0"/>
                    <w:snapToGrid w:val="0"/>
                    <w:spacing w:line="240" w:lineRule="auto"/>
                    <w:ind w:firstLine="0" w:firstLineChars="0"/>
                    <w:jc w:val="center"/>
                    <w:rPr>
                      <w:rFonts w:ascii="Times New Roman"/>
                      <w:bCs/>
                      <w:color w:val="auto"/>
                      <w:sz w:val="21"/>
                    </w:rPr>
                  </w:pPr>
                </w:p>
              </w:tc>
              <w:tc>
                <w:tcPr>
                  <w:tcW w:w="896"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无组织</w:t>
                  </w:r>
                </w:p>
              </w:tc>
              <w:tc>
                <w:tcPr>
                  <w:tcW w:w="932"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颗粒物</w:t>
                  </w:r>
                </w:p>
              </w:tc>
              <w:tc>
                <w:tcPr>
                  <w:tcW w:w="1044"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0</w:t>
                  </w:r>
                  <w:r>
                    <w:rPr>
                      <w:rFonts w:ascii="Times New Roman"/>
                      <w:bCs/>
                      <w:color w:val="auto"/>
                      <w:sz w:val="21"/>
                    </w:rPr>
                    <w:t>.0005</w:t>
                  </w:r>
                </w:p>
              </w:tc>
              <w:tc>
                <w:tcPr>
                  <w:tcW w:w="1075"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0</w:t>
                  </w:r>
                  <w:r>
                    <w:rPr>
                      <w:rFonts w:ascii="Times New Roman"/>
                      <w:bCs/>
                      <w:color w:val="auto"/>
                      <w:sz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53"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复合调味料投料</w:t>
                  </w:r>
                </w:p>
              </w:tc>
              <w:tc>
                <w:tcPr>
                  <w:tcW w:w="896"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无组织</w:t>
                  </w:r>
                </w:p>
              </w:tc>
              <w:tc>
                <w:tcPr>
                  <w:tcW w:w="932"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颗粒物</w:t>
                  </w:r>
                </w:p>
              </w:tc>
              <w:tc>
                <w:tcPr>
                  <w:tcW w:w="1044"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0</w:t>
                  </w:r>
                  <w:r>
                    <w:rPr>
                      <w:rFonts w:ascii="Times New Roman"/>
                      <w:bCs/>
                      <w:color w:val="auto"/>
                      <w:sz w:val="21"/>
                    </w:rPr>
                    <w:t>.009</w:t>
                  </w:r>
                </w:p>
              </w:tc>
              <w:tc>
                <w:tcPr>
                  <w:tcW w:w="1075" w:type="pct"/>
                  <w:vAlign w:val="center"/>
                </w:tcPr>
                <w:p>
                  <w:pPr>
                    <w:pStyle w:val="31"/>
                    <w:adjustRightInd w:val="0"/>
                    <w:snapToGrid w:val="0"/>
                    <w:spacing w:line="240" w:lineRule="auto"/>
                    <w:ind w:firstLine="0" w:firstLineChars="0"/>
                    <w:jc w:val="center"/>
                    <w:rPr>
                      <w:rFonts w:ascii="Times New Roman"/>
                      <w:bCs/>
                      <w:color w:val="auto"/>
                      <w:sz w:val="21"/>
                    </w:rPr>
                  </w:pPr>
                  <w:r>
                    <w:rPr>
                      <w:rFonts w:hint="eastAsia" w:ascii="Times New Roman"/>
                      <w:bCs/>
                      <w:color w:val="auto"/>
                      <w:sz w:val="21"/>
                    </w:rPr>
                    <w:t>0</w:t>
                  </w:r>
                  <w:r>
                    <w:rPr>
                      <w:rFonts w:ascii="Times New Roman"/>
                      <w:bCs/>
                      <w:color w:val="auto"/>
                      <w:sz w:val="21"/>
                    </w:rPr>
                    <w:t>.009</w:t>
                  </w:r>
                </w:p>
              </w:tc>
            </w:tr>
          </w:tbl>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无组织排放厂界污染物颗粒物、非甲烷总烃预计能够满足</w:t>
            </w:r>
            <w:r>
              <w:rPr>
                <w:rFonts w:hint="eastAsia" w:ascii="Times New Roman"/>
                <w:color w:val="auto"/>
                <w:sz w:val="24"/>
              </w:rPr>
              <w:t>《大气污染物排放标准标准》（GB 16297-1996　）新建二级标准。</w:t>
            </w:r>
          </w:p>
          <w:p>
            <w:pPr>
              <w:pStyle w:val="31"/>
              <w:adjustRightInd w:val="0"/>
              <w:snapToGrid w:val="0"/>
              <w:ind w:firstLine="482"/>
              <w:jc w:val="both"/>
              <w:rPr>
                <w:rFonts w:ascii="Times New Roman"/>
                <w:b/>
                <w:color w:val="auto"/>
                <w:sz w:val="24"/>
                <w:szCs w:val="24"/>
              </w:rPr>
            </w:pPr>
            <w:r>
              <w:rPr>
                <w:rFonts w:hint="eastAsia" w:ascii="Times New Roman"/>
                <w:b/>
                <w:color w:val="auto"/>
                <w:sz w:val="24"/>
                <w:szCs w:val="24"/>
              </w:rPr>
              <w:t>二期工程：</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二期工程主要在一期工程基础上扩建奶制品加工规模和复合调味品加工规模，奶制品加工过程基本不产生废气，主要废气主要为复合调味品投料过程粉尘。</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同一期工程，参考</w:t>
            </w:r>
            <w:r>
              <w:rPr>
                <w:rFonts w:ascii="Times New Roman"/>
                <w:bCs/>
                <w:color w:val="auto"/>
                <w:sz w:val="24"/>
                <w:szCs w:val="24"/>
              </w:rPr>
              <w:t>《排放源统计调查产排污核算方法和系数手册》</w:t>
            </w:r>
            <w:r>
              <w:rPr>
                <w:rFonts w:hint="eastAsia" w:ascii="Times New Roman"/>
                <w:bCs/>
                <w:color w:val="auto"/>
                <w:sz w:val="24"/>
                <w:szCs w:val="24"/>
              </w:rPr>
              <w:t>-</w:t>
            </w:r>
            <w:r>
              <w:rPr>
                <w:rFonts w:ascii="Times New Roman"/>
                <w:color w:val="auto"/>
                <w:kern w:val="2"/>
                <w:sz w:val="21"/>
                <w:szCs w:val="24"/>
              </w:rPr>
              <w:t xml:space="preserve"> </w:t>
            </w:r>
            <w:r>
              <w:rPr>
                <w:rFonts w:ascii="Times New Roman"/>
                <w:bCs/>
                <w:color w:val="auto"/>
                <w:sz w:val="24"/>
                <w:szCs w:val="24"/>
              </w:rPr>
              <w:t>137 蔬菜、菌类、水果和坚果加工行业系数手册</w:t>
            </w:r>
            <w:r>
              <w:rPr>
                <w:rFonts w:hint="eastAsia" w:ascii="Times New Roman"/>
                <w:bCs/>
                <w:color w:val="auto"/>
                <w:sz w:val="24"/>
                <w:szCs w:val="24"/>
              </w:rPr>
              <w:t>，颗粒物产生系数4</w:t>
            </w:r>
            <w:r>
              <w:rPr>
                <w:rFonts w:ascii="Times New Roman"/>
                <w:bCs/>
                <w:color w:val="auto"/>
                <w:sz w:val="24"/>
                <w:szCs w:val="24"/>
              </w:rPr>
              <w:t>50</w:t>
            </w:r>
            <w:r>
              <w:rPr>
                <w:rFonts w:hint="eastAsia" w:ascii="Times New Roman"/>
                <w:bCs/>
                <w:color w:val="auto"/>
                <w:sz w:val="24"/>
                <w:szCs w:val="24"/>
              </w:rPr>
              <w:t>g</w:t>
            </w:r>
            <w:r>
              <w:rPr>
                <w:rFonts w:ascii="Times New Roman"/>
                <w:bCs/>
                <w:color w:val="auto"/>
                <w:sz w:val="24"/>
                <w:szCs w:val="24"/>
              </w:rPr>
              <w:t>/</w:t>
            </w:r>
            <w:r>
              <w:rPr>
                <w:rFonts w:hint="eastAsia" w:ascii="Times New Roman"/>
                <w:bCs/>
                <w:color w:val="auto"/>
                <w:sz w:val="24"/>
                <w:szCs w:val="24"/>
              </w:rPr>
              <w:t>t产品，项目原料使用量</w:t>
            </w:r>
            <w:r>
              <w:rPr>
                <w:rFonts w:ascii="Times New Roman"/>
                <w:bCs/>
                <w:color w:val="auto"/>
                <w:sz w:val="24"/>
                <w:szCs w:val="24"/>
              </w:rPr>
              <w:t>40</w:t>
            </w:r>
            <w:r>
              <w:rPr>
                <w:rFonts w:hint="eastAsia" w:ascii="Times New Roman"/>
                <w:bCs/>
                <w:color w:val="auto"/>
                <w:sz w:val="24"/>
                <w:szCs w:val="24"/>
              </w:rPr>
              <w:t>吨，其中可可粉、鸡蛋粉原料用量约</w:t>
            </w:r>
            <w:r>
              <w:rPr>
                <w:rFonts w:ascii="Times New Roman"/>
                <w:bCs/>
                <w:color w:val="auto"/>
                <w:sz w:val="24"/>
                <w:szCs w:val="24"/>
              </w:rPr>
              <w:t>5</w:t>
            </w:r>
            <w:r>
              <w:rPr>
                <w:rFonts w:hint="eastAsia" w:ascii="Times New Roman"/>
                <w:bCs/>
                <w:color w:val="auto"/>
                <w:sz w:val="24"/>
                <w:szCs w:val="24"/>
              </w:rPr>
              <w:t>吨，则颗粒物产生量0</w:t>
            </w:r>
            <w:r>
              <w:rPr>
                <w:rFonts w:ascii="Times New Roman"/>
                <w:bCs/>
                <w:color w:val="auto"/>
                <w:sz w:val="24"/>
                <w:szCs w:val="24"/>
              </w:rPr>
              <w:t>.0225</w:t>
            </w:r>
            <w:r>
              <w:rPr>
                <w:rFonts w:hint="eastAsia" w:ascii="Times New Roman"/>
                <w:bCs/>
                <w:color w:val="auto"/>
                <w:sz w:val="24"/>
                <w:szCs w:val="24"/>
              </w:rPr>
              <w:t>t</w:t>
            </w:r>
            <w:r>
              <w:rPr>
                <w:rFonts w:ascii="Times New Roman"/>
                <w:bCs/>
                <w:color w:val="auto"/>
                <w:sz w:val="24"/>
                <w:szCs w:val="24"/>
              </w:rPr>
              <w:t>/</w:t>
            </w:r>
            <w:r>
              <w:rPr>
                <w:rFonts w:hint="eastAsia" w:ascii="Times New Roman"/>
                <w:bCs/>
                <w:color w:val="auto"/>
                <w:sz w:val="24"/>
                <w:szCs w:val="24"/>
              </w:rPr>
              <w:t>a，产生量较小，且基本在封闭搅拌机中进行，且搅拌过程加入湿式原料，极大限度降低粉尘的产生，因此，仅配料时产生少量粉尘无组织排放。</w:t>
            </w:r>
          </w:p>
          <w:p>
            <w:pPr>
              <w:pStyle w:val="31"/>
              <w:adjustRightInd w:val="0"/>
              <w:snapToGrid w:val="0"/>
              <w:ind w:firstLine="482"/>
              <w:jc w:val="both"/>
              <w:rPr>
                <w:rFonts w:ascii="Times New Roman"/>
                <w:b/>
                <w:color w:val="auto"/>
                <w:sz w:val="24"/>
                <w:szCs w:val="24"/>
              </w:rPr>
            </w:pPr>
            <w:r>
              <w:rPr>
                <w:rFonts w:ascii="Times New Roman"/>
                <w:b/>
                <w:color w:val="auto"/>
                <w:sz w:val="24"/>
                <w:szCs w:val="24"/>
              </w:rPr>
              <w:t>2</w:t>
            </w:r>
            <w:r>
              <w:rPr>
                <w:rFonts w:hint="eastAsia" w:ascii="Times New Roman"/>
                <w:b/>
                <w:color w:val="auto"/>
                <w:sz w:val="24"/>
                <w:szCs w:val="24"/>
              </w:rPr>
              <w:t>、措施可行性分析</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（1）车间异味</w:t>
            </w:r>
          </w:p>
          <w:p>
            <w:pPr>
              <w:pStyle w:val="31"/>
              <w:adjustRightInd w:val="0"/>
              <w:ind w:firstLine="480"/>
              <w:rPr>
                <w:rFonts w:ascii="Times New Roman"/>
                <w:bCs/>
                <w:color w:val="auto"/>
                <w:sz w:val="24"/>
              </w:rPr>
            </w:pPr>
            <w:r>
              <w:rPr>
                <w:rFonts w:hint="eastAsia" w:ascii="Times New Roman"/>
                <w:bCs/>
                <w:color w:val="auto"/>
                <w:sz w:val="24"/>
              </w:rPr>
              <w:t>项目</w:t>
            </w:r>
            <w:r>
              <w:rPr>
                <w:rFonts w:ascii="Times New Roman"/>
                <w:bCs/>
                <w:color w:val="auto"/>
                <w:sz w:val="24"/>
              </w:rPr>
              <w:t>生产过程中添加的</w:t>
            </w:r>
            <w:r>
              <w:rPr>
                <w:rFonts w:hint="eastAsia" w:ascii="Times New Roman"/>
                <w:bCs/>
                <w:color w:val="auto"/>
                <w:sz w:val="24"/>
              </w:rPr>
              <w:t>香精原料</w:t>
            </w:r>
            <w:r>
              <w:rPr>
                <w:rFonts w:ascii="Times New Roman"/>
                <w:bCs/>
                <w:color w:val="auto"/>
                <w:sz w:val="24"/>
              </w:rPr>
              <w:t>会散</w:t>
            </w:r>
            <w:r>
              <w:rPr>
                <w:rFonts w:hint="eastAsia" w:ascii="Times New Roman"/>
                <w:bCs/>
                <w:color w:val="auto"/>
                <w:sz w:val="24"/>
              </w:rPr>
              <w:t>各类浓郁香味</w:t>
            </w:r>
            <w:r>
              <w:rPr>
                <w:rFonts w:ascii="Times New Roman"/>
                <w:bCs/>
                <w:color w:val="auto"/>
                <w:sz w:val="24"/>
              </w:rPr>
              <w:t>气体，为减少生产车间内异味对周围环境的影响，同时也为了防止车间异味积聚过多对操作工人的健康带来危害，建议该项目采取如下措施：</w:t>
            </w:r>
          </w:p>
          <w:p>
            <w:pPr>
              <w:pStyle w:val="31"/>
              <w:adjustRightInd w:val="0"/>
              <w:ind w:firstLine="480"/>
              <w:rPr>
                <w:rFonts w:ascii="Times New Roman"/>
                <w:bCs/>
                <w:color w:val="auto"/>
                <w:sz w:val="24"/>
              </w:rPr>
            </w:pPr>
            <w:r>
              <w:rPr>
                <w:rFonts w:hint="eastAsia" w:hAnsi="宋体" w:cs="宋体"/>
                <w:bCs/>
                <w:color w:val="auto"/>
                <w:sz w:val="24"/>
              </w:rPr>
              <w:t>①</w:t>
            </w:r>
            <w:r>
              <w:rPr>
                <w:rFonts w:ascii="Times New Roman"/>
                <w:bCs/>
                <w:color w:val="auto"/>
                <w:sz w:val="24"/>
              </w:rPr>
              <w:t>生产过程产生的原料采用专用桶装密闭存放，</w:t>
            </w:r>
            <w:r>
              <w:rPr>
                <w:rFonts w:hint="eastAsia" w:ascii="Times New Roman"/>
                <w:bCs/>
                <w:color w:val="auto"/>
                <w:sz w:val="24"/>
              </w:rPr>
              <w:t>储存区域</w:t>
            </w:r>
            <w:r>
              <w:rPr>
                <w:rFonts w:ascii="Times New Roman"/>
                <w:bCs/>
                <w:color w:val="auto"/>
                <w:sz w:val="24"/>
              </w:rPr>
              <w:t>为水泥地面，地面较清洁，同时日产日清；</w:t>
            </w:r>
          </w:p>
          <w:p>
            <w:pPr>
              <w:pStyle w:val="31"/>
              <w:adjustRightInd w:val="0"/>
              <w:ind w:firstLine="480"/>
              <w:rPr>
                <w:rFonts w:ascii="Times New Roman"/>
                <w:bCs/>
                <w:color w:val="auto"/>
                <w:sz w:val="24"/>
              </w:rPr>
            </w:pPr>
            <w:r>
              <w:rPr>
                <w:rFonts w:hint="eastAsia" w:hAnsi="宋体" w:cs="宋体"/>
                <w:bCs/>
                <w:color w:val="auto"/>
                <w:sz w:val="24"/>
              </w:rPr>
              <w:t>②</w:t>
            </w:r>
            <w:r>
              <w:rPr>
                <w:rFonts w:ascii="Times New Roman"/>
                <w:bCs/>
                <w:color w:val="auto"/>
                <w:sz w:val="24"/>
              </w:rPr>
              <w:t>生产车间内应适当增加通风次数，对</w:t>
            </w:r>
            <w:r>
              <w:rPr>
                <w:rFonts w:hint="eastAsia" w:ascii="Times New Roman"/>
                <w:bCs/>
                <w:color w:val="auto"/>
                <w:sz w:val="24"/>
              </w:rPr>
              <w:t>生产设备及生产车间</w:t>
            </w:r>
            <w:r>
              <w:rPr>
                <w:rFonts w:ascii="Times New Roman"/>
                <w:bCs/>
                <w:color w:val="auto"/>
                <w:sz w:val="24"/>
              </w:rPr>
              <w:t>定期</w:t>
            </w:r>
            <w:r>
              <w:rPr>
                <w:rFonts w:hint="eastAsia" w:ascii="Times New Roman"/>
                <w:bCs/>
                <w:color w:val="auto"/>
                <w:sz w:val="24"/>
              </w:rPr>
              <w:t>清洗</w:t>
            </w:r>
            <w:r>
              <w:rPr>
                <w:rFonts w:ascii="Times New Roman"/>
                <w:bCs/>
                <w:color w:val="auto"/>
                <w:sz w:val="24"/>
              </w:rPr>
              <w:t>，去除异味；</w:t>
            </w:r>
          </w:p>
          <w:p>
            <w:pPr>
              <w:pStyle w:val="31"/>
              <w:adjustRightInd w:val="0"/>
              <w:ind w:firstLine="480"/>
              <w:rPr>
                <w:rFonts w:ascii="Times New Roman"/>
                <w:bCs/>
                <w:color w:val="auto"/>
                <w:sz w:val="24"/>
              </w:rPr>
            </w:pPr>
            <w:r>
              <w:rPr>
                <w:rFonts w:ascii="Times New Roman"/>
                <w:bCs/>
                <w:color w:val="auto"/>
                <w:sz w:val="24"/>
              </w:rPr>
              <w:t>（2）</w:t>
            </w:r>
            <w:r>
              <w:rPr>
                <w:rFonts w:hint="eastAsia" w:ascii="Times New Roman"/>
                <w:bCs/>
                <w:color w:val="auto"/>
                <w:sz w:val="24"/>
              </w:rPr>
              <w:t>挥发性有机物（非甲烷总烃）、粉尘</w:t>
            </w:r>
          </w:p>
          <w:p>
            <w:pPr>
              <w:pStyle w:val="31"/>
              <w:adjustRightInd w:val="0"/>
              <w:snapToGrid w:val="0"/>
              <w:ind w:firstLine="480"/>
              <w:jc w:val="both"/>
              <w:rPr>
                <w:rFonts w:ascii="Times New Roman"/>
                <w:bCs/>
                <w:color w:val="auto"/>
                <w:sz w:val="24"/>
                <w:szCs w:val="24"/>
              </w:rPr>
            </w:pPr>
            <w:r>
              <w:rPr>
                <w:rFonts w:hint="eastAsia" w:ascii="Times New Roman"/>
                <w:bCs/>
                <w:color w:val="auto"/>
                <w:sz w:val="24"/>
                <w:szCs w:val="24"/>
              </w:rPr>
              <w:t>项目投料工序等生产过程中产生的无</w:t>
            </w:r>
            <w:r>
              <w:rPr>
                <w:rFonts w:ascii="Times New Roman"/>
                <w:bCs/>
                <w:color w:val="auto"/>
                <w:sz w:val="24"/>
                <w:szCs w:val="24"/>
              </w:rPr>
              <w:t>组织排放的颗粒物</w:t>
            </w:r>
            <w:r>
              <w:rPr>
                <w:rFonts w:hint="eastAsia" w:ascii="Times New Roman"/>
                <w:bCs/>
                <w:color w:val="auto"/>
                <w:sz w:val="24"/>
                <w:szCs w:val="24"/>
              </w:rPr>
              <w:t>、非甲烷总烃</w:t>
            </w:r>
            <w:r>
              <w:rPr>
                <w:rFonts w:ascii="Times New Roman"/>
                <w:bCs/>
                <w:color w:val="auto"/>
                <w:sz w:val="24"/>
                <w:szCs w:val="24"/>
              </w:rPr>
              <w:t>厂界浓度可满足《大气污染物综合排放标准》（GB16297-1996）无组织排放监控浓度限值；</w:t>
            </w:r>
            <w:r>
              <w:rPr>
                <w:rFonts w:hint="eastAsia" w:ascii="Times New Roman"/>
                <w:bCs/>
                <w:color w:val="auto"/>
                <w:sz w:val="24"/>
                <w:szCs w:val="24"/>
              </w:rPr>
              <w:t>参考《</w:t>
            </w:r>
            <w:r>
              <w:rPr>
                <w:rFonts w:ascii="Times New Roman"/>
                <w:bCs/>
                <w:color w:val="auto"/>
                <w:sz w:val="24"/>
                <w:szCs w:val="24"/>
              </w:rPr>
              <w:t>排污</w:t>
            </w:r>
            <w:r>
              <w:rPr>
                <w:rFonts w:hint="eastAsia" w:ascii="Times New Roman"/>
                <w:bCs/>
                <w:color w:val="auto"/>
                <w:sz w:val="24"/>
                <w:szCs w:val="24"/>
              </w:rPr>
              <w:t>许可证申请与核发技术规范  日用化学产品制造工业</w:t>
            </w:r>
            <w:r>
              <w:rPr>
                <w:rFonts w:ascii="Times New Roman"/>
                <w:bCs/>
                <w:color w:val="auto"/>
                <w:sz w:val="24"/>
                <w:szCs w:val="24"/>
              </w:rPr>
              <w:t>》</w:t>
            </w:r>
            <w:r>
              <w:rPr>
                <w:rFonts w:hint="eastAsia" w:ascii="Times New Roman"/>
                <w:bCs/>
                <w:color w:val="auto"/>
                <w:sz w:val="24"/>
                <w:szCs w:val="24"/>
              </w:rPr>
              <w:t>（HJ1104-2020），仅对热反应工艺的香精生产的挥发性有机废气进行识别，并提出吸附等处理可行技术推荐，对于非热反应的香精生产未对其废气进行识别并提出相对应的措施，香精生产颗粒物和非甲烷总烃产量极少，采取车间通风，无组织排放。</w:t>
            </w:r>
          </w:p>
          <w:p>
            <w:pPr>
              <w:pStyle w:val="31"/>
              <w:adjustRightInd w:val="0"/>
              <w:snapToGrid w:val="0"/>
              <w:ind w:firstLine="482"/>
              <w:jc w:val="both"/>
              <w:rPr>
                <w:rFonts w:ascii="Times New Roman"/>
                <w:b/>
                <w:bCs/>
                <w:color w:val="auto"/>
                <w:sz w:val="24"/>
                <w:szCs w:val="24"/>
              </w:rPr>
            </w:pPr>
            <w:r>
              <w:rPr>
                <w:rFonts w:ascii="Times New Roman"/>
                <w:b/>
                <w:bCs/>
                <w:color w:val="auto"/>
                <w:sz w:val="24"/>
                <w:szCs w:val="24"/>
              </w:rPr>
              <w:t>3</w:t>
            </w:r>
            <w:r>
              <w:rPr>
                <w:rFonts w:hint="eastAsia" w:ascii="Times New Roman"/>
                <w:b/>
                <w:bCs/>
                <w:color w:val="auto"/>
                <w:sz w:val="24"/>
                <w:szCs w:val="24"/>
              </w:rPr>
              <w:t>、环境影响分析</w:t>
            </w:r>
          </w:p>
          <w:p>
            <w:pPr>
              <w:pStyle w:val="31"/>
              <w:adjustRightInd w:val="0"/>
              <w:snapToGrid w:val="0"/>
              <w:ind w:firstLine="480"/>
              <w:jc w:val="both"/>
              <w:rPr>
                <w:rFonts w:ascii="Times New Roman"/>
                <w:bCs/>
                <w:color w:val="auto"/>
                <w:sz w:val="24"/>
                <w:szCs w:val="24"/>
              </w:rPr>
            </w:pPr>
            <w:r>
              <w:rPr>
                <w:rFonts w:ascii="Times New Roman"/>
                <w:color w:val="auto"/>
                <w:sz w:val="24"/>
                <w:szCs w:val="24"/>
              </w:rPr>
              <w:t>本项目所在区域为达标区，项目厂界外500m范围大气环境保护目标</w:t>
            </w:r>
            <w:r>
              <w:rPr>
                <w:rFonts w:hint="eastAsia" w:ascii="Times New Roman"/>
                <w:color w:val="auto"/>
                <w:sz w:val="24"/>
                <w:szCs w:val="24"/>
              </w:rPr>
              <w:t>主要为附近新宝格镇居民，经估算模式计算，项目最远影响距离1</w:t>
            </w:r>
            <w:r>
              <w:rPr>
                <w:rFonts w:ascii="Times New Roman"/>
                <w:color w:val="auto"/>
                <w:sz w:val="24"/>
                <w:szCs w:val="24"/>
              </w:rPr>
              <w:t>00</w:t>
            </w:r>
            <w:r>
              <w:rPr>
                <w:rFonts w:hint="eastAsia" w:ascii="Times New Roman"/>
                <w:color w:val="auto"/>
                <w:sz w:val="24"/>
                <w:szCs w:val="24"/>
              </w:rPr>
              <w:t>m，非甲烷总烃最大落地浓度0</w:t>
            </w:r>
            <w:r>
              <w:rPr>
                <w:rFonts w:ascii="Times New Roman"/>
                <w:color w:val="auto"/>
                <w:sz w:val="24"/>
                <w:szCs w:val="24"/>
              </w:rPr>
              <w:t>.00023</w:t>
            </w:r>
            <w:r>
              <w:rPr>
                <w:rFonts w:hint="eastAsia" w:ascii="Times New Roman"/>
                <w:color w:val="auto"/>
                <w:sz w:val="24"/>
                <w:szCs w:val="24"/>
              </w:rPr>
              <w:t>mg</w:t>
            </w:r>
            <w:r>
              <w:rPr>
                <w:rFonts w:ascii="Times New Roman"/>
                <w:color w:val="auto"/>
                <w:sz w:val="24"/>
                <w:szCs w:val="24"/>
              </w:rPr>
              <w:t>/</w:t>
            </w:r>
            <w:r>
              <w:rPr>
                <w:rFonts w:hint="eastAsia" w:ascii="Times New Roman"/>
                <w:color w:val="auto"/>
                <w:sz w:val="24"/>
                <w:szCs w:val="24"/>
              </w:rPr>
              <w:t>m</w:t>
            </w:r>
            <w:r>
              <w:rPr>
                <w:rFonts w:ascii="Times New Roman"/>
                <w:color w:val="auto"/>
                <w:sz w:val="24"/>
                <w:szCs w:val="24"/>
                <w:vertAlign w:val="superscript"/>
              </w:rPr>
              <w:t>3</w:t>
            </w:r>
            <w:r>
              <w:rPr>
                <w:rFonts w:hint="eastAsia" w:ascii="Times New Roman"/>
                <w:color w:val="auto"/>
                <w:sz w:val="24"/>
                <w:szCs w:val="24"/>
              </w:rPr>
              <w:t>，能够满足《环境空气质量</w:t>
            </w:r>
            <w:r>
              <w:rPr>
                <w:rFonts w:ascii="Times New Roman"/>
                <w:color w:val="auto"/>
                <w:sz w:val="24"/>
                <w:szCs w:val="24"/>
              </w:rPr>
              <w:t xml:space="preserve"> </w:t>
            </w:r>
            <w:r>
              <w:rPr>
                <w:rFonts w:hint="eastAsia" w:ascii="Times New Roman"/>
                <w:color w:val="auto"/>
                <w:sz w:val="24"/>
                <w:szCs w:val="24"/>
              </w:rPr>
              <w:t>非甲烷总烃限值》（D</w:t>
            </w:r>
            <w:r>
              <w:rPr>
                <w:rFonts w:ascii="Times New Roman"/>
                <w:color w:val="auto"/>
                <w:sz w:val="24"/>
                <w:szCs w:val="24"/>
              </w:rPr>
              <w:t>B13/1577-2012</w:t>
            </w:r>
            <w:r>
              <w:rPr>
                <w:rFonts w:hint="eastAsia" w:ascii="Times New Roman"/>
                <w:color w:val="auto"/>
                <w:sz w:val="24"/>
                <w:szCs w:val="24"/>
              </w:rPr>
              <w:t>），</w:t>
            </w:r>
            <w:r>
              <w:rPr>
                <w:rFonts w:hint="eastAsia" w:ascii="Times New Roman"/>
                <w:bCs/>
                <w:color w:val="auto"/>
                <w:sz w:val="24"/>
                <w:szCs w:val="24"/>
              </w:rPr>
              <w:t>因此对环境影响较小。</w:t>
            </w:r>
          </w:p>
          <w:p>
            <w:pPr>
              <w:pStyle w:val="31"/>
              <w:adjustRightInd w:val="0"/>
              <w:snapToGrid w:val="0"/>
              <w:ind w:firstLine="482"/>
              <w:rPr>
                <w:rFonts w:ascii="Times New Roman"/>
                <w:b/>
                <w:bCs/>
                <w:color w:val="auto"/>
                <w:sz w:val="24"/>
                <w:szCs w:val="24"/>
              </w:rPr>
            </w:pPr>
            <w:r>
              <w:rPr>
                <w:rFonts w:ascii="Times New Roman"/>
                <w:b/>
                <w:bCs/>
                <w:color w:val="auto"/>
                <w:sz w:val="24"/>
                <w:szCs w:val="24"/>
              </w:rPr>
              <w:t>4</w:t>
            </w:r>
            <w:r>
              <w:rPr>
                <w:rFonts w:hint="eastAsia" w:ascii="Times New Roman"/>
                <w:b/>
                <w:bCs/>
                <w:color w:val="auto"/>
                <w:sz w:val="24"/>
                <w:szCs w:val="24"/>
              </w:rPr>
              <w:t>、自行监测计划</w:t>
            </w:r>
          </w:p>
          <w:p>
            <w:pPr>
              <w:pStyle w:val="31"/>
              <w:adjustRightInd w:val="0"/>
              <w:snapToGrid w:val="0"/>
              <w:ind w:firstLine="480"/>
              <w:jc w:val="both"/>
              <w:rPr>
                <w:rFonts w:ascii="Times New Roman"/>
                <w:bCs/>
                <w:color w:val="auto"/>
                <w:sz w:val="24"/>
                <w:szCs w:val="24"/>
              </w:rPr>
            </w:pPr>
            <w:r>
              <w:rPr>
                <w:rFonts w:hint="eastAsia" w:ascii="Times New Roman"/>
                <w:color w:val="auto"/>
                <w:sz w:val="24"/>
                <w:szCs w:val="24"/>
              </w:rPr>
              <w:t>根据</w:t>
            </w:r>
            <w:r>
              <w:rPr>
                <w:rFonts w:ascii="Times New Roman"/>
                <w:bCs/>
                <w:color w:val="auto"/>
                <w:sz w:val="24"/>
                <w:szCs w:val="24"/>
              </w:rPr>
              <w:t>《排污单位自行监测技术指南 食品制造》（HJ 1084—2020）</w:t>
            </w:r>
            <w:r>
              <w:rPr>
                <w:rFonts w:hint="eastAsia" w:ascii="Times New Roman"/>
                <w:bCs/>
                <w:color w:val="auto"/>
                <w:sz w:val="24"/>
                <w:szCs w:val="24"/>
              </w:rPr>
              <w:t>，废气自行检测计划如下</w:t>
            </w:r>
            <w:r>
              <w:rPr>
                <w:rFonts w:ascii="Times New Roman"/>
                <w:bCs/>
                <w:color w:val="auto"/>
                <w:sz w:val="24"/>
                <w:szCs w:val="24"/>
              </w:rPr>
              <w:t>。</w:t>
            </w:r>
          </w:p>
          <w:p>
            <w:pPr>
              <w:adjustRightInd w:val="0"/>
              <w:snapToGrid w:val="0"/>
              <w:spacing w:line="400" w:lineRule="exact"/>
              <w:jc w:val="center"/>
              <w:rPr>
                <w:b/>
                <w:sz w:val="24"/>
              </w:rPr>
            </w:pPr>
            <w:r>
              <w:rPr>
                <w:rFonts w:hint="eastAsia"/>
                <w:b/>
                <w:sz w:val="24"/>
              </w:rPr>
              <w:t>表4</w:t>
            </w:r>
            <w:r>
              <w:rPr>
                <w:b/>
                <w:sz w:val="24"/>
              </w:rPr>
              <w:t>-4</w:t>
            </w:r>
            <w:r>
              <w:rPr>
                <w:rFonts w:hint="eastAsia"/>
                <w:b/>
                <w:sz w:val="24"/>
              </w:rPr>
              <w:t>项目</w:t>
            </w:r>
            <w:r>
              <w:rPr>
                <w:b/>
                <w:sz w:val="24"/>
              </w:rPr>
              <w:t>废气自行监测计划</w:t>
            </w:r>
          </w:p>
          <w:tbl>
            <w:tblPr>
              <w:tblStyle w:val="21"/>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749"/>
              <w:gridCol w:w="1035"/>
              <w:gridCol w:w="711"/>
              <w:gridCol w:w="1010"/>
              <w:gridCol w:w="3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8" w:hRule="atLeast"/>
                <w:tblHeader/>
              </w:trPr>
              <w:tc>
                <w:tcPr>
                  <w:tcW w:w="1043" w:type="pct"/>
                  <w:shd w:val="clear" w:color="auto" w:fill="BFBFBF"/>
                  <w:vAlign w:val="center"/>
                </w:tcPr>
                <w:p>
                  <w:pPr>
                    <w:jc w:val="center"/>
                    <w:rPr>
                      <w:szCs w:val="21"/>
                    </w:rPr>
                  </w:pPr>
                  <w:bookmarkStart w:id="6" w:name="_Hlk89609311"/>
                  <w:r>
                    <w:rPr>
                      <w:rFonts w:hint="eastAsia"/>
                      <w:szCs w:val="21"/>
                    </w:rPr>
                    <w:t>排气筒及编号</w:t>
                  </w:r>
                </w:p>
              </w:tc>
              <w:tc>
                <w:tcPr>
                  <w:tcW w:w="617" w:type="pct"/>
                  <w:shd w:val="clear" w:color="auto" w:fill="BFBFBF"/>
                  <w:vAlign w:val="center"/>
                </w:tcPr>
                <w:p>
                  <w:pPr>
                    <w:snapToGrid w:val="0"/>
                    <w:jc w:val="center"/>
                    <w:rPr>
                      <w:szCs w:val="21"/>
                    </w:rPr>
                  </w:pPr>
                  <w:r>
                    <w:rPr>
                      <w:rFonts w:hint="eastAsia"/>
                      <w:szCs w:val="21"/>
                    </w:rPr>
                    <w:t>污染物种类</w:t>
                  </w:r>
                </w:p>
              </w:tc>
              <w:tc>
                <w:tcPr>
                  <w:tcW w:w="424" w:type="pct"/>
                  <w:shd w:val="clear" w:color="auto" w:fill="BFBFBF"/>
                  <w:vAlign w:val="center"/>
                </w:tcPr>
                <w:p>
                  <w:pPr>
                    <w:snapToGrid w:val="0"/>
                    <w:jc w:val="center"/>
                    <w:rPr>
                      <w:szCs w:val="21"/>
                    </w:rPr>
                  </w:pPr>
                  <w:r>
                    <w:rPr>
                      <w:szCs w:val="21"/>
                    </w:rPr>
                    <w:t>监测频次</w:t>
                  </w:r>
                </w:p>
              </w:tc>
              <w:tc>
                <w:tcPr>
                  <w:tcW w:w="602" w:type="pct"/>
                  <w:shd w:val="clear" w:color="auto" w:fill="BFBFBF"/>
                  <w:vAlign w:val="center"/>
                </w:tcPr>
                <w:p>
                  <w:pPr>
                    <w:snapToGrid w:val="0"/>
                    <w:jc w:val="center"/>
                    <w:rPr>
                      <w:szCs w:val="21"/>
                    </w:rPr>
                  </w:pPr>
                  <w:r>
                    <w:rPr>
                      <w:szCs w:val="21"/>
                    </w:rPr>
                    <w:t>类型</w:t>
                  </w:r>
                </w:p>
              </w:tc>
              <w:tc>
                <w:tcPr>
                  <w:tcW w:w="2314" w:type="pct"/>
                  <w:shd w:val="clear" w:color="auto" w:fill="BFBFBF"/>
                  <w:vAlign w:val="center"/>
                </w:tcPr>
                <w:p>
                  <w:pPr>
                    <w:snapToGrid w:val="0"/>
                    <w:jc w:val="center"/>
                    <w:rPr>
                      <w:szCs w:val="21"/>
                    </w:rPr>
                  </w:pPr>
                  <w:r>
                    <w:rPr>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043" w:type="pct"/>
                  <w:vMerge w:val="restart"/>
                  <w:vAlign w:val="center"/>
                </w:tcPr>
                <w:p>
                  <w:pPr>
                    <w:jc w:val="center"/>
                    <w:rPr>
                      <w:rFonts w:cs="宋体"/>
                      <w:kern w:val="0"/>
                      <w:szCs w:val="21"/>
                    </w:rPr>
                  </w:pPr>
                  <w:r>
                    <w:rPr>
                      <w:rFonts w:hint="eastAsia" w:cs="宋体"/>
                      <w:kern w:val="0"/>
                      <w:szCs w:val="21"/>
                    </w:rPr>
                    <w:t>企业边界</w:t>
                  </w:r>
                </w:p>
              </w:tc>
              <w:tc>
                <w:tcPr>
                  <w:tcW w:w="617" w:type="pct"/>
                  <w:vAlign w:val="center"/>
                </w:tcPr>
                <w:p>
                  <w:pPr>
                    <w:snapToGrid w:val="0"/>
                    <w:jc w:val="center"/>
                    <w:rPr>
                      <w:szCs w:val="21"/>
                    </w:rPr>
                  </w:pPr>
                  <w:r>
                    <w:rPr>
                      <w:rFonts w:hint="eastAsia"/>
                      <w:szCs w:val="21"/>
                      <w:lang w:bidi="zh-TW"/>
                    </w:rPr>
                    <w:t>颗粒物</w:t>
                  </w:r>
                </w:p>
              </w:tc>
              <w:tc>
                <w:tcPr>
                  <w:tcW w:w="424" w:type="pct"/>
                  <w:vMerge w:val="restart"/>
                  <w:vAlign w:val="center"/>
                </w:tcPr>
                <w:p>
                  <w:pPr>
                    <w:snapToGrid w:val="0"/>
                    <w:jc w:val="center"/>
                    <w:rPr>
                      <w:szCs w:val="21"/>
                    </w:rPr>
                  </w:pPr>
                  <w:r>
                    <w:rPr>
                      <w:rFonts w:hint="eastAsia"/>
                      <w:szCs w:val="21"/>
                    </w:rPr>
                    <w:t>半</w:t>
                  </w:r>
                  <w:r>
                    <w:rPr>
                      <w:szCs w:val="21"/>
                    </w:rPr>
                    <w:t>年</w:t>
                  </w:r>
                  <w:r>
                    <w:rPr>
                      <w:rFonts w:hint="eastAsia"/>
                      <w:szCs w:val="21"/>
                    </w:rPr>
                    <w:t>1</w:t>
                  </w:r>
                  <w:r>
                    <w:rPr>
                      <w:szCs w:val="21"/>
                    </w:rPr>
                    <w:t>次</w:t>
                  </w:r>
                </w:p>
              </w:tc>
              <w:tc>
                <w:tcPr>
                  <w:tcW w:w="602" w:type="pct"/>
                  <w:vAlign w:val="center"/>
                </w:tcPr>
                <w:p>
                  <w:pPr>
                    <w:snapToGrid w:val="0"/>
                    <w:jc w:val="center"/>
                    <w:rPr>
                      <w:szCs w:val="21"/>
                    </w:rPr>
                  </w:pPr>
                  <w:r>
                    <w:rPr>
                      <w:rFonts w:hint="eastAsia"/>
                      <w:szCs w:val="21"/>
                    </w:rPr>
                    <w:t>/</w:t>
                  </w:r>
                </w:p>
              </w:tc>
              <w:tc>
                <w:tcPr>
                  <w:tcW w:w="2314" w:type="pct"/>
                  <w:vAlign w:val="center"/>
                </w:tcPr>
                <w:p>
                  <w:pPr>
                    <w:snapToGrid w:val="0"/>
                    <w:jc w:val="center"/>
                    <w:rPr>
                      <w:szCs w:val="21"/>
                    </w:rPr>
                  </w:pPr>
                  <w:r>
                    <w:rPr>
                      <w:rFonts w:hint="eastAsia"/>
                      <w:szCs w:val="21"/>
                    </w:rPr>
                    <w:t>《大气污染物综合排放标准》（</w:t>
                  </w:r>
                  <w:r>
                    <w:rPr>
                      <w:szCs w:val="21"/>
                    </w:rPr>
                    <w:t>GB16297-1996</w:t>
                  </w:r>
                  <w:r>
                    <w:rPr>
                      <w:rFonts w:hint="eastAsia"/>
                      <w:szCs w:val="21"/>
                    </w:rPr>
                    <w:t>）表2标准限值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043" w:type="pct"/>
                  <w:vMerge w:val="continue"/>
                  <w:vAlign w:val="center"/>
                </w:tcPr>
                <w:p>
                  <w:pPr>
                    <w:jc w:val="center"/>
                    <w:rPr>
                      <w:rFonts w:cs="宋体"/>
                      <w:kern w:val="0"/>
                      <w:szCs w:val="21"/>
                    </w:rPr>
                  </w:pPr>
                </w:p>
              </w:tc>
              <w:tc>
                <w:tcPr>
                  <w:tcW w:w="617" w:type="pct"/>
                  <w:vAlign w:val="center"/>
                </w:tcPr>
                <w:p>
                  <w:pPr>
                    <w:snapToGrid w:val="0"/>
                    <w:jc w:val="center"/>
                    <w:rPr>
                      <w:szCs w:val="21"/>
                    </w:rPr>
                  </w:pPr>
                  <w:r>
                    <w:rPr>
                      <w:rFonts w:hint="eastAsia"/>
                      <w:szCs w:val="21"/>
                      <w:lang w:bidi="zh-TW"/>
                    </w:rPr>
                    <w:t>非甲烷总烃</w:t>
                  </w:r>
                </w:p>
              </w:tc>
              <w:tc>
                <w:tcPr>
                  <w:tcW w:w="424" w:type="pct"/>
                  <w:vMerge w:val="continue"/>
                  <w:vAlign w:val="center"/>
                </w:tcPr>
                <w:p>
                  <w:pPr>
                    <w:snapToGrid w:val="0"/>
                    <w:jc w:val="center"/>
                    <w:rPr>
                      <w:szCs w:val="21"/>
                    </w:rPr>
                  </w:pPr>
                </w:p>
              </w:tc>
              <w:tc>
                <w:tcPr>
                  <w:tcW w:w="602" w:type="pct"/>
                  <w:vAlign w:val="center"/>
                </w:tcPr>
                <w:p>
                  <w:pPr>
                    <w:snapToGrid w:val="0"/>
                    <w:jc w:val="center"/>
                    <w:rPr>
                      <w:szCs w:val="21"/>
                    </w:rPr>
                  </w:pPr>
                  <w:r>
                    <w:rPr>
                      <w:rFonts w:hint="eastAsia"/>
                      <w:szCs w:val="21"/>
                    </w:rPr>
                    <w:t>/</w:t>
                  </w:r>
                </w:p>
              </w:tc>
              <w:tc>
                <w:tcPr>
                  <w:tcW w:w="2314" w:type="pct"/>
                  <w:vAlign w:val="center"/>
                </w:tcPr>
                <w:p>
                  <w:pPr>
                    <w:snapToGrid w:val="0"/>
                    <w:jc w:val="center"/>
                    <w:rPr>
                      <w:szCs w:val="21"/>
                    </w:rPr>
                  </w:pPr>
                  <w:r>
                    <w:rPr>
                      <w:rFonts w:hint="eastAsia"/>
                      <w:szCs w:val="21"/>
                    </w:rPr>
                    <w:t>《大气污染物综合排放标准》（</w:t>
                  </w:r>
                  <w:r>
                    <w:rPr>
                      <w:szCs w:val="21"/>
                    </w:rPr>
                    <w:t>GB16297-1996</w:t>
                  </w:r>
                  <w:r>
                    <w:rPr>
                      <w:rFonts w:hint="eastAsia"/>
                      <w:szCs w:val="21"/>
                    </w:rPr>
                    <w:t>）表2标准限值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1043" w:type="pct"/>
                  <w:vMerge w:val="continue"/>
                  <w:vAlign w:val="center"/>
                </w:tcPr>
                <w:p>
                  <w:pPr>
                    <w:jc w:val="center"/>
                    <w:rPr>
                      <w:rFonts w:cs="宋体"/>
                      <w:kern w:val="0"/>
                      <w:szCs w:val="21"/>
                    </w:rPr>
                  </w:pPr>
                </w:p>
              </w:tc>
              <w:tc>
                <w:tcPr>
                  <w:tcW w:w="617" w:type="pct"/>
                  <w:vAlign w:val="center"/>
                </w:tcPr>
                <w:p>
                  <w:pPr>
                    <w:snapToGrid w:val="0"/>
                    <w:jc w:val="center"/>
                    <w:rPr>
                      <w:szCs w:val="21"/>
                      <w:lang w:bidi="zh-TW"/>
                    </w:rPr>
                  </w:pPr>
                  <w:r>
                    <w:rPr>
                      <w:rFonts w:hint="eastAsia"/>
                      <w:szCs w:val="21"/>
                      <w:lang w:bidi="zh-TW"/>
                    </w:rPr>
                    <w:t>臭气浓度</w:t>
                  </w:r>
                </w:p>
              </w:tc>
              <w:tc>
                <w:tcPr>
                  <w:tcW w:w="424" w:type="pct"/>
                  <w:vMerge w:val="continue"/>
                  <w:vAlign w:val="center"/>
                </w:tcPr>
                <w:p>
                  <w:pPr>
                    <w:snapToGrid w:val="0"/>
                    <w:jc w:val="center"/>
                    <w:rPr>
                      <w:szCs w:val="21"/>
                    </w:rPr>
                  </w:pPr>
                </w:p>
              </w:tc>
              <w:tc>
                <w:tcPr>
                  <w:tcW w:w="602" w:type="pct"/>
                  <w:vAlign w:val="center"/>
                </w:tcPr>
                <w:p>
                  <w:pPr>
                    <w:snapToGrid w:val="0"/>
                    <w:jc w:val="center"/>
                    <w:rPr>
                      <w:szCs w:val="21"/>
                    </w:rPr>
                  </w:pPr>
                  <w:r>
                    <w:rPr>
                      <w:rFonts w:hint="eastAsia"/>
                      <w:szCs w:val="21"/>
                    </w:rPr>
                    <w:t>/</w:t>
                  </w:r>
                </w:p>
              </w:tc>
              <w:tc>
                <w:tcPr>
                  <w:tcW w:w="2314" w:type="pct"/>
                  <w:vAlign w:val="center"/>
                </w:tcPr>
                <w:p>
                  <w:pPr>
                    <w:snapToGrid w:val="0"/>
                    <w:jc w:val="center"/>
                    <w:rPr>
                      <w:rFonts w:cs="宋体"/>
                      <w:kern w:val="0"/>
                      <w:szCs w:val="21"/>
                    </w:rPr>
                  </w:pPr>
                  <w:r>
                    <w:rPr>
                      <w:rFonts w:hint="eastAsia"/>
                      <w:bCs/>
                    </w:rPr>
                    <w:t>《恶臭污染物排放标准》（G</w:t>
                  </w:r>
                  <w:r>
                    <w:rPr>
                      <w:bCs/>
                    </w:rPr>
                    <w:t>B14554-93</w:t>
                  </w:r>
                  <w:r>
                    <w:rPr>
                      <w:rFonts w:hint="eastAsia"/>
                      <w:bCs/>
                    </w:rPr>
                    <w:t>）</w:t>
                  </w:r>
                </w:p>
              </w:tc>
            </w:tr>
            <w:bookmarkEnd w:id="6"/>
          </w:tbl>
          <w:p>
            <w:pPr>
              <w:spacing w:line="360" w:lineRule="auto"/>
              <w:ind w:firstLine="482" w:firstLineChars="200"/>
              <w:rPr>
                <w:szCs w:val="21"/>
              </w:rPr>
            </w:pPr>
            <w:r>
              <w:rPr>
                <w:rFonts w:hint="eastAsia"/>
                <w:b/>
                <w:sz w:val="24"/>
              </w:rPr>
              <w:t>二、废水</w:t>
            </w:r>
          </w:p>
          <w:p>
            <w:pPr>
              <w:autoSpaceDE w:val="0"/>
              <w:autoSpaceDN w:val="0"/>
              <w:spacing w:line="360" w:lineRule="auto"/>
              <w:ind w:firstLine="482" w:firstLineChars="200"/>
              <w:rPr>
                <w:b/>
                <w:bCs/>
                <w:sz w:val="24"/>
              </w:rPr>
            </w:pPr>
            <w:r>
              <w:rPr>
                <w:rFonts w:hint="eastAsia"/>
                <w:b/>
                <w:bCs/>
                <w:sz w:val="24"/>
              </w:rPr>
              <w:t>1、项目废水产生及排放情况</w:t>
            </w:r>
          </w:p>
          <w:p>
            <w:pPr>
              <w:autoSpaceDE w:val="0"/>
              <w:autoSpaceDN w:val="0"/>
              <w:spacing w:line="360" w:lineRule="auto"/>
              <w:ind w:firstLine="480" w:firstLineChars="200"/>
              <w:rPr>
                <w:sz w:val="24"/>
              </w:rPr>
            </w:pPr>
            <w:r>
              <w:rPr>
                <w:rFonts w:hint="eastAsia"/>
                <w:sz w:val="24"/>
              </w:rPr>
              <w:t>本项目产生的废水包括生产废水主要为设备清洗废水及生活污水。项目废水产排情况见下表。</w:t>
            </w:r>
          </w:p>
          <w:p>
            <w:pPr>
              <w:adjustRightInd w:val="0"/>
              <w:snapToGrid w:val="0"/>
              <w:spacing w:line="400" w:lineRule="exact"/>
              <w:jc w:val="center"/>
              <w:rPr>
                <w:b/>
                <w:sz w:val="24"/>
              </w:rPr>
            </w:pPr>
            <w:r>
              <w:rPr>
                <w:rFonts w:hint="eastAsia"/>
                <w:b/>
                <w:sz w:val="24"/>
              </w:rPr>
              <w:t>表4</w:t>
            </w:r>
            <w:r>
              <w:rPr>
                <w:b/>
                <w:sz w:val="24"/>
              </w:rPr>
              <w:t>-5</w:t>
            </w:r>
            <w:r>
              <w:rPr>
                <w:rFonts w:hint="eastAsia"/>
                <w:b/>
                <w:sz w:val="24"/>
              </w:rPr>
              <w:t>一期工程生产废水产生情况一览表</w:t>
            </w:r>
          </w:p>
          <w:tbl>
            <w:tblPr>
              <w:tblStyle w:val="21"/>
              <w:tblW w:w="5000"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111"/>
              <w:gridCol w:w="972"/>
              <w:gridCol w:w="1144"/>
              <w:gridCol w:w="1213"/>
              <w:gridCol w:w="1330"/>
              <w:gridCol w:w="1329"/>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3" w:type="pct"/>
                  <w:shd w:val="clear" w:color="auto" w:fill="auto"/>
                  <w:vAlign w:val="center"/>
                </w:tcPr>
                <w:p>
                  <w:pPr>
                    <w:widowControl/>
                    <w:jc w:val="center"/>
                    <w:rPr>
                      <w:rFonts w:cs="宋体"/>
                      <w:kern w:val="0"/>
                      <w:szCs w:val="21"/>
                    </w:rPr>
                  </w:pPr>
                  <w:r>
                    <w:rPr>
                      <w:rFonts w:hint="eastAsia" w:cs="宋体"/>
                      <w:kern w:val="0"/>
                      <w:szCs w:val="21"/>
                    </w:rPr>
                    <w:t>废水种类</w:t>
                  </w:r>
                </w:p>
              </w:tc>
              <w:tc>
                <w:tcPr>
                  <w:tcW w:w="663" w:type="pct"/>
                  <w:shd w:val="clear" w:color="auto" w:fill="auto"/>
                  <w:vAlign w:val="center"/>
                </w:tcPr>
                <w:p>
                  <w:pPr>
                    <w:widowControl/>
                    <w:jc w:val="center"/>
                    <w:rPr>
                      <w:rFonts w:cs="宋体"/>
                      <w:kern w:val="0"/>
                      <w:szCs w:val="21"/>
                    </w:rPr>
                  </w:pPr>
                  <w:r>
                    <w:rPr>
                      <w:rFonts w:hint="eastAsia" w:cs="宋体"/>
                      <w:kern w:val="0"/>
                      <w:szCs w:val="21"/>
                    </w:rPr>
                    <w:t>废水量（</w:t>
                  </w:r>
                  <w:r>
                    <w:rPr>
                      <w:kern w:val="0"/>
                      <w:szCs w:val="21"/>
                    </w:rPr>
                    <w:t>t/a</w:t>
                  </w:r>
                  <w:r>
                    <w:rPr>
                      <w:rFonts w:hint="eastAsia" w:cs="宋体"/>
                      <w:kern w:val="0"/>
                      <w:szCs w:val="21"/>
                    </w:rPr>
                    <w:t>）</w:t>
                  </w:r>
                </w:p>
              </w:tc>
              <w:tc>
                <w:tcPr>
                  <w:tcW w:w="580" w:type="pct"/>
                  <w:shd w:val="clear" w:color="auto" w:fill="auto"/>
                  <w:vAlign w:val="center"/>
                </w:tcPr>
                <w:p>
                  <w:pPr>
                    <w:widowControl/>
                    <w:jc w:val="center"/>
                    <w:rPr>
                      <w:kern w:val="0"/>
                      <w:szCs w:val="21"/>
                    </w:rPr>
                  </w:pPr>
                  <w:r>
                    <w:rPr>
                      <w:kern w:val="0"/>
                      <w:szCs w:val="21"/>
                    </w:rPr>
                    <w:t>PH</w:t>
                  </w:r>
                </w:p>
              </w:tc>
              <w:tc>
                <w:tcPr>
                  <w:tcW w:w="683" w:type="pct"/>
                  <w:shd w:val="clear" w:color="auto" w:fill="auto"/>
                  <w:vAlign w:val="center"/>
                </w:tcPr>
                <w:p>
                  <w:pPr>
                    <w:widowControl/>
                    <w:jc w:val="center"/>
                    <w:rPr>
                      <w:kern w:val="0"/>
                      <w:szCs w:val="21"/>
                    </w:rPr>
                  </w:pPr>
                  <w:r>
                    <w:rPr>
                      <w:kern w:val="0"/>
                      <w:szCs w:val="21"/>
                    </w:rPr>
                    <w:t>COD</w:t>
                  </w:r>
                </w:p>
              </w:tc>
              <w:tc>
                <w:tcPr>
                  <w:tcW w:w="724" w:type="pct"/>
                  <w:shd w:val="clear" w:color="auto" w:fill="auto"/>
                  <w:vAlign w:val="center"/>
                </w:tcPr>
                <w:p>
                  <w:pPr>
                    <w:widowControl/>
                    <w:jc w:val="center"/>
                    <w:rPr>
                      <w:kern w:val="0"/>
                      <w:szCs w:val="21"/>
                    </w:rPr>
                  </w:pPr>
                  <w:r>
                    <w:rPr>
                      <w:kern w:val="0"/>
                      <w:szCs w:val="21"/>
                    </w:rPr>
                    <w:t>BOD</w:t>
                  </w:r>
                  <w:r>
                    <w:rPr>
                      <w:kern w:val="0"/>
                      <w:szCs w:val="21"/>
                      <w:vertAlign w:val="subscript"/>
                    </w:rPr>
                    <w:t>5</w:t>
                  </w:r>
                </w:p>
              </w:tc>
              <w:tc>
                <w:tcPr>
                  <w:tcW w:w="794" w:type="pct"/>
                  <w:shd w:val="clear" w:color="auto" w:fill="auto"/>
                  <w:vAlign w:val="center"/>
                </w:tcPr>
                <w:p>
                  <w:pPr>
                    <w:widowControl/>
                    <w:jc w:val="center"/>
                    <w:rPr>
                      <w:rFonts w:cs="宋体"/>
                      <w:kern w:val="0"/>
                      <w:szCs w:val="21"/>
                    </w:rPr>
                  </w:pPr>
                  <w:r>
                    <w:rPr>
                      <w:rFonts w:hint="eastAsia" w:cs="宋体"/>
                      <w:kern w:val="0"/>
                      <w:szCs w:val="21"/>
                    </w:rPr>
                    <w:t>氨氮</w:t>
                  </w:r>
                </w:p>
              </w:tc>
              <w:tc>
                <w:tcPr>
                  <w:tcW w:w="793" w:type="pct"/>
                  <w:shd w:val="clear" w:color="auto" w:fill="auto"/>
                  <w:vAlign w:val="center"/>
                </w:tcPr>
                <w:p>
                  <w:pPr>
                    <w:widowControl/>
                    <w:jc w:val="center"/>
                    <w:rPr>
                      <w:rFonts w:cs="宋体"/>
                      <w:kern w:val="0"/>
                      <w:szCs w:val="21"/>
                    </w:rPr>
                  </w:pPr>
                  <w:r>
                    <w:rPr>
                      <w:rFonts w:hint="eastAsia" w:cs="宋体"/>
                      <w:kern w:val="0"/>
                      <w:szCs w:val="21"/>
                    </w:rPr>
                    <w:t>SS</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63" w:type="pct"/>
                  <w:shd w:val="clear" w:color="auto" w:fill="auto"/>
                  <w:vAlign w:val="center"/>
                </w:tcPr>
                <w:p>
                  <w:pPr>
                    <w:widowControl/>
                    <w:jc w:val="center"/>
                    <w:rPr>
                      <w:rFonts w:cs="宋体"/>
                      <w:kern w:val="0"/>
                      <w:szCs w:val="21"/>
                    </w:rPr>
                  </w:pPr>
                  <w:r>
                    <w:rPr>
                      <w:rFonts w:hint="eastAsia" w:cs="宋体"/>
                      <w:kern w:val="0"/>
                      <w:szCs w:val="21"/>
                    </w:rPr>
                    <w:t>设备清洗废水</w:t>
                  </w:r>
                </w:p>
              </w:tc>
              <w:tc>
                <w:tcPr>
                  <w:tcW w:w="663" w:type="pct"/>
                  <w:shd w:val="clear" w:color="auto" w:fill="auto"/>
                  <w:vAlign w:val="center"/>
                </w:tcPr>
                <w:p>
                  <w:pPr>
                    <w:widowControl/>
                    <w:jc w:val="center"/>
                    <w:rPr>
                      <w:kern w:val="0"/>
                      <w:szCs w:val="21"/>
                    </w:rPr>
                  </w:pPr>
                  <w:r>
                    <w:rPr>
                      <w:kern w:val="0"/>
                      <w:szCs w:val="21"/>
                    </w:rPr>
                    <w:t>300</w:t>
                  </w:r>
                </w:p>
              </w:tc>
              <w:tc>
                <w:tcPr>
                  <w:tcW w:w="580" w:type="pct"/>
                  <w:shd w:val="clear" w:color="auto" w:fill="auto"/>
                  <w:vAlign w:val="center"/>
                </w:tcPr>
                <w:p>
                  <w:pPr>
                    <w:widowControl/>
                    <w:jc w:val="center"/>
                    <w:rPr>
                      <w:rFonts w:cs="宋体"/>
                      <w:kern w:val="0"/>
                      <w:szCs w:val="21"/>
                    </w:rPr>
                  </w:pPr>
                  <w:r>
                    <w:rPr>
                      <w:rFonts w:cs="宋体"/>
                      <w:kern w:val="0"/>
                      <w:szCs w:val="21"/>
                    </w:rPr>
                    <w:t>6-7</w:t>
                  </w:r>
                </w:p>
              </w:tc>
              <w:tc>
                <w:tcPr>
                  <w:tcW w:w="683" w:type="pct"/>
                  <w:shd w:val="clear" w:color="auto" w:fill="auto"/>
                  <w:vAlign w:val="center"/>
                </w:tcPr>
                <w:p>
                  <w:pPr>
                    <w:widowControl/>
                    <w:jc w:val="center"/>
                    <w:rPr>
                      <w:rFonts w:cs="宋体"/>
                      <w:kern w:val="0"/>
                      <w:szCs w:val="21"/>
                    </w:rPr>
                  </w:pPr>
                  <w:r>
                    <w:rPr>
                      <w:rFonts w:hint="eastAsia" w:cs="宋体"/>
                      <w:kern w:val="0"/>
                      <w:szCs w:val="21"/>
                    </w:rPr>
                    <w:t>2300</w:t>
                  </w:r>
                </w:p>
              </w:tc>
              <w:tc>
                <w:tcPr>
                  <w:tcW w:w="724" w:type="pct"/>
                  <w:shd w:val="clear" w:color="auto" w:fill="auto"/>
                  <w:vAlign w:val="center"/>
                </w:tcPr>
                <w:p>
                  <w:pPr>
                    <w:widowControl/>
                    <w:jc w:val="center"/>
                    <w:rPr>
                      <w:rFonts w:cs="宋体"/>
                      <w:kern w:val="0"/>
                      <w:szCs w:val="21"/>
                    </w:rPr>
                  </w:pPr>
                  <w:r>
                    <w:rPr>
                      <w:rFonts w:hint="eastAsia" w:cs="宋体"/>
                      <w:kern w:val="0"/>
                      <w:szCs w:val="21"/>
                    </w:rPr>
                    <w:t>500</w:t>
                  </w:r>
                </w:p>
              </w:tc>
              <w:tc>
                <w:tcPr>
                  <w:tcW w:w="794" w:type="pct"/>
                  <w:shd w:val="clear" w:color="auto" w:fill="auto"/>
                  <w:vAlign w:val="center"/>
                </w:tcPr>
                <w:p>
                  <w:pPr>
                    <w:widowControl/>
                    <w:jc w:val="center"/>
                    <w:rPr>
                      <w:rFonts w:cs="宋体"/>
                      <w:kern w:val="0"/>
                      <w:szCs w:val="21"/>
                    </w:rPr>
                  </w:pPr>
                  <w:r>
                    <w:rPr>
                      <w:rFonts w:hint="eastAsia" w:cs="宋体"/>
                      <w:kern w:val="0"/>
                      <w:szCs w:val="21"/>
                    </w:rPr>
                    <w:t>35</w:t>
                  </w:r>
                </w:p>
              </w:tc>
              <w:tc>
                <w:tcPr>
                  <w:tcW w:w="793" w:type="pct"/>
                  <w:shd w:val="clear" w:color="auto" w:fill="auto"/>
                  <w:vAlign w:val="center"/>
                </w:tcPr>
                <w:p>
                  <w:pPr>
                    <w:widowControl/>
                    <w:jc w:val="center"/>
                    <w:rPr>
                      <w:rFonts w:cs="宋体"/>
                      <w:kern w:val="0"/>
                      <w:szCs w:val="21"/>
                    </w:rPr>
                  </w:pPr>
                  <w:r>
                    <w:rPr>
                      <w:rFonts w:hint="eastAsia" w:cs="宋体"/>
                      <w:kern w:val="0"/>
                      <w:szCs w:val="21"/>
                    </w:rPr>
                    <w:t>800</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3" w:type="pct"/>
                  <w:shd w:val="clear" w:color="auto" w:fill="auto"/>
                  <w:vAlign w:val="center"/>
                </w:tcPr>
                <w:p>
                  <w:pPr>
                    <w:widowControl/>
                    <w:jc w:val="center"/>
                    <w:rPr>
                      <w:rFonts w:cs="宋体"/>
                      <w:kern w:val="0"/>
                      <w:szCs w:val="21"/>
                    </w:rPr>
                  </w:pPr>
                  <w:r>
                    <w:rPr>
                      <w:rFonts w:hint="eastAsia" w:cs="宋体"/>
                      <w:kern w:val="0"/>
                      <w:szCs w:val="21"/>
                    </w:rPr>
                    <w:t>措施</w:t>
                  </w:r>
                </w:p>
              </w:tc>
              <w:tc>
                <w:tcPr>
                  <w:tcW w:w="663" w:type="pct"/>
                  <w:shd w:val="clear" w:color="auto" w:fill="auto"/>
                  <w:vAlign w:val="center"/>
                </w:tcPr>
                <w:p>
                  <w:pPr>
                    <w:widowControl/>
                    <w:jc w:val="center"/>
                    <w:rPr>
                      <w:kern w:val="0"/>
                      <w:szCs w:val="21"/>
                    </w:rPr>
                  </w:pPr>
                </w:p>
              </w:tc>
              <w:tc>
                <w:tcPr>
                  <w:tcW w:w="3574" w:type="pct"/>
                  <w:gridSpan w:val="5"/>
                  <w:shd w:val="clear" w:color="auto" w:fill="auto"/>
                  <w:vAlign w:val="center"/>
                </w:tcPr>
                <w:p>
                  <w:pPr>
                    <w:widowControl/>
                    <w:jc w:val="center"/>
                    <w:rPr>
                      <w:rFonts w:cs="宋体"/>
                      <w:kern w:val="0"/>
                      <w:szCs w:val="21"/>
                    </w:rPr>
                  </w:pPr>
                  <w:r>
                    <w:rPr>
                      <w:rFonts w:hint="eastAsia" w:cs="宋体"/>
                      <w:kern w:val="0"/>
                      <w:szCs w:val="21"/>
                    </w:rPr>
                    <w:t>排入污水处理站预处理后排入镶黄旗污水处理厂进一步处理，待园区集中污水处理厂投入运行后，接入园区污水处理厂集中处置。</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3" w:type="pct"/>
                  <w:shd w:val="clear" w:color="auto" w:fill="auto"/>
                  <w:vAlign w:val="center"/>
                </w:tcPr>
                <w:p>
                  <w:pPr>
                    <w:widowControl/>
                    <w:jc w:val="center"/>
                    <w:rPr>
                      <w:rFonts w:cs="宋体"/>
                      <w:kern w:val="0"/>
                      <w:szCs w:val="21"/>
                    </w:rPr>
                  </w:pPr>
                  <w:r>
                    <w:rPr>
                      <w:rFonts w:hint="eastAsia" w:cs="宋体"/>
                      <w:kern w:val="0"/>
                      <w:szCs w:val="21"/>
                    </w:rPr>
                    <w:t>排水水质mg</w:t>
                  </w:r>
                  <w:r>
                    <w:rPr>
                      <w:rFonts w:cs="宋体"/>
                      <w:kern w:val="0"/>
                      <w:szCs w:val="21"/>
                    </w:rPr>
                    <w:t>/L</w:t>
                  </w:r>
                </w:p>
              </w:tc>
              <w:tc>
                <w:tcPr>
                  <w:tcW w:w="663" w:type="pct"/>
                  <w:shd w:val="clear" w:color="auto" w:fill="auto"/>
                  <w:vAlign w:val="center"/>
                </w:tcPr>
                <w:p>
                  <w:pPr>
                    <w:widowControl/>
                    <w:jc w:val="center"/>
                    <w:rPr>
                      <w:kern w:val="0"/>
                      <w:szCs w:val="21"/>
                    </w:rPr>
                  </w:pPr>
                  <w:r>
                    <w:rPr>
                      <w:kern w:val="0"/>
                      <w:szCs w:val="21"/>
                    </w:rPr>
                    <w:t>300</w:t>
                  </w:r>
                </w:p>
              </w:tc>
              <w:tc>
                <w:tcPr>
                  <w:tcW w:w="580" w:type="pct"/>
                  <w:shd w:val="clear" w:color="auto" w:fill="auto"/>
                  <w:vAlign w:val="center"/>
                </w:tcPr>
                <w:p>
                  <w:pPr>
                    <w:widowControl/>
                    <w:jc w:val="center"/>
                    <w:rPr>
                      <w:rFonts w:cs="宋体"/>
                      <w:kern w:val="0"/>
                      <w:szCs w:val="21"/>
                    </w:rPr>
                  </w:pPr>
                  <w:r>
                    <w:rPr>
                      <w:rFonts w:hint="eastAsia" w:cs="宋体"/>
                      <w:kern w:val="0"/>
                      <w:szCs w:val="21"/>
                    </w:rPr>
                    <w:t>6</w:t>
                  </w:r>
                  <w:r>
                    <w:rPr>
                      <w:rFonts w:cs="宋体"/>
                      <w:kern w:val="0"/>
                      <w:szCs w:val="21"/>
                    </w:rPr>
                    <w:t>-9</w:t>
                  </w:r>
                  <w:r>
                    <w:rPr>
                      <w:rFonts w:hint="eastAsia" w:cs="宋体"/>
                      <w:kern w:val="0"/>
                      <w:szCs w:val="21"/>
                    </w:rPr>
                    <w:t>　</w:t>
                  </w:r>
                </w:p>
              </w:tc>
              <w:tc>
                <w:tcPr>
                  <w:tcW w:w="683" w:type="pct"/>
                  <w:shd w:val="clear" w:color="auto" w:fill="auto"/>
                  <w:vAlign w:val="center"/>
                </w:tcPr>
                <w:p>
                  <w:pPr>
                    <w:widowControl/>
                    <w:jc w:val="center"/>
                    <w:rPr>
                      <w:rFonts w:cs="宋体"/>
                      <w:kern w:val="0"/>
                      <w:szCs w:val="21"/>
                    </w:rPr>
                  </w:pPr>
                  <w:r>
                    <w:rPr>
                      <w:rFonts w:hint="eastAsia" w:cs="宋体"/>
                      <w:kern w:val="0"/>
                      <w:szCs w:val="21"/>
                    </w:rPr>
                    <w:t>3</w:t>
                  </w:r>
                  <w:r>
                    <w:rPr>
                      <w:rFonts w:cs="宋体"/>
                      <w:kern w:val="0"/>
                      <w:szCs w:val="21"/>
                    </w:rPr>
                    <w:t>00</w:t>
                  </w:r>
                </w:p>
              </w:tc>
              <w:tc>
                <w:tcPr>
                  <w:tcW w:w="724" w:type="pct"/>
                  <w:shd w:val="clear" w:color="auto" w:fill="auto"/>
                  <w:vAlign w:val="center"/>
                </w:tcPr>
                <w:p>
                  <w:pPr>
                    <w:widowControl/>
                    <w:jc w:val="center"/>
                    <w:rPr>
                      <w:rFonts w:cs="宋体"/>
                      <w:kern w:val="0"/>
                      <w:szCs w:val="21"/>
                    </w:rPr>
                  </w:pPr>
                  <w:r>
                    <w:rPr>
                      <w:rFonts w:hint="eastAsia" w:cs="宋体"/>
                      <w:kern w:val="0"/>
                      <w:szCs w:val="21"/>
                    </w:rPr>
                    <w:t>2</w:t>
                  </w:r>
                  <w:r>
                    <w:rPr>
                      <w:rFonts w:cs="宋体"/>
                      <w:kern w:val="0"/>
                      <w:szCs w:val="21"/>
                    </w:rPr>
                    <w:t>00</w:t>
                  </w:r>
                </w:p>
              </w:tc>
              <w:tc>
                <w:tcPr>
                  <w:tcW w:w="794" w:type="pct"/>
                  <w:shd w:val="clear" w:color="auto" w:fill="auto"/>
                  <w:vAlign w:val="center"/>
                </w:tcPr>
                <w:p>
                  <w:pPr>
                    <w:widowControl/>
                    <w:jc w:val="center"/>
                    <w:rPr>
                      <w:rFonts w:cs="宋体"/>
                      <w:kern w:val="0"/>
                      <w:szCs w:val="21"/>
                    </w:rPr>
                  </w:pPr>
                  <w:r>
                    <w:rPr>
                      <w:rFonts w:hint="eastAsia" w:cs="宋体"/>
                      <w:kern w:val="0"/>
                      <w:szCs w:val="21"/>
                    </w:rPr>
                    <w:t>1</w:t>
                  </w:r>
                  <w:r>
                    <w:rPr>
                      <w:rFonts w:cs="宋体"/>
                      <w:kern w:val="0"/>
                      <w:szCs w:val="21"/>
                    </w:rPr>
                    <w:t>5</w:t>
                  </w:r>
                </w:p>
              </w:tc>
              <w:tc>
                <w:tcPr>
                  <w:tcW w:w="793" w:type="pct"/>
                  <w:shd w:val="clear" w:color="auto" w:fill="auto"/>
                  <w:vAlign w:val="center"/>
                </w:tcPr>
                <w:p>
                  <w:pPr>
                    <w:widowControl/>
                    <w:jc w:val="center"/>
                    <w:rPr>
                      <w:rFonts w:cs="宋体"/>
                      <w:kern w:val="0"/>
                      <w:szCs w:val="21"/>
                    </w:rPr>
                  </w:pPr>
                  <w:r>
                    <w:rPr>
                      <w:rFonts w:hint="eastAsia" w:cs="宋体"/>
                      <w:kern w:val="0"/>
                      <w:szCs w:val="21"/>
                    </w:rPr>
                    <w:t>1</w:t>
                  </w:r>
                  <w:r>
                    <w:rPr>
                      <w:rFonts w:cs="宋体"/>
                      <w:kern w:val="0"/>
                      <w:szCs w:val="21"/>
                    </w:rPr>
                    <w:t>00</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3" w:type="pct"/>
                  <w:shd w:val="clear" w:color="auto" w:fill="auto"/>
                  <w:vAlign w:val="center"/>
                </w:tcPr>
                <w:p>
                  <w:pPr>
                    <w:widowControl/>
                    <w:jc w:val="center"/>
                    <w:rPr>
                      <w:rFonts w:cs="宋体"/>
                      <w:kern w:val="0"/>
                      <w:szCs w:val="21"/>
                    </w:rPr>
                  </w:pPr>
                  <w:r>
                    <w:rPr>
                      <w:rFonts w:hint="eastAsia" w:cs="宋体"/>
                      <w:kern w:val="0"/>
                      <w:szCs w:val="21"/>
                    </w:rPr>
                    <w:t>排放量t/a</w:t>
                  </w:r>
                </w:p>
              </w:tc>
              <w:tc>
                <w:tcPr>
                  <w:tcW w:w="663" w:type="pct"/>
                  <w:shd w:val="clear" w:color="auto" w:fill="auto"/>
                  <w:vAlign w:val="center"/>
                </w:tcPr>
                <w:p>
                  <w:pPr>
                    <w:widowControl/>
                    <w:jc w:val="center"/>
                    <w:rPr>
                      <w:kern w:val="0"/>
                      <w:szCs w:val="21"/>
                    </w:rPr>
                  </w:pPr>
                  <w:r>
                    <w:rPr>
                      <w:kern w:val="0"/>
                      <w:szCs w:val="21"/>
                    </w:rPr>
                    <w:t>300</w:t>
                  </w:r>
                </w:p>
              </w:tc>
              <w:tc>
                <w:tcPr>
                  <w:tcW w:w="580" w:type="pct"/>
                  <w:shd w:val="clear" w:color="auto" w:fill="auto"/>
                  <w:vAlign w:val="center"/>
                </w:tcPr>
                <w:p>
                  <w:pPr>
                    <w:widowControl/>
                    <w:jc w:val="center"/>
                    <w:rPr>
                      <w:rFonts w:cs="宋体"/>
                      <w:kern w:val="0"/>
                      <w:szCs w:val="21"/>
                    </w:rPr>
                  </w:pPr>
                  <w:r>
                    <w:rPr>
                      <w:rFonts w:hint="eastAsia" w:cs="宋体"/>
                      <w:kern w:val="0"/>
                      <w:szCs w:val="21"/>
                    </w:rPr>
                    <w:t>6</w:t>
                  </w:r>
                  <w:r>
                    <w:rPr>
                      <w:rFonts w:cs="宋体"/>
                      <w:kern w:val="0"/>
                      <w:szCs w:val="21"/>
                    </w:rPr>
                    <w:t>-9</w:t>
                  </w:r>
                </w:p>
              </w:tc>
              <w:tc>
                <w:tcPr>
                  <w:tcW w:w="683" w:type="pct"/>
                  <w:shd w:val="clear" w:color="auto" w:fill="auto"/>
                  <w:vAlign w:val="bottom"/>
                </w:tcPr>
                <w:p>
                  <w:pPr>
                    <w:widowControl/>
                    <w:jc w:val="center"/>
                    <w:rPr>
                      <w:rFonts w:cs="宋体"/>
                      <w:kern w:val="0"/>
                      <w:szCs w:val="21"/>
                    </w:rPr>
                  </w:pPr>
                  <w:r>
                    <w:rPr>
                      <w:rFonts w:hint="eastAsia"/>
                      <w:szCs w:val="21"/>
                    </w:rPr>
                    <w:t>0.0900</w:t>
                  </w:r>
                </w:p>
              </w:tc>
              <w:tc>
                <w:tcPr>
                  <w:tcW w:w="724" w:type="pct"/>
                  <w:shd w:val="clear" w:color="auto" w:fill="auto"/>
                  <w:vAlign w:val="bottom"/>
                </w:tcPr>
                <w:p>
                  <w:pPr>
                    <w:widowControl/>
                    <w:jc w:val="center"/>
                    <w:rPr>
                      <w:rFonts w:cs="宋体"/>
                      <w:kern w:val="0"/>
                      <w:szCs w:val="21"/>
                    </w:rPr>
                  </w:pPr>
                  <w:r>
                    <w:rPr>
                      <w:rFonts w:hint="eastAsia"/>
                      <w:szCs w:val="21"/>
                    </w:rPr>
                    <w:t>0.0600</w:t>
                  </w:r>
                </w:p>
              </w:tc>
              <w:tc>
                <w:tcPr>
                  <w:tcW w:w="794" w:type="pct"/>
                  <w:shd w:val="clear" w:color="auto" w:fill="auto"/>
                  <w:vAlign w:val="bottom"/>
                </w:tcPr>
                <w:p>
                  <w:pPr>
                    <w:widowControl/>
                    <w:jc w:val="center"/>
                    <w:rPr>
                      <w:rFonts w:cs="宋体"/>
                      <w:kern w:val="0"/>
                      <w:szCs w:val="21"/>
                    </w:rPr>
                  </w:pPr>
                  <w:r>
                    <w:rPr>
                      <w:rFonts w:hint="eastAsia"/>
                      <w:szCs w:val="21"/>
                    </w:rPr>
                    <w:t>0.0045</w:t>
                  </w:r>
                </w:p>
              </w:tc>
              <w:tc>
                <w:tcPr>
                  <w:tcW w:w="793" w:type="pct"/>
                  <w:shd w:val="clear" w:color="auto" w:fill="auto"/>
                  <w:vAlign w:val="bottom"/>
                </w:tcPr>
                <w:p>
                  <w:pPr>
                    <w:widowControl/>
                    <w:jc w:val="center"/>
                    <w:rPr>
                      <w:rFonts w:cs="宋体"/>
                      <w:kern w:val="0"/>
                      <w:szCs w:val="21"/>
                    </w:rPr>
                  </w:pPr>
                  <w:r>
                    <w:rPr>
                      <w:rFonts w:hint="eastAsia"/>
                      <w:szCs w:val="21"/>
                    </w:rPr>
                    <w:t>0.0300</w:t>
                  </w:r>
                </w:p>
              </w:tc>
            </w:tr>
          </w:tbl>
          <w:p>
            <w:pPr>
              <w:adjustRightInd w:val="0"/>
              <w:snapToGrid w:val="0"/>
              <w:spacing w:line="400" w:lineRule="exact"/>
              <w:jc w:val="center"/>
              <w:rPr>
                <w:b/>
                <w:sz w:val="24"/>
              </w:rPr>
            </w:pPr>
            <w:r>
              <w:rPr>
                <w:rFonts w:hint="eastAsia"/>
                <w:b/>
                <w:sz w:val="24"/>
              </w:rPr>
              <w:t>表4</w:t>
            </w:r>
            <w:r>
              <w:rPr>
                <w:b/>
                <w:sz w:val="24"/>
              </w:rPr>
              <w:t>-6</w:t>
            </w:r>
            <w:r>
              <w:rPr>
                <w:rFonts w:hint="eastAsia"/>
                <w:b/>
                <w:sz w:val="24"/>
              </w:rPr>
              <w:t>一期工程生活污水产生情况一览表</w:t>
            </w:r>
          </w:p>
          <w:tbl>
            <w:tblPr>
              <w:tblStyle w:val="21"/>
              <w:tblW w:w="5000"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878"/>
              <w:gridCol w:w="848"/>
              <w:gridCol w:w="1206"/>
              <w:gridCol w:w="911"/>
              <w:gridCol w:w="952"/>
              <w:gridCol w:w="1335"/>
              <w:gridCol w:w="1181"/>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36" w:type="pct"/>
                  <w:vAlign w:val="center"/>
                </w:tcPr>
                <w:p>
                  <w:pPr>
                    <w:pStyle w:val="69"/>
                  </w:pPr>
                  <w:r>
                    <w:rPr>
                      <w:rFonts w:hint="eastAsia"/>
                    </w:rPr>
                    <w:t>废水种类</w:t>
                  </w:r>
                </w:p>
              </w:tc>
              <w:tc>
                <w:tcPr>
                  <w:tcW w:w="524" w:type="pct"/>
                  <w:vAlign w:val="center"/>
                </w:tcPr>
                <w:p>
                  <w:pPr>
                    <w:pStyle w:val="69"/>
                  </w:pPr>
                  <w:r>
                    <w:rPr>
                      <w:rFonts w:hint="eastAsia"/>
                    </w:rPr>
                    <w:t>废水量</w:t>
                  </w:r>
                </w:p>
                <w:p>
                  <w:pPr>
                    <w:pStyle w:val="69"/>
                  </w:pPr>
                  <w:r>
                    <w:rPr>
                      <w:rFonts w:hint="eastAsia"/>
                    </w:rPr>
                    <w:t>（t</w:t>
                  </w:r>
                  <w:r>
                    <w:t>/a</w:t>
                  </w:r>
                  <w:r>
                    <w:rPr>
                      <w:rFonts w:hint="eastAsia"/>
                    </w:rPr>
                    <w:t>）</w:t>
                  </w:r>
                </w:p>
              </w:tc>
              <w:tc>
                <w:tcPr>
                  <w:tcW w:w="506" w:type="pct"/>
                  <w:vAlign w:val="center"/>
                </w:tcPr>
                <w:p>
                  <w:pPr>
                    <w:pStyle w:val="69"/>
                  </w:pPr>
                  <w:r>
                    <w:rPr>
                      <w:rFonts w:hint="eastAsia"/>
                    </w:rPr>
                    <w:t>污染物名称</w:t>
                  </w:r>
                </w:p>
              </w:tc>
              <w:tc>
                <w:tcPr>
                  <w:tcW w:w="720" w:type="pct"/>
                  <w:vAlign w:val="center"/>
                </w:tcPr>
                <w:p>
                  <w:pPr>
                    <w:pStyle w:val="69"/>
                  </w:pPr>
                  <w:r>
                    <w:rPr>
                      <w:rFonts w:hint="eastAsia"/>
                    </w:rPr>
                    <w:t>产生浓度（</w:t>
                  </w:r>
                  <w:r>
                    <w:t>mg/L</w:t>
                  </w:r>
                  <w:r>
                    <w:rPr>
                      <w:rFonts w:hint="eastAsia"/>
                    </w:rPr>
                    <w:t>）</w:t>
                  </w:r>
                </w:p>
              </w:tc>
              <w:tc>
                <w:tcPr>
                  <w:tcW w:w="544" w:type="pct"/>
                  <w:vAlign w:val="center"/>
                </w:tcPr>
                <w:p>
                  <w:pPr>
                    <w:pStyle w:val="69"/>
                  </w:pPr>
                  <w:r>
                    <w:rPr>
                      <w:rFonts w:hint="eastAsia"/>
                    </w:rPr>
                    <w:t>产生量</w:t>
                  </w:r>
                </w:p>
                <w:p>
                  <w:pPr>
                    <w:pStyle w:val="69"/>
                  </w:pPr>
                  <w:r>
                    <w:rPr>
                      <w:rFonts w:hint="eastAsia"/>
                    </w:rPr>
                    <w:t>（t</w:t>
                  </w:r>
                  <w:r>
                    <w:t>/a</w:t>
                  </w:r>
                  <w:r>
                    <w:rPr>
                      <w:rFonts w:hint="eastAsia"/>
                    </w:rPr>
                    <w:t>）</w:t>
                  </w:r>
                </w:p>
              </w:tc>
              <w:tc>
                <w:tcPr>
                  <w:tcW w:w="568" w:type="pct"/>
                  <w:vAlign w:val="center"/>
                </w:tcPr>
                <w:p>
                  <w:pPr>
                    <w:pStyle w:val="69"/>
                  </w:pPr>
                  <w:r>
                    <w:rPr>
                      <w:rFonts w:hint="eastAsia"/>
                    </w:rPr>
                    <w:t>治理措施</w:t>
                  </w:r>
                </w:p>
              </w:tc>
              <w:tc>
                <w:tcPr>
                  <w:tcW w:w="797" w:type="pct"/>
                </w:tcPr>
                <w:p>
                  <w:pPr>
                    <w:pStyle w:val="69"/>
                  </w:pPr>
                  <w:r>
                    <w:rPr>
                      <w:rFonts w:hint="eastAsia"/>
                      <w:lang w:eastAsia="zh-CN"/>
                    </w:rPr>
                    <w:t>排放浓度</w:t>
                  </w:r>
                  <w:r>
                    <w:rPr>
                      <w:rFonts w:hint="eastAsia"/>
                    </w:rPr>
                    <w:t>（</w:t>
                  </w:r>
                  <w:r>
                    <w:t>mg/L</w:t>
                  </w:r>
                  <w:r>
                    <w:rPr>
                      <w:rFonts w:hint="eastAsia"/>
                    </w:rPr>
                    <w:t>）</w:t>
                  </w:r>
                </w:p>
              </w:tc>
              <w:tc>
                <w:tcPr>
                  <w:tcW w:w="705" w:type="pct"/>
                </w:tcPr>
                <w:p>
                  <w:pPr>
                    <w:pStyle w:val="69"/>
                  </w:pPr>
                  <w:r>
                    <w:rPr>
                      <w:rFonts w:hint="eastAsia"/>
                      <w:lang w:eastAsia="zh-CN"/>
                    </w:rPr>
                    <w:t>排放量</w:t>
                  </w:r>
                  <w:r>
                    <w:rPr>
                      <w:rFonts w:hint="eastAsia"/>
                    </w:rPr>
                    <w:t>（t</w:t>
                  </w:r>
                  <w:r>
                    <w:t>/a</w:t>
                  </w:r>
                  <w:r>
                    <w:rPr>
                      <w:rFonts w:hint="eastAsia"/>
                    </w:rPr>
                    <w:t>）</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restart"/>
                  <w:vAlign w:val="center"/>
                </w:tcPr>
                <w:p>
                  <w:pPr>
                    <w:pStyle w:val="69"/>
                  </w:pPr>
                  <w:r>
                    <w:rPr>
                      <w:rFonts w:hint="eastAsia"/>
                    </w:rPr>
                    <w:t>生活污水</w:t>
                  </w:r>
                </w:p>
              </w:tc>
              <w:tc>
                <w:tcPr>
                  <w:tcW w:w="524" w:type="pct"/>
                  <w:vMerge w:val="restart"/>
                  <w:vAlign w:val="center"/>
                </w:tcPr>
                <w:p>
                  <w:pPr>
                    <w:pStyle w:val="69"/>
                  </w:pPr>
                  <w:r>
                    <w:t>300</w:t>
                  </w:r>
                </w:p>
              </w:tc>
              <w:tc>
                <w:tcPr>
                  <w:tcW w:w="506" w:type="pct"/>
                  <w:vAlign w:val="center"/>
                </w:tcPr>
                <w:p>
                  <w:pPr>
                    <w:pStyle w:val="69"/>
                  </w:pPr>
                  <w:r>
                    <w:t>COD</w:t>
                  </w:r>
                  <w:r>
                    <w:rPr>
                      <w:rFonts w:hint="eastAsia"/>
                      <w:vertAlign w:val="subscript"/>
                    </w:rPr>
                    <w:t>cr</w:t>
                  </w:r>
                </w:p>
              </w:tc>
              <w:tc>
                <w:tcPr>
                  <w:tcW w:w="720" w:type="pct"/>
                  <w:vAlign w:val="center"/>
                </w:tcPr>
                <w:p>
                  <w:pPr>
                    <w:pStyle w:val="69"/>
                  </w:pPr>
                  <w:r>
                    <w:t>5</w:t>
                  </w:r>
                  <w:r>
                    <w:rPr>
                      <w:rFonts w:hint="eastAsia"/>
                    </w:rPr>
                    <w:t>00</w:t>
                  </w:r>
                </w:p>
              </w:tc>
              <w:tc>
                <w:tcPr>
                  <w:tcW w:w="544" w:type="pct"/>
                  <w:vAlign w:val="center"/>
                </w:tcPr>
                <w:p>
                  <w:pPr>
                    <w:pStyle w:val="69"/>
                  </w:pPr>
                  <w:r>
                    <w:rPr>
                      <w:szCs w:val="21"/>
                    </w:rPr>
                    <w:t>0.15</w:t>
                  </w:r>
                </w:p>
              </w:tc>
              <w:tc>
                <w:tcPr>
                  <w:tcW w:w="568" w:type="pct"/>
                  <w:vMerge w:val="restart"/>
                  <w:vAlign w:val="center"/>
                </w:tcPr>
                <w:p>
                  <w:pPr>
                    <w:pStyle w:val="69"/>
                    <w:rPr>
                      <w:lang w:eastAsia="zh-CN"/>
                    </w:rPr>
                  </w:pPr>
                  <w:r>
                    <w:rPr>
                      <w:rFonts w:hint="eastAsia"/>
                      <w:lang w:eastAsia="zh-CN"/>
                    </w:rPr>
                    <w:t>经化粪池预处理后排入镶黄旗污水处理厂进一步处理</w:t>
                  </w:r>
                </w:p>
              </w:tc>
              <w:tc>
                <w:tcPr>
                  <w:tcW w:w="797" w:type="pct"/>
                  <w:vAlign w:val="center"/>
                </w:tcPr>
                <w:p>
                  <w:pPr>
                    <w:pStyle w:val="69"/>
                    <w:rPr>
                      <w:lang w:eastAsia="zh-CN"/>
                    </w:rPr>
                  </w:pPr>
                  <w:r>
                    <w:rPr>
                      <w:szCs w:val="21"/>
                      <w:lang w:eastAsia="zh-CN"/>
                    </w:rPr>
                    <w:t>400</w:t>
                  </w:r>
                </w:p>
              </w:tc>
              <w:tc>
                <w:tcPr>
                  <w:tcW w:w="705" w:type="pct"/>
                  <w:vAlign w:val="center"/>
                </w:tcPr>
                <w:p>
                  <w:pPr>
                    <w:pStyle w:val="69"/>
                    <w:rPr>
                      <w:lang w:eastAsia="zh-CN"/>
                    </w:rPr>
                  </w:pPr>
                  <w:r>
                    <w:rPr>
                      <w:szCs w:val="21"/>
                      <w:lang w:eastAsia="zh-CN"/>
                    </w:rPr>
                    <w:t>0.12</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continue"/>
                  <w:vAlign w:val="center"/>
                </w:tcPr>
                <w:p>
                  <w:pPr>
                    <w:widowControl/>
                    <w:jc w:val="left"/>
                    <w:rPr>
                      <w:kern w:val="18"/>
                      <w:szCs w:val="21"/>
                    </w:rPr>
                  </w:pPr>
                </w:p>
              </w:tc>
              <w:tc>
                <w:tcPr>
                  <w:tcW w:w="524" w:type="pct"/>
                  <w:vMerge w:val="continue"/>
                  <w:vAlign w:val="center"/>
                </w:tcPr>
                <w:p>
                  <w:pPr>
                    <w:widowControl/>
                    <w:jc w:val="left"/>
                    <w:rPr>
                      <w:kern w:val="18"/>
                      <w:szCs w:val="21"/>
                    </w:rPr>
                  </w:pPr>
                </w:p>
              </w:tc>
              <w:tc>
                <w:tcPr>
                  <w:tcW w:w="506" w:type="pct"/>
                  <w:vAlign w:val="center"/>
                </w:tcPr>
                <w:p>
                  <w:pPr>
                    <w:pStyle w:val="69"/>
                    <w:rPr>
                      <w:lang w:eastAsia="zh-CN"/>
                    </w:rPr>
                  </w:pPr>
                  <w:r>
                    <w:rPr>
                      <w:lang w:eastAsia="zh-CN"/>
                    </w:rPr>
                    <w:t>BOD</w:t>
                  </w:r>
                  <w:r>
                    <w:rPr>
                      <w:vertAlign w:val="subscript"/>
                      <w:lang w:eastAsia="zh-CN"/>
                    </w:rPr>
                    <w:t>5</w:t>
                  </w:r>
                </w:p>
              </w:tc>
              <w:tc>
                <w:tcPr>
                  <w:tcW w:w="720" w:type="pct"/>
                  <w:vAlign w:val="center"/>
                </w:tcPr>
                <w:p>
                  <w:pPr>
                    <w:pStyle w:val="69"/>
                    <w:rPr>
                      <w:lang w:eastAsia="zh-CN"/>
                    </w:rPr>
                  </w:pPr>
                  <w:r>
                    <w:rPr>
                      <w:lang w:eastAsia="zh-CN"/>
                    </w:rPr>
                    <w:t>3</w:t>
                  </w:r>
                  <w:r>
                    <w:rPr>
                      <w:rFonts w:hint="eastAsia"/>
                      <w:lang w:eastAsia="zh-CN"/>
                    </w:rPr>
                    <w:t>00</w:t>
                  </w:r>
                </w:p>
              </w:tc>
              <w:tc>
                <w:tcPr>
                  <w:tcW w:w="544" w:type="pct"/>
                  <w:vAlign w:val="center"/>
                </w:tcPr>
                <w:p>
                  <w:pPr>
                    <w:pStyle w:val="69"/>
                    <w:rPr>
                      <w:lang w:eastAsia="zh-CN"/>
                    </w:rPr>
                  </w:pPr>
                  <w:r>
                    <w:rPr>
                      <w:szCs w:val="21"/>
                      <w:lang w:eastAsia="zh-CN"/>
                    </w:rPr>
                    <w:t>0.09</w:t>
                  </w:r>
                </w:p>
              </w:tc>
              <w:tc>
                <w:tcPr>
                  <w:tcW w:w="568" w:type="pct"/>
                  <w:vMerge w:val="continue"/>
                  <w:vAlign w:val="center"/>
                </w:tcPr>
                <w:p>
                  <w:pPr>
                    <w:widowControl/>
                    <w:jc w:val="left"/>
                    <w:rPr>
                      <w:kern w:val="18"/>
                      <w:szCs w:val="21"/>
                    </w:rPr>
                  </w:pPr>
                </w:p>
              </w:tc>
              <w:tc>
                <w:tcPr>
                  <w:tcW w:w="797" w:type="pct"/>
                  <w:vAlign w:val="center"/>
                </w:tcPr>
                <w:p>
                  <w:pPr>
                    <w:widowControl/>
                    <w:jc w:val="center"/>
                    <w:rPr>
                      <w:kern w:val="18"/>
                      <w:szCs w:val="21"/>
                    </w:rPr>
                  </w:pPr>
                  <w:r>
                    <w:rPr>
                      <w:szCs w:val="21"/>
                    </w:rPr>
                    <w:t>280</w:t>
                  </w:r>
                </w:p>
              </w:tc>
              <w:tc>
                <w:tcPr>
                  <w:tcW w:w="705" w:type="pct"/>
                  <w:vAlign w:val="center"/>
                </w:tcPr>
                <w:p>
                  <w:pPr>
                    <w:widowControl/>
                    <w:jc w:val="center"/>
                    <w:rPr>
                      <w:kern w:val="18"/>
                      <w:szCs w:val="21"/>
                    </w:rPr>
                  </w:pPr>
                  <w:r>
                    <w:rPr>
                      <w:szCs w:val="21"/>
                    </w:rPr>
                    <w:t>0.084</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continue"/>
                  <w:vAlign w:val="center"/>
                </w:tcPr>
                <w:p>
                  <w:pPr>
                    <w:widowControl/>
                    <w:jc w:val="left"/>
                    <w:rPr>
                      <w:kern w:val="18"/>
                      <w:szCs w:val="21"/>
                    </w:rPr>
                  </w:pPr>
                </w:p>
              </w:tc>
              <w:tc>
                <w:tcPr>
                  <w:tcW w:w="524" w:type="pct"/>
                  <w:vMerge w:val="continue"/>
                  <w:vAlign w:val="center"/>
                </w:tcPr>
                <w:p>
                  <w:pPr>
                    <w:widowControl/>
                    <w:jc w:val="left"/>
                    <w:rPr>
                      <w:kern w:val="18"/>
                      <w:szCs w:val="21"/>
                    </w:rPr>
                  </w:pPr>
                </w:p>
              </w:tc>
              <w:tc>
                <w:tcPr>
                  <w:tcW w:w="506" w:type="pct"/>
                  <w:vAlign w:val="center"/>
                </w:tcPr>
                <w:p>
                  <w:pPr>
                    <w:pStyle w:val="69"/>
                    <w:rPr>
                      <w:lang w:eastAsia="zh-CN"/>
                    </w:rPr>
                  </w:pPr>
                  <w:r>
                    <w:rPr>
                      <w:lang w:eastAsia="zh-CN"/>
                    </w:rPr>
                    <w:t>SS</w:t>
                  </w:r>
                </w:p>
              </w:tc>
              <w:tc>
                <w:tcPr>
                  <w:tcW w:w="720" w:type="pct"/>
                  <w:vAlign w:val="center"/>
                </w:tcPr>
                <w:p>
                  <w:pPr>
                    <w:pStyle w:val="69"/>
                    <w:rPr>
                      <w:lang w:eastAsia="zh-CN"/>
                    </w:rPr>
                  </w:pPr>
                  <w:r>
                    <w:rPr>
                      <w:lang w:eastAsia="zh-CN"/>
                    </w:rPr>
                    <w:t>2</w:t>
                  </w:r>
                  <w:r>
                    <w:rPr>
                      <w:rFonts w:hint="eastAsia"/>
                      <w:lang w:eastAsia="zh-CN"/>
                    </w:rPr>
                    <w:t>00</w:t>
                  </w:r>
                </w:p>
              </w:tc>
              <w:tc>
                <w:tcPr>
                  <w:tcW w:w="544" w:type="pct"/>
                  <w:vAlign w:val="center"/>
                </w:tcPr>
                <w:p>
                  <w:pPr>
                    <w:pStyle w:val="69"/>
                    <w:rPr>
                      <w:lang w:eastAsia="zh-CN"/>
                    </w:rPr>
                  </w:pPr>
                  <w:r>
                    <w:rPr>
                      <w:szCs w:val="21"/>
                      <w:lang w:eastAsia="zh-CN"/>
                    </w:rPr>
                    <w:t>0.06</w:t>
                  </w:r>
                </w:p>
              </w:tc>
              <w:tc>
                <w:tcPr>
                  <w:tcW w:w="568" w:type="pct"/>
                  <w:vMerge w:val="continue"/>
                  <w:vAlign w:val="center"/>
                </w:tcPr>
                <w:p>
                  <w:pPr>
                    <w:widowControl/>
                    <w:jc w:val="left"/>
                    <w:rPr>
                      <w:kern w:val="18"/>
                      <w:szCs w:val="21"/>
                    </w:rPr>
                  </w:pPr>
                </w:p>
              </w:tc>
              <w:tc>
                <w:tcPr>
                  <w:tcW w:w="797" w:type="pct"/>
                  <w:vAlign w:val="center"/>
                </w:tcPr>
                <w:p>
                  <w:pPr>
                    <w:widowControl/>
                    <w:jc w:val="center"/>
                    <w:rPr>
                      <w:kern w:val="18"/>
                      <w:szCs w:val="21"/>
                    </w:rPr>
                  </w:pPr>
                  <w:r>
                    <w:rPr>
                      <w:szCs w:val="21"/>
                    </w:rPr>
                    <w:t>150</w:t>
                  </w:r>
                </w:p>
              </w:tc>
              <w:tc>
                <w:tcPr>
                  <w:tcW w:w="705" w:type="pct"/>
                  <w:vAlign w:val="center"/>
                </w:tcPr>
                <w:p>
                  <w:pPr>
                    <w:widowControl/>
                    <w:jc w:val="center"/>
                    <w:rPr>
                      <w:kern w:val="18"/>
                      <w:szCs w:val="21"/>
                    </w:rPr>
                  </w:pPr>
                  <w:r>
                    <w:rPr>
                      <w:szCs w:val="21"/>
                    </w:rPr>
                    <w:t>0.045</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continue"/>
                  <w:vAlign w:val="center"/>
                </w:tcPr>
                <w:p>
                  <w:pPr>
                    <w:widowControl/>
                    <w:jc w:val="left"/>
                    <w:rPr>
                      <w:kern w:val="18"/>
                      <w:szCs w:val="21"/>
                    </w:rPr>
                  </w:pPr>
                </w:p>
              </w:tc>
              <w:tc>
                <w:tcPr>
                  <w:tcW w:w="524" w:type="pct"/>
                  <w:vMerge w:val="continue"/>
                  <w:vAlign w:val="center"/>
                </w:tcPr>
                <w:p>
                  <w:pPr>
                    <w:widowControl/>
                    <w:jc w:val="left"/>
                    <w:rPr>
                      <w:kern w:val="18"/>
                      <w:szCs w:val="21"/>
                    </w:rPr>
                  </w:pPr>
                </w:p>
              </w:tc>
              <w:tc>
                <w:tcPr>
                  <w:tcW w:w="506" w:type="pct"/>
                  <w:vAlign w:val="center"/>
                </w:tcPr>
                <w:p>
                  <w:pPr>
                    <w:pStyle w:val="69"/>
                    <w:rPr>
                      <w:lang w:eastAsia="zh-CN"/>
                    </w:rPr>
                  </w:pPr>
                  <w:r>
                    <w:rPr>
                      <w:lang w:eastAsia="zh-CN"/>
                    </w:rPr>
                    <w:t>NH</w:t>
                  </w:r>
                  <w:r>
                    <w:rPr>
                      <w:vertAlign w:val="subscript"/>
                      <w:lang w:eastAsia="zh-CN"/>
                    </w:rPr>
                    <w:t>3</w:t>
                  </w:r>
                  <w:r>
                    <w:rPr>
                      <w:lang w:eastAsia="zh-CN"/>
                    </w:rPr>
                    <w:t>-N</w:t>
                  </w:r>
                </w:p>
              </w:tc>
              <w:tc>
                <w:tcPr>
                  <w:tcW w:w="720" w:type="pct"/>
                  <w:vAlign w:val="center"/>
                </w:tcPr>
                <w:p>
                  <w:pPr>
                    <w:pStyle w:val="69"/>
                    <w:rPr>
                      <w:lang w:eastAsia="zh-CN"/>
                    </w:rPr>
                  </w:pPr>
                  <w:r>
                    <w:rPr>
                      <w:lang w:eastAsia="zh-CN"/>
                    </w:rPr>
                    <w:t>35</w:t>
                  </w:r>
                </w:p>
              </w:tc>
              <w:tc>
                <w:tcPr>
                  <w:tcW w:w="544" w:type="pct"/>
                  <w:vAlign w:val="center"/>
                </w:tcPr>
                <w:p>
                  <w:pPr>
                    <w:pStyle w:val="69"/>
                    <w:rPr>
                      <w:lang w:eastAsia="zh-CN"/>
                    </w:rPr>
                  </w:pPr>
                  <w:r>
                    <w:rPr>
                      <w:szCs w:val="21"/>
                      <w:lang w:eastAsia="zh-CN"/>
                    </w:rPr>
                    <w:t>0.0105</w:t>
                  </w:r>
                </w:p>
              </w:tc>
              <w:tc>
                <w:tcPr>
                  <w:tcW w:w="568" w:type="pct"/>
                  <w:vMerge w:val="continue"/>
                  <w:vAlign w:val="center"/>
                </w:tcPr>
                <w:p>
                  <w:pPr>
                    <w:widowControl/>
                    <w:jc w:val="left"/>
                    <w:rPr>
                      <w:kern w:val="18"/>
                      <w:szCs w:val="21"/>
                    </w:rPr>
                  </w:pPr>
                </w:p>
              </w:tc>
              <w:tc>
                <w:tcPr>
                  <w:tcW w:w="797" w:type="pct"/>
                  <w:vAlign w:val="center"/>
                </w:tcPr>
                <w:p>
                  <w:pPr>
                    <w:widowControl/>
                    <w:jc w:val="center"/>
                    <w:rPr>
                      <w:kern w:val="18"/>
                      <w:szCs w:val="21"/>
                    </w:rPr>
                  </w:pPr>
                  <w:r>
                    <w:rPr>
                      <w:szCs w:val="21"/>
                    </w:rPr>
                    <w:t>30</w:t>
                  </w:r>
                </w:p>
              </w:tc>
              <w:tc>
                <w:tcPr>
                  <w:tcW w:w="705" w:type="pct"/>
                  <w:vAlign w:val="center"/>
                </w:tcPr>
                <w:p>
                  <w:pPr>
                    <w:widowControl/>
                    <w:jc w:val="center"/>
                    <w:rPr>
                      <w:kern w:val="18"/>
                      <w:szCs w:val="21"/>
                    </w:rPr>
                  </w:pPr>
                  <w:r>
                    <w:rPr>
                      <w:szCs w:val="21"/>
                    </w:rPr>
                    <w:t>0.009</w:t>
                  </w:r>
                </w:p>
              </w:tc>
            </w:tr>
          </w:tbl>
          <w:p>
            <w:pPr>
              <w:adjustRightInd w:val="0"/>
              <w:snapToGrid w:val="0"/>
              <w:spacing w:line="400" w:lineRule="exact"/>
              <w:jc w:val="center"/>
              <w:rPr>
                <w:b/>
                <w:sz w:val="24"/>
              </w:rPr>
            </w:pPr>
            <w:r>
              <w:rPr>
                <w:rFonts w:hint="eastAsia"/>
                <w:b/>
                <w:sz w:val="24"/>
              </w:rPr>
              <w:t>表4</w:t>
            </w:r>
            <w:r>
              <w:rPr>
                <w:b/>
                <w:sz w:val="24"/>
              </w:rPr>
              <w:t>-7</w:t>
            </w:r>
            <w:r>
              <w:rPr>
                <w:rFonts w:hint="eastAsia"/>
                <w:b/>
                <w:sz w:val="24"/>
              </w:rPr>
              <w:t>二期工程完成后全厂生产废水产生情况一览表</w:t>
            </w:r>
          </w:p>
          <w:tbl>
            <w:tblPr>
              <w:tblStyle w:val="21"/>
              <w:tblW w:w="8199" w:type="dxa"/>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1087"/>
              <w:gridCol w:w="951"/>
              <w:gridCol w:w="1120"/>
              <w:gridCol w:w="1187"/>
              <w:gridCol w:w="1302"/>
              <w:gridCol w:w="1299"/>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pct"/>
                  <w:vMerge w:val="restart"/>
                  <w:shd w:val="clear" w:color="auto" w:fill="auto"/>
                  <w:vAlign w:val="center"/>
                </w:tcPr>
                <w:p>
                  <w:pPr>
                    <w:widowControl/>
                    <w:jc w:val="center"/>
                    <w:rPr>
                      <w:rFonts w:cs="宋体"/>
                      <w:kern w:val="0"/>
                      <w:szCs w:val="21"/>
                    </w:rPr>
                  </w:pPr>
                  <w:r>
                    <w:rPr>
                      <w:rFonts w:hint="eastAsia" w:cs="宋体"/>
                      <w:kern w:val="0"/>
                      <w:szCs w:val="21"/>
                    </w:rPr>
                    <w:t>废水种类</w:t>
                  </w:r>
                </w:p>
              </w:tc>
              <w:tc>
                <w:tcPr>
                  <w:tcW w:w="663" w:type="pct"/>
                  <w:shd w:val="clear" w:color="auto" w:fill="auto"/>
                  <w:vAlign w:val="center"/>
                </w:tcPr>
                <w:p>
                  <w:pPr>
                    <w:widowControl/>
                    <w:jc w:val="center"/>
                    <w:rPr>
                      <w:rFonts w:cs="宋体"/>
                      <w:kern w:val="0"/>
                      <w:szCs w:val="21"/>
                    </w:rPr>
                  </w:pPr>
                  <w:r>
                    <w:rPr>
                      <w:rFonts w:hint="eastAsia" w:cs="宋体"/>
                      <w:kern w:val="0"/>
                      <w:szCs w:val="21"/>
                    </w:rPr>
                    <w:t>废水量</w:t>
                  </w:r>
                </w:p>
              </w:tc>
              <w:tc>
                <w:tcPr>
                  <w:tcW w:w="580" w:type="pct"/>
                  <w:vMerge w:val="restart"/>
                  <w:shd w:val="clear" w:color="auto" w:fill="auto"/>
                  <w:vAlign w:val="center"/>
                </w:tcPr>
                <w:p>
                  <w:pPr>
                    <w:widowControl/>
                    <w:jc w:val="center"/>
                    <w:rPr>
                      <w:kern w:val="0"/>
                      <w:szCs w:val="21"/>
                    </w:rPr>
                  </w:pPr>
                  <w:r>
                    <w:rPr>
                      <w:kern w:val="0"/>
                      <w:szCs w:val="21"/>
                    </w:rPr>
                    <w:t>PH</w:t>
                  </w:r>
                </w:p>
              </w:tc>
              <w:tc>
                <w:tcPr>
                  <w:tcW w:w="683" w:type="pct"/>
                  <w:vMerge w:val="restart"/>
                  <w:shd w:val="clear" w:color="auto" w:fill="auto"/>
                  <w:vAlign w:val="center"/>
                </w:tcPr>
                <w:p>
                  <w:pPr>
                    <w:widowControl/>
                    <w:jc w:val="center"/>
                    <w:rPr>
                      <w:kern w:val="0"/>
                      <w:szCs w:val="21"/>
                    </w:rPr>
                  </w:pPr>
                  <w:r>
                    <w:rPr>
                      <w:kern w:val="0"/>
                      <w:szCs w:val="21"/>
                    </w:rPr>
                    <w:t>COD</w:t>
                  </w:r>
                </w:p>
              </w:tc>
              <w:tc>
                <w:tcPr>
                  <w:tcW w:w="724" w:type="pct"/>
                  <w:vMerge w:val="restart"/>
                  <w:shd w:val="clear" w:color="auto" w:fill="auto"/>
                  <w:vAlign w:val="center"/>
                </w:tcPr>
                <w:p>
                  <w:pPr>
                    <w:widowControl/>
                    <w:jc w:val="center"/>
                    <w:rPr>
                      <w:kern w:val="0"/>
                      <w:szCs w:val="21"/>
                    </w:rPr>
                  </w:pPr>
                  <w:r>
                    <w:rPr>
                      <w:kern w:val="0"/>
                      <w:szCs w:val="21"/>
                    </w:rPr>
                    <w:t>BOD</w:t>
                  </w:r>
                  <w:r>
                    <w:rPr>
                      <w:kern w:val="0"/>
                      <w:szCs w:val="21"/>
                      <w:vertAlign w:val="subscript"/>
                    </w:rPr>
                    <w:t>5</w:t>
                  </w:r>
                </w:p>
              </w:tc>
              <w:tc>
                <w:tcPr>
                  <w:tcW w:w="794" w:type="pct"/>
                  <w:vMerge w:val="restart"/>
                  <w:shd w:val="clear" w:color="auto" w:fill="auto"/>
                  <w:vAlign w:val="center"/>
                </w:tcPr>
                <w:p>
                  <w:pPr>
                    <w:widowControl/>
                    <w:jc w:val="center"/>
                    <w:rPr>
                      <w:rFonts w:cs="宋体"/>
                      <w:kern w:val="0"/>
                      <w:szCs w:val="21"/>
                    </w:rPr>
                  </w:pPr>
                  <w:r>
                    <w:rPr>
                      <w:rFonts w:hint="eastAsia" w:cs="宋体"/>
                      <w:kern w:val="0"/>
                      <w:szCs w:val="21"/>
                    </w:rPr>
                    <w:t>氨氮</w:t>
                  </w:r>
                </w:p>
              </w:tc>
              <w:tc>
                <w:tcPr>
                  <w:tcW w:w="792" w:type="pct"/>
                  <w:vMerge w:val="restart"/>
                  <w:shd w:val="clear" w:color="auto" w:fill="auto"/>
                  <w:vAlign w:val="center"/>
                </w:tcPr>
                <w:p>
                  <w:pPr>
                    <w:widowControl/>
                    <w:jc w:val="center"/>
                    <w:rPr>
                      <w:rFonts w:cs="宋体"/>
                      <w:kern w:val="0"/>
                      <w:szCs w:val="21"/>
                    </w:rPr>
                  </w:pPr>
                  <w:r>
                    <w:rPr>
                      <w:rFonts w:hint="eastAsia" w:cs="宋体"/>
                      <w:kern w:val="0"/>
                      <w:szCs w:val="21"/>
                    </w:rPr>
                    <w:t>SS</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pct"/>
                  <w:vMerge w:val="continue"/>
                  <w:vAlign w:val="center"/>
                </w:tcPr>
                <w:p>
                  <w:pPr>
                    <w:widowControl/>
                    <w:jc w:val="left"/>
                    <w:rPr>
                      <w:rFonts w:cs="宋体"/>
                      <w:kern w:val="0"/>
                      <w:szCs w:val="21"/>
                    </w:rPr>
                  </w:pPr>
                </w:p>
              </w:tc>
              <w:tc>
                <w:tcPr>
                  <w:tcW w:w="663" w:type="pct"/>
                  <w:shd w:val="clear" w:color="auto" w:fill="auto"/>
                  <w:vAlign w:val="center"/>
                </w:tcPr>
                <w:p>
                  <w:pPr>
                    <w:widowControl/>
                    <w:jc w:val="center"/>
                    <w:rPr>
                      <w:rFonts w:cs="宋体"/>
                      <w:kern w:val="0"/>
                      <w:szCs w:val="21"/>
                    </w:rPr>
                  </w:pPr>
                  <w:r>
                    <w:rPr>
                      <w:rFonts w:hint="eastAsia" w:cs="宋体"/>
                      <w:kern w:val="0"/>
                      <w:szCs w:val="21"/>
                    </w:rPr>
                    <w:t>（</w:t>
                  </w:r>
                  <w:r>
                    <w:rPr>
                      <w:kern w:val="0"/>
                      <w:szCs w:val="21"/>
                    </w:rPr>
                    <w:t>t/a</w:t>
                  </w:r>
                  <w:r>
                    <w:rPr>
                      <w:rFonts w:hint="eastAsia" w:cs="宋体"/>
                      <w:kern w:val="0"/>
                      <w:szCs w:val="21"/>
                    </w:rPr>
                    <w:t>）</w:t>
                  </w:r>
                </w:p>
              </w:tc>
              <w:tc>
                <w:tcPr>
                  <w:tcW w:w="580" w:type="pct"/>
                  <w:vMerge w:val="continue"/>
                  <w:vAlign w:val="center"/>
                </w:tcPr>
                <w:p>
                  <w:pPr>
                    <w:widowControl/>
                    <w:jc w:val="left"/>
                    <w:rPr>
                      <w:kern w:val="0"/>
                      <w:szCs w:val="21"/>
                    </w:rPr>
                  </w:pPr>
                </w:p>
              </w:tc>
              <w:tc>
                <w:tcPr>
                  <w:tcW w:w="683" w:type="pct"/>
                  <w:vMerge w:val="continue"/>
                  <w:vAlign w:val="center"/>
                </w:tcPr>
                <w:p>
                  <w:pPr>
                    <w:widowControl/>
                    <w:jc w:val="left"/>
                    <w:rPr>
                      <w:kern w:val="0"/>
                      <w:szCs w:val="21"/>
                    </w:rPr>
                  </w:pPr>
                </w:p>
              </w:tc>
              <w:tc>
                <w:tcPr>
                  <w:tcW w:w="724" w:type="pct"/>
                  <w:vMerge w:val="continue"/>
                  <w:vAlign w:val="center"/>
                </w:tcPr>
                <w:p>
                  <w:pPr>
                    <w:widowControl/>
                    <w:jc w:val="left"/>
                    <w:rPr>
                      <w:kern w:val="0"/>
                      <w:szCs w:val="21"/>
                    </w:rPr>
                  </w:pPr>
                </w:p>
              </w:tc>
              <w:tc>
                <w:tcPr>
                  <w:tcW w:w="794" w:type="pct"/>
                  <w:vMerge w:val="continue"/>
                  <w:vAlign w:val="center"/>
                </w:tcPr>
                <w:p>
                  <w:pPr>
                    <w:widowControl/>
                    <w:jc w:val="left"/>
                    <w:rPr>
                      <w:rFonts w:cs="宋体"/>
                      <w:kern w:val="0"/>
                      <w:szCs w:val="21"/>
                    </w:rPr>
                  </w:pPr>
                </w:p>
              </w:tc>
              <w:tc>
                <w:tcPr>
                  <w:tcW w:w="792" w:type="pct"/>
                  <w:vMerge w:val="continue"/>
                  <w:vAlign w:val="center"/>
                </w:tcPr>
                <w:p>
                  <w:pPr>
                    <w:widowControl/>
                    <w:jc w:val="left"/>
                    <w:rPr>
                      <w:rFonts w:cs="宋体"/>
                      <w:kern w:val="0"/>
                      <w:szCs w:val="21"/>
                    </w:rPr>
                  </w:pP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64" w:type="pct"/>
                  <w:shd w:val="clear" w:color="auto" w:fill="auto"/>
                  <w:vAlign w:val="center"/>
                </w:tcPr>
                <w:p>
                  <w:pPr>
                    <w:widowControl/>
                    <w:jc w:val="center"/>
                    <w:rPr>
                      <w:rFonts w:cs="宋体"/>
                      <w:kern w:val="0"/>
                      <w:szCs w:val="21"/>
                    </w:rPr>
                  </w:pPr>
                  <w:r>
                    <w:rPr>
                      <w:rFonts w:hint="eastAsia" w:cs="宋体"/>
                      <w:kern w:val="0"/>
                      <w:szCs w:val="21"/>
                    </w:rPr>
                    <w:t>设备清洗废水</w:t>
                  </w:r>
                </w:p>
              </w:tc>
              <w:tc>
                <w:tcPr>
                  <w:tcW w:w="663" w:type="pct"/>
                  <w:shd w:val="clear" w:color="auto" w:fill="auto"/>
                  <w:vAlign w:val="center"/>
                </w:tcPr>
                <w:p>
                  <w:pPr>
                    <w:widowControl/>
                    <w:jc w:val="center"/>
                    <w:rPr>
                      <w:kern w:val="0"/>
                      <w:szCs w:val="21"/>
                    </w:rPr>
                  </w:pPr>
                  <w:r>
                    <w:rPr>
                      <w:kern w:val="0"/>
                      <w:szCs w:val="21"/>
                    </w:rPr>
                    <w:t>720</w:t>
                  </w:r>
                </w:p>
              </w:tc>
              <w:tc>
                <w:tcPr>
                  <w:tcW w:w="580" w:type="pct"/>
                  <w:shd w:val="clear" w:color="auto" w:fill="auto"/>
                  <w:vAlign w:val="center"/>
                </w:tcPr>
                <w:p>
                  <w:pPr>
                    <w:widowControl/>
                    <w:jc w:val="center"/>
                    <w:rPr>
                      <w:rFonts w:cs="宋体"/>
                      <w:kern w:val="0"/>
                      <w:szCs w:val="21"/>
                    </w:rPr>
                  </w:pPr>
                  <w:r>
                    <w:rPr>
                      <w:rFonts w:cs="宋体"/>
                      <w:kern w:val="0"/>
                      <w:szCs w:val="21"/>
                    </w:rPr>
                    <w:t>6-7</w:t>
                  </w:r>
                </w:p>
              </w:tc>
              <w:tc>
                <w:tcPr>
                  <w:tcW w:w="683" w:type="pct"/>
                  <w:shd w:val="clear" w:color="auto" w:fill="auto"/>
                  <w:vAlign w:val="center"/>
                </w:tcPr>
                <w:p>
                  <w:pPr>
                    <w:widowControl/>
                    <w:jc w:val="center"/>
                    <w:rPr>
                      <w:rFonts w:cs="宋体"/>
                      <w:kern w:val="0"/>
                      <w:szCs w:val="21"/>
                    </w:rPr>
                  </w:pPr>
                  <w:r>
                    <w:rPr>
                      <w:rFonts w:hint="eastAsia" w:cs="宋体"/>
                      <w:kern w:val="0"/>
                      <w:szCs w:val="21"/>
                    </w:rPr>
                    <w:t>2300</w:t>
                  </w:r>
                </w:p>
              </w:tc>
              <w:tc>
                <w:tcPr>
                  <w:tcW w:w="724" w:type="pct"/>
                  <w:shd w:val="clear" w:color="auto" w:fill="auto"/>
                  <w:vAlign w:val="center"/>
                </w:tcPr>
                <w:p>
                  <w:pPr>
                    <w:widowControl/>
                    <w:jc w:val="center"/>
                    <w:rPr>
                      <w:rFonts w:cs="宋体"/>
                      <w:kern w:val="0"/>
                      <w:szCs w:val="21"/>
                    </w:rPr>
                  </w:pPr>
                  <w:r>
                    <w:rPr>
                      <w:rFonts w:hint="eastAsia" w:cs="宋体"/>
                      <w:kern w:val="0"/>
                      <w:szCs w:val="21"/>
                    </w:rPr>
                    <w:t>500</w:t>
                  </w:r>
                </w:p>
              </w:tc>
              <w:tc>
                <w:tcPr>
                  <w:tcW w:w="794" w:type="pct"/>
                  <w:shd w:val="clear" w:color="auto" w:fill="auto"/>
                  <w:vAlign w:val="center"/>
                </w:tcPr>
                <w:p>
                  <w:pPr>
                    <w:widowControl/>
                    <w:jc w:val="center"/>
                    <w:rPr>
                      <w:rFonts w:cs="宋体"/>
                      <w:kern w:val="0"/>
                      <w:szCs w:val="21"/>
                    </w:rPr>
                  </w:pPr>
                  <w:r>
                    <w:rPr>
                      <w:rFonts w:hint="eastAsia" w:cs="宋体"/>
                      <w:kern w:val="0"/>
                      <w:szCs w:val="21"/>
                    </w:rPr>
                    <w:t>35</w:t>
                  </w:r>
                </w:p>
              </w:tc>
              <w:tc>
                <w:tcPr>
                  <w:tcW w:w="792" w:type="pct"/>
                  <w:shd w:val="clear" w:color="auto" w:fill="auto"/>
                  <w:vAlign w:val="center"/>
                </w:tcPr>
                <w:p>
                  <w:pPr>
                    <w:widowControl/>
                    <w:jc w:val="center"/>
                    <w:rPr>
                      <w:rFonts w:cs="宋体"/>
                      <w:kern w:val="0"/>
                      <w:szCs w:val="21"/>
                    </w:rPr>
                  </w:pPr>
                  <w:r>
                    <w:rPr>
                      <w:rFonts w:hint="eastAsia" w:cs="宋体"/>
                      <w:kern w:val="0"/>
                      <w:szCs w:val="21"/>
                    </w:rPr>
                    <w:t>800</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pct"/>
                  <w:shd w:val="clear" w:color="auto" w:fill="auto"/>
                  <w:vAlign w:val="center"/>
                </w:tcPr>
                <w:p>
                  <w:pPr>
                    <w:widowControl/>
                    <w:jc w:val="center"/>
                    <w:rPr>
                      <w:rFonts w:cs="宋体"/>
                      <w:kern w:val="0"/>
                      <w:szCs w:val="21"/>
                    </w:rPr>
                  </w:pPr>
                  <w:r>
                    <w:rPr>
                      <w:rFonts w:hint="eastAsia" w:cs="宋体"/>
                      <w:kern w:val="0"/>
                      <w:szCs w:val="21"/>
                    </w:rPr>
                    <w:t>措施</w:t>
                  </w:r>
                </w:p>
              </w:tc>
              <w:tc>
                <w:tcPr>
                  <w:tcW w:w="663" w:type="pct"/>
                  <w:shd w:val="clear" w:color="auto" w:fill="auto"/>
                  <w:vAlign w:val="center"/>
                </w:tcPr>
                <w:p>
                  <w:pPr>
                    <w:widowControl/>
                    <w:jc w:val="center"/>
                    <w:rPr>
                      <w:kern w:val="0"/>
                      <w:szCs w:val="21"/>
                    </w:rPr>
                  </w:pPr>
                </w:p>
              </w:tc>
              <w:tc>
                <w:tcPr>
                  <w:tcW w:w="3573" w:type="pct"/>
                  <w:gridSpan w:val="5"/>
                  <w:shd w:val="clear" w:color="auto" w:fill="auto"/>
                  <w:vAlign w:val="center"/>
                </w:tcPr>
                <w:p>
                  <w:pPr>
                    <w:widowControl/>
                    <w:jc w:val="left"/>
                    <w:rPr>
                      <w:rFonts w:cs="宋体"/>
                      <w:kern w:val="0"/>
                      <w:szCs w:val="21"/>
                    </w:rPr>
                  </w:pPr>
                  <w:r>
                    <w:rPr>
                      <w:rFonts w:hint="eastAsia" w:cs="宋体"/>
                      <w:kern w:val="0"/>
                      <w:szCs w:val="21"/>
                    </w:rPr>
                    <w:t>排入污水处理站预处理后排入镶黄旗污水处理厂进一步处理，待园区集中污水处理厂投入运行后，接入园区污水处理厂集中处置。</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pct"/>
                  <w:shd w:val="clear" w:color="auto" w:fill="auto"/>
                  <w:vAlign w:val="center"/>
                </w:tcPr>
                <w:p>
                  <w:pPr>
                    <w:widowControl/>
                    <w:jc w:val="center"/>
                    <w:rPr>
                      <w:rFonts w:cs="宋体"/>
                      <w:kern w:val="0"/>
                      <w:szCs w:val="21"/>
                    </w:rPr>
                  </w:pPr>
                  <w:r>
                    <w:rPr>
                      <w:rFonts w:hint="eastAsia" w:cs="宋体"/>
                      <w:kern w:val="0"/>
                      <w:szCs w:val="21"/>
                    </w:rPr>
                    <w:t>排水水质mg</w:t>
                  </w:r>
                  <w:r>
                    <w:rPr>
                      <w:rFonts w:cs="宋体"/>
                      <w:kern w:val="0"/>
                      <w:szCs w:val="21"/>
                    </w:rPr>
                    <w:t>/L</w:t>
                  </w:r>
                </w:p>
              </w:tc>
              <w:tc>
                <w:tcPr>
                  <w:tcW w:w="663" w:type="pct"/>
                  <w:shd w:val="clear" w:color="auto" w:fill="auto"/>
                  <w:vAlign w:val="center"/>
                </w:tcPr>
                <w:p>
                  <w:pPr>
                    <w:widowControl/>
                    <w:jc w:val="center"/>
                    <w:rPr>
                      <w:kern w:val="0"/>
                      <w:szCs w:val="21"/>
                    </w:rPr>
                  </w:pPr>
                  <w:r>
                    <w:rPr>
                      <w:kern w:val="0"/>
                      <w:szCs w:val="21"/>
                    </w:rPr>
                    <w:t>720</w:t>
                  </w:r>
                </w:p>
              </w:tc>
              <w:tc>
                <w:tcPr>
                  <w:tcW w:w="580" w:type="pct"/>
                  <w:shd w:val="clear" w:color="auto" w:fill="auto"/>
                  <w:vAlign w:val="center"/>
                </w:tcPr>
                <w:p>
                  <w:pPr>
                    <w:widowControl/>
                    <w:jc w:val="center"/>
                    <w:rPr>
                      <w:rFonts w:cs="宋体"/>
                      <w:kern w:val="0"/>
                      <w:szCs w:val="21"/>
                    </w:rPr>
                  </w:pPr>
                  <w:r>
                    <w:rPr>
                      <w:rFonts w:hint="eastAsia" w:cs="宋体"/>
                      <w:kern w:val="0"/>
                      <w:szCs w:val="21"/>
                    </w:rPr>
                    <w:t>6</w:t>
                  </w:r>
                  <w:r>
                    <w:rPr>
                      <w:rFonts w:cs="宋体"/>
                      <w:kern w:val="0"/>
                      <w:szCs w:val="21"/>
                    </w:rPr>
                    <w:t>-9</w:t>
                  </w:r>
                  <w:r>
                    <w:rPr>
                      <w:rFonts w:hint="eastAsia" w:cs="宋体"/>
                      <w:kern w:val="0"/>
                      <w:szCs w:val="21"/>
                    </w:rPr>
                    <w:t>　</w:t>
                  </w:r>
                </w:p>
              </w:tc>
              <w:tc>
                <w:tcPr>
                  <w:tcW w:w="683" w:type="pct"/>
                  <w:shd w:val="clear" w:color="auto" w:fill="auto"/>
                  <w:vAlign w:val="center"/>
                </w:tcPr>
                <w:p>
                  <w:pPr>
                    <w:widowControl/>
                    <w:jc w:val="center"/>
                    <w:rPr>
                      <w:rFonts w:cs="宋体"/>
                      <w:kern w:val="0"/>
                      <w:szCs w:val="21"/>
                    </w:rPr>
                  </w:pPr>
                  <w:r>
                    <w:rPr>
                      <w:rFonts w:hint="eastAsia" w:cs="宋体"/>
                      <w:kern w:val="0"/>
                      <w:szCs w:val="21"/>
                    </w:rPr>
                    <w:t>3</w:t>
                  </w:r>
                  <w:r>
                    <w:rPr>
                      <w:rFonts w:cs="宋体"/>
                      <w:kern w:val="0"/>
                      <w:szCs w:val="21"/>
                    </w:rPr>
                    <w:t>00</w:t>
                  </w:r>
                </w:p>
              </w:tc>
              <w:tc>
                <w:tcPr>
                  <w:tcW w:w="724" w:type="pct"/>
                  <w:shd w:val="clear" w:color="auto" w:fill="auto"/>
                  <w:vAlign w:val="center"/>
                </w:tcPr>
                <w:p>
                  <w:pPr>
                    <w:widowControl/>
                    <w:jc w:val="center"/>
                    <w:rPr>
                      <w:rFonts w:cs="宋体"/>
                      <w:kern w:val="0"/>
                      <w:szCs w:val="21"/>
                    </w:rPr>
                  </w:pPr>
                  <w:r>
                    <w:rPr>
                      <w:rFonts w:hint="eastAsia" w:cs="宋体"/>
                      <w:kern w:val="0"/>
                      <w:szCs w:val="21"/>
                    </w:rPr>
                    <w:t>2</w:t>
                  </w:r>
                  <w:r>
                    <w:rPr>
                      <w:rFonts w:cs="宋体"/>
                      <w:kern w:val="0"/>
                      <w:szCs w:val="21"/>
                    </w:rPr>
                    <w:t>00</w:t>
                  </w:r>
                </w:p>
              </w:tc>
              <w:tc>
                <w:tcPr>
                  <w:tcW w:w="794" w:type="pct"/>
                  <w:shd w:val="clear" w:color="auto" w:fill="auto"/>
                  <w:vAlign w:val="center"/>
                </w:tcPr>
                <w:p>
                  <w:pPr>
                    <w:widowControl/>
                    <w:jc w:val="center"/>
                    <w:rPr>
                      <w:rFonts w:cs="宋体"/>
                      <w:kern w:val="0"/>
                      <w:szCs w:val="21"/>
                    </w:rPr>
                  </w:pPr>
                  <w:r>
                    <w:rPr>
                      <w:rFonts w:hint="eastAsia" w:cs="宋体"/>
                      <w:kern w:val="0"/>
                      <w:szCs w:val="21"/>
                    </w:rPr>
                    <w:t>1</w:t>
                  </w:r>
                  <w:r>
                    <w:rPr>
                      <w:rFonts w:cs="宋体"/>
                      <w:kern w:val="0"/>
                      <w:szCs w:val="21"/>
                    </w:rPr>
                    <w:t>5</w:t>
                  </w:r>
                </w:p>
              </w:tc>
              <w:tc>
                <w:tcPr>
                  <w:tcW w:w="792" w:type="pct"/>
                  <w:shd w:val="clear" w:color="auto" w:fill="auto"/>
                  <w:vAlign w:val="center"/>
                </w:tcPr>
                <w:p>
                  <w:pPr>
                    <w:widowControl/>
                    <w:jc w:val="center"/>
                    <w:rPr>
                      <w:rFonts w:cs="宋体"/>
                      <w:kern w:val="0"/>
                      <w:szCs w:val="21"/>
                    </w:rPr>
                  </w:pPr>
                  <w:r>
                    <w:rPr>
                      <w:rFonts w:hint="eastAsia" w:cs="宋体"/>
                      <w:kern w:val="0"/>
                      <w:szCs w:val="21"/>
                    </w:rPr>
                    <w:t>1</w:t>
                  </w:r>
                  <w:r>
                    <w:rPr>
                      <w:rFonts w:cs="宋体"/>
                      <w:kern w:val="0"/>
                      <w:szCs w:val="21"/>
                    </w:rPr>
                    <w:t>00</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4" w:type="pct"/>
                  <w:shd w:val="clear" w:color="auto" w:fill="auto"/>
                  <w:vAlign w:val="center"/>
                </w:tcPr>
                <w:p>
                  <w:pPr>
                    <w:widowControl/>
                    <w:jc w:val="center"/>
                    <w:rPr>
                      <w:rFonts w:cs="宋体"/>
                      <w:kern w:val="0"/>
                      <w:szCs w:val="21"/>
                    </w:rPr>
                  </w:pPr>
                  <w:r>
                    <w:rPr>
                      <w:rFonts w:hint="eastAsia" w:cs="宋体"/>
                      <w:kern w:val="0"/>
                      <w:szCs w:val="21"/>
                    </w:rPr>
                    <w:t>排放量t/a</w:t>
                  </w:r>
                </w:p>
              </w:tc>
              <w:tc>
                <w:tcPr>
                  <w:tcW w:w="663" w:type="pct"/>
                  <w:shd w:val="clear" w:color="auto" w:fill="auto"/>
                  <w:vAlign w:val="center"/>
                </w:tcPr>
                <w:p>
                  <w:pPr>
                    <w:widowControl/>
                    <w:jc w:val="center"/>
                    <w:rPr>
                      <w:kern w:val="0"/>
                      <w:szCs w:val="21"/>
                    </w:rPr>
                  </w:pPr>
                  <w:r>
                    <w:rPr>
                      <w:kern w:val="0"/>
                      <w:szCs w:val="21"/>
                    </w:rPr>
                    <w:t>720</w:t>
                  </w:r>
                </w:p>
              </w:tc>
              <w:tc>
                <w:tcPr>
                  <w:tcW w:w="580" w:type="pct"/>
                  <w:shd w:val="clear" w:color="auto" w:fill="auto"/>
                  <w:vAlign w:val="center"/>
                </w:tcPr>
                <w:p>
                  <w:pPr>
                    <w:widowControl/>
                    <w:jc w:val="center"/>
                    <w:rPr>
                      <w:rFonts w:cs="宋体"/>
                      <w:kern w:val="0"/>
                      <w:szCs w:val="21"/>
                    </w:rPr>
                  </w:pPr>
                  <w:r>
                    <w:rPr>
                      <w:rFonts w:hint="eastAsia" w:cs="宋体"/>
                      <w:kern w:val="0"/>
                      <w:szCs w:val="21"/>
                    </w:rPr>
                    <w:t>6</w:t>
                  </w:r>
                  <w:r>
                    <w:rPr>
                      <w:rFonts w:cs="宋体"/>
                      <w:kern w:val="0"/>
                      <w:szCs w:val="21"/>
                    </w:rPr>
                    <w:t>-9</w:t>
                  </w:r>
                </w:p>
              </w:tc>
              <w:tc>
                <w:tcPr>
                  <w:tcW w:w="683" w:type="pct"/>
                  <w:shd w:val="clear" w:color="auto" w:fill="auto"/>
                  <w:vAlign w:val="center"/>
                </w:tcPr>
                <w:p>
                  <w:pPr>
                    <w:widowControl/>
                    <w:jc w:val="center"/>
                    <w:rPr>
                      <w:rFonts w:cs="宋体"/>
                      <w:kern w:val="0"/>
                      <w:szCs w:val="21"/>
                    </w:rPr>
                  </w:pPr>
                  <w:r>
                    <w:t>0.216</w:t>
                  </w:r>
                </w:p>
              </w:tc>
              <w:tc>
                <w:tcPr>
                  <w:tcW w:w="724" w:type="pct"/>
                  <w:shd w:val="clear" w:color="auto" w:fill="auto"/>
                  <w:vAlign w:val="center"/>
                </w:tcPr>
                <w:p>
                  <w:pPr>
                    <w:widowControl/>
                    <w:jc w:val="center"/>
                    <w:rPr>
                      <w:rFonts w:cs="宋体"/>
                      <w:kern w:val="0"/>
                      <w:szCs w:val="21"/>
                    </w:rPr>
                  </w:pPr>
                  <w:r>
                    <w:t>0.144</w:t>
                  </w:r>
                </w:p>
              </w:tc>
              <w:tc>
                <w:tcPr>
                  <w:tcW w:w="794" w:type="pct"/>
                  <w:shd w:val="clear" w:color="auto" w:fill="auto"/>
                  <w:vAlign w:val="center"/>
                </w:tcPr>
                <w:p>
                  <w:pPr>
                    <w:widowControl/>
                    <w:jc w:val="center"/>
                    <w:rPr>
                      <w:rFonts w:cs="宋体"/>
                      <w:kern w:val="0"/>
                      <w:szCs w:val="21"/>
                    </w:rPr>
                  </w:pPr>
                  <w:r>
                    <w:t>0.011</w:t>
                  </w:r>
                </w:p>
              </w:tc>
              <w:tc>
                <w:tcPr>
                  <w:tcW w:w="792" w:type="pct"/>
                  <w:shd w:val="clear" w:color="auto" w:fill="auto"/>
                  <w:vAlign w:val="center"/>
                </w:tcPr>
                <w:p>
                  <w:pPr>
                    <w:widowControl/>
                    <w:jc w:val="center"/>
                    <w:rPr>
                      <w:rFonts w:cs="宋体"/>
                      <w:kern w:val="0"/>
                      <w:szCs w:val="21"/>
                    </w:rPr>
                  </w:pPr>
                  <w:r>
                    <w:t>0.072</w:t>
                  </w:r>
                </w:p>
              </w:tc>
            </w:tr>
          </w:tbl>
          <w:p>
            <w:pPr>
              <w:adjustRightInd w:val="0"/>
              <w:snapToGrid w:val="0"/>
              <w:spacing w:line="400" w:lineRule="exact"/>
              <w:jc w:val="center"/>
              <w:rPr>
                <w:b/>
                <w:sz w:val="24"/>
              </w:rPr>
            </w:pPr>
            <w:r>
              <w:rPr>
                <w:rFonts w:hint="eastAsia"/>
                <w:b/>
                <w:sz w:val="24"/>
              </w:rPr>
              <w:t>表4</w:t>
            </w:r>
            <w:r>
              <w:rPr>
                <w:b/>
                <w:sz w:val="24"/>
              </w:rPr>
              <w:t>-8</w:t>
            </w:r>
            <w:r>
              <w:rPr>
                <w:rFonts w:hint="eastAsia"/>
                <w:b/>
                <w:sz w:val="24"/>
              </w:rPr>
              <w:t>二期工程全厂生活污水产生情况一览表</w:t>
            </w:r>
          </w:p>
          <w:tbl>
            <w:tblPr>
              <w:tblStyle w:val="21"/>
              <w:tblW w:w="5000" w:type="pct"/>
              <w:tblInd w:w="0" w:type="dxa"/>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878"/>
              <w:gridCol w:w="848"/>
              <w:gridCol w:w="1206"/>
              <w:gridCol w:w="911"/>
              <w:gridCol w:w="952"/>
              <w:gridCol w:w="1335"/>
              <w:gridCol w:w="1181"/>
            </w:tblGrid>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36" w:type="pct"/>
                  <w:vAlign w:val="center"/>
                </w:tcPr>
                <w:p>
                  <w:pPr>
                    <w:pStyle w:val="69"/>
                    <w:rPr>
                      <w:lang w:eastAsia="zh-CN"/>
                    </w:rPr>
                  </w:pPr>
                  <w:r>
                    <w:rPr>
                      <w:rFonts w:hint="eastAsia"/>
                      <w:lang w:eastAsia="zh-CN"/>
                    </w:rPr>
                    <w:t>废水种类</w:t>
                  </w:r>
                </w:p>
              </w:tc>
              <w:tc>
                <w:tcPr>
                  <w:tcW w:w="524" w:type="pct"/>
                  <w:vAlign w:val="center"/>
                </w:tcPr>
                <w:p>
                  <w:pPr>
                    <w:pStyle w:val="69"/>
                    <w:rPr>
                      <w:lang w:eastAsia="zh-CN"/>
                    </w:rPr>
                  </w:pPr>
                  <w:r>
                    <w:rPr>
                      <w:rFonts w:hint="eastAsia"/>
                      <w:lang w:eastAsia="zh-CN"/>
                    </w:rPr>
                    <w:t>废水量</w:t>
                  </w:r>
                </w:p>
                <w:p>
                  <w:pPr>
                    <w:pStyle w:val="69"/>
                    <w:rPr>
                      <w:lang w:eastAsia="zh-CN"/>
                    </w:rPr>
                  </w:pPr>
                  <w:r>
                    <w:rPr>
                      <w:rFonts w:hint="eastAsia"/>
                      <w:lang w:eastAsia="zh-CN"/>
                    </w:rPr>
                    <w:t>（t</w:t>
                  </w:r>
                  <w:r>
                    <w:rPr>
                      <w:lang w:eastAsia="zh-CN"/>
                    </w:rPr>
                    <w:t>/a</w:t>
                  </w:r>
                  <w:r>
                    <w:rPr>
                      <w:rFonts w:hint="eastAsia"/>
                      <w:lang w:eastAsia="zh-CN"/>
                    </w:rPr>
                    <w:t>）</w:t>
                  </w:r>
                </w:p>
              </w:tc>
              <w:tc>
                <w:tcPr>
                  <w:tcW w:w="506" w:type="pct"/>
                  <w:vAlign w:val="center"/>
                </w:tcPr>
                <w:p>
                  <w:pPr>
                    <w:pStyle w:val="69"/>
                    <w:rPr>
                      <w:lang w:eastAsia="zh-CN"/>
                    </w:rPr>
                  </w:pPr>
                  <w:r>
                    <w:rPr>
                      <w:rFonts w:hint="eastAsia"/>
                      <w:lang w:eastAsia="zh-CN"/>
                    </w:rPr>
                    <w:t>污染物名称</w:t>
                  </w:r>
                </w:p>
              </w:tc>
              <w:tc>
                <w:tcPr>
                  <w:tcW w:w="720" w:type="pct"/>
                  <w:vAlign w:val="center"/>
                </w:tcPr>
                <w:p>
                  <w:pPr>
                    <w:pStyle w:val="69"/>
                    <w:rPr>
                      <w:lang w:eastAsia="zh-CN"/>
                    </w:rPr>
                  </w:pPr>
                  <w:r>
                    <w:rPr>
                      <w:rFonts w:hint="eastAsia"/>
                      <w:lang w:eastAsia="zh-CN"/>
                    </w:rPr>
                    <w:t>产生浓度（</w:t>
                  </w:r>
                  <w:r>
                    <w:rPr>
                      <w:lang w:eastAsia="zh-CN"/>
                    </w:rPr>
                    <w:t>mg/L</w:t>
                  </w:r>
                  <w:r>
                    <w:rPr>
                      <w:rFonts w:hint="eastAsia"/>
                      <w:lang w:eastAsia="zh-CN"/>
                    </w:rPr>
                    <w:t>）</w:t>
                  </w:r>
                </w:p>
              </w:tc>
              <w:tc>
                <w:tcPr>
                  <w:tcW w:w="544" w:type="pct"/>
                  <w:vAlign w:val="center"/>
                </w:tcPr>
                <w:p>
                  <w:pPr>
                    <w:pStyle w:val="69"/>
                    <w:rPr>
                      <w:lang w:eastAsia="zh-CN"/>
                    </w:rPr>
                  </w:pPr>
                  <w:r>
                    <w:rPr>
                      <w:rFonts w:hint="eastAsia"/>
                      <w:lang w:eastAsia="zh-CN"/>
                    </w:rPr>
                    <w:t>产生量</w:t>
                  </w:r>
                </w:p>
                <w:p>
                  <w:pPr>
                    <w:pStyle w:val="69"/>
                    <w:rPr>
                      <w:lang w:eastAsia="zh-CN"/>
                    </w:rPr>
                  </w:pPr>
                  <w:r>
                    <w:rPr>
                      <w:rFonts w:hint="eastAsia"/>
                      <w:lang w:eastAsia="zh-CN"/>
                    </w:rPr>
                    <w:t>（t</w:t>
                  </w:r>
                  <w:r>
                    <w:rPr>
                      <w:lang w:eastAsia="zh-CN"/>
                    </w:rPr>
                    <w:t>/a</w:t>
                  </w:r>
                  <w:r>
                    <w:rPr>
                      <w:rFonts w:hint="eastAsia"/>
                      <w:lang w:eastAsia="zh-CN"/>
                    </w:rPr>
                    <w:t>）</w:t>
                  </w:r>
                </w:p>
              </w:tc>
              <w:tc>
                <w:tcPr>
                  <w:tcW w:w="568" w:type="pct"/>
                  <w:vAlign w:val="center"/>
                </w:tcPr>
                <w:p>
                  <w:pPr>
                    <w:pStyle w:val="69"/>
                    <w:rPr>
                      <w:lang w:eastAsia="zh-CN"/>
                    </w:rPr>
                  </w:pPr>
                  <w:r>
                    <w:rPr>
                      <w:rFonts w:hint="eastAsia"/>
                      <w:lang w:eastAsia="zh-CN"/>
                    </w:rPr>
                    <w:t>治理措施</w:t>
                  </w:r>
                </w:p>
              </w:tc>
              <w:tc>
                <w:tcPr>
                  <w:tcW w:w="797" w:type="pct"/>
                </w:tcPr>
                <w:p>
                  <w:pPr>
                    <w:pStyle w:val="69"/>
                    <w:rPr>
                      <w:lang w:eastAsia="zh-CN"/>
                    </w:rPr>
                  </w:pPr>
                  <w:r>
                    <w:rPr>
                      <w:rFonts w:hint="eastAsia"/>
                      <w:lang w:eastAsia="zh-CN"/>
                    </w:rPr>
                    <w:t>排放浓度（</w:t>
                  </w:r>
                  <w:r>
                    <w:rPr>
                      <w:lang w:eastAsia="zh-CN"/>
                    </w:rPr>
                    <w:t>mg/L</w:t>
                  </w:r>
                  <w:r>
                    <w:rPr>
                      <w:rFonts w:hint="eastAsia"/>
                      <w:lang w:eastAsia="zh-CN"/>
                    </w:rPr>
                    <w:t>）</w:t>
                  </w:r>
                </w:p>
              </w:tc>
              <w:tc>
                <w:tcPr>
                  <w:tcW w:w="705" w:type="pct"/>
                </w:tcPr>
                <w:p>
                  <w:pPr>
                    <w:pStyle w:val="69"/>
                    <w:rPr>
                      <w:lang w:eastAsia="zh-CN"/>
                    </w:rPr>
                  </w:pPr>
                  <w:r>
                    <w:rPr>
                      <w:rFonts w:hint="eastAsia"/>
                      <w:lang w:eastAsia="zh-CN"/>
                    </w:rPr>
                    <w:t>排放量（t</w:t>
                  </w:r>
                  <w:r>
                    <w:rPr>
                      <w:lang w:eastAsia="zh-CN"/>
                    </w:rPr>
                    <w:t>/a</w:t>
                  </w:r>
                  <w:r>
                    <w:rPr>
                      <w:rFonts w:hint="eastAsia"/>
                      <w:lang w:eastAsia="zh-CN"/>
                    </w:rPr>
                    <w:t>）</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restart"/>
                  <w:vAlign w:val="center"/>
                </w:tcPr>
                <w:p>
                  <w:pPr>
                    <w:pStyle w:val="69"/>
                    <w:rPr>
                      <w:lang w:eastAsia="zh-CN"/>
                    </w:rPr>
                  </w:pPr>
                  <w:r>
                    <w:rPr>
                      <w:rFonts w:hint="eastAsia"/>
                      <w:lang w:eastAsia="zh-CN"/>
                    </w:rPr>
                    <w:t>生活污水</w:t>
                  </w:r>
                </w:p>
              </w:tc>
              <w:tc>
                <w:tcPr>
                  <w:tcW w:w="524" w:type="pct"/>
                  <w:vMerge w:val="restart"/>
                  <w:vAlign w:val="center"/>
                </w:tcPr>
                <w:p>
                  <w:pPr>
                    <w:pStyle w:val="69"/>
                    <w:rPr>
                      <w:lang w:eastAsia="zh-CN"/>
                    </w:rPr>
                  </w:pPr>
                  <w:r>
                    <w:rPr>
                      <w:lang w:eastAsia="zh-CN"/>
                    </w:rPr>
                    <w:t>960</w:t>
                  </w:r>
                </w:p>
              </w:tc>
              <w:tc>
                <w:tcPr>
                  <w:tcW w:w="506" w:type="pct"/>
                  <w:vAlign w:val="center"/>
                </w:tcPr>
                <w:p>
                  <w:pPr>
                    <w:pStyle w:val="69"/>
                    <w:rPr>
                      <w:lang w:eastAsia="zh-CN"/>
                    </w:rPr>
                  </w:pPr>
                  <w:r>
                    <w:rPr>
                      <w:lang w:eastAsia="zh-CN"/>
                    </w:rPr>
                    <w:t>COD</w:t>
                  </w:r>
                  <w:r>
                    <w:rPr>
                      <w:rFonts w:hint="eastAsia"/>
                      <w:vertAlign w:val="subscript"/>
                      <w:lang w:eastAsia="zh-CN"/>
                    </w:rPr>
                    <w:t>cr</w:t>
                  </w:r>
                </w:p>
              </w:tc>
              <w:tc>
                <w:tcPr>
                  <w:tcW w:w="720" w:type="pct"/>
                  <w:vAlign w:val="center"/>
                </w:tcPr>
                <w:p>
                  <w:pPr>
                    <w:pStyle w:val="69"/>
                    <w:rPr>
                      <w:lang w:eastAsia="zh-CN"/>
                    </w:rPr>
                  </w:pPr>
                  <w:r>
                    <w:rPr>
                      <w:lang w:eastAsia="zh-CN"/>
                    </w:rPr>
                    <w:t>5</w:t>
                  </w:r>
                  <w:r>
                    <w:rPr>
                      <w:rFonts w:hint="eastAsia"/>
                      <w:lang w:eastAsia="zh-CN"/>
                    </w:rPr>
                    <w:t>00</w:t>
                  </w:r>
                </w:p>
              </w:tc>
              <w:tc>
                <w:tcPr>
                  <w:tcW w:w="544" w:type="pct"/>
                  <w:vAlign w:val="center"/>
                </w:tcPr>
                <w:p>
                  <w:pPr>
                    <w:pStyle w:val="69"/>
                    <w:rPr>
                      <w:lang w:eastAsia="zh-CN"/>
                    </w:rPr>
                  </w:pPr>
                  <w:r>
                    <w:rPr>
                      <w:szCs w:val="21"/>
                      <w:lang w:eastAsia="zh-CN"/>
                    </w:rPr>
                    <w:t>0.48</w:t>
                  </w:r>
                </w:p>
              </w:tc>
              <w:tc>
                <w:tcPr>
                  <w:tcW w:w="568" w:type="pct"/>
                  <w:vMerge w:val="restart"/>
                  <w:vAlign w:val="center"/>
                </w:tcPr>
                <w:p>
                  <w:pPr>
                    <w:pStyle w:val="69"/>
                    <w:rPr>
                      <w:lang w:eastAsia="zh-CN"/>
                    </w:rPr>
                  </w:pPr>
                  <w:r>
                    <w:rPr>
                      <w:rFonts w:hint="eastAsia"/>
                      <w:lang w:eastAsia="zh-CN"/>
                    </w:rPr>
                    <w:t>经化粪池预处理后排入镶黄旗污水处理厂进一步处理</w:t>
                  </w:r>
                </w:p>
              </w:tc>
              <w:tc>
                <w:tcPr>
                  <w:tcW w:w="797" w:type="pct"/>
                  <w:vAlign w:val="center"/>
                </w:tcPr>
                <w:p>
                  <w:pPr>
                    <w:pStyle w:val="69"/>
                    <w:rPr>
                      <w:lang w:eastAsia="zh-CN"/>
                    </w:rPr>
                  </w:pPr>
                  <w:r>
                    <w:rPr>
                      <w:szCs w:val="21"/>
                      <w:lang w:eastAsia="zh-CN"/>
                    </w:rPr>
                    <w:t>400</w:t>
                  </w:r>
                </w:p>
              </w:tc>
              <w:tc>
                <w:tcPr>
                  <w:tcW w:w="705" w:type="pct"/>
                  <w:vAlign w:val="center"/>
                </w:tcPr>
                <w:p>
                  <w:pPr>
                    <w:pStyle w:val="69"/>
                    <w:rPr>
                      <w:lang w:eastAsia="zh-CN"/>
                    </w:rPr>
                  </w:pPr>
                  <w:r>
                    <w:rPr>
                      <w:szCs w:val="21"/>
                      <w:lang w:eastAsia="zh-CN"/>
                    </w:rPr>
                    <w:t>0.384</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continue"/>
                  <w:vAlign w:val="center"/>
                </w:tcPr>
                <w:p>
                  <w:pPr>
                    <w:widowControl/>
                    <w:jc w:val="left"/>
                    <w:rPr>
                      <w:kern w:val="18"/>
                      <w:szCs w:val="21"/>
                    </w:rPr>
                  </w:pPr>
                </w:p>
              </w:tc>
              <w:tc>
                <w:tcPr>
                  <w:tcW w:w="524" w:type="pct"/>
                  <w:vMerge w:val="continue"/>
                  <w:vAlign w:val="center"/>
                </w:tcPr>
                <w:p>
                  <w:pPr>
                    <w:widowControl/>
                    <w:jc w:val="left"/>
                    <w:rPr>
                      <w:kern w:val="18"/>
                      <w:szCs w:val="21"/>
                    </w:rPr>
                  </w:pPr>
                </w:p>
              </w:tc>
              <w:tc>
                <w:tcPr>
                  <w:tcW w:w="506" w:type="pct"/>
                  <w:vAlign w:val="center"/>
                </w:tcPr>
                <w:p>
                  <w:pPr>
                    <w:pStyle w:val="69"/>
                    <w:rPr>
                      <w:lang w:eastAsia="zh-CN"/>
                    </w:rPr>
                  </w:pPr>
                  <w:r>
                    <w:rPr>
                      <w:lang w:eastAsia="zh-CN"/>
                    </w:rPr>
                    <w:t>BOD</w:t>
                  </w:r>
                  <w:r>
                    <w:rPr>
                      <w:vertAlign w:val="subscript"/>
                      <w:lang w:eastAsia="zh-CN"/>
                    </w:rPr>
                    <w:t>5</w:t>
                  </w:r>
                </w:p>
              </w:tc>
              <w:tc>
                <w:tcPr>
                  <w:tcW w:w="720" w:type="pct"/>
                  <w:vAlign w:val="center"/>
                </w:tcPr>
                <w:p>
                  <w:pPr>
                    <w:pStyle w:val="69"/>
                    <w:rPr>
                      <w:lang w:eastAsia="zh-CN"/>
                    </w:rPr>
                  </w:pPr>
                  <w:r>
                    <w:rPr>
                      <w:lang w:eastAsia="zh-CN"/>
                    </w:rPr>
                    <w:t>3</w:t>
                  </w:r>
                  <w:r>
                    <w:rPr>
                      <w:rFonts w:hint="eastAsia"/>
                      <w:lang w:eastAsia="zh-CN"/>
                    </w:rPr>
                    <w:t>00</w:t>
                  </w:r>
                </w:p>
              </w:tc>
              <w:tc>
                <w:tcPr>
                  <w:tcW w:w="544" w:type="pct"/>
                  <w:vAlign w:val="center"/>
                </w:tcPr>
                <w:p>
                  <w:pPr>
                    <w:pStyle w:val="69"/>
                    <w:rPr>
                      <w:lang w:eastAsia="zh-CN"/>
                    </w:rPr>
                  </w:pPr>
                  <w:r>
                    <w:rPr>
                      <w:szCs w:val="21"/>
                      <w:lang w:eastAsia="zh-CN"/>
                    </w:rPr>
                    <w:t>0.288</w:t>
                  </w:r>
                </w:p>
              </w:tc>
              <w:tc>
                <w:tcPr>
                  <w:tcW w:w="568" w:type="pct"/>
                  <w:vMerge w:val="continue"/>
                  <w:vAlign w:val="center"/>
                </w:tcPr>
                <w:p>
                  <w:pPr>
                    <w:widowControl/>
                    <w:jc w:val="left"/>
                    <w:rPr>
                      <w:kern w:val="18"/>
                      <w:szCs w:val="21"/>
                    </w:rPr>
                  </w:pPr>
                </w:p>
              </w:tc>
              <w:tc>
                <w:tcPr>
                  <w:tcW w:w="797" w:type="pct"/>
                  <w:vAlign w:val="center"/>
                </w:tcPr>
                <w:p>
                  <w:pPr>
                    <w:widowControl/>
                    <w:jc w:val="center"/>
                    <w:rPr>
                      <w:kern w:val="18"/>
                      <w:szCs w:val="21"/>
                    </w:rPr>
                  </w:pPr>
                  <w:r>
                    <w:rPr>
                      <w:szCs w:val="21"/>
                    </w:rPr>
                    <w:t>280</w:t>
                  </w:r>
                </w:p>
              </w:tc>
              <w:tc>
                <w:tcPr>
                  <w:tcW w:w="705" w:type="pct"/>
                  <w:vAlign w:val="center"/>
                </w:tcPr>
                <w:p>
                  <w:pPr>
                    <w:widowControl/>
                    <w:jc w:val="center"/>
                    <w:rPr>
                      <w:kern w:val="18"/>
                      <w:szCs w:val="21"/>
                    </w:rPr>
                  </w:pPr>
                  <w:r>
                    <w:rPr>
                      <w:szCs w:val="21"/>
                    </w:rPr>
                    <w:t>0.2688</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continue"/>
                  <w:vAlign w:val="center"/>
                </w:tcPr>
                <w:p>
                  <w:pPr>
                    <w:widowControl/>
                    <w:jc w:val="left"/>
                    <w:rPr>
                      <w:kern w:val="18"/>
                      <w:szCs w:val="21"/>
                    </w:rPr>
                  </w:pPr>
                </w:p>
              </w:tc>
              <w:tc>
                <w:tcPr>
                  <w:tcW w:w="524" w:type="pct"/>
                  <w:vMerge w:val="continue"/>
                  <w:vAlign w:val="center"/>
                </w:tcPr>
                <w:p>
                  <w:pPr>
                    <w:widowControl/>
                    <w:jc w:val="left"/>
                    <w:rPr>
                      <w:kern w:val="18"/>
                      <w:szCs w:val="21"/>
                    </w:rPr>
                  </w:pPr>
                </w:p>
              </w:tc>
              <w:tc>
                <w:tcPr>
                  <w:tcW w:w="506" w:type="pct"/>
                  <w:vAlign w:val="center"/>
                </w:tcPr>
                <w:p>
                  <w:pPr>
                    <w:pStyle w:val="69"/>
                    <w:rPr>
                      <w:lang w:eastAsia="zh-CN"/>
                    </w:rPr>
                  </w:pPr>
                  <w:r>
                    <w:rPr>
                      <w:lang w:eastAsia="zh-CN"/>
                    </w:rPr>
                    <w:t>SS</w:t>
                  </w:r>
                </w:p>
              </w:tc>
              <w:tc>
                <w:tcPr>
                  <w:tcW w:w="720" w:type="pct"/>
                  <w:vAlign w:val="center"/>
                </w:tcPr>
                <w:p>
                  <w:pPr>
                    <w:pStyle w:val="69"/>
                    <w:rPr>
                      <w:lang w:eastAsia="zh-CN"/>
                    </w:rPr>
                  </w:pPr>
                  <w:r>
                    <w:rPr>
                      <w:lang w:eastAsia="zh-CN"/>
                    </w:rPr>
                    <w:t>2</w:t>
                  </w:r>
                  <w:r>
                    <w:rPr>
                      <w:rFonts w:hint="eastAsia"/>
                      <w:lang w:eastAsia="zh-CN"/>
                    </w:rPr>
                    <w:t>00</w:t>
                  </w:r>
                </w:p>
              </w:tc>
              <w:tc>
                <w:tcPr>
                  <w:tcW w:w="544" w:type="pct"/>
                  <w:vAlign w:val="center"/>
                </w:tcPr>
                <w:p>
                  <w:pPr>
                    <w:pStyle w:val="69"/>
                    <w:rPr>
                      <w:lang w:eastAsia="zh-CN"/>
                    </w:rPr>
                  </w:pPr>
                  <w:r>
                    <w:rPr>
                      <w:szCs w:val="21"/>
                      <w:lang w:eastAsia="zh-CN"/>
                    </w:rPr>
                    <w:t>0.192</w:t>
                  </w:r>
                </w:p>
              </w:tc>
              <w:tc>
                <w:tcPr>
                  <w:tcW w:w="568" w:type="pct"/>
                  <w:vMerge w:val="continue"/>
                  <w:vAlign w:val="center"/>
                </w:tcPr>
                <w:p>
                  <w:pPr>
                    <w:widowControl/>
                    <w:jc w:val="left"/>
                    <w:rPr>
                      <w:kern w:val="18"/>
                      <w:szCs w:val="21"/>
                    </w:rPr>
                  </w:pPr>
                </w:p>
              </w:tc>
              <w:tc>
                <w:tcPr>
                  <w:tcW w:w="797" w:type="pct"/>
                  <w:vAlign w:val="center"/>
                </w:tcPr>
                <w:p>
                  <w:pPr>
                    <w:widowControl/>
                    <w:jc w:val="center"/>
                    <w:rPr>
                      <w:kern w:val="18"/>
                      <w:szCs w:val="21"/>
                    </w:rPr>
                  </w:pPr>
                  <w:r>
                    <w:rPr>
                      <w:szCs w:val="21"/>
                    </w:rPr>
                    <w:t>150</w:t>
                  </w:r>
                </w:p>
              </w:tc>
              <w:tc>
                <w:tcPr>
                  <w:tcW w:w="705" w:type="pct"/>
                  <w:vAlign w:val="center"/>
                </w:tcPr>
                <w:p>
                  <w:pPr>
                    <w:widowControl/>
                    <w:jc w:val="center"/>
                    <w:rPr>
                      <w:kern w:val="18"/>
                      <w:szCs w:val="21"/>
                    </w:rPr>
                  </w:pPr>
                  <w:r>
                    <w:rPr>
                      <w:szCs w:val="21"/>
                    </w:rPr>
                    <w:t>0.144</w:t>
                  </w:r>
                </w:p>
              </w:tc>
            </w:tr>
            <w:tr>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636" w:type="pct"/>
                  <w:vMerge w:val="continue"/>
                  <w:vAlign w:val="center"/>
                </w:tcPr>
                <w:p>
                  <w:pPr>
                    <w:widowControl/>
                    <w:jc w:val="left"/>
                    <w:rPr>
                      <w:kern w:val="18"/>
                      <w:szCs w:val="21"/>
                    </w:rPr>
                  </w:pPr>
                </w:p>
              </w:tc>
              <w:tc>
                <w:tcPr>
                  <w:tcW w:w="524" w:type="pct"/>
                  <w:vMerge w:val="continue"/>
                  <w:vAlign w:val="center"/>
                </w:tcPr>
                <w:p>
                  <w:pPr>
                    <w:widowControl/>
                    <w:jc w:val="left"/>
                    <w:rPr>
                      <w:kern w:val="18"/>
                      <w:szCs w:val="21"/>
                    </w:rPr>
                  </w:pPr>
                </w:p>
              </w:tc>
              <w:tc>
                <w:tcPr>
                  <w:tcW w:w="506" w:type="pct"/>
                  <w:vAlign w:val="center"/>
                </w:tcPr>
                <w:p>
                  <w:pPr>
                    <w:pStyle w:val="69"/>
                    <w:rPr>
                      <w:lang w:eastAsia="zh-CN"/>
                    </w:rPr>
                  </w:pPr>
                  <w:r>
                    <w:rPr>
                      <w:lang w:eastAsia="zh-CN"/>
                    </w:rPr>
                    <w:t>NH</w:t>
                  </w:r>
                  <w:r>
                    <w:rPr>
                      <w:vertAlign w:val="subscript"/>
                      <w:lang w:eastAsia="zh-CN"/>
                    </w:rPr>
                    <w:t>3</w:t>
                  </w:r>
                  <w:r>
                    <w:rPr>
                      <w:lang w:eastAsia="zh-CN"/>
                    </w:rPr>
                    <w:t>-N</w:t>
                  </w:r>
                </w:p>
              </w:tc>
              <w:tc>
                <w:tcPr>
                  <w:tcW w:w="720" w:type="pct"/>
                  <w:vAlign w:val="center"/>
                </w:tcPr>
                <w:p>
                  <w:pPr>
                    <w:pStyle w:val="69"/>
                    <w:rPr>
                      <w:lang w:eastAsia="zh-CN"/>
                    </w:rPr>
                  </w:pPr>
                  <w:r>
                    <w:rPr>
                      <w:lang w:eastAsia="zh-CN"/>
                    </w:rPr>
                    <w:t>35</w:t>
                  </w:r>
                </w:p>
              </w:tc>
              <w:tc>
                <w:tcPr>
                  <w:tcW w:w="544" w:type="pct"/>
                  <w:vAlign w:val="center"/>
                </w:tcPr>
                <w:p>
                  <w:pPr>
                    <w:pStyle w:val="69"/>
                    <w:rPr>
                      <w:lang w:eastAsia="zh-CN"/>
                    </w:rPr>
                  </w:pPr>
                  <w:r>
                    <w:rPr>
                      <w:szCs w:val="21"/>
                      <w:lang w:eastAsia="zh-CN"/>
                    </w:rPr>
                    <w:t>0.0336</w:t>
                  </w:r>
                </w:p>
              </w:tc>
              <w:tc>
                <w:tcPr>
                  <w:tcW w:w="568" w:type="pct"/>
                  <w:vMerge w:val="continue"/>
                  <w:vAlign w:val="center"/>
                </w:tcPr>
                <w:p>
                  <w:pPr>
                    <w:widowControl/>
                    <w:jc w:val="left"/>
                    <w:rPr>
                      <w:kern w:val="18"/>
                      <w:szCs w:val="21"/>
                    </w:rPr>
                  </w:pPr>
                </w:p>
              </w:tc>
              <w:tc>
                <w:tcPr>
                  <w:tcW w:w="797" w:type="pct"/>
                  <w:vAlign w:val="center"/>
                </w:tcPr>
                <w:p>
                  <w:pPr>
                    <w:widowControl/>
                    <w:jc w:val="center"/>
                    <w:rPr>
                      <w:kern w:val="18"/>
                      <w:szCs w:val="21"/>
                    </w:rPr>
                  </w:pPr>
                  <w:r>
                    <w:rPr>
                      <w:szCs w:val="21"/>
                    </w:rPr>
                    <w:t>30</w:t>
                  </w:r>
                </w:p>
              </w:tc>
              <w:tc>
                <w:tcPr>
                  <w:tcW w:w="705" w:type="pct"/>
                  <w:vAlign w:val="center"/>
                </w:tcPr>
                <w:p>
                  <w:pPr>
                    <w:widowControl/>
                    <w:jc w:val="center"/>
                    <w:rPr>
                      <w:kern w:val="18"/>
                      <w:szCs w:val="21"/>
                    </w:rPr>
                  </w:pPr>
                  <w:r>
                    <w:rPr>
                      <w:szCs w:val="21"/>
                    </w:rPr>
                    <w:t>0.0288</w:t>
                  </w:r>
                </w:p>
              </w:tc>
            </w:tr>
          </w:tbl>
          <w:p>
            <w:pPr>
              <w:pStyle w:val="71"/>
              <w:ind w:firstLineChars="0"/>
              <w:rPr>
                <w:rFonts w:hAnsi="Times New Roman"/>
                <w:b/>
                <w:bCs/>
              </w:rPr>
            </w:pPr>
            <w:r>
              <w:rPr>
                <w:rFonts w:hint="eastAsia" w:hAnsi="Times New Roman"/>
                <w:b/>
                <w:bCs/>
              </w:rPr>
              <w:t>2、污水处理站工艺流程</w:t>
            </w:r>
          </w:p>
          <w:p>
            <w:pPr>
              <w:autoSpaceDE w:val="0"/>
              <w:autoSpaceDN w:val="0"/>
              <w:spacing w:line="360" w:lineRule="auto"/>
              <w:ind w:firstLine="480" w:firstLineChars="200"/>
              <w:rPr>
                <w:sz w:val="24"/>
              </w:rPr>
            </w:pPr>
            <w:r>
              <w:rPr>
                <w:rFonts w:hint="eastAsia"/>
                <w:sz w:val="24"/>
              </w:rPr>
              <w:t>（1）污水处理站处理规模</w:t>
            </w:r>
          </w:p>
          <w:p>
            <w:pPr>
              <w:autoSpaceDE w:val="0"/>
              <w:autoSpaceDN w:val="0"/>
              <w:spacing w:line="360" w:lineRule="auto"/>
              <w:ind w:firstLine="480" w:firstLineChars="200"/>
              <w:rPr>
                <w:sz w:val="24"/>
              </w:rPr>
            </w:pPr>
            <w:r>
              <w:rPr>
                <w:sz w:val="24"/>
              </w:rPr>
              <w:t>根据工程分析可知，本项目</w:t>
            </w:r>
            <w:r>
              <w:rPr>
                <w:rFonts w:hint="eastAsia"/>
                <w:sz w:val="24"/>
              </w:rPr>
              <w:t>一期工程</w:t>
            </w:r>
            <w:r>
              <w:rPr>
                <w:sz w:val="24"/>
              </w:rPr>
              <w:t>生产废水主要是设备清洗废水</w:t>
            </w:r>
            <w:r>
              <w:rPr>
                <w:rFonts w:hint="eastAsia"/>
                <w:sz w:val="24"/>
              </w:rPr>
              <w:t>，废水排入厂区污水处理站预处理后排入镶黄旗污水处理厂进一步处理，生活污水排入化粪池预处理后排入镶黄旗污水处理厂进一步处理，待园区集中污水处理厂投入运行后，接入园区污水处理厂集中处置。</w:t>
            </w:r>
          </w:p>
          <w:p>
            <w:pPr>
              <w:autoSpaceDE w:val="0"/>
              <w:autoSpaceDN w:val="0"/>
              <w:spacing w:line="360" w:lineRule="auto"/>
              <w:ind w:firstLine="480" w:firstLineChars="200"/>
              <w:rPr>
                <w:sz w:val="24"/>
              </w:rPr>
            </w:pPr>
            <w:r>
              <w:rPr>
                <w:rFonts w:hint="eastAsia"/>
                <w:sz w:val="24"/>
              </w:rPr>
              <w:t>二期工程主要为生产废水，依托一期污水处理站预处理后排入镶黄旗污水处理厂处理。污水处理站处理规模1</w:t>
            </w:r>
            <w:r>
              <w:rPr>
                <w:sz w:val="24"/>
              </w:rPr>
              <w:t>0</w:t>
            </w:r>
            <w:r>
              <w:rPr>
                <w:rFonts w:hint="eastAsia"/>
                <w:sz w:val="24"/>
              </w:rPr>
              <w:t>m</w:t>
            </w:r>
            <w:r>
              <w:rPr>
                <w:sz w:val="24"/>
                <w:vertAlign w:val="superscript"/>
              </w:rPr>
              <w:t>3</w:t>
            </w:r>
            <w:r>
              <w:rPr>
                <w:sz w:val="24"/>
              </w:rPr>
              <w:t>/</w:t>
            </w:r>
            <w:r>
              <w:rPr>
                <w:rFonts w:hint="eastAsia"/>
                <w:sz w:val="24"/>
              </w:rPr>
              <w:t>d。</w:t>
            </w:r>
          </w:p>
          <w:p>
            <w:pPr>
              <w:autoSpaceDE w:val="0"/>
              <w:autoSpaceDN w:val="0"/>
              <w:spacing w:line="360" w:lineRule="auto"/>
              <w:ind w:firstLine="480" w:firstLineChars="200"/>
              <w:rPr>
                <w:sz w:val="24"/>
              </w:rPr>
            </w:pPr>
            <w:r>
              <w:rPr>
                <w:rFonts w:hint="eastAsia"/>
                <w:sz w:val="24"/>
              </w:rPr>
              <w:t>（2）污水处理站进水水质和出水水质</w:t>
            </w:r>
          </w:p>
          <w:p>
            <w:pPr>
              <w:autoSpaceDE w:val="0"/>
              <w:autoSpaceDN w:val="0"/>
              <w:spacing w:line="360" w:lineRule="auto"/>
              <w:ind w:firstLine="480" w:firstLineChars="200"/>
              <w:rPr>
                <w:sz w:val="24"/>
              </w:rPr>
            </w:pPr>
            <w:r>
              <w:rPr>
                <w:rFonts w:hint="eastAsia"/>
                <w:sz w:val="24"/>
              </w:rPr>
              <w:t>含有较多的污染物质，主要有酪蛋白及其他乳蛋白、乳脂肪、乳糖和无机盐类等废水中含有较多的污染物质，主要有酪蛋白及其他乳蛋白、乳脂肪、乳糖和无机盐类等。这些污染物质在废水中呈溶解状态或胶体悬浮状态。产品加工废水的水量与洗涤废水水量相似，一般为乳品加工量的1～3 倍，COD 值常在数千至数万毫克每升。</w:t>
            </w:r>
          </w:p>
          <w:p>
            <w:pPr>
              <w:adjustRightInd w:val="0"/>
              <w:snapToGrid w:val="0"/>
              <w:spacing w:line="400" w:lineRule="exact"/>
              <w:jc w:val="center"/>
              <w:rPr>
                <w:b/>
                <w:sz w:val="24"/>
              </w:rPr>
            </w:pPr>
            <w:r>
              <w:rPr>
                <w:rFonts w:hint="eastAsia"/>
                <w:b/>
                <w:sz w:val="24"/>
              </w:rPr>
              <w:t>表4</w:t>
            </w:r>
            <w:r>
              <w:rPr>
                <w:b/>
                <w:sz w:val="24"/>
              </w:rPr>
              <w:t xml:space="preserve">-9 </w:t>
            </w:r>
            <w:r>
              <w:rPr>
                <w:rFonts w:hint="eastAsia"/>
                <w:b/>
                <w:sz w:val="24"/>
              </w:rPr>
              <w:t>污水处理站进水水质和出水水质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397"/>
              <w:gridCol w:w="1397"/>
              <w:gridCol w:w="1397"/>
              <w:gridCol w:w="1399"/>
              <w:gridCol w:w="1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2"/>
                    <w:ind w:firstLine="0" w:firstLineChars="0"/>
                    <w:jc w:val="center"/>
                  </w:pPr>
                  <w:r>
                    <w:rPr>
                      <w:rFonts w:hint="eastAsia"/>
                    </w:rPr>
                    <w:t>类别</w:t>
                  </w:r>
                </w:p>
              </w:tc>
              <w:tc>
                <w:tcPr>
                  <w:tcW w:w="833" w:type="pct"/>
                  <w:vAlign w:val="center"/>
                </w:tcPr>
                <w:p>
                  <w:pPr>
                    <w:pStyle w:val="2"/>
                    <w:ind w:firstLine="0" w:firstLineChars="0"/>
                    <w:jc w:val="center"/>
                  </w:pPr>
                  <w:r>
                    <w:rPr>
                      <w:rFonts w:hint="eastAsia"/>
                    </w:rPr>
                    <w:t>C</w:t>
                  </w:r>
                  <w:r>
                    <w:t>OD</w:t>
                  </w:r>
                </w:p>
              </w:tc>
              <w:tc>
                <w:tcPr>
                  <w:tcW w:w="833" w:type="pct"/>
                  <w:vAlign w:val="center"/>
                </w:tcPr>
                <w:p>
                  <w:pPr>
                    <w:pStyle w:val="2"/>
                    <w:ind w:firstLine="0" w:firstLineChars="0"/>
                    <w:jc w:val="center"/>
                  </w:pPr>
                  <w:r>
                    <w:rPr>
                      <w:rFonts w:hint="eastAsia"/>
                    </w:rPr>
                    <w:t>B</w:t>
                  </w:r>
                  <w:r>
                    <w:t>OD</w:t>
                  </w:r>
                  <w:r>
                    <w:rPr>
                      <w:vertAlign w:val="subscript"/>
                    </w:rPr>
                    <w:t>5</w:t>
                  </w:r>
                </w:p>
              </w:tc>
              <w:tc>
                <w:tcPr>
                  <w:tcW w:w="833" w:type="pct"/>
                  <w:vAlign w:val="center"/>
                </w:tcPr>
                <w:p>
                  <w:pPr>
                    <w:pStyle w:val="2"/>
                    <w:ind w:firstLine="0" w:firstLineChars="0"/>
                    <w:jc w:val="center"/>
                  </w:pPr>
                  <w:r>
                    <w:rPr>
                      <w:rFonts w:hint="eastAsia"/>
                    </w:rPr>
                    <w:t>S</w:t>
                  </w:r>
                  <w:r>
                    <w:t>S</w:t>
                  </w:r>
                </w:p>
              </w:tc>
              <w:tc>
                <w:tcPr>
                  <w:tcW w:w="834" w:type="pct"/>
                  <w:vAlign w:val="center"/>
                </w:tcPr>
                <w:p>
                  <w:pPr>
                    <w:pStyle w:val="2"/>
                    <w:ind w:firstLine="0" w:firstLineChars="0"/>
                    <w:jc w:val="center"/>
                  </w:pPr>
                  <w:r>
                    <w:rPr>
                      <w:rFonts w:hint="eastAsia"/>
                    </w:rPr>
                    <w:t>动植物油</w:t>
                  </w:r>
                </w:p>
              </w:tc>
              <w:tc>
                <w:tcPr>
                  <w:tcW w:w="834" w:type="pct"/>
                  <w:vAlign w:val="center"/>
                </w:tcPr>
                <w:p>
                  <w:pPr>
                    <w:pStyle w:val="2"/>
                    <w:ind w:firstLine="0" w:firstLineChars="0"/>
                    <w:jc w:val="center"/>
                  </w:pPr>
                  <w:r>
                    <w:rPr>
                      <w:rFonts w:hint="eastAsia"/>
                    </w:rPr>
                    <w:t>P</w:t>
                  </w:r>
                  <w:r>
                    <w:t>H</w:t>
                  </w:r>
                  <w:r>
                    <w:rPr>
                      <w:rFonts w:hint="eastAsia"/>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2"/>
                    <w:ind w:firstLine="0" w:firstLineChars="0"/>
                    <w:jc w:val="center"/>
                  </w:pPr>
                  <w:r>
                    <w:rPr>
                      <w:rFonts w:hint="eastAsia"/>
                    </w:rPr>
                    <w:t>进水水质mg</w:t>
                  </w:r>
                  <w:r>
                    <w:t>/L</w:t>
                  </w:r>
                </w:p>
              </w:tc>
              <w:tc>
                <w:tcPr>
                  <w:tcW w:w="833" w:type="pct"/>
                  <w:vAlign w:val="center"/>
                </w:tcPr>
                <w:p>
                  <w:pPr>
                    <w:pStyle w:val="2"/>
                    <w:ind w:firstLine="0" w:firstLineChars="0"/>
                    <w:jc w:val="center"/>
                  </w:pPr>
                  <w:r>
                    <w:rPr>
                      <w:rFonts w:hint="eastAsia"/>
                    </w:rPr>
                    <w:t>3</w:t>
                  </w:r>
                  <w:r>
                    <w:t>000</w:t>
                  </w:r>
                </w:p>
              </w:tc>
              <w:tc>
                <w:tcPr>
                  <w:tcW w:w="833" w:type="pct"/>
                  <w:vAlign w:val="center"/>
                </w:tcPr>
                <w:p>
                  <w:pPr>
                    <w:pStyle w:val="2"/>
                    <w:ind w:firstLine="0" w:firstLineChars="0"/>
                    <w:jc w:val="center"/>
                  </w:pPr>
                  <w:r>
                    <w:rPr>
                      <w:rFonts w:hint="eastAsia"/>
                    </w:rPr>
                    <w:t>1</w:t>
                  </w:r>
                  <w:r>
                    <w:t>200</w:t>
                  </w:r>
                </w:p>
              </w:tc>
              <w:tc>
                <w:tcPr>
                  <w:tcW w:w="833" w:type="pct"/>
                  <w:vAlign w:val="center"/>
                </w:tcPr>
                <w:p>
                  <w:pPr>
                    <w:pStyle w:val="2"/>
                    <w:ind w:firstLine="0" w:firstLineChars="0"/>
                    <w:jc w:val="center"/>
                  </w:pPr>
                  <w:r>
                    <w:rPr>
                      <w:rFonts w:hint="eastAsia"/>
                    </w:rPr>
                    <w:t>5</w:t>
                  </w:r>
                  <w:r>
                    <w:t>00</w:t>
                  </w:r>
                </w:p>
              </w:tc>
              <w:tc>
                <w:tcPr>
                  <w:tcW w:w="834" w:type="pct"/>
                  <w:vAlign w:val="center"/>
                </w:tcPr>
                <w:p>
                  <w:pPr>
                    <w:pStyle w:val="2"/>
                    <w:ind w:firstLine="0" w:firstLineChars="0"/>
                    <w:jc w:val="center"/>
                  </w:pPr>
                  <w:r>
                    <w:rPr>
                      <w:rFonts w:hint="eastAsia"/>
                    </w:rPr>
                    <w:t>3</w:t>
                  </w:r>
                  <w:r>
                    <w:t>00</w:t>
                  </w:r>
                </w:p>
              </w:tc>
              <w:tc>
                <w:tcPr>
                  <w:tcW w:w="834" w:type="pct"/>
                  <w:vAlign w:val="center"/>
                </w:tcPr>
                <w:p>
                  <w:pPr>
                    <w:pStyle w:val="2"/>
                    <w:ind w:firstLine="0" w:firstLineChars="0"/>
                    <w:jc w:val="center"/>
                  </w:pPr>
                  <w:r>
                    <w:rPr>
                      <w:rFonts w:hint="eastAsia"/>
                    </w:rPr>
                    <w:t>6</w:t>
                  </w:r>
                  <w: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2"/>
                    <w:ind w:firstLine="0" w:firstLineChars="0"/>
                    <w:jc w:val="center"/>
                  </w:pPr>
                  <w:r>
                    <w:rPr>
                      <w:rFonts w:hint="eastAsia"/>
                    </w:rPr>
                    <w:t>出水水质mg</w:t>
                  </w:r>
                  <w:r>
                    <w:t>/L</w:t>
                  </w:r>
                </w:p>
              </w:tc>
              <w:tc>
                <w:tcPr>
                  <w:tcW w:w="833" w:type="pct"/>
                  <w:vAlign w:val="center"/>
                </w:tcPr>
                <w:p>
                  <w:pPr>
                    <w:pStyle w:val="2"/>
                    <w:ind w:firstLine="0" w:firstLineChars="0"/>
                    <w:jc w:val="center"/>
                  </w:pPr>
                  <w:r>
                    <w:rPr>
                      <w:rFonts w:hint="eastAsia"/>
                    </w:rPr>
                    <w:t>5</w:t>
                  </w:r>
                  <w:r>
                    <w:t>00</w:t>
                  </w:r>
                </w:p>
              </w:tc>
              <w:tc>
                <w:tcPr>
                  <w:tcW w:w="833" w:type="pct"/>
                  <w:vAlign w:val="center"/>
                </w:tcPr>
                <w:p>
                  <w:pPr>
                    <w:pStyle w:val="2"/>
                    <w:ind w:firstLine="0" w:firstLineChars="0"/>
                    <w:jc w:val="center"/>
                  </w:pPr>
                  <w:r>
                    <w:rPr>
                      <w:rFonts w:hint="eastAsia"/>
                    </w:rPr>
                    <w:t>3</w:t>
                  </w:r>
                  <w:r>
                    <w:t>00</w:t>
                  </w:r>
                </w:p>
              </w:tc>
              <w:tc>
                <w:tcPr>
                  <w:tcW w:w="833" w:type="pct"/>
                  <w:vAlign w:val="center"/>
                </w:tcPr>
                <w:p>
                  <w:pPr>
                    <w:pStyle w:val="2"/>
                    <w:ind w:firstLine="0" w:firstLineChars="0"/>
                    <w:jc w:val="center"/>
                  </w:pPr>
                  <w:r>
                    <w:rPr>
                      <w:rFonts w:hint="eastAsia"/>
                    </w:rPr>
                    <w:t>4</w:t>
                  </w:r>
                  <w:r>
                    <w:t>00</w:t>
                  </w:r>
                </w:p>
              </w:tc>
              <w:tc>
                <w:tcPr>
                  <w:tcW w:w="834" w:type="pct"/>
                  <w:vAlign w:val="center"/>
                </w:tcPr>
                <w:p>
                  <w:pPr>
                    <w:pStyle w:val="2"/>
                    <w:ind w:firstLine="0" w:firstLineChars="0"/>
                    <w:jc w:val="center"/>
                  </w:pPr>
                  <w:r>
                    <w:rPr>
                      <w:rFonts w:hint="eastAsia"/>
                    </w:rPr>
                    <w:t>1</w:t>
                  </w:r>
                  <w:r>
                    <w:t>00</w:t>
                  </w:r>
                </w:p>
              </w:tc>
              <w:tc>
                <w:tcPr>
                  <w:tcW w:w="834" w:type="pct"/>
                  <w:vAlign w:val="center"/>
                </w:tcPr>
                <w:p>
                  <w:pPr>
                    <w:pStyle w:val="2"/>
                    <w:ind w:firstLine="0" w:firstLineChars="0"/>
                    <w:jc w:val="center"/>
                  </w:pPr>
                  <w:r>
                    <w:rPr>
                      <w:rFonts w:hint="eastAsia"/>
                    </w:rPr>
                    <w:t>6</w:t>
                  </w:r>
                  <w:r>
                    <w:t>-9</w:t>
                  </w:r>
                </w:p>
              </w:tc>
            </w:tr>
          </w:tbl>
          <w:p>
            <w:pPr>
              <w:autoSpaceDE w:val="0"/>
              <w:autoSpaceDN w:val="0"/>
              <w:spacing w:line="360" w:lineRule="auto"/>
              <w:ind w:firstLine="480" w:firstLineChars="200"/>
              <w:rPr>
                <w:sz w:val="24"/>
              </w:rPr>
            </w:pPr>
            <w:r>
              <w:rPr>
                <w:rFonts w:hint="eastAsia"/>
                <w:sz w:val="24"/>
              </w:rPr>
              <w:t>（3）工艺流程</w:t>
            </w:r>
          </w:p>
          <w:p>
            <w:pPr>
              <w:autoSpaceDE w:val="0"/>
              <w:autoSpaceDN w:val="0"/>
              <w:spacing w:line="360" w:lineRule="auto"/>
              <w:ind w:firstLine="480" w:firstLineChars="200"/>
              <w:rPr>
                <w:sz w:val="24"/>
              </w:rPr>
            </w:pPr>
            <w:r>
              <w:rPr>
                <w:rFonts w:hint="eastAsia"/>
                <w:sz w:val="24"/>
              </w:rPr>
              <w:t>一期工程生产废水</w:t>
            </w:r>
            <w:r>
              <w:rPr>
                <w:sz w:val="24"/>
              </w:rPr>
              <w:t>污水处理工艺流程图如下。</w:t>
            </w:r>
          </w:p>
          <w:p>
            <w:pPr>
              <w:widowControl/>
              <w:jc w:val="center"/>
              <w:rPr>
                <w:rFonts w:cs="宋体"/>
                <w:kern w:val="0"/>
                <w:sz w:val="24"/>
              </w:rPr>
            </w:pPr>
            <w:r>
              <w:rPr>
                <w:szCs w:val="21"/>
              </w:rPr>
              <w:drawing>
                <wp:inline distT="0" distB="0" distL="0" distR="0">
                  <wp:extent cx="4432935" cy="4887595"/>
                  <wp:effectExtent l="0" t="0" r="0" b="8255"/>
                  <wp:docPr id="1996018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18831"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35516" cy="4890440"/>
                          </a:xfrm>
                          <a:prstGeom prst="rect">
                            <a:avLst/>
                          </a:prstGeom>
                          <a:noFill/>
                          <a:ln>
                            <a:noFill/>
                          </a:ln>
                        </pic:spPr>
                      </pic:pic>
                    </a:graphicData>
                  </a:graphic>
                </wp:inline>
              </w:drawing>
            </w:r>
          </w:p>
          <w:p>
            <w:pPr>
              <w:rPr>
                <w:szCs w:val="21"/>
              </w:rPr>
            </w:pPr>
          </w:p>
          <w:p>
            <w:pPr>
              <w:pStyle w:val="2"/>
              <w:ind w:firstLine="482"/>
              <w:jc w:val="center"/>
              <w:rPr>
                <w:b/>
                <w:bCs/>
                <w:sz w:val="24"/>
              </w:rPr>
            </w:pPr>
            <w:r>
              <w:rPr>
                <w:rFonts w:hint="eastAsia"/>
                <w:b/>
                <w:bCs/>
                <w:sz w:val="24"/>
              </w:rPr>
              <w:t>图4</w:t>
            </w:r>
            <w:r>
              <w:rPr>
                <w:b/>
                <w:bCs/>
                <w:sz w:val="24"/>
              </w:rPr>
              <w:t xml:space="preserve">-1 </w:t>
            </w:r>
            <w:r>
              <w:rPr>
                <w:rFonts w:hint="eastAsia"/>
                <w:b/>
                <w:bCs/>
                <w:sz w:val="24"/>
              </w:rPr>
              <w:t>污水处理站污水处理工艺图</w:t>
            </w:r>
          </w:p>
          <w:p>
            <w:pPr>
              <w:pStyle w:val="72"/>
              <w:numPr>
                <w:ilvl w:val="0"/>
                <w:numId w:val="10"/>
              </w:numPr>
              <w:spacing w:line="360" w:lineRule="auto"/>
              <w:ind w:firstLineChars="0"/>
              <w:rPr>
                <w:sz w:val="24"/>
              </w:rPr>
            </w:pPr>
            <w:r>
              <w:rPr>
                <w:rFonts w:hint="eastAsia"/>
                <w:sz w:val="24"/>
              </w:rPr>
              <w:t>预处理单元工艺</w:t>
            </w:r>
          </w:p>
          <w:p>
            <w:pPr>
              <w:spacing w:line="360" w:lineRule="auto"/>
              <w:ind w:firstLine="480" w:firstLineChars="200"/>
              <w:rPr>
                <w:sz w:val="24"/>
              </w:rPr>
            </w:pPr>
            <w:r>
              <w:rPr>
                <w:rFonts w:hint="eastAsia"/>
                <w:sz w:val="24"/>
              </w:rPr>
              <w:t>废水首先进入格栅池后，格栅网将废水中较大的悬浮物拦截下来，栅渣通过管道排入污泥浓缩池。</w:t>
            </w:r>
          </w:p>
          <w:p>
            <w:pPr>
              <w:spacing w:line="360" w:lineRule="auto"/>
              <w:ind w:firstLine="480" w:firstLineChars="200"/>
              <w:rPr>
                <w:sz w:val="24"/>
              </w:rPr>
            </w:pPr>
            <w:r>
              <w:rPr>
                <w:rFonts w:hint="eastAsia"/>
                <w:sz w:val="24"/>
              </w:rPr>
              <w:t>废水由集水井提升后进入调节池，在调节池调节水质水量后废水流入气浮机，通过投加絮凝剂，去除废水中的细小油珠，同时在混凝剂的作用下可去除部分CODcr、SS、氨氮等污染物，气浮浮渣通过管道排入污泥浓缩池。</w:t>
            </w:r>
          </w:p>
          <w:p>
            <w:pPr>
              <w:spacing w:line="360" w:lineRule="auto"/>
              <w:ind w:firstLine="480" w:firstLineChars="200"/>
              <w:rPr>
                <w:sz w:val="24"/>
              </w:rPr>
            </w:pPr>
            <w:r>
              <w:rPr>
                <w:rFonts w:hint="eastAsia"/>
                <w:sz w:val="24"/>
              </w:rPr>
              <w:t>②生化处理单元工艺</w:t>
            </w:r>
          </w:p>
          <w:p>
            <w:pPr>
              <w:spacing w:line="360" w:lineRule="auto"/>
              <w:ind w:firstLine="480" w:firstLineChars="200"/>
              <w:rPr>
                <w:sz w:val="24"/>
              </w:rPr>
            </w:pPr>
            <w:r>
              <w:rPr>
                <w:rFonts w:hint="eastAsia"/>
                <w:sz w:val="24"/>
              </w:rPr>
              <w:t>气浮出水依靠提升泵提升至水解酸化池。水解酸化池主要是将原有废水中的非溶解性有机物转变为溶解性有机物，将其中难生物降解的有机物转变为易生物降解的有机物，提高废水的可生化性，以利于后续的好氧处理。</w:t>
            </w:r>
          </w:p>
          <w:p>
            <w:pPr>
              <w:spacing w:line="360" w:lineRule="auto"/>
              <w:ind w:firstLine="480" w:firstLineChars="200"/>
              <w:rPr>
                <w:sz w:val="24"/>
              </w:rPr>
            </w:pPr>
            <w:r>
              <w:rPr>
                <w:rFonts w:hint="eastAsia"/>
                <w:sz w:val="24"/>
              </w:rPr>
              <w:t>水解酸化池出水进入接触氧化池。通过曝气风机向水体曝气，在有氧环境下好氧菌将水中有机污染物充分降解，大部分有机物被逐步分解变成CO</w:t>
            </w:r>
            <w:r>
              <w:rPr>
                <w:rFonts w:hint="eastAsia"/>
                <w:sz w:val="24"/>
                <w:vertAlign w:val="subscript"/>
              </w:rPr>
              <w:t>2</w:t>
            </w:r>
            <w:r>
              <w:rPr>
                <w:rFonts w:hint="eastAsia"/>
                <w:sz w:val="24"/>
              </w:rPr>
              <w:t>和H</w:t>
            </w:r>
            <w:r>
              <w:rPr>
                <w:rFonts w:hint="eastAsia"/>
                <w:sz w:val="24"/>
                <w:vertAlign w:val="subscript"/>
              </w:rPr>
              <w:t>2</w:t>
            </w:r>
            <w:r>
              <w:rPr>
                <w:rFonts w:hint="eastAsia"/>
                <w:sz w:val="24"/>
              </w:rPr>
              <w:t>O，小部分有机物以微生物的增量形式出现。</w:t>
            </w:r>
          </w:p>
          <w:p>
            <w:pPr>
              <w:spacing w:line="360" w:lineRule="auto"/>
              <w:ind w:firstLine="480" w:firstLineChars="200"/>
              <w:rPr>
                <w:sz w:val="24"/>
              </w:rPr>
            </w:pPr>
            <w:r>
              <w:rPr>
                <w:rFonts w:hint="eastAsia"/>
                <w:sz w:val="24"/>
              </w:rPr>
              <w:t>接触氧化池出水进入二沉池，二沉池主要将接触氧化池的水和泥沉淀分开，底部的泥渣由刮吸泥机吸入污泥泵打到污泥浓缩池，处理后的污水排入市政官网，之后排入镶黄旗污水处理厂进一步处理。</w:t>
            </w:r>
          </w:p>
          <w:p>
            <w:pPr>
              <w:spacing w:line="360" w:lineRule="auto"/>
              <w:ind w:firstLine="480" w:firstLineChars="200"/>
              <w:rPr>
                <w:sz w:val="24"/>
              </w:rPr>
            </w:pPr>
            <w:r>
              <w:rPr>
                <w:rFonts w:hint="eastAsia"/>
                <w:sz w:val="24"/>
              </w:rPr>
              <w:t>处理过程中产生的污泥进入污泥浓缩池进行浓缩，浓缩污泥含水率为96%～97%，浓缩后的污泥暂存于污泥浓缩间统一拉运至垃圾填埋场处理，脱出的污水流入污水管道并排至调节池。</w:t>
            </w:r>
          </w:p>
          <w:p>
            <w:pPr>
              <w:spacing w:line="360" w:lineRule="auto"/>
              <w:ind w:firstLine="480" w:firstLineChars="200"/>
              <w:rPr>
                <w:sz w:val="24"/>
              </w:rPr>
            </w:pPr>
            <w:r>
              <w:rPr>
                <w:rFonts w:hint="eastAsia"/>
                <w:sz w:val="24"/>
              </w:rPr>
              <w:t>项目运营过程中产生的废水经污水处理站处理后出水指标均满足镶黄旗污水处理厂进水水质要求。</w:t>
            </w:r>
          </w:p>
          <w:p>
            <w:pPr>
              <w:spacing w:line="360" w:lineRule="auto"/>
              <w:ind w:firstLine="480" w:firstLineChars="200"/>
              <w:rPr>
                <w:sz w:val="24"/>
              </w:rPr>
            </w:pPr>
            <w:r>
              <w:rPr>
                <w:rFonts w:hint="eastAsia"/>
                <w:sz w:val="24"/>
              </w:rPr>
              <w:t>生产车间废水主要为设备清洗废水，废水通过车间下水道排入污水处理站预处理，车间下水道布置在清洗设备下方，输送管道采用暗沟，采用混凝土结构。</w:t>
            </w:r>
          </w:p>
          <w:p>
            <w:pPr>
              <w:spacing w:line="360" w:lineRule="auto"/>
              <w:ind w:firstLine="480" w:firstLineChars="200"/>
              <w:rPr>
                <w:sz w:val="24"/>
              </w:rPr>
            </w:pPr>
            <w:r>
              <w:rPr>
                <w:rFonts w:hint="eastAsia"/>
                <w:sz w:val="24"/>
              </w:rPr>
              <w:t>（</w:t>
            </w:r>
            <w:r>
              <w:rPr>
                <w:sz w:val="24"/>
              </w:rPr>
              <w:t>4</w:t>
            </w:r>
            <w:r>
              <w:rPr>
                <w:rFonts w:hint="eastAsia"/>
                <w:sz w:val="24"/>
              </w:rPr>
              <w:t>）处理措施及达标可行性</w:t>
            </w:r>
          </w:p>
          <w:p>
            <w:pPr>
              <w:spacing w:line="360" w:lineRule="auto"/>
              <w:ind w:firstLine="480" w:firstLineChars="200"/>
              <w:rPr>
                <w:sz w:val="24"/>
              </w:rPr>
            </w:pPr>
            <w:r>
              <w:rPr>
                <w:rFonts w:hint="eastAsia"/>
                <w:sz w:val="24"/>
              </w:rPr>
              <w:t>处理工艺属于《</w:t>
            </w:r>
            <w:r>
              <w:rPr>
                <w:sz w:val="24"/>
              </w:rPr>
              <w:t>排污许可证申请与核发技术规范 食品制造工业—乳制品制造工业</w:t>
            </w:r>
            <w:r>
              <w:rPr>
                <w:rFonts w:hint="eastAsia"/>
                <w:sz w:val="24"/>
              </w:rPr>
              <w:t>》（</w:t>
            </w:r>
            <w:r>
              <w:rPr>
                <w:sz w:val="24"/>
              </w:rPr>
              <w:t>HJ 1030.1—2019</w:t>
            </w:r>
            <w:r>
              <w:rPr>
                <w:rFonts w:hint="eastAsia"/>
                <w:sz w:val="24"/>
              </w:rPr>
              <w:t>）和《</w:t>
            </w:r>
            <w:r>
              <w:rPr>
                <w:sz w:val="24"/>
              </w:rPr>
              <w:t>排污许可证申请与核发技术规范 食品制造工业—调味品、发酵制品制造工业</w:t>
            </w:r>
            <w:r>
              <w:rPr>
                <w:rFonts w:hint="eastAsia"/>
                <w:sz w:val="24"/>
              </w:rPr>
              <w:t>》（</w:t>
            </w:r>
            <w:r>
              <w:rPr>
                <w:sz w:val="24"/>
              </w:rPr>
              <w:t>HJ 1030.2—2019</w:t>
            </w:r>
            <w:r>
              <w:rPr>
                <w:rFonts w:hint="eastAsia"/>
                <w:sz w:val="24"/>
              </w:rPr>
              <w:t>）可行技术推荐之一，措施可行。</w:t>
            </w:r>
          </w:p>
          <w:p>
            <w:pPr>
              <w:spacing w:line="360" w:lineRule="auto"/>
              <w:ind w:firstLine="480" w:firstLineChars="200"/>
              <w:rPr>
                <w:sz w:val="24"/>
              </w:rPr>
            </w:pPr>
            <w:r>
              <w:rPr>
                <w:rFonts w:hint="eastAsia"/>
                <w:sz w:val="24"/>
              </w:rPr>
              <w:t>项目经两级生化处理后，生产废水出水水质</w:t>
            </w:r>
            <w:r>
              <w:rPr>
                <w:sz w:val="24"/>
              </w:rPr>
              <w:t>PH 6-9</w:t>
            </w:r>
            <w:r>
              <w:rPr>
                <w:rFonts w:hint="eastAsia"/>
                <w:sz w:val="24"/>
              </w:rPr>
              <w:t>，</w:t>
            </w:r>
            <w:r>
              <w:rPr>
                <w:sz w:val="24"/>
              </w:rPr>
              <w:t>COD 300</w:t>
            </w:r>
            <w:r>
              <w:rPr>
                <w:rFonts w:hint="eastAsia"/>
                <w:sz w:val="24"/>
              </w:rPr>
              <w:t>mg</w:t>
            </w:r>
            <w:r>
              <w:rPr>
                <w:sz w:val="24"/>
              </w:rPr>
              <w:t>/L</w:t>
            </w:r>
            <w:r>
              <w:rPr>
                <w:rFonts w:hint="eastAsia"/>
                <w:sz w:val="24"/>
              </w:rPr>
              <w:t>，</w:t>
            </w:r>
            <w:r>
              <w:rPr>
                <w:sz w:val="24"/>
              </w:rPr>
              <w:t>BOD</w:t>
            </w:r>
            <w:r>
              <w:rPr>
                <w:sz w:val="24"/>
                <w:vertAlign w:val="subscript"/>
              </w:rPr>
              <w:t>5</w:t>
            </w:r>
            <w:r>
              <w:rPr>
                <w:sz w:val="24"/>
              </w:rPr>
              <w:t xml:space="preserve"> 200</w:t>
            </w:r>
            <w:r>
              <w:rPr>
                <w:rFonts w:hint="eastAsia"/>
                <w:sz w:val="24"/>
              </w:rPr>
              <w:t>mg</w:t>
            </w:r>
            <w:r>
              <w:rPr>
                <w:sz w:val="24"/>
              </w:rPr>
              <w:t>/L,</w:t>
            </w:r>
            <w:r>
              <w:rPr>
                <w:rFonts w:hint="eastAsia"/>
                <w:sz w:val="24"/>
              </w:rPr>
              <w:t>氨氮</w:t>
            </w:r>
            <w:r>
              <w:rPr>
                <w:sz w:val="24"/>
              </w:rPr>
              <w:t>15</w:t>
            </w:r>
            <w:r>
              <w:rPr>
                <w:rFonts w:hint="eastAsia"/>
                <w:sz w:val="24"/>
              </w:rPr>
              <w:t>mg</w:t>
            </w:r>
            <w:r>
              <w:rPr>
                <w:sz w:val="24"/>
              </w:rPr>
              <w:t>/L</w:t>
            </w:r>
            <w:r>
              <w:rPr>
                <w:rFonts w:hint="eastAsia"/>
                <w:sz w:val="24"/>
              </w:rPr>
              <w:t>，S</w:t>
            </w:r>
            <w:r>
              <w:rPr>
                <w:sz w:val="24"/>
              </w:rPr>
              <w:t>S100</w:t>
            </w:r>
            <w:r>
              <w:rPr>
                <w:rFonts w:hint="eastAsia"/>
                <w:sz w:val="24"/>
              </w:rPr>
              <w:t>mg</w:t>
            </w:r>
            <w:r>
              <w:rPr>
                <w:sz w:val="24"/>
              </w:rPr>
              <w:t>/L</w:t>
            </w:r>
            <w:r>
              <w:rPr>
                <w:rFonts w:hint="eastAsia"/>
                <w:sz w:val="24"/>
              </w:rPr>
              <w:t>，生活污水经化粪池处理后出水水质</w:t>
            </w:r>
            <w:r>
              <w:rPr>
                <w:sz w:val="24"/>
              </w:rPr>
              <w:t>PH 6-9</w:t>
            </w:r>
            <w:r>
              <w:rPr>
                <w:rFonts w:hint="eastAsia"/>
                <w:sz w:val="24"/>
              </w:rPr>
              <w:t>，</w:t>
            </w:r>
            <w:r>
              <w:rPr>
                <w:sz w:val="24"/>
              </w:rPr>
              <w:t>COD 400</w:t>
            </w:r>
            <w:r>
              <w:rPr>
                <w:rFonts w:hint="eastAsia"/>
                <w:sz w:val="24"/>
              </w:rPr>
              <w:t>mg</w:t>
            </w:r>
            <w:r>
              <w:rPr>
                <w:sz w:val="24"/>
              </w:rPr>
              <w:t>/L</w:t>
            </w:r>
            <w:r>
              <w:rPr>
                <w:rFonts w:hint="eastAsia"/>
                <w:sz w:val="24"/>
              </w:rPr>
              <w:t>，</w:t>
            </w:r>
            <w:r>
              <w:rPr>
                <w:sz w:val="24"/>
              </w:rPr>
              <w:t>BOD</w:t>
            </w:r>
            <w:r>
              <w:rPr>
                <w:sz w:val="24"/>
                <w:vertAlign w:val="subscript"/>
              </w:rPr>
              <w:t>5</w:t>
            </w:r>
            <w:r>
              <w:rPr>
                <w:sz w:val="24"/>
              </w:rPr>
              <w:t xml:space="preserve"> 280</w:t>
            </w:r>
            <w:r>
              <w:rPr>
                <w:rFonts w:hint="eastAsia"/>
                <w:sz w:val="24"/>
              </w:rPr>
              <w:t>mg</w:t>
            </w:r>
            <w:r>
              <w:rPr>
                <w:sz w:val="24"/>
              </w:rPr>
              <w:t>/L,</w:t>
            </w:r>
            <w:r>
              <w:rPr>
                <w:rFonts w:hint="eastAsia"/>
                <w:sz w:val="24"/>
              </w:rPr>
              <w:t>氨氮</w:t>
            </w:r>
            <w:r>
              <w:rPr>
                <w:sz w:val="24"/>
              </w:rPr>
              <w:t>30</w:t>
            </w:r>
            <w:r>
              <w:rPr>
                <w:rFonts w:hint="eastAsia"/>
                <w:sz w:val="24"/>
              </w:rPr>
              <w:t>mg</w:t>
            </w:r>
            <w:r>
              <w:rPr>
                <w:sz w:val="24"/>
              </w:rPr>
              <w:t>/L</w:t>
            </w:r>
            <w:r>
              <w:rPr>
                <w:rFonts w:hint="eastAsia"/>
                <w:sz w:val="24"/>
              </w:rPr>
              <w:t>，S</w:t>
            </w:r>
            <w:r>
              <w:rPr>
                <w:sz w:val="24"/>
              </w:rPr>
              <w:t>S150</w:t>
            </w:r>
            <w:r>
              <w:rPr>
                <w:rFonts w:hint="eastAsia"/>
                <w:sz w:val="24"/>
              </w:rPr>
              <w:t>mg</w:t>
            </w:r>
            <w:r>
              <w:rPr>
                <w:sz w:val="24"/>
              </w:rPr>
              <w:t>/L</w:t>
            </w:r>
            <w:r>
              <w:rPr>
                <w:rFonts w:hint="eastAsia"/>
                <w:sz w:val="24"/>
              </w:rPr>
              <w:t>，能够满足《污水综合排放标准》（GB8978-1996）三级标准及镶黄旗污水处理厂进水水质要求。</w:t>
            </w:r>
          </w:p>
          <w:p>
            <w:pPr>
              <w:pStyle w:val="2"/>
              <w:spacing w:line="360" w:lineRule="auto"/>
              <w:ind w:firstLine="480"/>
              <w:rPr>
                <w:sz w:val="24"/>
              </w:rPr>
            </w:pPr>
            <w:r>
              <w:rPr>
                <w:rFonts w:hint="eastAsia"/>
                <w:sz w:val="24"/>
              </w:rPr>
              <w:t>另污水处理站调节池容积1</w:t>
            </w:r>
            <w:r>
              <w:rPr>
                <w:sz w:val="24"/>
              </w:rPr>
              <w:t>0</w:t>
            </w:r>
            <w:r>
              <w:rPr>
                <w:rFonts w:hint="eastAsia"/>
                <w:sz w:val="24"/>
              </w:rPr>
              <w:t>m</w:t>
            </w:r>
            <w:r>
              <w:rPr>
                <w:sz w:val="24"/>
                <w:vertAlign w:val="superscript"/>
              </w:rPr>
              <w:t>3</w:t>
            </w:r>
            <w:r>
              <w:rPr>
                <w:rFonts w:hint="eastAsia"/>
                <w:sz w:val="24"/>
              </w:rPr>
              <w:t>，可兼做事故池，存储3天的废水量，一旦污水处理设施发生故障后，废水可暂存事故池内，尽快对事故进行维修，维修后对事故废水处理后方可排放，禁止废水未经处理直接排放。</w:t>
            </w:r>
          </w:p>
          <w:p>
            <w:pPr>
              <w:pStyle w:val="3"/>
              <w:ind w:left="0" w:leftChars="0" w:firstLine="480"/>
            </w:pPr>
            <w:r>
              <w:rPr>
                <w:rFonts w:hint="eastAsia"/>
              </w:rPr>
              <w:t>（5）依托镶黄旗新宝格拉镇污水处理厂可行性</w:t>
            </w:r>
          </w:p>
          <w:p>
            <w:pPr>
              <w:pStyle w:val="2"/>
              <w:spacing w:line="360" w:lineRule="auto"/>
              <w:ind w:firstLine="480"/>
              <w:rPr>
                <w:sz w:val="24"/>
              </w:rPr>
            </w:pPr>
            <w:r>
              <w:rPr>
                <w:rFonts w:hint="eastAsia"/>
                <w:sz w:val="24"/>
              </w:rPr>
              <w:t>镶黄旗新宝格拉镇污水处理厂位于新宝拉格镇西北距镇区</w:t>
            </w:r>
            <w:r>
              <w:rPr>
                <w:sz w:val="24"/>
              </w:rPr>
              <w:t xml:space="preserve">2.5 </w:t>
            </w:r>
            <w:r>
              <w:rPr>
                <w:rFonts w:hint="eastAsia"/>
                <w:sz w:val="24"/>
              </w:rPr>
              <w:t>公里处，日处理4</w:t>
            </w:r>
            <w:r>
              <w:rPr>
                <w:sz w:val="24"/>
              </w:rPr>
              <w:t>500</w:t>
            </w:r>
            <w:r>
              <w:rPr>
                <w:rFonts w:hint="eastAsia"/>
                <w:sz w:val="24"/>
              </w:rPr>
              <w:t>吨，采用</w:t>
            </w:r>
            <w:r>
              <w:rPr>
                <w:sz w:val="24"/>
              </w:rPr>
              <w:t>A</w:t>
            </w:r>
            <w:r>
              <w:rPr>
                <w:sz w:val="24"/>
                <w:vertAlign w:val="subscript"/>
              </w:rPr>
              <w:t>2</w:t>
            </w:r>
            <w:r>
              <w:rPr>
                <w:sz w:val="24"/>
              </w:rPr>
              <w:t xml:space="preserve">O+MBBR </w:t>
            </w:r>
            <w:r>
              <w:rPr>
                <w:rFonts w:hint="eastAsia"/>
                <w:sz w:val="24"/>
              </w:rPr>
              <w:t>工艺，出水水质满足《城镇污水处理厂污染物排放标准》（</w:t>
            </w:r>
            <w:r>
              <w:rPr>
                <w:sz w:val="24"/>
              </w:rPr>
              <w:t>GB18918-2002</w:t>
            </w:r>
            <w:r>
              <w:rPr>
                <w:rFonts w:hint="eastAsia"/>
                <w:sz w:val="24"/>
              </w:rPr>
              <w:t>）中一级</w:t>
            </w:r>
            <w:r>
              <w:rPr>
                <w:sz w:val="24"/>
              </w:rPr>
              <w:t xml:space="preserve">A </w:t>
            </w:r>
            <w:r>
              <w:rPr>
                <w:rFonts w:hint="eastAsia"/>
                <w:sz w:val="24"/>
              </w:rPr>
              <w:t>标准 ，主要处理新宝格镇各类生活和生产废水，目前处理规模3</w:t>
            </w:r>
            <w:r>
              <w:rPr>
                <w:sz w:val="24"/>
              </w:rPr>
              <w:t>800</w:t>
            </w:r>
            <w:r>
              <w:rPr>
                <w:rFonts w:hint="eastAsia"/>
                <w:sz w:val="24"/>
              </w:rPr>
              <w:t>m</w:t>
            </w:r>
            <w:r>
              <w:rPr>
                <w:sz w:val="24"/>
                <w:vertAlign w:val="superscript"/>
              </w:rPr>
              <w:t>3</w:t>
            </w:r>
            <w:r>
              <w:rPr>
                <w:sz w:val="24"/>
              </w:rPr>
              <w:t>/</w:t>
            </w:r>
            <w:r>
              <w:rPr>
                <w:rFonts w:hint="eastAsia"/>
                <w:sz w:val="24"/>
              </w:rPr>
              <w:t>d，本项目污水排放量6</w:t>
            </w:r>
            <w:r>
              <w:rPr>
                <w:sz w:val="24"/>
              </w:rPr>
              <w:t>.6</w:t>
            </w:r>
            <w:r>
              <w:rPr>
                <w:rFonts w:hint="eastAsia"/>
                <w:sz w:val="24"/>
              </w:rPr>
              <w:t>m</w:t>
            </w:r>
            <w:r>
              <w:rPr>
                <w:sz w:val="24"/>
                <w:vertAlign w:val="superscript"/>
              </w:rPr>
              <w:t>3</w:t>
            </w:r>
            <w:r>
              <w:rPr>
                <w:sz w:val="24"/>
              </w:rPr>
              <w:t>/</w:t>
            </w:r>
            <w:r>
              <w:rPr>
                <w:rFonts w:hint="eastAsia"/>
                <w:sz w:val="24"/>
              </w:rPr>
              <w:t>d，能够满足本项目依托排放需求。</w:t>
            </w:r>
            <w:r>
              <w:rPr>
                <w:sz w:val="24"/>
              </w:rPr>
              <w:t xml:space="preserve">  </w:t>
            </w:r>
          </w:p>
          <w:p>
            <w:pPr>
              <w:pStyle w:val="2"/>
              <w:spacing w:line="360" w:lineRule="auto"/>
              <w:ind w:firstLine="482"/>
              <w:rPr>
                <w:sz w:val="24"/>
              </w:rPr>
            </w:pPr>
            <w:r>
              <w:rPr>
                <w:b/>
                <w:bCs/>
                <w:sz w:val="24"/>
              </w:rPr>
              <w:t xml:space="preserve">   4</w:t>
            </w:r>
            <w:r>
              <w:rPr>
                <w:rFonts w:hint="eastAsia"/>
                <w:b/>
                <w:bCs/>
                <w:sz w:val="24"/>
              </w:rPr>
              <w:t>、废水排放口情况</w:t>
            </w:r>
          </w:p>
          <w:p>
            <w:pPr>
              <w:adjustRightInd w:val="0"/>
              <w:snapToGrid w:val="0"/>
              <w:spacing w:line="400" w:lineRule="exact"/>
              <w:jc w:val="center"/>
              <w:rPr>
                <w:b/>
                <w:sz w:val="24"/>
              </w:rPr>
            </w:pPr>
            <w:r>
              <w:rPr>
                <w:rFonts w:hint="eastAsia"/>
                <w:b/>
                <w:sz w:val="24"/>
              </w:rPr>
              <w:t>表4</w:t>
            </w:r>
            <w:r>
              <w:rPr>
                <w:b/>
                <w:sz w:val="24"/>
              </w:rPr>
              <w:t xml:space="preserve">-10 </w:t>
            </w:r>
            <w:r>
              <w:rPr>
                <w:rFonts w:hint="eastAsia"/>
                <w:b/>
                <w:sz w:val="24"/>
              </w:rPr>
              <w:t>项目废水排放口情况表</w:t>
            </w:r>
          </w:p>
          <w:tbl>
            <w:tblPr>
              <w:tblStyle w:val="21"/>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12"/>
              <w:gridCol w:w="1446"/>
              <w:gridCol w:w="1736"/>
              <w:gridCol w:w="1042"/>
              <w:gridCol w:w="2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8" w:hRule="atLeast"/>
                <w:tblHeader/>
              </w:trPr>
              <w:tc>
                <w:tcPr>
                  <w:tcW w:w="829" w:type="pct"/>
                  <w:shd w:val="clear" w:color="auto" w:fill="BFBFBF"/>
                  <w:vAlign w:val="center"/>
                </w:tcPr>
                <w:p>
                  <w:pPr>
                    <w:jc w:val="center"/>
                    <w:rPr>
                      <w:kern w:val="0"/>
                      <w:szCs w:val="21"/>
                      <w:lang w:bidi="zh-TW"/>
                    </w:rPr>
                  </w:pPr>
                  <w:r>
                    <w:rPr>
                      <w:kern w:val="0"/>
                      <w:szCs w:val="21"/>
                      <w:lang w:bidi="zh-TW"/>
                    </w:rPr>
                    <w:t>编号</w:t>
                  </w:r>
                </w:p>
              </w:tc>
              <w:tc>
                <w:tcPr>
                  <w:tcW w:w="909" w:type="pct"/>
                  <w:shd w:val="clear" w:color="auto" w:fill="BFBFBF"/>
                  <w:vAlign w:val="center"/>
                </w:tcPr>
                <w:p>
                  <w:pPr>
                    <w:jc w:val="center"/>
                    <w:rPr>
                      <w:kern w:val="0"/>
                      <w:szCs w:val="21"/>
                      <w:lang w:bidi="zh-TW"/>
                    </w:rPr>
                  </w:pPr>
                  <w:r>
                    <w:rPr>
                      <w:rFonts w:hint="eastAsia"/>
                      <w:kern w:val="0"/>
                      <w:szCs w:val="21"/>
                      <w:lang w:bidi="zh-TW"/>
                    </w:rPr>
                    <w:t>污染物种类</w:t>
                  </w:r>
                </w:p>
              </w:tc>
              <w:tc>
                <w:tcPr>
                  <w:tcW w:w="848" w:type="pct"/>
                  <w:shd w:val="clear" w:color="auto" w:fill="BFBFBF"/>
                  <w:vAlign w:val="center"/>
                </w:tcPr>
                <w:p>
                  <w:pPr>
                    <w:jc w:val="center"/>
                    <w:rPr>
                      <w:kern w:val="0"/>
                      <w:szCs w:val="21"/>
                      <w:lang w:bidi="zh-TW"/>
                    </w:rPr>
                  </w:pPr>
                  <w:r>
                    <w:rPr>
                      <w:rFonts w:hint="eastAsia"/>
                      <w:kern w:val="0"/>
                      <w:szCs w:val="21"/>
                      <w:lang w:bidi="zh-TW"/>
                    </w:rPr>
                    <w:t>排放口</w:t>
                  </w:r>
                </w:p>
                <w:p>
                  <w:pPr>
                    <w:jc w:val="center"/>
                    <w:rPr>
                      <w:kern w:val="0"/>
                      <w:szCs w:val="21"/>
                      <w:lang w:bidi="zh-TW"/>
                    </w:rPr>
                  </w:pPr>
                  <w:r>
                    <w:rPr>
                      <w:rFonts w:hint="eastAsia"/>
                      <w:kern w:val="0"/>
                      <w:szCs w:val="21"/>
                      <w:lang w:bidi="zh-TW"/>
                    </w:rPr>
                    <w:t>地理</w:t>
                  </w:r>
                  <w:r>
                    <w:rPr>
                      <w:kern w:val="0"/>
                      <w:szCs w:val="21"/>
                      <w:lang w:bidi="zh-TW"/>
                    </w:rPr>
                    <w:t>坐标</w:t>
                  </w:r>
                </w:p>
              </w:tc>
              <w:tc>
                <w:tcPr>
                  <w:tcW w:w="668" w:type="pct"/>
                  <w:shd w:val="clear" w:color="auto" w:fill="BFBFBF"/>
                  <w:vAlign w:val="center"/>
                </w:tcPr>
                <w:p>
                  <w:pPr>
                    <w:jc w:val="center"/>
                    <w:rPr>
                      <w:kern w:val="0"/>
                      <w:szCs w:val="21"/>
                      <w:lang w:bidi="zh-TW"/>
                    </w:rPr>
                  </w:pPr>
                  <w:r>
                    <w:rPr>
                      <w:kern w:val="0"/>
                      <w:szCs w:val="21"/>
                      <w:lang w:bidi="zh-TW"/>
                    </w:rPr>
                    <w:t>类型</w:t>
                  </w:r>
                </w:p>
              </w:tc>
              <w:tc>
                <w:tcPr>
                  <w:tcW w:w="1746" w:type="pct"/>
                  <w:shd w:val="clear" w:color="auto" w:fill="BFBFBF"/>
                  <w:vAlign w:val="center"/>
                </w:tcPr>
                <w:p>
                  <w:pPr>
                    <w:adjustRightInd w:val="0"/>
                    <w:snapToGrid w:val="0"/>
                    <w:jc w:val="center"/>
                    <w:rPr>
                      <w:szCs w:val="21"/>
                    </w:rPr>
                  </w:pPr>
                  <w:r>
                    <w:rPr>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829" w:type="pct"/>
                  <w:vAlign w:val="center"/>
                </w:tcPr>
                <w:p>
                  <w:pPr>
                    <w:jc w:val="center"/>
                    <w:rPr>
                      <w:kern w:val="0"/>
                      <w:szCs w:val="21"/>
                      <w:lang w:bidi="zh-TW"/>
                    </w:rPr>
                  </w:pPr>
                  <w:r>
                    <w:rPr>
                      <w:rFonts w:hint="eastAsia"/>
                      <w:kern w:val="0"/>
                      <w:szCs w:val="21"/>
                      <w:lang w:bidi="zh-TW"/>
                    </w:rPr>
                    <w:t>生产废水排放口D</w:t>
                  </w:r>
                  <w:r>
                    <w:rPr>
                      <w:kern w:val="0"/>
                      <w:szCs w:val="21"/>
                      <w:lang w:bidi="zh-TW"/>
                    </w:rPr>
                    <w:t>W001</w:t>
                  </w:r>
                </w:p>
              </w:tc>
              <w:tc>
                <w:tcPr>
                  <w:tcW w:w="909" w:type="pct"/>
                  <w:vAlign w:val="center"/>
                </w:tcPr>
                <w:p>
                  <w:pPr>
                    <w:jc w:val="center"/>
                    <w:rPr>
                      <w:kern w:val="0"/>
                      <w:szCs w:val="21"/>
                      <w:lang w:bidi="zh-TW"/>
                    </w:rPr>
                  </w:pPr>
                  <w:r>
                    <w:rPr>
                      <w:rFonts w:hint="eastAsia"/>
                      <w:kern w:val="0"/>
                      <w:szCs w:val="21"/>
                      <w:lang w:bidi="zh-TW"/>
                    </w:rPr>
                    <w:t>pH、COD、SS、</w:t>
                  </w:r>
                </w:p>
                <w:p>
                  <w:pPr>
                    <w:jc w:val="center"/>
                    <w:rPr>
                      <w:kern w:val="0"/>
                      <w:szCs w:val="21"/>
                      <w:lang w:bidi="zh-TW"/>
                    </w:rPr>
                  </w:pPr>
                  <w:r>
                    <w:rPr>
                      <w:rFonts w:hint="eastAsia"/>
                      <w:kern w:val="0"/>
                      <w:szCs w:val="21"/>
                      <w:lang w:bidi="zh-TW"/>
                    </w:rPr>
                    <w:t>BOD</w:t>
                  </w:r>
                  <w:r>
                    <w:rPr>
                      <w:rFonts w:hint="eastAsia"/>
                      <w:kern w:val="0"/>
                      <w:szCs w:val="21"/>
                      <w:vertAlign w:val="subscript"/>
                      <w:lang w:bidi="zh-TW"/>
                    </w:rPr>
                    <w:t>5</w:t>
                  </w:r>
                  <w:r>
                    <w:rPr>
                      <w:rFonts w:hint="eastAsia"/>
                      <w:kern w:val="0"/>
                      <w:szCs w:val="21"/>
                      <w:lang w:bidi="zh-TW"/>
                    </w:rPr>
                    <w:t>、氨氮、色度</w:t>
                  </w:r>
                </w:p>
              </w:tc>
              <w:tc>
                <w:tcPr>
                  <w:tcW w:w="848" w:type="pct"/>
                  <w:vAlign w:val="center"/>
                </w:tcPr>
                <w:p>
                  <w:pPr>
                    <w:jc w:val="center"/>
                    <w:rPr>
                      <w:kern w:val="0"/>
                      <w:szCs w:val="21"/>
                      <w:lang w:bidi="zh-TW"/>
                    </w:rPr>
                  </w:pPr>
                  <w:r>
                    <w:rPr>
                      <w:rFonts w:hint="eastAsia"/>
                      <w:kern w:val="0"/>
                      <w:szCs w:val="21"/>
                      <w:lang w:bidi="zh-TW"/>
                    </w:rPr>
                    <w:t>113°50′41.95″, 42°14′38.61″</w:t>
                  </w:r>
                </w:p>
              </w:tc>
              <w:tc>
                <w:tcPr>
                  <w:tcW w:w="668" w:type="pct"/>
                  <w:vAlign w:val="center"/>
                </w:tcPr>
                <w:p>
                  <w:pPr>
                    <w:jc w:val="center"/>
                    <w:rPr>
                      <w:kern w:val="0"/>
                      <w:szCs w:val="21"/>
                      <w:lang w:bidi="zh-TW"/>
                    </w:rPr>
                  </w:pPr>
                  <w:r>
                    <w:rPr>
                      <w:rFonts w:hint="eastAsia"/>
                      <w:kern w:val="0"/>
                      <w:szCs w:val="21"/>
                      <w:lang w:bidi="zh-TW"/>
                    </w:rPr>
                    <w:t>一般排放口</w:t>
                  </w:r>
                </w:p>
              </w:tc>
              <w:tc>
                <w:tcPr>
                  <w:tcW w:w="1746" w:type="pct"/>
                  <w:vMerge w:val="restart"/>
                  <w:vAlign w:val="center"/>
                </w:tcPr>
                <w:p>
                  <w:pPr>
                    <w:adjustRightInd w:val="0"/>
                    <w:snapToGrid w:val="0"/>
                    <w:jc w:val="center"/>
                    <w:rPr>
                      <w:szCs w:val="21"/>
                    </w:rPr>
                  </w:pPr>
                  <w:r>
                    <w:rPr>
                      <w:rFonts w:hint="eastAsia"/>
                      <w:szCs w:val="21"/>
                    </w:rPr>
                    <w:t>《污水综合排放标准》（G</w:t>
                  </w:r>
                  <w:r>
                    <w:rPr>
                      <w:szCs w:val="21"/>
                    </w:rPr>
                    <w:t>B8978-1996</w:t>
                  </w:r>
                  <w:r>
                    <w:rPr>
                      <w:rFonts w:hint="eastAsia"/>
                      <w:szCs w:val="21"/>
                    </w:rPr>
                    <w:t>）三级标准及镶黄旗污水处理厂进水水质要求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829" w:type="pct"/>
                  <w:vAlign w:val="center"/>
                </w:tcPr>
                <w:p>
                  <w:pPr>
                    <w:jc w:val="center"/>
                    <w:rPr>
                      <w:kern w:val="0"/>
                      <w:szCs w:val="21"/>
                      <w:lang w:bidi="zh-TW"/>
                    </w:rPr>
                  </w:pPr>
                  <w:r>
                    <w:rPr>
                      <w:rFonts w:hint="eastAsia"/>
                      <w:kern w:val="0"/>
                      <w:szCs w:val="21"/>
                      <w:lang w:bidi="zh-TW"/>
                    </w:rPr>
                    <w:t>生活污水排放口D</w:t>
                  </w:r>
                  <w:r>
                    <w:rPr>
                      <w:kern w:val="0"/>
                      <w:szCs w:val="21"/>
                      <w:lang w:bidi="zh-TW"/>
                    </w:rPr>
                    <w:t>W</w:t>
                  </w:r>
                  <w:r>
                    <w:rPr>
                      <w:rFonts w:hint="eastAsia"/>
                      <w:kern w:val="0"/>
                      <w:szCs w:val="21"/>
                      <w:lang w:bidi="zh-TW"/>
                    </w:rPr>
                    <w:t>00</w:t>
                  </w:r>
                  <w:r>
                    <w:rPr>
                      <w:kern w:val="0"/>
                      <w:szCs w:val="21"/>
                      <w:lang w:bidi="zh-TW"/>
                    </w:rPr>
                    <w:t>2</w:t>
                  </w:r>
                </w:p>
              </w:tc>
              <w:tc>
                <w:tcPr>
                  <w:tcW w:w="909" w:type="pct"/>
                  <w:vAlign w:val="center"/>
                </w:tcPr>
                <w:p>
                  <w:pPr>
                    <w:jc w:val="center"/>
                    <w:rPr>
                      <w:kern w:val="0"/>
                      <w:szCs w:val="21"/>
                      <w:lang w:bidi="zh-TW"/>
                    </w:rPr>
                  </w:pPr>
                  <w:r>
                    <w:rPr>
                      <w:rFonts w:hint="eastAsia"/>
                      <w:kern w:val="0"/>
                      <w:szCs w:val="21"/>
                      <w:lang w:bidi="zh-TW"/>
                    </w:rPr>
                    <w:t>pH、COD、SS、</w:t>
                  </w:r>
                </w:p>
                <w:p>
                  <w:pPr>
                    <w:jc w:val="center"/>
                    <w:rPr>
                      <w:kern w:val="0"/>
                      <w:szCs w:val="21"/>
                      <w:lang w:bidi="zh-TW"/>
                    </w:rPr>
                  </w:pPr>
                  <w:r>
                    <w:rPr>
                      <w:rFonts w:hint="eastAsia"/>
                      <w:kern w:val="0"/>
                      <w:szCs w:val="21"/>
                      <w:lang w:bidi="zh-TW"/>
                    </w:rPr>
                    <w:t>BOD</w:t>
                  </w:r>
                  <w:r>
                    <w:rPr>
                      <w:rFonts w:hint="eastAsia"/>
                      <w:kern w:val="0"/>
                      <w:szCs w:val="21"/>
                      <w:vertAlign w:val="subscript"/>
                      <w:lang w:bidi="zh-TW"/>
                    </w:rPr>
                    <w:t>5</w:t>
                  </w:r>
                  <w:r>
                    <w:rPr>
                      <w:rFonts w:hint="eastAsia"/>
                      <w:kern w:val="0"/>
                      <w:szCs w:val="21"/>
                      <w:lang w:bidi="zh-TW"/>
                    </w:rPr>
                    <w:t>、氨氮、色度</w:t>
                  </w:r>
                </w:p>
              </w:tc>
              <w:tc>
                <w:tcPr>
                  <w:tcW w:w="848" w:type="pct"/>
                  <w:vAlign w:val="center"/>
                </w:tcPr>
                <w:p>
                  <w:pPr>
                    <w:jc w:val="center"/>
                    <w:rPr>
                      <w:kern w:val="0"/>
                      <w:szCs w:val="21"/>
                      <w:lang w:bidi="zh-TW"/>
                    </w:rPr>
                  </w:pPr>
                  <w:r>
                    <w:rPr>
                      <w:rFonts w:hint="eastAsia"/>
                      <w:kern w:val="0"/>
                      <w:szCs w:val="21"/>
                      <w:lang w:bidi="zh-TW"/>
                    </w:rPr>
                    <w:t>113°50′42.36″, 42°14′38.43″</w:t>
                  </w:r>
                </w:p>
              </w:tc>
              <w:tc>
                <w:tcPr>
                  <w:tcW w:w="668" w:type="pct"/>
                  <w:vAlign w:val="center"/>
                </w:tcPr>
                <w:p>
                  <w:pPr>
                    <w:jc w:val="center"/>
                    <w:rPr>
                      <w:kern w:val="0"/>
                      <w:szCs w:val="21"/>
                      <w:lang w:bidi="zh-TW"/>
                    </w:rPr>
                  </w:pPr>
                  <w:r>
                    <w:rPr>
                      <w:rFonts w:hint="eastAsia"/>
                      <w:kern w:val="0"/>
                      <w:szCs w:val="21"/>
                      <w:lang w:bidi="zh-TW"/>
                    </w:rPr>
                    <w:t>一般排放口</w:t>
                  </w:r>
                </w:p>
              </w:tc>
              <w:tc>
                <w:tcPr>
                  <w:tcW w:w="1746" w:type="pct"/>
                  <w:vMerge w:val="continue"/>
                  <w:vAlign w:val="center"/>
                </w:tcPr>
                <w:p>
                  <w:pPr>
                    <w:adjustRightInd w:val="0"/>
                    <w:snapToGrid w:val="0"/>
                    <w:jc w:val="center"/>
                    <w:rPr>
                      <w:szCs w:val="21"/>
                    </w:rPr>
                  </w:pPr>
                </w:p>
              </w:tc>
            </w:tr>
          </w:tbl>
          <w:p>
            <w:pPr>
              <w:spacing w:line="500" w:lineRule="exact"/>
              <w:ind w:firstLine="426" w:firstLineChars="177"/>
              <w:rPr>
                <w:b/>
                <w:sz w:val="24"/>
              </w:rPr>
            </w:pPr>
            <w:r>
              <w:rPr>
                <w:rFonts w:hint="eastAsia"/>
                <w:b/>
                <w:sz w:val="24"/>
              </w:rPr>
              <w:t>5、</w:t>
            </w:r>
            <w:r>
              <w:rPr>
                <w:b/>
                <w:sz w:val="24"/>
              </w:rPr>
              <w:t xml:space="preserve"> </w:t>
            </w:r>
            <w:r>
              <w:rPr>
                <w:rFonts w:hint="eastAsia"/>
                <w:b/>
                <w:sz w:val="24"/>
              </w:rPr>
              <w:t>废水自行检测计划</w:t>
            </w:r>
          </w:p>
          <w:p>
            <w:pPr>
              <w:pStyle w:val="31"/>
              <w:adjustRightInd w:val="0"/>
              <w:snapToGrid w:val="0"/>
              <w:ind w:firstLine="480"/>
              <w:jc w:val="both"/>
              <w:rPr>
                <w:rFonts w:ascii="Times New Roman"/>
                <w:bCs/>
                <w:color w:val="auto"/>
                <w:sz w:val="24"/>
                <w:szCs w:val="24"/>
              </w:rPr>
            </w:pPr>
            <w:r>
              <w:rPr>
                <w:rFonts w:hint="eastAsia" w:ascii="Times New Roman"/>
                <w:color w:val="auto"/>
                <w:sz w:val="24"/>
                <w:szCs w:val="24"/>
              </w:rPr>
              <w:t>根据</w:t>
            </w:r>
            <w:r>
              <w:rPr>
                <w:rFonts w:ascii="Times New Roman"/>
                <w:bCs/>
                <w:color w:val="auto"/>
                <w:sz w:val="24"/>
                <w:szCs w:val="24"/>
              </w:rPr>
              <w:t>《排污单位自行监测技术指南 食品制造》（HJ 1084—2020）</w:t>
            </w:r>
            <w:r>
              <w:rPr>
                <w:rFonts w:hint="eastAsia" w:ascii="Times New Roman"/>
                <w:bCs/>
                <w:color w:val="auto"/>
                <w:sz w:val="24"/>
                <w:szCs w:val="24"/>
              </w:rPr>
              <w:t>，废水自行检测计划如下</w:t>
            </w:r>
            <w:r>
              <w:rPr>
                <w:rFonts w:ascii="Times New Roman"/>
                <w:bCs/>
                <w:color w:val="auto"/>
                <w:sz w:val="24"/>
                <w:szCs w:val="24"/>
              </w:rPr>
              <w:t>。</w:t>
            </w:r>
          </w:p>
          <w:p>
            <w:pPr>
              <w:adjustRightInd w:val="0"/>
              <w:snapToGrid w:val="0"/>
              <w:spacing w:line="400" w:lineRule="exact"/>
              <w:jc w:val="center"/>
              <w:rPr>
                <w:b/>
                <w:sz w:val="24"/>
              </w:rPr>
            </w:pPr>
            <w:r>
              <w:rPr>
                <w:rFonts w:hint="eastAsia"/>
                <w:b/>
                <w:sz w:val="24"/>
              </w:rPr>
              <w:t>表4</w:t>
            </w:r>
            <w:r>
              <w:rPr>
                <w:b/>
                <w:sz w:val="24"/>
              </w:rPr>
              <w:t xml:space="preserve">-11 </w:t>
            </w:r>
            <w:r>
              <w:rPr>
                <w:rFonts w:hint="eastAsia"/>
                <w:b/>
                <w:sz w:val="24"/>
              </w:rPr>
              <w:t>废水自行检测计划表</w:t>
            </w:r>
          </w:p>
          <w:tbl>
            <w:tblPr>
              <w:tblStyle w:val="21"/>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23"/>
              <w:gridCol w:w="1471"/>
              <w:gridCol w:w="1471"/>
              <w:gridCol w:w="1334"/>
              <w:gridCol w:w="27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38" w:hRule="atLeast"/>
                <w:tblHeader/>
              </w:trPr>
              <w:tc>
                <w:tcPr>
                  <w:tcW w:w="789" w:type="pct"/>
                  <w:shd w:val="clear" w:color="auto" w:fill="BFBFBF"/>
                  <w:vAlign w:val="center"/>
                </w:tcPr>
                <w:p>
                  <w:pPr>
                    <w:jc w:val="center"/>
                    <w:rPr>
                      <w:kern w:val="0"/>
                      <w:szCs w:val="21"/>
                      <w:lang w:bidi="zh-TW"/>
                    </w:rPr>
                  </w:pPr>
                  <w:r>
                    <w:rPr>
                      <w:kern w:val="0"/>
                      <w:szCs w:val="21"/>
                      <w:lang w:bidi="zh-TW"/>
                    </w:rPr>
                    <w:t>编号</w:t>
                  </w:r>
                </w:p>
              </w:tc>
              <w:tc>
                <w:tcPr>
                  <w:tcW w:w="877" w:type="pct"/>
                  <w:shd w:val="clear" w:color="auto" w:fill="BFBFBF"/>
                  <w:vAlign w:val="center"/>
                </w:tcPr>
                <w:p>
                  <w:pPr>
                    <w:jc w:val="center"/>
                    <w:rPr>
                      <w:kern w:val="0"/>
                      <w:szCs w:val="21"/>
                      <w:lang w:bidi="zh-TW"/>
                    </w:rPr>
                  </w:pPr>
                  <w:r>
                    <w:rPr>
                      <w:rFonts w:hint="eastAsia"/>
                      <w:kern w:val="0"/>
                      <w:szCs w:val="21"/>
                      <w:lang w:bidi="zh-TW"/>
                    </w:rPr>
                    <w:t>监测位置</w:t>
                  </w:r>
                </w:p>
              </w:tc>
              <w:tc>
                <w:tcPr>
                  <w:tcW w:w="877" w:type="pct"/>
                  <w:shd w:val="clear" w:color="auto" w:fill="BFBFBF"/>
                  <w:vAlign w:val="center"/>
                </w:tcPr>
                <w:p>
                  <w:pPr>
                    <w:jc w:val="center"/>
                    <w:rPr>
                      <w:kern w:val="0"/>
                      <w:szCs w:val="21"/>
                      <w:lang w:bidi="zh-TW"/>
                    </w:rPr>
                  </w:pPr>
                  <w:r>
                    <w:rPr>
                      <w:rFonts w:hint="eastAsia"/>
                      <w:kern w:val="0"/>
                      <w:szCs w:val="21"/>
                      <w:lang w:bidi="zh-TW"/>
                    </w:rPr>
                    <w:t>监测因子</w:t>
                  </w:r>
                </w:p>
              </w:tc>
              <w:tc>
                <w:tcPr>
                  <w:tcW w:w="795" w:type="pct"/>
                  <w:shd w:val="clear" w:color="auto" w:fill="BFBFBF"/>
                  <w:vAlign w:val="center"/>
                </w:tcPr>
                <w:p>
                  <w:pPr>
                    <w:jc w:val="center"/>
                    <w:rPr>
                      <w:kern w:val="0"/>
                      <w:szCs w:val="21"/>
                      <w:lang w:bidi="zh-TW"/>
                    </w:rPr>
                  </w:pPr>
                  <w:r>
                    <w:rPr>
                      <w:rFonts w:hint="eastAsia"/>
                      <w:kern w:val="0"/>
                      <w:szCs w:val="21"/>
                      <w:lang w:bidi="zh-TW"/>
                    </w:rPr>
                    <w:t>监测周期</w:t>
                  </w:r>
                </w:p>
              </w:tc>
              <w:tc>
                <w:tcPr>
                  <w:tcW w:w="1662" w:type="pct"/>
                  <w:shd w:val="clear" w:color="auto" w:fill="BFBFBF"/>
                  <w:vAlign w:val="center"/>
                </w:tcPr>
                <w:p>
                  <w:pPr>
                    <w:adjustRightInd w:val="0"/>
                    <w:snapToGrid w:val="0"/>
                    <w:jc w:val="center"/>
                    <w:rPr>
                      <w:szCs w:val="21"/>
                    </w:rPr>
                  </w:pPr>
                  <w:r>
                    <w:rPr>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789" w:type="pct"/>
                  <w:vAlign w:val="center"/>
                </w:tcPr>
                <w:p>
                  <w:pPr>
                    <w:jc w:val="center"/>
                    <w:rPr>
                      <w:kern w:val="0"/>
                      <w:szCs w:val="21"/>
                      <w:lang w:bidi="zh-TW"/>
                    </w:rPr>
                  </w:pPr>
                  <w:r>
                    <w:rPr>
                      <w:rFonts w:hint="eastAsia"/>
                      <w:kern w:val="0"/>
                      <w:szCs w:val="21"/>
                      <w:lang w:bidi="zh-TW"/>
                    </w:rPr>
                    <w:t>D</w:t>
                  </w:r>
                  <w:r>
                    <w:rPr>
                      <w:kern w:val="0"/>
                      <w:szCs w:val="21"/>
                      <w:lang w:bidi="zh-TW"/>
                    </w:rPr>
                    <w:t>W001</w:t>
                  </w:r>
                </w:p>
              </w:tc>
              <w:tc>
                <w:tcPr>
                  <w:tcW w:w="877" w:type="pct"/>
                  <w:vAlign w:val="center"/>
                </w:tcPr>
                <w:p>
                  <w:pPr>
                    <w:jc w:val="center"/>
                    <w:rPr>
                      <w:kern w:val="0"/>
                      <w:szCs w:val="21"/>
                      <w:lang w:bidi="zh-TW"/>
                    </w:rPr>
                  </w:pPr>
                  <w:r>
                    <w:rPr>
                      <w:rFonts w:hint="eastAsia"/>
                      <w:kern w:val="0"/>
                      <w:szCs w:val="21"/>
                      <w:lang w:bidi="zh-TW"/>
                    </w:rPr>
                    <w:t>生产废水排放口</w:t>
                  </w:r>
                </w:p>
              </w:tc>
              <w:tc>
                <w:tcPr>
                  <w:tcW w:w="877" w:type="pct"/>
                  <w:vAlign w:val="center"/>
                </w:tcPr>
                <w:p>
                  <w:pPr>
                    <w:jc w:val="center"/>
                    <w:rPr>
                      <w:kern w:val="0"/>
                      <w:szCs w:val="21"/>
                      <w:lang w:bidi="zh-TW"/>
                    </w:rPr>
                  </w:pPr>
                  <w:r>
                    <w:rPr>
                      <w:rFonts w:hint="eastAsia"/>
                      <w:kern w:val="0"/>
                      <w:szCs w:val="21"/>
                      <w:lang w:bidi="zh-TW"/>
                    </w:rPr>
                    <w:t>pH、COD、SS、</w:t>
                  </w:r>
                </w:p>
                <w:p>
                  <w:pPr>
                    <w:jc w:val="center"/>
                    <w:rPr>
                      <w:kern w:val="0"/>
                      <w:szCs w:val="21"/>
                      <w:lang w:bidi="zh-TW"/>
                    </w:rPr>
                  </w:pPr>
                  <w:r>
                    <w:rPr>
                      <w:rFonts w:hint="eastAsia"/>
                      <w:kern w:val="0"/>
                      <w:szCs w:val="21"/>
                      <w:lang w:bidi="zh-TW"/>
                    </w:rPr>
                    <w:t>BOD</w:t>
                  </w:r>
                  <w:r>
                    <w:rPr>
                      <w:rFonts w:hint="eastAsia"/>
                      <w:kern w:val="0"/>
                      <w:szCs w:val="21"/>
                      <w:vertAlign w:val="subscript"/>
                      <w:lang w:bidi="zh-TW"/>
                    </w:rPr>
                    <w:t>5</w:t>
                  </w:r>
                  <w:r>
                    <w:rPr>
                      <w:rFonts w:hint="eastAsia"/>
                      <w:kern w:val="0"/>
                      <w:szCs w:val="21"/>
                      <w:lang w:bidi="zh-TW"/>
                    </w:rPr>
                    <w:t>、氨氮、</w:t>
                  </w:r>
                </w:p>
                <w:p>
                  <w:pPr>
                    <w:jc w:val="center"/>
                    <w:rPr>
                      <w:kern w:val="0"/>
                      <w:szCs w:val="21"/>
                      <w:lang w:bidi="zh-TW"/>
                    </w:rPr>
                  </w:pPr>
                  <w:r>
                    <w:rPr>
                      <w:rFonts w:hint="eastAsia"/>
                      <w:kern w:val="0"/>
                      <w:szCs w:val="21"/>
                      <w:lang w:bidi="zh-TW"/>
                    </w:rPr>
                    <w:t>TP、TN、动植物油、色度、流量</w:t>
                  </w:r>
                </w:p>
              </w:tc>
              <w:tc>
                <w:tcPr>
                  <w:tcW w:w="795" w:type="pct"/>
                  <w:vAlign w:val="center"/>
                </w:tcPr>
                <w:p>
                  <w:pPr>
                    <w:jc w:val="center"/>
                    <w:rPr>
                      <w:kern w:val="0"/>
                      <w:szCs w:val="21"/>
                      <w:lang w:bidi="zh-TW"/>
                    </w:rPr>
                  </w:pPr>
                  <w:r>
                    <w:rPr>
                      <w:rFonts w:hint="eastAsia"/>
                      <w:kern w:val="0"/>
                      <w:szCs w:val="21"/>
                      <w:lang w:bidi="zh-TW"/>
                    </w:rPr>
                    <w:t>1次/半年</w:t>
                  </w:r>
                </w:p>
              </w:tc>
              <w:tc>
                <w:tcPr>
                  <w:tcW w:w="1662" w:type="pct"/>
                  <w:vAlign w:val="center"/>
                </w:tcPr>
                <w:p>
                  <w:pPr>
                    <w:adjustRightInd w:val="0"/>
                    <w:snapToGrid w:val="0"/>
                    <w:jc w:val="center"/>
                    <w:rPr>
                      <w:szCs w:val="21"/>
                    </w:rPr>
                  </w:pPr>
                  <w:r>
                    <w:rPr>
                      <w:rFonts w:hint="eastAsia"/>
                      <w:szCs w:val="21"/>
                    </w:rPr>
                    <w:t>《污水综合排放标准》（G</w:t>
                  </w:r>
                  <w:r>
                    <w:rPr>
                      <w:szCs w:val="21"/>
                    </w:rPr>
                    <w:t>B8978-1996</w:t>
                  </w:r>
                  <w:r>
                    <w:rPr>
                      <w:rFonts w:hint="eastAsia"/>
                      <w:szCs w:val="21"/>
                    </w:rPr>
                    <w:t>）三级标准及镶黄旗污水处理厂进水水质要求</w:t>
                  </w:r>
                </w:p>
              </w:tc>
            </w:tr>
          </w:tbl>
          <w:p>
            <w:pPr>
              <w:pStyle w:val="2"/>
            </w:pPr>
          </w:p>
          <w:p>
            <w:pPr>
              <w:spacing w:line="360" w:lineRule="auto"/>
              <w:ind w:firstLine="482" w:firstLineChars="200"/>
              <w:jc w:val="left"/>
              <w:rPr>
                <w:b/>
                <w:sz w:val="24"/>
              </w:rPr>
            </w:pPr>
            <w:r>
              <w:rPr>
                <w:rFonts w:hint="eastAsia"/>
                <w:b/>
                <w:sz w:val="24"/>
              </w:rPr>
              <w:t>三、噪声</w:t>
            </w:r>
          </w:p>
          <w:p>
            <w:pPr>
              <w:spacing w:line="360" w:lineRule="auto"/>
              <w:ind w:firstLine="480" w:firstLineChars="200"/>
              <w:rPr>
                <w:sz w:val="24"/>
              </w:rPr>
            </w:pPr>
            <w:r>
              <w:rPr>
                <w:rFonts w:hint="eastAsia"/>
                <w:sz w:val="24"/>
              </w:rPr>
              <w:t>项目分两期进行，本次评价对两期完成后全厂的噪声源强及对四周厂界的预测贡献值。</w:t>
            </w:r>
          </w:p>
          <w:p>
            <w:pPr>
              <w:spacing w:line="360" w:lineRule="auto"/>
              <w:ind w:firstLine="482" w:firstLineChars="200"/>
              <w:rPr>
                <w:b/>
                <w:bCs/>
                <w:sz w:val="24"/>
              </w:rPr>
            </w:pPr>
            <w:r>
              <w:rPr>
                <w:b/>
                <w:bCs/>
                <w:sz w:val="24"/>
              </w:rPr>
              <w:t>3.1</w:t>
            </w:r>
            <w:r>
              <w:rPr>
                <w:rFonts w:hint="eastAsia"/>
                <w:b/>
                <w:bCs/>
                <w:sz w:val="24"/>
              </w:rPr>
              <w:t>噪声源强</w:t>
            </w:r>
          </w:p>
          <w:p>
            <w:pPr>
              <w:spacing w:line="500" w:lineRule="exact"/>
              <w:ind w:firstLine="482"/>
              <w:rPr>
                <w:kern w:val="0"/>
                <w:sz w:val="24"/>
                <w:szCs w:val="20"/>
              </w:rPr>
            </w:pPr>
            <w:r>
              <w:rPr>
                <w:rFonts w:hint="eastAsia"/>
                <w:kern w:val="0"/>
                <w:sz w:val="24"/>
                <w:szCs w:val="20"/>
              </w:rPr>
              <w:t>本项目主要产噪设备源强表见表4-</w:t>
            </w:r>
            <w:r>
              <w:rPr>
                <w:kern w:val="0"/>
                <w:sz w:val="24"/>
                <w:szCs w:val="20"/>
              </w:rPr>
              <w:t>12</w:t>
            </w:r>
            <w:r>
              <w:rPr>
                <w:rFonts w:hint="eastAsia"/>
                <w:kern w:val="0"/>
                <w:sz w:val="24"/>
                <w:szCs w:val="20"/>
              </w:rPr>
              <w:t>。</w:t>
            </w:r>
          </w:p>
          <w:p>
            <w:pPr>
              <w:adjustRightInd w:val="0"/>
              <w:snapToGrid w:val="0"/>
              <w:spacing w:line="400" w:lineRule="exact"/>
              <w:jc w:val="center"/>
              <w:rPr>
                <w:b/>
                <w:sz w:val="24"/>
              </w:rPr>
            </w:pPr>
            <w:r>
              <w:rPr>
                <w:rFonts w:hint="eastAsia"/>
                <w:b/>
                <w:sz w:val="24"/>
              </w:rPr>
              <w:t>表4-</w:t>
            </w:r>
            <w:r>
              <w:rPr>
                <w:b/>
                <w:sz w:val="24"/>
              </w:rPr>
              <w:t>13</w:t>
            </w:r>
            <w:r>
              <w:rPr>
                <w:rFonts w:hint="eastAsia"/>
                <w:b/>
                <w:sz w:val="24"/>
              </w:rPr>
              <w:t>噪声源强（室内声源）</w:t>
            </w:r>
          </w:p>
          <w:tbl>
            <w:tblPr>
              <w:tblStyle w:val="21"/>
              <w:tblW w:w="816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426"/>
              <w:gridCol w:w="566"/>
              <w:gridCol w:w="426"/>
              <w:gridCol w:w="753"/>
              <w:gridCol w:w="636"/>
              <w:gridCol w:w="426"/>
              <w:gridCol w:w="426"/>
              <w:gridCol w:w="479"/>
              <w:gridCol w:w="788"/>
              <w:gridCol w:w="426"/>
              <w:gridCol w:w="753"/>
              <w:gridCol w:w="788"/>
              <w:gridCol w:w="4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18" w:type="pct"/>
                  <w:vMerge w:val="restart"/>
                  <w:vAlign w:val="center"/>
                </w:tcPr>
                <w:p>
                  <w:pPr>
                    <w:autoSpaceDE w:val="0"/>
                    <w:autoSpaceDN w:val="0"/>
                    <w:adjustRightInd w:val="0"/>
                    <w:snapToGrid w:val="0"/>
                    <w:spacing w:before="24" w:after="24"/>
                    <w:jc w:val="center"/>
                  </w:pPr>
                  <w:r>
                    <w:t>序号</w:t>
                  </w:r>
                </w:p>
              </w:tc>
              <w:tc>
                <w:tcPr>
                  <w:tcW w:w="290" w:type="pct"/>
                  <w:vMerge w:val="restart"/>
                  <w:vAlign w:val="center"/>
                </w:tcPr>
                <w:p>
                  <w:pPr>
                    <w:autoSpaceDE w:val="0"/>
                    <w:autoSpaceDN w:val="0"/>
                    <w:adjustRightInd w:val="0"/>
                    <w:snapToGrid w:val="0"/>
                    <w:spacing w:before="24" w:after="24"/>
                    <w:jc w:val="center"/>
                  </w:pPr>
                  <w:r>
                    <w:rPr>
                      <w:rFonts w:hint="eastAsia"/>
                    </w:rPr>
                    <w:t>建筑物名称</w:t>
                  </w:r>
                </w:p>
              </w:tc>
              <w:tc>
                <w:tcPr>
                  <w:tcW w:w="471" w:type="pct"/>
                  <w:vMerge w:val="restart"/>
                  <w:vAlign w:val="center"/>
                </w:tcPr>
                <w:p>
                  <w:pPr>
                    <w:autoSpaceDE w:val="0"/>
                    <w:autoSpaceDN w:val="0"/>
                    <w:adjustRightInd w:val="0"/>
                    <w:snapToGrid w:val="0"/>
                    <w:spacing w:before="24" w:after="24"/>
                    <w:jc w:val="center"/>
                  </w:pPr>
                  <w:r>
                    <w:rPr>
                      <w:rFonts w:hint="eastAsia"/>
                    </w:rPr>
                    <w:t>声源</w:t>
                  </w:r>
                </w:p>
                <w:p>
                  <w:pPr>
                    <w:autoSpaceDE w:val="0"/>
                    <w:autoSpaceDN w:val="0"/>
                    <w:adjustRightInd w:val="0"/>
                    <w:snapToGrid w:val="0"/>
                    <w:spacing w:before="24" w:after="24"/>
                    <w:jc w:val="center"/>
                  </w:pPr>
                  <w:r>
                    <w:rPr>
                      <w:rFonts w:hint="eastAsia"/>
                    </w:rPr>
                    <w:t>名称</w:t>
                  </w:r>
                </w:p>
              </w:tc>
              <w:tc>
                <w:tcPr>
                  <w:tcW w:w="261" w:type="pct"/>
                  <w:vMerge w:val="restart"/>
                  <w:vAlign w:val="center"/>
                </w:tcPr>
                <w:p>
                  <w:pPr>
                    <w:autoSpaceDE w:val="0"/>
                    <w:autoSpaceDN w:val="0"/>
                    <w:adjustRightInd w:val="0"/>
                    <w:snapToGrid w:val="0"/>
                    <w:spacing w:before="24" w:after="24"/>
                    <w:jc w:val="center"/>
                  </w:pPr>
                  <w:r>
                    <w:rPr>
                      <w:rFonts w:hint="eastAsia"/>
                    </w:rPr>
                    <w:t>数量</w:t>
                  </w:r>
                </w:p>
              </w:tc>
              <w:tc>
                <w:tcPr>
                  <w:tcW w:w="461" w:type="pct"/>
                  <w:vMerge w:val="restart"/>
                  <w:vAlign w:val="center"/>
                </w:tcPr>
                <w:p>
                  <w:pPr>
                    <w:autoSpaceDE w:val="0"/>
                    <w:autoSpaceDN w:val="0"/>
                    <w:adjustRightInd w:val="0"/>
                    <w:snapToGrid w:val="0"/>
                    <w:spacing w:before="24" w:after="24"/>
                    <w:jc w:val="center"/>
                  </w:pPr>
                  <w:r>
                    <w:rPr>
                      <w:rFonts w:hint="eastAsia"/>
                    </w:rPr>
                    <w:t>声功率级</w:t>
                  </w:r>
                  <w:r>
                    <w:t>dB(A)</w:t>
                  </w:r>
                </w:p>
              </w:tc>
              <w:tc>
                <w:tcPr>
                  <w:tcW w:w="389" w:type="pct"/>
                  <w:vMerge w:val="restart"/>
                  <w:vAlign w:val="center"/>
                </w:tcPr>
                <w:p>
                  <w:pPr>
                    <w:autoSpaceDE w:val="0"/>
                    <w:autoSpaceDN w:val="0"/>
                    <w:adjustRightInd w:val="0"/>
                    <w:snapToGrid w:val="0"/>
                    <w:spacing w:before="24" w:after="24"/>
                    <w:jc w:val="center"/>
                  </w:pPr>
                  <w:r>
                    <w:rPr>
                      <w:rFonts w:hint="eastAsia"/>
                    </w:rPr>
                    <w:t>声源控制措施</w:t>
                  </w:r>
                </w:p>
              </w:tc>
              <w:tc>
                <w:tcPr>
                  <w:tcW w:w="662" w:type="pct"/>
                  <w:gridSpan w:val="3"/>
                  <w:vAlign w:val="center"/>
                </w:tcPr>
                <w:p>
                  <w:pPr>
                    <w:autoSpaceDE w:val="0"/>
                    <w:autoSpaceDN w:val="0"/>
                    <w:adjustRightInd w:val="0"/>
                    <w:snapToGrid w:val="0"/>
                    <w:spacing w:before="24" w:after="24"/>
                    <w:jc w:val="center"/>
                  </w:pPr>
                  <w:r>
                    <w:rPr>
                      <w:rFonts w:hint="eastAsia"/>
                    </w:rPr>
                    <w:t>空间相对位置/m</w:t>
                  </w:r>
                </w:p>
              </w:tc>
              <w:tc>
                <w:tcPr>
                  <w:tcW w:w="483" w:type="pct"/>
                  <w:vMerge w:val="restart"/>
                  <w:vAlign w:val="center"/>
                </w:tcPr>
                <w:p>
                  <w:pPr>
                    <w:autoSpaceDE w:val="0"/>
                    <w:autoSpaceDN w:val="0"/>
                    <w:adjustRightInd w:val="0"/>
                    <w:snapToGrid w:val="0"/>
                    <w:spacing w:before="24" w:after="24"/>
                    <w:jc w:val="center"/>
                  </w:pPr>
                  <w:r>
                    <w:rPr>
                      <w:rFonts w:hint="eastAsia"/>
                    </w:rPr>
                    <w:t>室内边界声级dB（A）</w:t>
                  </w:r>
                </w:p>
              </w:tc>
              <w:tc>
                <w:tcPr>
                  <w:tcW w:w="261" w:type="pct"/>
                  <w:vMerge w:val="restart"/>
                  <w:vAlign w:val="center"/>
                </w:tcPr>
                <w:p>
                  <w:pPr>
                    <w:autoSpaceDE w:val="0"/>
                    <w:autoSpaceDN w:val="0"/>
                    <w:adjustRightInd w:val="0"/>
                    <w:snapToGrid w:val="0"/>
                    <w:spacing w:before="24" w:after="24"/>
                    <w:jc w:val="center"/>
                  </w:pPr>
                  <w:r>
                    <w:rPr>
                      <w:rFonts w:hint="eastAsia"/>
                    </w:rPr>
                    <w:t>运行</w:t>
                  </w:r>
                </w:p>
                <w:p>
                  <w:pPr>
                    <w:autoSpaceDE w:val="0"/>
                    <w:autoSpaceDN w:val="0"/>
                    <w:adjustRightInd w:val="0"/>
                    <w:snapToGrid w:val="0"/>
                    <w:spacing w:before="24" w:after="24"/>
                    <w:jc w:val="center"/>
                  </w:pPr>
                  <w:r>
                    <w:rPr>
                      <w:rFonts w:hint="eastAsia"/>
                    </w:rPr>
                    <w:t>时段</w:t>
                  </w:r>
                </w:p>
              </w:tc>
              <w:tc>
                <w:tcPr>
                  <w:tcW w:w="461" w:type="pct"/>
                  <w:vMerge w:val="restart"/>
                  <w:vAlign w:val="center"/>
                </w:tcPr>
                <w:p>
                  <w:pPr>
                    <w:autoSpaceDE w:val="0"/>
                    <w:autoSpaceDN w:val="0"/>
                    <w:adjustRightInd w:val="0"/>
                    <w:snapToGrid w:val="0"/>
                    <w:spacing w:before="24" w:after="24"/>
                    <w:jc w:val="center"/>
                  </w:pPr>
                  <w:r>
                    <w:rPr>
                      <w:rFonts w:hint="eastAsia"/>
                    </w:rPr>
                    <w:t>建筑物插入损失</w:t>
                  </w:r>
                  <w:r>
                    <w:t>dB(A)</w:t>
                  </w:r>
                </w:p>
              </w:tc>
              <w:tc>
                <w:tcPr>
                  <w:tcW w:w="743" w:type="pct"/>
                  <w:gridSpan w:val="2"/>
                  <w:vAlign w:val="center"/>
                </w:tcPr>
                <w:p>
                  <w:pPr>
                    <w:autoSpaceDE w:val="0"/>
                    <w:autoSpaceDN w:val="0"/>
                    <w:adjustRightInd w:val="0"/>
                    <w:snapToGrid w:val="0"/>
                    <w:spacing w:before="24" w:after="24"/>
                    <w:jc w:val="center"/>
                  </w:pPr>
                  <w:r>
                    <w:rPr>
                      <w:rFonts w:hint="eastAsia"/>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8" w:type="pct"/>
                  <w:vMerge w:val="continue"/>
                  <w:vAlign w:val="center"/>
                </w:tcPr>
                <w:p>
                  <w:pPr>
                    <w:autoSpaceDE w:val="0"/>
                    <w:autoSpaceDN w:val="0"/>
                    <w:adjustRightInd w:val="0"/>
                    <w:snapToGrid w:val="0"/>
                    <w:spacing w:before="24" w:after="24"/>
                    <w:jc w:val="center"/>
                  </w:pPr>
                </w:p>
              </w:tc>
              <w:tc>
                <w:tcPr>
                  <w:tcW w:w="290" w:type="pct"/>
                  <w:vMerge w:val="continue"/>
                  <w:vAlign w:val="center"/>
                </w:tcPr>
                <w:p>
                  <w:pPr>
                    <w:autoSpaceDE w:val="0"/>
                    <w:autoSpaceDN w:val="0"/>
                    <w:adjustRightInd w:val="0"/>
                    <w:snapToGrid w:val="0"/>
                    <w:spacing w:before="24" w:after="24"/>
                    <w:jc w:val="center"/>
                  </w:pPr>
                </w:p>
              </w:tc>
              <w:tc>
                <w:tcPr>
                  <w:tcW w:w="471" w:type="pct"/>
                  <w:vMerge w:val="continue"/>
                  <w:vAlign w:val="center"/>
                </w:tcPr>
                <w:p>
                  <w:pPr>
                    <w:autoSpaceDE w:val="0"/>
                    <w:autoSpaceDN w:val="0"/>
                    <w:adjustRightInd w:val="0"/>
                    <w:snapToGrid w:val="0"/>
                    <w:spacing w:before="24" w:after="24"/>
                    <w:jc w:val="center"/>
                  </w:pPr>
                </w:p>
              </w:tc>
              <w:tc>
                <w:tcPr>
                  <w:tcW w:w="261" w:type="pct"/>
                  <w:vMerge w:val="continue"/>
                </w:tcPr>
                <w:p>
                  <w:pPr>
                    <w:autoSpaceDE w:val="0"/>
                    <w:autoSpaceDN w:val="0"/>
                    <w:adjustRightInd w:val="0"/>
                    <w:snapToGrid w:val="0"/>
                    <w:spacing w:before="24" w:after="24"/>
                    <w:jc w:val="center"/>
                  </w:pPr>
                </w:p>
              </w:tc>
              <w:tc>
                <w:tcPr>
                  <w:tcW w:w="461" w:type="pct"/>
                  <w:vMerge w:val="continue"/>
                  <w:vAlign w:val="center"/>
                </w:tcPr>
                <w:p>
                  <w:pPr>
                    <w:autoSpaceDE w:val="0"/>
                    <w:autoSpaceDN w:val="0"/>
                    <w:adjustRightInd w:val="0"/>
                    <w:snapToGrid w:val="0"/>
                    <w:spacing w:before="24" w:after="24"/>
                    <w:jc w:val="center"/>
                  </w:pPr>
                </w:p>
              </w:tc>
              <w:tc>
                <w:tcPr>
                  <w:tcW w:w="389" w:type="pct"/>
                  <w:vMerge w:val="continue"/>
                  <w:vAlign w:val="center"/>
                </w:tcPr>
                <w:p>
                  <w:pPr>
                    <w:autoSpaceDE w:val="0"/>
                    <w:autoSpaceDN w:val="0"/>
                    <w:adjustRightInd w:val="0"/>
                    <w:snapToGrid w:val="0"/>
                    <w:spacing w:before="24" w:after="24"/>
                    <w:jc w:val="center"/>
                  </w:pPr>
                </w:p>
              </w:tc>
              <w:tc>
                <w:tcPr>
                  <w:tcW w:w="225" w:type="pct"/>
                  <w:vAlign w:val="center"/>
                </w:tcPr>
                <w:p>
                  <w:pPr>
                    <w:autoSpaceDE w:val="0"/>
                    <w:autoSpaceDN w:val="0"/>
                    <w:adjustRightInd w:val="0"/>
                    <w:snapToGrid w:val="0"/>
                    <w:spacing w:before="24" w:after="24"/>
                    <w:jc w:val="center"/>
                  </w:pPr>
                  <w:r>
                    <w:rPr>
                      <w:rFonts w:hint="eastAsia"/>
                    </w:rPr>
                    <w:t>X</w:t>
                  </w:r>
                </w:p>
              </w:tc>
              <w:tc>
                <w:tcPr>
                  <w:tcW w:w="225" w:type="pct"/>
                  <w:vAlign w:val="center"/>
                </w:tcPr>
                <w:p>
                  <w:pPr>
                    <w:autoSpaceDE w:val="0"/>
                    <w:autoSpaceDN w:val="0"/>
                    <w:adjustRightInd w:val="0"/>
                    <w:snapToGrid w:val="0"/>
                    <w:spacing w:before="24" w:after="24"/>
                    <w:jc w:val="center"/>
                  </w:pPr>
                  <w:r>
                    <w:rPr>
                      <w:rFonts w:hint="eastAsia"/>
                    </w:rPr>
                    <w:t>Y</w:t>
                  </w:r>
                </w:p>
              </w:tc>
              <w:tc>
                <w:tcPr>
                  <w:tcW w:w="211" w:type="pct"/>
                  <w:vAlign w:val="center"/>
                </w:tcPr>
                <w:p>
                  <w:pPr>
                    <w:autoSpaceDE w:val="0"/>
                    <w:autoSpaceDN w:val="0"/>
                    <w:adjustRightInd w:val="0"/>
                    <w:snapToGrid w:val="0"/>
                    <w:spacing w:before="24" w:after="24"/>
                    <w:jc w:val="center"/>
                  </w:pPr>
                  <w:r>
                    <w:rPr>
                      <w:rFonts w:hint="eastAsia"/>
                    </w:rPr>
                    <w:t>Z</w:t>
                  </w:r>
                </w:p>
              </w:tc>
              <w:tc>
                <w:tcPr>
                  <w:tcW w:w="483" w:type="pct"/>
                  <w:vMerge w:val="continue"/>
                  <w:vAlign w:val="center"/>
                </w:tcPr>
                <w:p>
                  <w:pPr>
                    <w:autoSpaceDE w:val="0"/>
                    <w:autoSpaceDN w:val="0"/>
                    <w:adjustRightInd w:val="0"/>
                    <w:snapToGrid w:val="0"/>
                    <w:spacing w:before="24" w:after="24"/>
                    <w:jc w:val="center"/>
                  </w:pPr>
                </w:p>
              </w:tc>
              <w:tc>
                <w:tcPr>
                  <w:tcW w:w="261" w:type="pct"/>
                  <w:vMerge w:val="continue"/>
                  <w:vAlign w:val="center"/>
                </w:tcPr>
                <w:p>
                  <w:pPr>
                    <w:autoSpaceDE w:val="0"/>
                    <w:autoSpaceDN w:val="0"/>
                    <w:adjustRightInd w:val="0"/>
                    <w:snapToGrid w:val="0"/>
                    <w:spacing w:before="24" w:after="24"/>
                    <w:jc w:val="center"/>
                  </w:pPr>
                </w:p>
              </w:tc>
              <w:tc>
                <w:tcPr>
                  <w:tcW w:w="461" w:type="pct"/>
                  <w:vMerge w:val="continue"/>
                  <w:vAlign w:val="center"/>
                </w:tcPr>
                <w:p>
                  <w:pPr>
                    <w:autoSpaceDE w:val="0"/>
                    <w:autoSpaceDN w:val="0"/>
                    <w:adjustRightInd w:val="0"/>
                    <w:snapToGrid w:val="0"/>
                    <w:spacing w:before="24" w:after="24"/>
                    <w:jc w:val="center"/>
                  </w:pPr>
                </w:p>
              </w:tc>
              <w:tc>
                <w:tcPr>
                  <w:tcW w:w="483" w:type="pct"/>
                  <w:vAlign w:val="center"/>
                </w:tcPr>
                <w:p>
                  <w:pPr>
                    <w:autoSpaceDE w:val="0"/>
                    <w:autoSpaceDN w:val="0"/>
                    <w:adjustRightInd w:val="0"/>
                    <w:snapToGrid w:val="0"/>
                    <w:spacing w:before="24" w:after="24"/>
                    <w:jc w:val="center"/>
                  </w:pPr>
                  <w:r>
                    <w:rPr>
                      <w:rFonts w:hint="eastAsia"/>
                    </w:rPr>
                    <w:t>声压级</w:t>
                  </w:r>
                </w:p>
                <w:p>
                  <w:pPr>
                    <w:autoSpaceDE w:val="0"/>
                    <w:autoSpaceDN w:val="0"/>
                    <w:adjustRightInd w:val="0"/>
                    <w:snapToGrid w:val="0"/>
                    <w:spacing w:before="24" w:after="24"/>
                    <w:jc w:val="center"/>
                  </w:pPr>
                  <w:r>
                    <w:rPr>
                      <w:rFonts w:hint="eastAsia"/>
                    </w:rPr>
                    <w:t>dB（A）</w:t>
                  </w:r>
                </w:p>
              </w:tc>
              <w:tc>
                <w:tcPr>
                  <w:tcW w:w="261" w:type="pct"/>
                  <w:vAlign w:val="center"/>
                </w:tcPr>
                <w:p>
                  <w:pPr>
                    <w:autoSpaceDE w:val="0"/>
                    <w:autoSpaceDN w:val="0"/>
                    <w:adjustRightInd w:val="0"/>
                    <w:snapToGrid w:val="0"/>
                    <w:spacing w:before="24" w:after="24"/>
                    <w:jc w:val="center"/>
                  </w:pPr>
                  <w:r>
                    <w:rPr>
                      <w:rFonts w:hint="eastAsia"/>
                    </w:rPr>
                    <w:t>建筑物外距离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8" w:type="pct"/>
                  <w:vAlign w:val="center"/>
                </w:tcPr>
                <w:p>
                  <w:pPr>
                    <w:autoSpaceDE w:val="0"/>
                    <w:autoSpaceDN w:val="0"/>
                    <w:adjustRightInd w:val="0"/>
                    <w:snapToGrid w:val="0"/>
                    <w:spacing w:before="24" w:after="24"/>
                    <w:jc w:val="center"/>
                  </w:pPr>
                  <w:r>
                    <w:rPr>
                      <w:rFonts w:hint="eastAsia"/>
                    </w:rPr>
                    <w:t>1</w:t>
                  </w:r>
                </w:p>
                <w:p>
                  <w:pPr>
                    <w:pStyle w:val="2"/>
                  </w:pPr>
                  <w:r>
                    <w:rPr>
                      <w:rFonts w:hint="eastAsia"/>
                    </w:rPr>
                    <w:t>离</w:t>
                  </w:r>
                </w:p>
              </w:tc>
              <w:tc>
                <w:tcPr>
                  <w:tcW w:w="290" w:type="pct"/>
                  <w:vMerge w:val="restart"/>
                  <w:vAlign w:val="center"/>
                </w:tcPr>
                <w:p>
                  <w:pPr>
                    <w:autoSpaceDE w:val="0"/>
                    <w:autoSpaceDN w:val="0"/>
                    <w:adjustRightInd w:val="0"/>
                    <w:snapToGrid w:val="0"/>
                    <w:spacing w:before="24" w:after="24"/>
                    <w:jc w:val="center"/>
                  </w:pPr>
                  <w:r>
                    <w:rPr>
                      <w:rFonts w:hint="eastAsia"/>
                    </w:rPr>
                    <w:t>生产车间1</w:t>
                  </w:r>
                </w:p>
              </w:tc>
              <w:tc>
                <w:tcPr>
                  <w:tcW w:w="471" w:type="pct"/>
                  <w:vAlign w:val="center"/>
                </w:tcPr>
                <w:p>
                  <w:pPr>
                    <w:autoSpaceDE w:val="0"/>
                    <w:autoSpaceDN w:val="0"/>
                    <w:adjustRightInd w:val="0"/>
                    <w:snapToGrid w:val="0"/>
                    <w:spacing w:before="24" w:after="24"/>
                    <w:jc w:val="center"/>
                  </w:pPr>
                  <w:r>
                    <w:rPr>
                      <w:rFonts w:hint="eastAsia"/>
                    </w:rPr>
                    <w:t>离心机</w:t>
                  </w:r>
                </w:p>
              </w:tc>
              <w:tc>
                <w:tcPr>
                  <w:tcW w:w="261" w:type="pct"/>
                </w:tcPr>
                <w:p>
                  <w:pPr>
                    <w:autoSpaceDE w:val="0"/>
                    <w:autoSpaceDN w:val="0"/>
                    <w:adjustRightInd w:val="0"/>
                    <w:snapToGrid w:val="0"/>
                    <w:spacing w:before="24" w:after="24"/>
                    <w:jc w:val="center"/>
                  </w:pPr>
                  <w:r>
                    <w:t>1</w:t>
                  </w:r>
                </w:p>
              </w:tc>
              <w:tc>
                <w:tcPr>
                  <w:tcW w:w="461" w:type="pct"/>
                  <w:vAlign w:val="center"/>
                </w:tcPr>
                <w:p>
                  <w:pPr>
                    <w:autoSpaceDE w:val="0"/>
                    <w:autoSpaceDN w:val="0"/>
                    <w:adjustRightInd w:val="0"/>
                    <w:snapToGrid w:val="0"/>
                    <w:spacing w:before="24" w:after="24"/>
                    <w:jc w:val="center"/>
                  </w:pPr>
                  <w:r>
                    <w:rPr>
                      <w:rFonts w:hint="eastAsia"/>
                    </w:rPr>
                    <w:t>8</w:t>
                  </w:r>
                  <w:r>
                    <w:t>5</w:t>
                  </w:r>
                </w:p>
              </w:tc>
              <w:tc>
                <w:tcPr>
                  <w:tcW w:w="389" w:type="pct"/>
                  <w:vMerge w:val="restart"/>
                  <w:vAlign w:val="center"/>
                </w:tcPr>
                <w:p>
                  <w:pPr>
                    <w:autoSpaceDE w:val="0"/>
                    <w:autoSpaceDN w:val="0"/>
                    <w:adjustRightInd w:val="0"/>
                    <w:snapToGrid w:val="0"/>
                    <w:spacing w:before="24" w:after="24"/>
                    <w:jc w:val="center"/>
                  </w:pPr>
                  <w:r>
                    <w:rPr>
                      <w:rFonts w:hint="eastAsia"/>
                    </w:rPr>
                    <w:t>基础减震，厂房隔声</w:t>
                  </w:r>
                </w:p>
              </w:tc>
              <w:tc>
                <w:tcPr>
                  <w:tcW w:w="225" w:type="pct"/>
                  <w:vAlign w:val="center"/>
                </w:tcPr>
                <w:p>
                  <w:pPr>
                    <w:autoSpaceDE w:val="0"/>
                    <w:autoSpaceDN w:val="0"/>
                    <w:adjustRightInd w:val="0"/>
                    <w:snapToGrid w:val="0"/>
                    <w:spacing w:before="24" w:after="24"/>
                    <w:jc w:val="center"/>
                  </w:pPr>
                  <w:r>
                    <w:rPr>
                      <w:rFonts w:hint="eastAsia"/>
                    </w:rPr>
                    <w:t>4</w:t>
                  </w:r>
                  <w:r>
                    <w:t>3</w:t>
                  </w:r>
                </w:p>
              </w:tc>
              <w:tc>
                <w:tcPr>
                  <w:tcW w:w="225" w:type="pct"/>
                  <w:vAlign w:val="center"/>
                </w:tcPr>
                <w:p>
                  <w:pPr>
                    <w:autoSpaceDE w:val="0"/>
                    <w:autoSpaceDN w:val="0"/>
                    <w:adjustRightInd w:val="0"/>
                    <w:snapToGrid w:val="0"/>
                    <w:spacing w:before="24" w:after="24"/>
                    <w:jc w:val="center"/>
                  </w:pPr>
                  <w:r>
                    <w:rPr>
                      <w:rFonts w:hint="eastAsia"/>
                    </w:rPr>
                    <w:t>-</w:t>
                  </w:r>
                  <w:r>
                    <w:t>15</w:t>
                  </w:r>
                </w:p>
              </w:tc>
              <w:tc>
                <w:tcPr>
                  <w:tcW w:w="211" w:type="pct"/>
                  <w:vAlign w:val="center"/>
                </w:tcPr>
                <w:p>
                  <w:pPr>
                    <w:autoSpaceDE w:val="0"/>
                    <w:autoSpaceDN w:val="0"/>
                    <w:adjustRightInd w:val="0"/>
                    <w:snapToGrid w:val="0"/>
                    <w:spacing w:before="24" w:after="24"/>
                    <w:jc w:val="center"/>
                  </w:pPr>
                  <w:r>
                    <w:rPr>
                      <w:rFonts w:hint="eastAsia"/>
                    </w:rPr>
                    <w:t>1</w:t>
                  </w:r>
                  <w:r>
                    <w:t>.5</w:t>
                  </w:r>
                </w:p>
              </w:tc>
              <w:tc>
                <w:tcPr>
                  <w:tcW w:w="483" w:type="pct"/>
                  <w:vAlign w:val="center"/>
                </w:tcPr>
                <w:p>
                  <w:pPr>
                    <w:autoSpaceDE w:val="0"/>
                    <w:autoSpaceDN w:val="0"/>
                    <w:adjustRightInd w:val="0"/>
                    <w:snapToGrid w:val="0"/>
                    <w:spacing w:before="24" w:after="24"/>
                    <w:jc w:val="center"/>
                  </w:pPr>
                  <w:r>
                    <w:rPr>
                      <w:rFonts w:hint="eastAsia"/>
                    </w:rPr>
                    <w:t>8</w:t>
                  </w:r>
                  <w:r>
                    <w:t>3</w:t>
                  </w:r>
                </w:p>
              </w:tc>
              <w:tc>
                <w:tcPr>
                  <w:tcW w:w="261" w:type="pct"/>
                  <w:vAlign w:val="center"/>
                </w:tcPr>
                <w:p>
                  <w:pPr>
                    <w:autoSpaceDE w:val="0"/>
                    <w:autoSpaceDN w:val="0"/>
                    <w:adjustRightInd w:val="0"/>
                    <w:snapToGrid w:val="0"/>
                    <w:spacing w:before="24" w:after="24"/>
                    <w:jc w:val="center"/>
                  </w:pPr>
                  <w:r>
                    <w:rPr>
                      <w:rFonts w:hint="eastAsia"/>
                    </w:rPr>
                    <w:t>昼间</w:t>
                  </w:r>
                </w:p>
              </w:tc>
              <w:tc>
                <w:tcPr>
                  <w:tcW w:w="46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rPr>
                      <w:rFonts w:hint="eastAsia"/>
                    </w:rPr>
                    <w:t>6</w:t>
                  </w:r>
                  <w:r>
                    <w:t>3</w:t>
                  </w:r>
                </w:p>
              </w:tc>
              <w:tc>
                <w:tcPr>
                  <w:tcW w:w="261" w:type="pct"/>
                  <w:vAlign w:val="center"/>
                </w:tcPr>
                <w:p>
                  <w:pPr>
                    <w:autoSpaceDE w:val="0"/>
                    <w:autoSpaceDN w:val="0"/>
                    <w:adjustRightInd w:val="0"/>
                    <w:snapToGrid w:val="0"/>
                    <w:spacing w:before="24" w:after="24"/>
                    <w:jc w:val="center"/>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8" w:type="pct"/>
                  <w:vAlign w:val="center"/>
                </w:tcPr>
                <w:p>
                  <w:pPr>
                    <w:autoSpaceDE w:val="0"/>
                    <w:autoSpaceDN w:val="0"/>
                    <w:adjustRightInd w:val="0"/>
                    <w:snapToGrid w:val="0"/>
                    <w:spacing w:before="24" w:after="24"/>
                    <w:jc w:val="center"/>
                  </w:pPr>
                  <w:r>
                    <w:rPr>
                      <w:rFonts w:hint="eastAsia"/>
                    </w:rPr>
                    <w:t>2</w:t>
                  </w:r>
                </w:p>
              </w:tc>
              <w:tc>
                <w:tcPr>
                  <w:tcW w:w="290" w:type="pct"/>
                  <w:vMerge w:val="continue"/>
                  <w:vAlign w:val="center"/>
                </w:tcPr>
                <w:p>
                  <w:pPr>
                    <w:autoSpaceDE w:val="0"/>
                    <w:autoSpaceDN w:val="0"/>
                    <w:adjustRightInd w:val="0"/>
                    <w:snapToGrid w:val="0"/>
                    <w:spacing w:before="24" w:after="24"/>
                    <w:jc w:val="center"/>
                  </w:pPr>
                </w:p>
              </w:tc>
              <w:tc>
                <w:tcPr>
                  <w:tcW w:w="471" w:type="pct"/>
                </w:tcPr>
                <w:p>
                  <w:pPr>
                    <w:autoSpaceDE w:val="0"/>
                    <w:autoSpaceDN w:val="0"/>
                    <w:adjustRightInd w:val="0"/>
                    <w:snapToGrid w:val="0"/>
                    <w:spacing w:before="24" w:after="24"/>
                    <w:jc w:val="center"/>
                  </w:pPr>
                  <w:r>
                    <w:rPr>
                      <w:rFonts w:cs="宋体"/>
                      <w:sz w:val="24"/>
                    </w:rPr>
                    <w:t>可倾电加热搅拌夹层锅</w:t>
                  </w:r>
                </w:p>
              </w:tc>
              <w:tc>
                <w:tcPr>
                  <w:tcW w:w="261" w:type="pct"/>
                </w:tcPr>
                <w:p>
                  <w:pPr>
                    <w:autoSpaceDE w:val="0"/>
                    <w:autoSpaceDN w:val="0"/>
                    <w:adjustRightInd w:val="0"/>
                    <w:snapToGrid w:val="0"/>
                    <w:spacing w:before="24" w:after="24"/>
                    <w:jc w:val="center"/>
                  </w:pPr>
                  <w:r>
                    <w:rPr>
                      <w:rFonts w:hint="eastAsia"/>
                    </w:rPr>
                    <w:t>2</w:t>
                  </w:r>
                </w:p>
              </w:tc>
              <w:tc>
                <w:tcPr>
                  <w:tcW w:w="461" w:type="pct"/>
                  <w:vAlign w:val="center"/>
                </w:tcPr>
                <w:p>
                  <w:pPr>
                    <w:autoSpaceDE w:val="0"/>
                    <w:autoSpaceDN w:val="0"/>
                    <w:adjustRightInd w:val="0"/>
                    <w:snapToGrid w:val="0"/>
                    <w:spacing w:before="24" w:after="24"/>
                    <w:jc w:val="center"/>
                  </w:pPr>
                  <w:r>
                    <w:rPr>
                      <w:rFonts w:hint="eastAsia"/>
                    </w:rPr>
                    <w:t>8</w:t>
                  </w:r>
                  <w:r>
                    <w:t>5</w:t>
                  </w:r>
                </w:p>
              </w:tc>
              <w:tc>
                <w:tcPr>
                  <w:tcW w:w="389" w:type="pct"/>
                  <w:vMerge w:val="continue"/>
                  <w:vAlign w:val="center"/>
                </w:tcPr>
                <w:p>
                  <w:pPr>
                    <w:autoSpaceDE w:val="0"/>
                    <w:autoSpaceDN w:val="0"/>
                    <w:adjustRightInd w:val="0"/>
                    <w:snapToGrid w:val="0"/>
                    <w:spacing w:before="24" w:after="24"/>
                    <w:jc w:val="center"/>
                  </w:pPr>
                </w:p>
              </w:tc>
              <w:tc>
                <w:tcPr>
                  <w:tcW w:w="225" w:type="pct"/>
                  <w:vAlign w:val="center"/>
                </w:tcPr>
                <w:p>
                  <w:pPr>
                    <w:autoSpaceDE w:val="0"/>
                    <w:autoSpaceDN w:val="0"/>
                    <w:adjustRightInd w:val="0"/>
                    <w:snapToGrid w:val="0"/>
                    <w:spacing w:before="24" w:after="24"/>
                    <w:jc w:val="center"/>
                  </w:pPr>
                  <w:r>
                    <w:rPr>
                      <w:rFonts w:hint="eastAsia"/>
                    </w:rPr>
                    <w:t>4</w:t>
                  </w:r>
                  <w:r>
                    <w:t>2</w:t>
                  </w:r>
                </w:p>
              </w:tc>
              <w:tc>
                <w:tcPr>
                  <w:tcW w:w="225" w:type="pct"/>
                  <w:vAlign w:val="center"/>
                </w:tcPr>
                <w:p>
                  <w:pPr>
                    <w:autoSpaceDE w:val="0"/>
                    <w:autoSpaceDN w:val="0"/>
                    <w:adjustRightInd w:val="0"/>
                    <w:snapToGrid w:val="0"/>
                    <w:spacing w:before="24" w:after="24"/>
                    <w:jc w:val="center"/>
                  </w:pPr>
                  <w:r>
                    <w:rPr>
                      <w:rFonts w:hint="eastAsia"/>
                    </w:rPr>
                    <w:t>-</w:t>
                  </w:r>
                  <w:r>
                    <w:t>23</w:t>
                  </w:r>
                </w:p>
              </w:tc>
              <w:tc>
                <w:tcPr>
                  <w:tcW w:w="21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rPr>
                      <w:rFonts w:hint="eastAsia"/>
                    </w:rPr>
                    <w:t>8</w:t>
                  </w:r>
                  <w:r>
                    <w:t>3</w:t>
                  </w:r>
                </w:p>
              </w:tc>
              <w:tc>
                <w:tcPr>
                  <w:tcW w:w="261" w:type="pct"/>
                  <w:vAlign w:val="center"/>
                </w:tcPr>
                <w:p>
                  <w:pPr>
                    <w:autoSpaceDE w:val="0"/>
                    <w:autoSpaceDN w:val="0"/>
                    <w:adjustRightInd w:val="0"/>
                    <w:snapToGrid w:val="0"/>
                    <w:spacing w:before="24" w:after="24"/>
                    <w:jc w:val="center"/>
                  </w:pPr>
                  <w:r>
                    <w:rPr>
                      <w:rFonts w:hint="eastAsia"/>
                    </w:rPr>
                    <w:t>昼间</w:t>
                  </w:r>
                </w:p>
              </w:tc>
              <w:tc>
                <w:tcPr>
                  <w:tcW w:w="46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rPr>
                      <w:rFonts w:hint="eastAsia"/>
                    </w:rPr>
                    <w:t>6</w:t>
                  </w:r>
                  <w:r>
                    <w:t>3</w:t>
                  </w:r>
                </w:p>
              </w:tc>
              <w:tc>
                <w:tcPr>
                  <w:tcW w:w="261" w:type="pct"/>
                  <w:vAlign w:val="center"/>
                </w:tcPr>
                <w:p>
                  <w:pPr>
                    <w:autoSpaceDE w:val="0"/>
                    <w:autoSpaceDN w:val="0"/>
                    <w:adjustRightInd w:val="0"/>
                    <w:snapToGrid w:val="0"/>
                    <w:spacing w:before="24" w:after="24"/>
                    <w:jc w:val="center"/>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8" w:type="pct"/>
                  <w:vAlign w:val="center"/>
                </w:tcPr>
                <w:p>
                  <w:pPr>
                    <w:autoSpaceDE w:val="0"/>
                    <w:autoSpaceDN w:val="0"/>
                    <w:adjustRightInd w:val="0"/>
                    <w:snapToGrid w:val="0"/>
                    <w:spacing w:before="24" w:after="24"/>
                    <w:jc w:val="center"/>
                  </w:pPr>
                  <w:r>
                    <w:rPr>
                      <w:rFonts w:hint="eastAsia"/>
                    </w:rPr>
                    <w:t>3</w:t>
                  </w:r>
                </w:p>
              </w:tc>
              <w:tc>
                <w:tcPr>
                  <w:tcW w:w="290" w:type="pct"/>
                  <w:vMerge w:val="continue"/>
                  <w:vAlign w:val="center"/>
                </w:tcPr>
                <w:p>
                  <w:pPr>
                    <w:autoSpaceDE w:val="0"/>
                    <w:autoSpaceDN w:val="0"/>
                    <w:adjustRightInd w:val="0"/>
                    <w:snapToGrid w:val="0"/>
                    <w:spacing w:before="24" w:after="24"/>
                    <w:jc w:val="center"/>
                  </w:pPr>
                </w:p>
              </w:tc>
              <w:tc>
                <w:tcPr>
                  <w:tcW w:w="471" w:type="pct"/>
                </w:tcPr>
                <w:p>
                  <w:pPr>
                    <w:autoSpaceDE w:val="0"/>
                    <w:autoSpaceDN w:val="0"/>
                    <w:adjustRightInd w:val="0"/>
                    <w:snapToGrid w:val="0"/>
                    <w:spacing w:before="24" w:after="24"/>
                    <w:jc w:val="center"/>
                  </w:pPr>
                  <w:r>
                    <w:rPr>
                      <w:rFonts w:hint="eastAsia"/>
                      <w:szCs w:val="21"/>
                    </w:rPr>
                    <w:t>高压蒸汽灭菌锅</w:t>
                  </w:r>
                </w:p>
              </w:tc>
              <w:tc>
                <w:tcPr>
                  <w:tcW w:w="261" w:type="pct"/>
                </w:tcPr>
                <w:p>
                  <w:pPr>
                    <w:autoSpaceDE w:val="0"/>
                    <w:autoSpaceDN w:val="0"/>
                    <w:adjustRightInd w:val="0"/>
                    <w:snapToGrid w:val="0"/>
                    <w:spacing w:before="24" w:after="24"/>
                    <w:jc w:val="center"/>
                  </w:pPr>
                  <w:r>
                    <w:rPr>
                      <w:rFonts w:hint="eastAsia"/>
                    </w:rPr>
                    <w:t>2</w:t>
                  </w:r>
                </w:p>
              </w:tc>
              <w:tc>
                <w:tcPr>
                  <w:tcW w:w="461" w:type="pct"/>
                  <w:vAlign w:val="center"/>
                </w:tcPr>
                <w:p>
                  <w:pPr>
                    <w:autoSpaceDE w:val="0"/>
                    <w:autoSpaceDN w:val="0"/>
                    <w:adjustRightInd w:val="0"/>
                    <w:snapToGrid w:val="0"/>
                    <w:spacing w:before="24" w:after="24"/>
                    <w:jc w:val="center"/>
                  </w:pPr>
                  <w:r>
                    <w:rPr>
                      <w:rFonts w:hint="eastAsia"/>
                    </w:rPr>
                    <w:t>8</w:t>
                  </w:r>
                  <w:r>
                    <w:t>0</w:t>
                  </w:r>
                </w:p>
              </w:tc>
              <w:tc>
                <w:tcPr>
                  <w:tcW w:w="389" w:type="pct"/>
                  <w:vMerge w:val="continue"/>
                  <w:vAlign w:val="center"/>
                </w:tcPr>
                <w:p>
                  <w:pPr>
                    <w:autoSpaceDE w:val="0"/>
                    <w:autoSpaceDN w:val="0"/>
                    <w:adjustRightInd w:val="0"/>
                    <w:snapToGrid w:val="0"/>
                    <w:spacing w:before="24" w:after="24"/>
                    <w:jc w:val="center"/>
                  </w:pPr>
                </w:p>
              </w:tc>
              <w:tc>
                <w:tcPr>
                  <w:tcW w:w="225" w:type="pct"/>
                  <w:vAlign w:val="center"/>
                </w:tcPr>
                <w:p>
                  <w:pPr>
                    <w:autoSpaceDE w:val="0"/>
                    <w:autoSpaceDN w:val="0"/>
                    <w:adjustRightInd w:val="0"/>
                    <w:snapToGrid w:val="0"/>
                    <w:spacing w:before="24" w:after="24"/>
                    <w:jc w:val="center"/>
                  </w:pPr>
                  <w:r>
                    <w:rPr>
                      <w:rFonts w:hint="eastAsia"/>
                    </w:rPr>
                    <w:t>2</w:t>
                  </w:r>
                  <w:r>
                    <w:t>3</w:t>
                  </w:r>
                </w:p>
              </w:tc>
              <w:tc>
                <w:tcPr>
                  <w:tcW w:w="225" w:type="pct"/>
                  <w:vAlign w:val="center"/>
                </w:tcPr>
                <w:p>
                  <w:pPr>
                    <w:autoSpaceDE w:val="0"/>
                    <w:autoSpaceDN w:val="0"/>
                    <w:adjustRightInd w:val="0"/>
                    <w:snapToGrid w:val="0"/>
                    <w:spacing w:before="24" w:after="24"/>
                    <w:jc w:val="center"/>
                  </w:pPr>
                  <w:r>
                    <w:rPr>
                      <w:rFonts w:hint="eastAsia"/>
                    </w:rPr>
                    <w:t>-</w:t>
                  </w:r>
                  <w:r>
                    <w:t>30</w:t>
                  </w:r>
                </w:p>
              </w:tc>
              <w:tc>
                <w:tcPr>
                  <w:tcW w:w="21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rPr>
                      <w:rFonts w:hint="eastAsia"/>
                    </w:rPr>
                    <w:t>7</w:t>
                  </w:r>
                  <w:r>
                    <w:t>8</w:t>
                  </w:r>
                </w:p>
              </w:tc>
              <w:tc>
                <w:tcPr>
                  <w:tcW w:w="261" w:type="pct"/>
                  <w:vAlign w:val="center"/>
                </w:tcPr>
                <w:p>
                  <w:pPr>
                    <w:autoSpaceDE w:val="0"/>
                    <w:autoSpaceDN w:val="0"/>
                    <w:adjustRightInd w:val="0"/>
                    <w:snapToGrid w:val="0"/>
                    <w:spacing w:before="24" w:after="24"/>
                    <w:jc w:val="center"/>
                  </w:pPr>
                  <w:r>
                    <w:rPr>
                      <w:rFonts w:hint="eastAsia"/>
                    </w:rPr>
                    <w:t>昼间</w:t>
                  </w:r>
                </w:p>
              </w:tc>
              <w:tc>
                <w:tcPr>
                  <w:tcW w:w="46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t>58</w:t>
                  </w:r>
                </w:p>
              </w:tc>
              <w:tc>
                <w:tcPr>
                  <w:tcW w:w="261" w:type="pct"/>
                  <w:vAlign w:val="center"/>
                </w:tcPr>
                <w:p>
                  <w:pPr>
                    <w:autoSpaceDE w:val="0"/>
                    <w:autoSpaceDN w:val="0"/>
                    <w:adjustRightInd w:val="0"/>
                    <w:snapToGrid w:val="0"/>
                    <w:spacing w:before="24" w:after="24"/>
                    <w:jc w:val="center"/>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8" w:type="pct"/>
                  <w:vAlign w:val="center"/>
                </w:tcPr>
                <w:p>
                  <w:pPr>
                    <w:autoSpaceDE w:val="0"/>
                    <w:autoSpaceDN w:val="0"/>
                    <w:adjustRightInd w:val="0"/>
                    <w:snapToGrid w:val="0"/>
                    <w:spacing w:before="24" w:after="24"/>
                    <w:jc w:val="center"/>
                  </w:pPr>
                  <w:r>
                    <w:rPr>
                      <w:rFonts w:hint="eastAsia"/>
                    </w:rPr>
                    <w:t>4</w:t>
                  </w:r>
                </w:p>
              </w:tc>
              <w:tc>
                <w:tcPr>
                  <w:tcW w:w="290" w:type="pct"/>
                  <w:vMerge w:val="continue"/>
                  <w:vAlign w:val="center"/>
                </w:tcPr>
                <w:p>
                  <w:pPr>
                    <w:autoSpaceDE w:val="0"/>
                    <w:autoSpaceDN w:val="0"/>
                    <w:adjustRightInd w:val="0"/>
                    <w:snapToGrid w:val="0"/>
                    <w:spacing w:before="24" w:after="24"/>
                    <w:jc w:val="center"/>
                  </w:pPr>
                </w:p>
              </w:tc>
              <w:tc>
                <w:tcPr>
                  <w:tcW w:w="471" w:type="pct"/>
                </w:tcPr>
                <w:p>
                  <w:pPr>
                    <w:autoSpaceDE w:val="0"/>
                    <w:autoSpaceDN w:val="0"/>
                    <w:adjustRightInd w:val="0"/>
                    <w:snapToGrid w:val="0"/>
                    <w:spacing w:before="24" w:after="24"/>
                    <w:jc w:val="center"/>
                  </w:pPr>
                  <w:r>
                    <w:rPr>
                      <w:rFonts w:hint="eastAsia"/>
                      <w:szCs w:val="21"/>
                    </w:rPr>
                    <w:t>水浴锅</w:t>
                  </w:r>
                </w:p>
              </w:tc>
              <w:tc>
                <w:tcPr>
                  <w:tcW w:w="261" w:type="pct"/>
                </w:tcPr>
                <w:p>
                  <w:pPr>
                    <w:autoSpaceDE w:val="0"/>
                    <w:autoSpaceDN w:val="0"/>
                    <w:adjustRightInd w:val="0"/>
                    <w:snapToGrid w:val="0"/>
                    <w:spacing w:before="24" w:after="24"/>
                    <w:jc w:val="center"/>
                  </w:pPr>
                  <w:r>
                    <w:rPr>
                      <w:rFonts w:hint="eastAsia"/>
                    </w:rPr>
                    <w:t>2</w:t>
                  </w:r>
                </w:p>
              </w:tc>
              <w:tc>
                <w:tcPr>
                  <w:tcW w:w="461" w:type="pct"/>
                  <w:vAlign w:val="center"/>
                </w:tcPr>
                <w:p>
                  <w:pPr>
                    <w:autoSpaceDE w:val="0"/>
                    <w:autoSpaceDN w:val="0"/>
                    <w:adjustRightInd w:val="0"/>
                    <w:snapToGrid w:val="0"/>
                    <w:spacing w:before="24" w:after="24"/>
                    <w:jc w:val="center"/>
                  </w:pPr>
                  <w:r>
                    <w:rPr>
                      <w:rFonts w:hint="eastAsia"/>
                    </w:rPr>
                    <w:t>8</w:t>
                  </w:r>
                  <w:r>
                    <w:t>0</w:t>
                  </w:r>
                </w:p>
              </w:tc>
              <w:tc>
                <w:tcPr>
                  <w:tcW w:w="389" w:type="pct"/>
                  <w:vMerge w:val="continue"/>
                  <w:vAlign w:val="center"/>
                </w:tcPr>
                <w:p>
                  <w:pPr>
                    <w:autoSpaceDE w:val="0"/>
                    <w:autoSpaceDN w:val="0"/>
                    <w:adjustRightInd w:val="0"/>
                    <w:snapToGrid w:val="0"/>
                    <w:spacing w:before="24" w:after="24"/>
                    <w:jc w:val="center"/>
                  </w:pPr>
                </w:p>
              </w:tc>
              <w:tc>
                <w:tcPr>
                  <w:tcW w:w="225" w:type="pct"/>
                  <w:vAlign w:val="center"/>
                </w:tcPr>
                <w:p>
                  <w:pPr>
                    <w:autoSpaceDE w:val="0"/>
                    <w:autoSpaceDN w:val="0"/>
                    <w:adjustRightInd w:val="0"/>
                    <w:snapToGrid w:val="0"/>
                    <w:spacing w:before="24" w:after="24"/>
                    <w:jc w:val="center"/>
                  </w:pPr>
                  <w:r>
                    <w:rPr>
                      <w:rFonts w:hint="eastAsia"/>
                    </w:rPr>
                    <w:t>3</w:t>
                  </w:r>
                  <w:r>
                    <w:t>2</w:t>
                  </w:r>
                </w:p>
              </w:tc>
              <w:tc>
                <w:tcPr>
                  <w:tcW w:w="225" w:type="pct"/>
                  <w:vAlign w:val="center"/>
                </w:tcPr>
                <w:p>
                  <w:pPr>
                    <w:autoSpaceDE w:val="0"/>
                    <w:autoSpaceDN w:val="0"/>
                    <w:adjustRightInd w:val="0"/>
                    <w:snapToGrid w:val="0"/>
                    <w:spacing w:before="24" w:after="24"/>
                    <w:jc w:val="center"/>
                  </w:pPr>
                  <w:r>
                    <w:rPr>
                      <w:rFonts w:hint="eastAsia"/>
                    </w:rPr>
                    <w:t>-</w:t>
                  </w:r>
                  <w:r>
                    <w:t>35</w:t>
                  </w:r>
                </w:p>
              </w:tc>
              <w:tc>
                <w:tcPr>
                  <w:tcW w:w="211" w:type="pct"/>
                  <w:vAlign w:val="center"/>
                </w:tcPr>
                <w:p>
                  <w:pPr>
                    <w:autoSpaceDE w:val="0"/>
                    <w:autoSpaceDN w:val="0"/>
                    <w:adjustRightInd w:val="0"/>
                    <w:snapToGrid w:val="0"/>
                    <w:spacing w:before="24" w:after="24"/>
                    <w:jc w:val="center"/>
                  </w:pPr>
                  <w:r>
                    <w:rPr>
                      <w:rFonts w:hint="eastAsia"/>
                    </w:rPr>
                    <w:t>1</w:t>
                  </w:r>
                  <w:r>
                    <w:t>.5</w:t>
                  </w:r>
                </w:p>
              </w:tc>
              <w:tc>
                <w:tcPr>
                  <w:tcW w:w="483" w:type="pct"/>
                  <w:vAlign w:val="center"/>
                </w:tcPr>
                <w:p>
                  <w:pPr>
                    <w:autoSpaceDE w:val="0"/>
                    <w:autoSpaceDN w:val="0"/>
                    <w:adjustRightInd w:val="0"/>
                    <w:snapToGrid w:val="0"/>
                    <w:spacing w:before="24" w:after="24"/>
                    <w:jc w:val="center"/>
                  </w:pPr>
                  <w:r>
                    <w:rPr>
                      <w:rFonts w:hint="eastAsia"/>
                    </w:rPr>
                    <w:t>7</w:t>
                  </w:r>
                  <w:r>
                    <w:t>8</w:t>
                  </w:r>
                </w:p>
              </w:tc>
              <w:tc>
                <w:tcPr>
                  <w:tcW w:w="261" w:type="pct"/>
                  <w:vAlign w:val="center"/>
                </w:tcPr>
                <w:p>
                  <w:pPr>
                    <w:autoSpaceDE w:val="0"/>
                    <w:autoSpaceDN w:val="0"/>
                    <w:adjustRightInd w:val="0"/>
                    <w:snapToGrid w:val="0"/>
                    <w:spacing w:before="24" w:after="24"/>
                    <w:jc w:val="center"/>
                  </w:pPr>
                  <w:r>
                    <w:rPr>
                      <w:rFonts w:hint="eastAsia"/>
                    </w:rPr>
                    <w:t>昼间</w:t>
                  </w:r>
                </w:p>
              </w:tc>
              <w:tc>
                <w:tcPr>
                  <w:tcW w:w="46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t>58</w:t>
                  </w:r>
                </w:p>
              </w:tc>
              <w:tc>
                <w:tcPr>
                  <w:tcW w:w="261" w:type="pct"/>
                  <w:vAlign w:val="center"/>
                </w:tcPr>
                <w:p>
                  <w:pPr>
                    <w:autoSpaceDE w:val="0"/>
                    <w:autoSpaceDN w:val="0"/>
                    <w:adjustRightInd w:val="0"/>
                    <w:snapToGrid w:val="0"/>
                    <w:spacing w:before="24" w:after="24"/>
                    <w:jc w:val="center"/>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8" w:type="pct"/>
                  <w:vAlign w:val="center"/>
                </w:tcPr>
                <w:p>
                  <w:pPr>
                    <w:autoSpaceDE w:val="0"/>
                    <w:autoSpaceDN w:val="0"/>
                    <w:adjustRightInd w:val="0"/>
                    <w:snapToGrid w:val="0"/>
                    <w:spacing w:before="24" w:after="24"/>
                    <w:jc w:val="center"/>
                  </w:pPr>
                  <w:r>
                    <w:rPr>
                      <w:rFonts w:hint="eastAsia"/>
                    </w:rPr>
                    <w:t>5</w:t>
                  </w:r>
                </w:p>
              </w:tc>
              <w:tc>
                <w:tcPr>
                  <w:tcW w:w="290" w:type="pct"/>
                  <w:vMerge w:val="restart"/>
                  <w:vAlign w:val="center"/>
                </w:tcPr>
                <w:p>
                  <w:pPr>
                    <w:autoSpaceDE w:val="0"/>
                    <w:autoSpaceDN w:val="0"/>
                    <w:adjustRightInd w:val="0"/>
                    <w:snapToGrid w:val="0"/>
                    <w:spacing w:before="24" w:after="24"/>
                    <w:jc w:val="center"/>
                  </w:pPr>
                  <w:r>
                    <w:rPr>
                      <w:rFonts w:hint="eastAsia"/>
                    </w:rPr>
                    <w:t>生产车间2</w:t>
                  </w:r>
                </w:p>
              </w:tc>
              <w:tc>
                <w:tcPr>
                  <w:tcW w:w="471" w:type="pct"/>
                  <w:vAlign w:val="center"/>
                </w:tcPr>
                <w:p>
                  <w:pPr>
                    <w:autoSpaceDE w:val="0"/>
                    <w:autoSpaceDN w:val="0"/>
                    <w:adjustRightInd w:val="0"/>
                    <w:snapToGrid w:val="0"/>
                    <w:spacing w:before="24" w:after="24"/>
                    <w:jc w:val="center"/>
                  </w:pPr>
                  <w:r>
                    <w:rPr>
                      <w:rFonts w:hint="eastAsia"/>
                    </w:rPr>
                    <w:t>离心机</w:t>
                  </w:r>
                </w:p>
              </w:tc>
              <w:tc>
                <w:tcPr>
                  <w:tcW w:w="261" w:type="pct"/>
                </w:tcPr>
                <w:p>
                  <w:pPr>
                    <w:autoSpaceDE w:val="0"/>
                    <w:autoSpaceDN w:val="0"/>
                    <w:adjustRightInd w:val="0"/>
                    <w:snapToGrid w:val="0"/>
                    <w:spacing w:before="24" w:after="24"/>
                    <w:jc w:val="center"/>
                  </w:pPr>
                  <w:r>
                    <w:t>2</w:t>
                  </w:r>
                </w:p>
              </w:tc>
              <w:tc>
                <w:tcPr>
                  <w:tcW w:w="461" w:type="pct"/>
                  <w:vAlign w:val="center"/>
                </w:tcPr>
                <w:p>
                  <w:pPr>
                    <w:autoSpaceDE w:val="0"/>
                    <w:autoSpaceDN w:val="0"/>
                    <w:adjustRightInd w:val="0"/>
                    <w:snapToGrid w:val="0"/>
                    <w:spacing w:before="24" w:after="24"/>
                    <w:jc w:val="center"/>
                  </w:pPr>
                  <w:r>
                    <w:t>85</w:t>
                  </w:r>
                </w:p>
              </w:tc>
              <w:tc>
                <w:tcPr>
                  <w:tcW w:w="389" w:type="pct"/>
                  <w:vMerge w:val="restart"/>
                  <w:vAlign w:val="center"/>
                </w:tcPr>
                <w:p>
                  <w:pPr>
                    <w:autoSpaceDE w:val="0"/>
                    <w:autoSpaceDN w:val="0"/>
                    <w:adjustRightInd w:val="0"/>
                    <w:snapToGrid w:val="0"/>
                    <w:spacing w:before="24" w:after="24"/>
                    <w:jc w:val="center"/>
                  </w:pPr>
                  <w:r>
                    <w:rPr>
                      <w:rFonts w:hint="eastAsia"/>
                    </w:rPr>
                    <w:t>基础减震，厂房隔声</w:t>
                  </w:r>
                </w:p>
              </w:tc>
              <w:tc>
                <w:tcPr>
                  <w:tcW w:w="225" w:type="pct"/>
                  <w:vAlign w:val="center"/>
                </w:tcPr>
                <w:p>
                  <w:pPr>
                    <w:autoSpaceDE w:val="0"/>
                    <w:autoSpaceDN w:val="0"/>
                    <w:adjustRightInd w:val="0"/>
                    <w:snapToGrid w:val="0"/>
                    <w:spacing w:before="24" w:after="24"/>
                    <w:jc w:val="center"/>
                  </w:pPr>
                  <w:r>
                    <w:rPr>
                      <w:rFonts w:hint="eastAsia"/>
                    </w:rPr>
                    <w:t>1</w:t>
                  </w:r>
                  <w:r>
                    <w:t>9</w:t>
                  </w:r>
                </w:p>
              </w:tc>
              <w:tc>
                <w:tcPr>
                  <w:tcW w:w="225" w:type="pct"/>
                  <w:vAlign w:val="center"/>
                </w:tcPr>
                <w:p>
                  <w:pPr>
                    <w:autoSpaceDE w:val="0"/>
                    <w:autoSpaceDN w:val="0"/>
                    <w:adjustRightInd w:val="0"/>
                    <w:snapToGrid w:val="0"/>
                    <w:spacing w:before="24" w:after="24"/>
                    <w:jc w:val="center"/>
                  </w:pPr>
                  <w:r>
                    <w:rPr>
                      <w:rFonts w:hint="eastAsia"/>
                    </w:rPr>
                    <w:t>-</w:t>
                  </w:r>
                  <w:r>
                    <w:t>32</w:t>
                  </w:r>
                </w:p>
              </w:tc>
              <w:tc>
                <w:tcPr>
                  <w:tcW w:w="211" w:type="pct"/>
                  <w:vAlign w:val="center"/>
                </w:tcPr>
                <w:p>
                  <w:pPr>
                    <w:autoSpaceDE w:val="0"/>
                    <w:autoSpaceDN w:val="0"/>
                    <w:adjustRightInd w:val="0"/>
                    <w:snapToGrid w:val="0"/>
                    <w:spacing w:before="24" w:after="24"/>
                    <w:jc w:val="center"/>
                  </w:pPr>
                  <w:r>
                    <w:rPr>
                      <w:rFonts w:hint="eastAsia"/>
                    </w:rPr>
                    <w:t>1</w:t>
                  </w:r>
                  <w:r>
                    <w:t>.5</w:t>
                  </w:r>
                </w:p>
              </w:tc>
              <w:tc>
                <w:tcPr>
                  <w:tcW w:w="483" w:type="pct"/>
                  <w:vAlign w:val="center"/>
                </w:tcPr>
                <w:p>
                  <w:pPr>
                    <w:autoSpaceDE w:val="0"/>
                    <w:autoSpaceDN w:val="0"/>
                    <w:adjustRightInd w:val="0"/>
                    <w:snapToGrid w:val="0"/>
                    <w:spacing w:before="24" w:after="24"/>
                    <w:jc w:val="center"/>
                  </w:pPr>
                  <w:r>
                    <w:rPr>
                      <w:rFonts w:hint="eastAsia"/>
                    </w:rPr>
                    <w:t>8</w:t>
                  </w:r>
                  <w:r>
                    <w:t>3</w:t>
                  </w:r>
                </w:p>
              </w:tc>
              <w:tc>
                <w:tcPr>
                  <w:tcW w:w="261" w:type="pct"/>
                  <w:vAlign w:val="center"/>
                </w:tcPr>
                <w:p>
                  <w:pPr>
                    <w:autoSpaceDE w:val="0"/>
                    <w:autoSpaceDN w:val="0"/>
                    <w:adjustRightInd w:val="0"/>
                    <w:snapToGrid w:val="0"/>
                    <w:spacing w:before="24" w:after="24"/>
                    <w:jc w:val="center"/>
                  </w:pPr>
                  <w:r>
                    <w:rPr>
                      <w:rFonts w:hint="eastAsia"/>
                    </w:rPr>
                    <w:t>昼间</w:t>
                  </w:r>
                </w:p>
              </w:tc>
              <w:tc>
                <w:tcPr>
                  <w:tcW w:w="46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rPr>
                      <w:rFonts w:hint="eastAsia"/>
                    </w:rPr>
                    <w:t>6</w:t>
                  </w:r>
                  <w:r>
                    <w:t>3</w:t>
                  </w:r>
                </w:p>
              </w:tc>
              <w:tc>
                <w:tcPr>
                  <w:tcW w:w="261" w:type="pct"/>
                  <w:vAlign w:val="center"/>
                </w:tcPr>
                <w:p>
                  <w:pPr>
                    <w:autoSpaceDE w:val="0"/>
                    <w:autoSpaceDN w:val="0"/>
                    <w:adjustRightInd w:val="0"/>
                    <w:snapToGrid w:val="0"/>
                    <w:spacing w:before="24" w:after="24"/>
                    <w:jc w:val="center"/>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18" w:type="pct"/>
                  <w:vAlign w:val="center"/>
                </w:tcPr>
                <w:p>
                  <w:pPr>
                    <w:autoSpaceDE w:val="0"/>
                    <w:autoSpaceDN w:val="0"/>
                    <w:adjustRightInd w:val="0"/>
                    <w:snapToGrid w:val="0"/>
                    <w:spacing w:before="24" w:after="24"/>
                    <w:jc w:val="center"/>
                  </w:pPr>
                  <w:r>
                    <w:rPr>
                      <w:rFonts w:hint="eastAsia"/>
                    </w:rPr>
                    <w:t>6</w:t>
                  </w:r>
                </w:p>
              </w:tc>
              <w:tc>
                <w:tcPr>
                  <w:tcW w:w="290" w:type="pct"/>
                  <w:vMerge w:val="continue"/>
                  <w:vAlign w:val="center"/>
                </w:tcPr>
                <w:p>
                  <w:pPr>
                    <w:autoSpaceDE w:val="0"/>
                    <w:autoSpaceDN w:val="0"/>
                    <w:adjustRightInd w:val="0"/>
                    <w:snapToGrid w:val="0"/>
                    <w:spacing w:before="24" w:after="24"/>
                    <w:jc w:val="center"/>
                  </w:pPr>
                </w:p>
              </w:tc>
              <w:tc>
                <w:tcPr>
                  <w:tcW w:w="471" w:type="pct"/>
                </w:tcPr>
                <w:p>
                  <w:pPr>
                    <w:autoSpaceDE w:val="0"/>
                    <w:autoSpaceDN w:val="0"/>
                    <w:adjustRightInd w:val="0"/>
                    <w:snapToGrid w:val="0"/>
                    <w:spacing w:before="24" w:after="24"/>
                    <w:jc w:val="center"/>
                  </w:pPr>
                  <w:r>
                    <w:rPr>
                      <w:rFonts w:cs="宋体"/>
                      <w:sz w:val="24"/>
                    </w:rPr>
                    <w:t>可倾电加热搅拌夹层锅</w:t>
                  </w:r>
                </w:p>
              </w:tc>
              <w:tc>
                <w:tcPr>
                  <w:tcW w:w="261" w:type="pct"/>
                </w:tcPr>
                <w:p>
                  <w:pPr>
                    <w:autoSpaceDE w:val="0"/>
                    <w:autoSpaceDN w:val="0"/>
                    <w:adjustRightInd w:val="0"/>
                    <w:snapToGrid w:val="0"/>
                    <w:spacing w:before="24" w:after="24"/>
                    <w:jc w:val="center"/>
                  </w:pPr>
                  <w:r>
                    <w:t>4</w:t>
                  </w:r>
                </w:p>
              </w:tc>
              <w:tc>
                <w:tcPr>
                  <w:tcW w:w="461" w:type="pct"/>
                  <w:vAlign w:val="center"/>
                </w:tcPr>
                <w:p>
                  <w:pPr>
                    <w:autoSpaceDE w:val="0"/>
                    <w:autoSpaceDN w:val="0"/>
                    <w:adjustRightInd w:val="0"/>
                    <w:snapToGrid w:val="0"/>
                    <w:spacing w:before="24" w:after="24"/>
                    <w:jc w:val="center"/>
                  </w:pPr>
                  <w:r>
                    <w:rPr>
                      <w:rFonts w:hint="eastAsia"/>
                    </w:rPr>
                    <w:t>8</w:t>
                  </w:r>
                  <w:r>
                    <w:t>5</w:t>
                  </w:r>
                </w:p>
              </w:tc>
              <w:tc>
                <w:tcPr>
                  <w:tcW w:w="389" w:type="pct"/>
                  <w:vMerge w:val="continue"/>
                  <w:vAlign w:val="center"/>
                </w:tcPr>
                <w:p>
                  <w:pPr>
                    <w:autoSpaceDE w:val="0"/>
                    <w:autoSpaceDN w:val="0"/>
                    <w:adjustRightInd w:val="0"/>
                    <w:snapToGrid w:val="0"/>
                    <w:spacing w:before="24" w:after="24"/>
                    <w:jc w:val="center"/>
                  </w:pPr>
                </w:p>
              </w:tc>
              <w:tc>
                <w:tcPr>
                  <w:tcW w:w="225" w:type="pct"/>
                  <w:vAlign w:val="center"/>
                </w:tcPr>
                <w:p>
                  <w:pPr>
                    <w:autoSpaceDE w:val="0"/>
                    <w:autoSpaceDN w:val="0"/>
                    <w:adjustRightInd w:val="0"/>
                    <w:snapToGrid w:val="0"/>
                    <w:spacing w:before="24" w:after="24"/>
                    <w:jc w:val="center"/>
                  </w:pPr>
                  <w:r>
                    <w:rPr>
                      <w:rFonts w:hint="eastAsia"/>
                    </w:rPr>
                    <w:t>4</w:t>
                  </w:r>
                </w:p>
              </w:tc>
              <w:tc>
                <w:tcPr>
                  <w:tcW w:w="225" w:type="pct"/>
                  <w:vAlign w:val="center"/>
                </w:tcPr>
                <w:p>
                  <w:pPr>
                    <w:autoSpaceDE w:val="0"/>
                    <w:autoSpaceDN w:val="0"/>
                    <w:adjustRightInd w:val="0"/>
                    <w:snapToGrid w:val="0"/>
                    <w:spacing w:before="24" w:after="24"/>
                    <w:jc w:val="center"/>
                  </w:pPr>
                  <w:r>
                    <w:rPr>
                      <w:rFonts w:hint="eastAsia"/>
                    </w:rPr>
                    <w:t>-</w:t>
                  </w:r>
                  <w:r>
                    <w:t>32</w:t>
                  </w:r>
                </w:p>
              </w:tc>
              <w:tc>
                <w:tcPr>
                  <w:tcW w:w="21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rPr>
                      <w:rFonts w:hint="eastAsia"/>
                    </w:rPr>
                    <w:t>8</w:t>
                  </w:r>
                  <w:r>
                    <w:t>3</w:t>
                  </w:r>
                </w:p>
              </w:tc>
              <w:tc>
                <w:tcPr>
                  <w:tcW w:w="261" w:type="pct"/>
                  <w:vAlign w:val="center"/>
                </w:tcPr>
                <w:p>
                  <w:pPr>
                    <w:autoSpaceDE w:val="0"/>
                    <w:autoSpaceDN w:val="0"/>
                    <w:adjustRightInd w:val="0"/>
                    <w:snapToGrid w:val="0"/>
                    <w:spacing w:before="24" w:after="24"/>
                    <w:jc w:val="center"/>
                  </w:pPr>
                  <w:r>
                    <w:rPr>
                      <w:rFonts w:hint="eastAsia"/>
                    </w:rPr>
                    <w:t>昼间</w:t>
                  </w:r>
                </w:p>
              </w:tc>
              <w:tc>
                <w:tcPr>
                  <w:tcW w:w="461" w:type="pct"/>
                  <w:vAlign w:val="center"/>
                </w:tcPr>
                <w:p>
                  <w:pPr>
                    <w:autoSpaceDE w:val="0"/>
                    <w:autoSpaceDN w:val="0"/>
                    <w:adjustRightInd w:val="0"/>
                    <w:snapToGrid w:val="0"/>
                    <w:spacing w:before="24" w:after="24"/>
                    <w:jc w:val="center"/>
                  </w:pPr>
                  <w:r>
                    <w:rPr>
                      <w:rFonts w:hint="eastAsia"/>
                    </w:rPr>
                    <w:t>2</w:t>
                  </w:r>
                  <w:r>
                    <w:t>0</w:t>
                  </w:r>
                </w:p>
              </w:tc>
              <w:tc>
                <w:tcPr>
                  <w:tcW w:w="483" w:type="pct"/>
                  <w:vAlign w:val="center"/>
                </w:tcPr>
                <w:p>
                  <w:pPr>
                    <w:autoSpaceDE w:val="0"/>
                    <w:autoSpaceDN w:val="0"/>
                    <w:adjustRightInd w:val="0"/>
                    <w:snapToGrid w:val="0"/>
                    <w:spacing w:before="24" w:after="24"/>
                    <w:jc w:val="center"/>
                  </w:pPr>
                  <w:r>
                    <w:rPr>
                      <w:rFonts w:hint="eastAsia"/>
                    </w:rPr>
                    <w:t>6</w:t>
                  </w:r>
                  <w:r>
                    <w:t>3</w:t>
                  </w:r>
                </w:p>
              </w:tc>
              <w:tc>
                <w:tcPr>
                  <w:tcW w:w="261" w:type="pct"/>
                  <w:vAlign w:val="center"/>
                </w:tcPr>
                <w:p>
                  <w:pPr>
                    <w:autoSpaceDE w:val="0"/>
                    <w:autoSpaceDN w:val="0"/>
                    <w:adjustRightInd w:val="0"/>
                    <w:snapToGrid w:val="0"/>
                    <w:spacing w:before="24" w:after="24"/>
                    <w:jc w:val="center"/>
                  </w:pPr>
                  <w:r>
                    <w:rPr>
                      <w:rFonts w:hint="eastAsia"/>
                    </w:rPr>
                    <w:t>1</w:t>
                  </w:r>
                </w:p>
              </w:tc>
            </w:tr>
          </w:tbl>
          <w:p>
            <w:pPr>
              <w:pStyle w:val="87"/>
              <w:spacing w:line="360" w:lineRule="auto"/>
              <w:ind w:firstLine="492"/>
              <w:rPr>
                <w:b/>
                <w:bCs/>
                <w:kern w:val="0"/>
                <w:lang w:val="en-US"/>
              </w:rPr>
            </w:pPr>
            <w:r>
              <w:rPr>
                <w:b/>
                <w:bCs/>
                <w:kern w:val="0"/>
                <w:lang w:val="en-US"/>
              </w:rPr>
              <w:t>3.2</w:t>
            </w:r>
            <w:r>
              <w:rPr>
                <w:rFonts w:hint="eastAsia"/>
                <w:b/>
                <w:bCs/>
                <w:kern w:val="0"/>
                <w:lang w:val="en-US"/>
              </w:rPr>
              <w:t>声波传播途径分析</w:t>
            </w:r>
          </w:p>
          <w:p>
            <w:pPr>
              <w:pStyle w:val="87"/>
              <w:spacing w:line="360" w:lineRule="auto"/>
              <w:ind w:firstLine="490"/>
              <w:rPr>
                <w:kern w:val="0"/>
                <w:lang w:val="en-US"/>
              </w:rPr>
            </w:pPr>
            <w:r>
              <w:rPr>
                <w:rFonts w:hint="eastAsia"/>
                <w:kern w:val="0"/>
                <w:lang w:val="en-US"/>
              </w:rPr>
              <w:t>噪声源所在车间与东厂界较近，其它厂界相距较远。与厂界间地表主要以水泥地面为主。</w:t>
            </w:r>
          </w:p>
          <w:p>
            <w:pPr>
              <w:pStyle w:val="87"/>
              <w:spacing w:line="360" w:lineRule="auto"/>
              <w:ind w:firstLine="492"/>
              <w:rPr>
                <w:b/>
                <w:bCs/>
                <w:kern w:val="0"/>
                <w:lang w:val="en-US"/>
              </w:rPr>
            </w:pPr>
            <w:r>
              <w:rPr>
                <w:b/>
                <w:bCs/>
                <w:kern w:val="0"/>
                <w:lang w:val="en-US"/>
              </w:rPr>
              <w:t>3.3</w:t>
            </w:r>
            <w:r>
              <w:rPr>
                <w:rFonts w:hint="eastAsia"/>
                <w:b/>
                <w:bCs/>
                <w:kern w:val="0"/>
                <w:lang w:val="en-US"/>
              </w:rPr>
              <w:t>预测模式</w:t>
            </w:r>
          </w:p>
          <w:p>
            <w:pPr>
              <w:pStyle w:val="87"/>
              <w:spacing w:line="360" w:lineRule="auto"/>
              <w:ind w:firstLine="490"/>
              <w:rPr>
                <w:kern w:val="0"/>
                <w:lang w:val="en-US"/>
              </w:rPr>
            </w:pPr>
            <w:r>
              <w:rPr>
                <w:kern w:val="0"/>
                <w:lang w:val="en-US"/>
              </w:rPr>
              <w:t>预测模式采用《环境影响评价技术导则声环境》</w:t>
            </w:r>
            <w:r>
              <w:rPr>
                <w:rFonts w:hint="eastAsia"/>
                <w:kern w:val="0"/>
                <w:lang w:val="en-US"/>
              </w:rPr>
              <w:t>（</w:t>
            </w:r>
            <w:r>
              <w:rPr>
                <w:kern w:val="0"/>
                <w:lang w:val="en-US"/>
              </w:rPr>
              <w:t>HJ2.4-20</w:t>
            </w:r>
            <w:r>
              <w:rPr>
                <w:rFonts w:hint="eastAsia"/>
                <w:kern w:val="0"/>
                <w:lang w:val="en-US"/>
              </w:rPr>
              <w:t>21）</w:t>
            </w:r>
            <w:r>
              <w:rPr>
                <w:kern w:val="0"/>
                <w:lang w:val="en-US"/>
              </w:rPr>
              <w:t>中推荐的</w:t>
            </w:r>
            <w:r>
              <w:rPr>
                <w:rFonts w:hint="eastAsia"/>
                <w:kern w:val="0"/>
                <w:lang w:val="en-US"/>
              </w:rPr>
              <w:t>附录B典型行业噪声预测模型</w:t>
            </w:r>
            <w:r>
              <w:rPr>
                <w:kern w:val="0"/>
                <w:lang w:val="en-US"/>
              </w:rPr>
              <w:t>。</w:t>
            </w:r>
          </w:p>
          <w:p>
            <w:pPr>
              <w:spacing w:line="500" w:lineRule="exact"/>
              <w:ind w:firstLine="480"/>
              <w:rPr>
                <w:b/>
                <w:bCs/>
                <w:sz w:val="24"/>
                <w:szCs w:val="20"/>
              </w:rPr>
            </w:pPr>
            <w:r>
              <w:rPr>
                <w:b/>
                <w:bCs/>
                <w:sz w:val="24"/>
                <w:szCs w:val="20"/>
              </w:rPr>
              <w:t>3.4</w:t>
            </w:r>
            <w:r>
              <w:rPr>
                <w:rFonts w:hint="eastAsia"/>
                <w:b/>
                <w:bCs/>
                <w:sz w:val="24"/>
                <w:szCs w:val="20"/>
              </w:rPr>
              <w:t>预测参数</w:t>
            </w:r>
          </w:p>
          <w:p>
            <w:pPr>
              <w:spacing w:line="500" w:lineRule="exact"/>
              <w:ind w:firstLine="480"/>
              <w:rPr>
                <w:sz w:val="24"/>
                <w:szCs w:val="20"/>
              </w:rPr>
            </w:pPr>
            <w:r>
              <w:rPr>
                <w:rFonts w:hint="eastAsia"/>
                <w:sz w:val="24"/>
                <w:szCs w:val="20"/>
              </w:rPr>
              <w:t>平均风速</w:t>
            </w:r>
            <w:r>
              <w:rPr>
                <w:sz w:val="24"/>
                <w:szCs w:val="20"/>
              </w:rPr>
              <w:t>3.6</w:t>
            </w:r>
            <w:r>
              <w:rPr>
                <w:rFonts w:hint="eastAsia"/>
                <w:sz w:val="24"/>
                <w:szCs w:val="20"/>
              </w:rPr>
              <w:t>m</w:t>
            </w:r>
            <w:r>
              <w:rPr>
                <w:sz w:val="24"/>
                <w:szCs w:val="20"/>
              </w:rPr>
              <w:t>/</w:t>
            </w:r>
            <w:r>
              <w:rPr>
                <w:rFonts w:hint="eastAsia"/>
                <w:sz w:val="24"/>
                <w:szCs w:val="20"/>
              </w:rPr>
              <w:t>s，主导风向W</w:t>
            </w:r>
            <w:r>
              <w:rPr>
                <w:sz w:val="24"/>
                <w:szCs w:val="20"/>
              </w:rPr>
              <w:t>NW</w:t>
            </w:r>
            <w:r>
              <w:rPr>
                <w:rFonts w:hint="eastAsia"/>
                <w:sz w:val="24"/>
                <w:szCs w:val="20"/>
              </w:rPr>
              <w:t>，年平均温度</w:t>
            </w:r>
            <w:r>
              <w:rPr>
                <w:sz w:val="24"/>
                <w:szCs w:val="20"/>
              </w:rPr>
              <w:t>4.5</w:t>
            </w:r>
            <w:r>
              <w:rPr>
                <w:rFonts w:hint="eastAsia"/>
                <w:sz w:val="24"/>
                <w:szCs w:val="20"/>
              </w:rPr>
              <w:t>℃，空气相对湿度5</w:t>
            </w:r>
            <w:r>
              <w:rPr>
                <w:sz w:val="24"/>
                <w:szCs w:val="20"/>
              </w:rPr>
              <w:t>1.3%</w:t>
            </w:r>
            <w:r>
              <w:rPr>
                <w:rFonts w:hint="eastAsia"/>
                <w:sz w:val="24"/>
                <w:szCs w:val="20"/>
              </w:rPr>
              <w:t>，大气压强1atm。声源与预测点之间的地形为平原，高差基本相等，障碍物主要为厂区四周围墙和生产车间，地面覆盖主要为水泥地面，不考虑树林和灌木。</w:t>
            </w:r>
          </w:p>
          <w:p>
            <w:pPr>
              <w:spacing w:line="500" w:lineRule="exact"/>
              <w:ind w:firstLine="482" w:firstLineChars="200"/>
              <w:rPr>
                <w:b/>
                <w:bCs/>
                <w:sz w:val="24"/>
                <w:szCs w:val="20"/>
              </w:rPr>
            </w:pPr>
            <w:r>
              <w:rPr>
                <w:b/>
                <w:bCs/>
                <w:sz w:val="24"/>
                <w:szCs w:val="20"/>
              </w:rPr>
              <w:t>3.5评价标准</w:t>
            </w:r>
          </w:p>
          <w:p>
            <w:pPr>
              <w:spacing w:line="500" w:lineRule="exact"/>
              <w:ind w:firstLine="480"/>
              <w:rPr>
                <w:sz w:val="24"/>
                <w:szCs w:val="20"/>
              </w:rPr>
            </w:pPr>
            <w:r>
              <w:rPr>
                <w:sz w:val="24"/>
                <w:szCs w:val="20"/>
              </w:rPr>
              <w:t>项目厂界噪声执行《工业企业厂界环境噪声排放标准》（GB12348-2008）3</w:t>
            </w:r>
            <w:r>
              <w:rPr>
                <w:rFonts w:hint="eastAsia"/>
                <w:sz w:val="24"/>
                <w:szCs w:val="20"/>
              </w:rPr>
              <w:t>类</w:t>
            </w:r>
            <w:r>
              <w:rPr>
                <w:sz w:val="24"/>
                <w:szCs w:val="20"/>
              </w:rPr>
              <w:t>标准限值。</w:t>
            </w:r>
          </w:p>
          <w:p>
            <w:pPr>
              <w:spacing w:line="500" w:lineRule="exact"/>
              <w:ind w:firstLine="482" w:firstLineChars="200"/>
              <w:rPr>
                <w:b/>
                <w:bCs/>
                <w:sz w:val="24"/>
                <w:szCs w:val="20"/>
              </w:rPr>
            </w:pPr>
            <w:r>
              <w:rPr>
                <w:b/>
                <w:bCs/>
                <w:sz w:val="24"/>
                <w:szCs w:val="20"/>
              </w:rPr>
              <w:t>3.6</w:t>
            </w:r>
            <w:r>
              <w:rPr>
                <w:rFonts w:hint="eastAsia"/>
                <w:b/>
                <w:bCs/>
                <w:sz w:val="24"/>
                <w:szCs w:val="20"/>
              </w:rPr>
              <w:t>预测点位</w:t>
            </w:r>
          </w:p>
          <w:p>
            <w:pPr>
              <w:spacing w:before="120" w:beforeLines="50" w:after="120" w:afterLines="50" w:line="360" w:lineRule="auto"/>
              <w:ind w:firstLine="480" w:firstLineChars="200"/>
              <w:rPr>
                <w:sz w:val="24"/>
              </w:rPr>
            </w:pPr>
            <w:r>
              <w:rPr>
                <w:rFonts w:hint="eastAsia"/>
                <w:sz w:val="24"/>
              </w:rPr>
              <w:t>四周厂界。</w:t>
            </w:r>
          </w:p>
          <w:p>
            <w:pPr>
              <w:spacing w:line="500" w:lineRule="exact"/>
              <w:ind w:firstLine="482" w:firstLineChars="200"/>
              <w:rPr>
                <w:b/>
                <w:bCs/>
                <w:sz w:val="24"/>
                <w:szCs w:val="20"/>
              </w:rPr>
            </w:pPr>
            <w:r>
              <w:rPr>
                <w:b/>
                <w:bCs/>
                <w:sz w:val="24"/>
                <w:szCs w:val="20"/>
              </w:rPr>
              <w:t>3.7预测结果和评价</w:t>
            </w:r>
          </w:p>
          <w:p>
            <w:pPr>
              <w:spacing w:line="500" w:lineRule="exact"/>
              <w:ind w:firstLine="500" w:firstLineChars="200"/>
              <w:rPr>
                <w:spacing w:val="5"/>
                <w:sz w:val="24"/>
                <w:szCs w:val="20"/>
              </w:rPr>
            </w:pPr>
            <w:r>
              <w:rPr>
                <w:spacing w:val="5"/>
                <w:sz w:val="24"/>
                <w:szCs w:val="20"/>
              </w:rPr>
              <w:t>项目厂界噪声预测结果详见</w:t>
            </w:r>
            <w:r>
              <w:rPr>
                <w:rFonts w:hint="eastAsia"/>
                <w:spacing w:val="5"/>
                <w:sz w:val="24"/>
                <w:szCs w:val="20"/>
              </w:rPr>
              <w:t>下表</w:t>
            </w:r>
            <w:r>
              <w:rPr>
                <w:spacing w:val="5"/>
                <w:sz w:val="24"/>
                <w:szCs w:val="20"/>
              </w:rPr>
              <w:t>。</w:t>
            </w:r>
          </w:p>
          <w:p>
            <w:pPr>
              <w:adjustRightInd w:val="0"/>
              <w:snapToGrid w:val="0"/>
              <w:spacing w:line="360" w:lineRule="auto"/>
              <w:jc w:val="center"/>
              <w:rPr>
                <w:b/>
                <w:bCs/>
                <w:sz w:val="24"/>
              </w:rPr>
            </w:pPr>
          </w:p>
          <w:p>
            <w:pPr>
              <w:adjustRightInd w:val="0"/>
              <w:snapToGrid w:val="0"/>
              <w:spacing w:line="360" w:lineRule="auto"/>
              <w:jc w:val="center"/>
              <w:rPr>
                <w:b/>
                <w:bCs/>
                <w:sz w:val="24"/>
              </w:rPr>
            </w:pPr>
          </w:p>
          <w:p>
            <w:pPr>
              <w:adjustRightInd w:val="0"/>
              <w:snapToGrid w:val="0"/>
              <w:spacing w:line="360" w:lineRule="auto"/>
              <w:jc w:val="center"/>
              <w:rPr>
                <w:b/>
                <w:bCs/>
                <w:sz w:val="24"/>
              </w:rPr>
            </w:pPr>
          </w:p>
          <w:p>
            <w:pPr>
              <w:adjustRightInd w:val="0"/>
              <w:snapToGrid w:val="0"/>
              <w:spacing w:line="400" w:lineRule="exact"/>
              <w:jc w:val="center"/>
              <w:rPr>
                <w:b/>
                <w:sz w:val="24"/>
              </w:rPr>
            </w:pPr>
            <w:r>
              <w:rPr>
                <w:rFonts w:hint="eastAsia"/>
                <w:b/>
                <w:sz w:val="24"/>
              </w:rPr>
              <w:t>表</w:t>
            </w:r>
            <w:r>
              <w:rPr>
                <w:b/>
                <w:sz w:val="24"/>
              </w:rPr>
              <w:t>4-14</w:t>
            </w:r>
            <w:r>
              <w:rPr>
                <w:rFonts w:hint="eastAsia"/>
                <w:b/>
                <w:sz w:val="24"/>
              </w:rPr>
              <w:t>噪声预测结果统计表   单位dB（A）</w:t>
            </w:r>
          </w:p>
          <w:tbl>
            <w:tblPr>
              <w:tblStyle w:val="2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59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69" w:type="pct"/>
                  <w:vAlign w:val="center"/>
                </w:tcPr>
                <w:p>
                  <w:pPr>
                    <w:adjustRightInd w:val="0"/>
                    <w:snapToGrid w:val="0"/>
                    <w:spacing w:line="360" w:lineRule="auto"/>
                    <w:jc w:val="center"/>
                    <w:rPr>
                      <w:szCs w:val="21"/>
                    </w:rPr>
                  </w:pPr>
                  <w:r>
                    <w:rPr>
                      <w:rFonts w:hint="eastAsia"/>
                    </w:rPr>
                    <w:t>预测点</w:t>
                  </w:r>
                </w:p>
              </w:tc>
              <w:tc>
                <w:tcPr>
                  <w:tcW w:w="3531" w:type="pct"/>
                  <w:vAlign w:val="center"/>
                </w:tcPr>
                <w:p>
                  <w:pPr>
                    <w:adjustRightInd w:val="0"/>
                    <w:snapToGrid w:val="0"/>
                    <w:spacing w:line="360" w:lineRule="auto"/>
                    <w:jc w:val="center"/>
                  </w:pPr>
                  <w:r>
                    <w:t>贡献值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9" w:type="pct"/>
                  <w:vAlign w:val="center"/>
                </w:tcPr>
                <w:p>
                  <w:pPr>
                    <w:adjustRightInd w:val="0"/>
                    <w:snapToGrid w:val="0"/>
                    <w:spacing w:line="360" w:lineRule="auto"/>
                    <w:jc w:val="center"/>
                  </w:pPr>
                  <w:r>
                    <w:rPr>
                      <w:rFonts w:hint="eastAsia"/>
                    </w:rPr>
                    <w:t>东厂界</w:t>
                  </w:r>
                </w:p>
              </w:tc>
              <w:tc>
                <w:tcPr>
                  <w:tcW w:w="3531" w:type="pct"/>
                  <w:vAlign w:val="center"/>
                </w:tcPr>
                <w:p>
                  <w:pPr>
                    <w:adjustRightInd w:val="0"/>
                    <w:snapToGrid w:val="0"/>
                    <w:spacing w:line="360" w:lineRule="auto"/>
                    <w:jc w:val="center"/>
                  </w:pPr>
                  <w:r>
                    <w:t>55.40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9" w:type="pct"/>
                  <w:vAlign w:val="center"/>
                </w:tcPr>
                <w:p>
                  <w:pPr>
                    <w:adjustRightInd w:val="0"/>
                    <w:snapToGrid w:val="0"/>
                    <w:spacing w:line="360" w:lineRule="auto"/>
                    <w:jc w:val="center"/>
                  </w:pPr>
                  <w:r>
                    <w:rPr>
                      <w:rFonts w:hint="eastAsia"/>
                    </w:rPr>
                    <w:t>南厂界</w:t>
                  </w:r>
                </w:p>
              </w:tc>
              <w:tc>
                <w:tcPr>
                  <w:tcW w:w="3531" w:type="pct"/>
                  <w:vAlign w:val="center"/>
                </w:tcPr>
                <w:p>
                  <w:pPr>
                    <w:adjustRightInd w:val="0"/>
                    <w:snapToGrid w:val="0"/>
                    <w:spacing w:line="360" w:lineRule="auto"/>
                    <w:jc w:val="center"/>
                  </w:pPr>
                  <w:r>
                    <w:t>53.47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9" w:type="pct"/>
                  <w:vAlign w:val="center"/>
                </w:tcPr>
                <w:p>
                  <w:pPr>
                    <w:adjustRightInd w:val="0"/>
                    <w:snapToGrid w:val="0"/>
                    <w:spacing w:line="360" w:lineRule="auto"/>
                    <w:jc w:val="center"/>
                  </w:pPr>
                  <w:r>
                    <w:t>西</w:t>
                  </w:r>
                  <w:r>
                    <w:rPr>
                      <w:rFonts w:hint="eastAsia"/>
                    </w:rPr>
                    <w:t>厂界</w:t>
                  </w:r>
                </w:p>
              </w:tc>
              <w:tc>
                <w:tcPr>
                  <w:tcW w:w="3531" w:type="pct"/>
                  <w:vAlign w:val="center"/>
                </w:tcPr>
                <w:p>
                  <w:pPr>
                    <w:adjustRightInd w:val="0"/>
                    <w:snapToGrid w:val="0"/>
                    <w:spacing w:line="360" w:lineRule="auto"/>
                    <w:jc w:val="center"/>
                  </w:pPr>
                  <w:r>
                    <w:t>58.01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69" w:type="pct"/>
                  <w:vAlign w:val="center"/>
                </w:tcPr>
                <w:p>
                  <w:pPr>
                    <w:adjustRightInd w:val="0"/>
                    <w:snapToGrid w:val="0"/>
                    <w:spacing w:line="360" w:lineRule="auto"/>
                    <w:jc w:val="center"/>
                  </w:pPr>
                  <w:r>
                    <w:t>北</w:t>
                  </w:r>
                  <w:r>
                    <w:rPr>
                      <w:rFonts w:hint="eastAsia"/>
                    </w:rPr>
                    <w:t>厂界</w:t>
                  </w:r>
                </w:p>
              </w:tc>
              <w:tc>
                <w:tcPr>
                  <w:tcW w:w="3531" w:type="pct"/>
                  <w:vAlign w:val="center"/>
                </w:tcPr>
                <w:p>
                  <w:pPr>
                    <w:adjustRightInd w:val="0"/>
                    <w:snapToGrid w:val="0"/>
                    <w:spacing w:line="360" w:lineRule="auto"/>
                    <w:jc w:val="center"/>
                  </w:pPr>
                  <w:r>
                    <w:t>57.06</w:t>
                  </w:r>
                </w:p>
              </w:tc>
            </w:tr>
          </w:tbl>
          <w:p>
            <w:pPr>
              <w:adjustRightInd w:val="0"/>
              <w:snapToGrid w:val="0"/>
              <w:spacing w:line="360" w:lineRule="auto"/>
              <w:ind w:firstLine="480" w:firstLineChars="200"/>
              <w:jc w:val="left"/>
              <w:rPr>
                <w:sz w:val="24"/>
              </w:rPr>
            </w:pPr>
            <w:r>
              <w:rPr>
                <w:rFonts w:hint="eastAsia"/>
                <w:sz w:val="24"/>
              </w:rPr>
              <w:t>本项目通过选用低噪声设备、厂房隔声 、基础减震等措施，项目厂界噪声可达到《工业企业厂界环境噪声排放标准》（GB12348-2008）</w:t>
            </w:r>
            <w:r>
              <w:rPr>
                <w:sz w:val="24"/>
              </w:rPr>
              <w:t>3</w:t>
            </w:r>
            <w:r>
              <w:rPr>
                <w:rFonts w:hint="eastAsia"/>
                <w:sz w:val="24"/>
              </w:rPr>
              <w:t>类区昼间≤</w:t>
            </w:r>
            <w:r>
              <w:rPr>
                <w:sz w:val="24"/>
              </w:rPr>
              <w:t>65</w:t>
            </w:r>
            <w:r>
              <w:rPr>
                <w:rFonts w:hint="eastAsia"/>
                <w:sz w:val="24"/>
              </w:rPr>
              <w:t>dB（A），夜间≤</w:t>
            </w:r>
            <w:r>
              <w:rPr>
                <w:sz w:val="24"/>
              </w:rPr>
              <w:t>55</w:t>
            </w:r>
            <w:r>
              <w:rPr>
                <w:rFonts w:hint="eastAsia"/>
                <w:sz w:val="24"/>
              </w:rPr>
              <w:t>dB（A）的要求，同时本项目厂区周边50m范围内无声环境保护目标，项目运行对周围声环境影响较小。</w:t>
            </w:r>
          </w:p>
          <w:p>
            <w:pPr>
              <w:adjustRightInd w:val="0"/>
              <w:snapToGrid w:val="0"/>
              <w:spacing w:line="360" w:lineRule="auto"/>
              <w:ind w:firstLine="482" w:firstLineChars="200"/>
              <w:jc w:val="left"/>
              <w:rPr>
                <w:b/>
                <w:bCs/>
                <w:sz w:val="24"/>
              </w:rPr>
            </w:pPr>
            <w:r>
              <w:rPr>
                <w:b/>
                <w:bCs/>
                <w:sz w:val="24"/>
              </w:rPr>
              <w:t>3.8</w:t>
            </w:r>
            <w:r>
              <w:rPr>
                <w:rFonts w:hint="eastAsia"/>
                <w:b/>
                <w:bCs/>
                <w:sz w:val="24"/>
              </w:rPr>
              <w:t>降噪措施</w:t>
            </w:r>
          </w:p>
          <w:p>
            <w:pPr>
              <w:adjustRightInd w:val="0"/>
              <w:snapToGrid w:val="0"/>
              <w:spacing w:line="360" w:lineRule="auto"/>
              <w:ind w:firstLine="480" w:firstLineChars="200"/>
              <w:jc w:val="left"/>
              <w:rPr>
                <w:sz w:val="24"/>
              </w:rPr>
            </w:pPr>
            <w:r>
              <w:rPr>
                <w:rFonts w:hint="eastAsia"/>
                <w:sz w:val="24"/>
              </w:rPr>
              <w:t>从设备选型入手，选用低噪声设备；</w:t>
            </w:r>
          </w:p>
          <w:p>
            <w:pPr>
              <w:adjustRightInd w:val="0"/>
              <w:snapToGrid w:val="0"/>
              <w:spacing w:line="360" w:lineRule="auto"/>
              <w:ind w:firstLine="480" w:firstLineChars="200"/>
              <w:jc w:val="left"/>
              <w:rPr>
                <w:sz w:val="24"/>
              </w:rPr>
            </w:pPr>
            <w:r>
              <w:rPr>
                <w:rFonts w:hint="eastAsia"/>
                <w:sz w:val="24"/>
              </w:rPr>
              <w:t>对强噪声源进行封闭，门窗采用双玻璃密闭隔声门窗，达到降噪效果；</w:t>
            </w:r>
          </w:p>
          <w:p>
            <w:pPr>
              <w:adjustRightInd w:val="0"/>
              <w:snapToGrid w:val="0"/>
              <w:spacing w:line="360" w:lineRule="auto"/>
              <w:ind w:firstLine="480" w:firstLineChars="200"/>
              <w:jc w:val="left"/>
              <w:rPr>
                <w:sz w:val="24"/>
              </w:rPr>
            </w:pPr>
            <w:r>
              <w:rPr>
                <w:rFonts w:hint="eastAsia"/>
                <w:sz w:val="24"/>
              </w:rPr>
              <w:t>项目实际噪声与设备的运转和管理密切相关，建设单位应对厂界的噪声进行跟踪监测，如果出现噪声超标情况，应采取噪声综合治理措施进行降噪。采取以上措施后，项目厂界噪声可达到《工业企业厂界环境噪声排放标准》（GB12348-2008）</w:t>
            </w:r>
            <w:r>
              <w:rPr>
                <w:sz w:val="24"/>
              </w:rPr>
              <w:t>3</w:t>
            </w:r>
            <w:r>
              <w:rPr>
                <w:rFonts w:hint="eastAsia"/>
                <w:sz w:val="24"/>
              </w:rPr>
              <w:t>类要求。</w:t>
            </w:r>
          </w:p>
          <w:p>
            <w:pPr>
              <w:adjustRightInd w:val="0"/>
              <w:snapToGrid w:val="0"/>
              <w:spacing w:line="460" w:lineRule="exact"/>
              <w:ind w:firstLine="482" w:firstLineChars="200"/>
              <w:rPr>
                <w:b/>
                <w:sz w:val="24"/>
                <w:szCs w:val="20"/>
              </w:rPr>
            </w:pPr>
            <w:r>
              <w:rPr>
                <w:b/>
                <w:sz w:val="24"/>
              </w:rPr>
              <w:t>3.9</w:t>
            </w:r>
            <w:r>
              <w:rPr>
                <w:b/>
                <w:sz w:val="24"/>
                <w:szCs w:val="20"/>
              </w:rPr>
              <w:t>噪声监测</w:t>
            </w:r>
            <w:r>
              <w:rPr>
                <w:rFonts w:hint="eastAsia"/>
                <w:b/>
                <w:sz w:val="24"/>
                <w:szCs w:val="20"/>
              </w:rPr>
              <w:t>计划</w:t>
            </w:r>
          </w:p>
          <w:p>
            <w:pPr>
              <w:adjustRightInd w:val="0"/>
              <w:snapToGrid w:val="0"/>
              <w:spacing w:before="120" w:beforeLines="50" w:line="360" w:lineRule="auto"/>
              <w:ind w:firstLine="480" w:firstLineChars="200"/>
              <w:jc w:val="left"/>
              <w:rPr>
                <w:sz w:val="24"/>
              </w:rPr>
            </w:pPr>
            <w:r>
              <w:rPr>
                <w:rFonts w:hint="eastAsia"/>
                <w:sz w:val="24"/>
              </w:rPr>
              <w:t>依据《排污单位自行监测技术指南 总则》（</w:t>
            </w:r>
            <w:r>
              <w:rPr>
                <w:sz w:val="24"/>
              </w:rPr>
              <w:t>HJ819-2017</w:t>
            </w:r>
            <w:r>
              <w:rPr>
                <w:rFonts w:hint="eastAsia"/>
                <w:sz w:val="24"/>
              </w:rPr>
              <w:t>）和</w:t>
            </w:r>
            <w:r>
              <w:rPr>
                <w:bCs/>
                <w:sz w:val="24"/>
              </w:rPr>
              <w:t>《排污单位自行监测技术指南 食品制造》（HJ 1084—2020）</w:t>
            </w:r>
            <w:r>
              <w:rPr>
                <w:rFonts w:hint="eastAsia"/>
                <w:bCs/>
                <w:sz w:val="24"/>
              </w:rPr>
              <w:t>，</w:t>
            </w:r>
            <w:r>
              <w:rPr>
                <w:rFonts w:hint="eastAsia"/>
                <w:sz w:val="24"/>
              </w:rPr>
              <w:t>监测计划见下表。</w:t>
            </w:r>
          </w:p>
          <w:p>
            <w:pPr>
              <w:adjustRightInd w:val="0"/>
              <w:snapToGrid w:val="0"/>
              <w:spacing w:line="400" w:lineRule="exact"/>
              <w:jc w:val="center"/>
              <w:rPr>
                <w:b/>
                <w:sz w:val="24"/>
              </w:rPr>
            </w:pPr>
            <w:r>
              <w:rPr>
                <w:rFonts w:hint="eastAsia"/>
                <w:b/>
                <w:sz w:val="24"/>
              </w:rPr>
              <w:t>表4-</w:t>
            </w:r>
            <w:r>
              <w:rPr>
                <w:b/>
                <w:sz w:val="24"/>
              </w:rPr>
              <w:t xml:space="preserve">15    </w:t>
            </w:r>
            <w:r>
              <w:rPr>
                <w:rFonts w:hint="eastAsia"/>
                <w:b/>
                <w:sz w:val="24"/>
              </w:rPr>
              <w:t>噪声监测一览表</w:t>
            </w:r>
          </w:p>
          <w:tbl>
            <w:tblPr>
              <w:tblStyle w:val="2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2855"/>
              <w:gridCol w:w="2071"/>
              <w:gridCol w:w="22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pPr>
                    <w:jc w:val="center"/>
                    <w:rPr>
                      <w:snapToGrid w:val="0"/>
                      <w:szCs w:val="21"/>
                    </w:rPr>
                  </w:pPr>
                  <w:r>
                    <w:rPr>
                      <w:snapToGrid w:val="0"/>
                      <w:szCs w:val="21"/>
                    </w:rPr>
                    <w:t>监测项目</w:t>
                  </w:r>
                </w:p>
              </w:tc>
              <w:tc>
                <w:tcPr>
                  <w:tcW w:w="1702" w:type="pct"/>
                  <w:vAlign w:val="center"/>
                </w:tcPr>
                <w:p>
                  <w:pPr>
                    <w:jc w:val="center"/>
                    <w:rPr>
                      <w:snapToGrid w:val="0"/>
                      <w:szCs w:val="21"/>
                    </w:rPr>
                  </w:pPr>
                  <w:r>
                    <w:rPr>
                      <w:snapToGrid w:val="0"/>
                      <w:szCs w:val="21"/>
                    </w:rPr>
                    <w:t>监测点位</w:t>
                  </w:r>
                </w:p>
              </w:tc>
              <w:tc>
                <w:tcPr>
                  <w:tcW w:w="1235" w:type="pct"/>
                  <w:vAlign w:val="center"/>
                </w:tcPr>
                <w:p>
                  <w:pPr>
                    <w:jc w:val="center"/>
                    <w:rPr>
                      <w:snapToGrid w:val="0"/>
                      <w:szCs w:val="21"/>
                    </w:rPr>
                  </w:pPr>
                  <w:r>
                    <w:rPr>
                      <w:snapToGrid w:val="0"/>
                      <w:szCs w:val="21"/>
                    </w:rPr>
                    <w:t>监测因子</w:t>
                  </w:r>
                </w:p>
              </w:tc>
              <w:tc>
                <w:tcPr>
                  <w:tcW w:w="1348" w:type="pct"/>
                  <w:vAlign w:val="center"/>
                </w:tcPr>
                <w:p>
                  <w:pPr>
                    <w:jc w:val="center"/>
                    <w:rPr>
                      <w:snapToGrid w:val="0"/>
                      <w:szCs w:val="21"/>
                    </w:rPr>
                  </w:pPr>
                  <w:r>
                    <w:rPr>
                      <w:snapToGrid w:val="0"/>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4" w:type="pct"/>
                  <w:vAlign w:val="center"/>
                </w:tcPr>
                <w:p>
                  <w:pPr>
                    <w:jc w:val="center"/>
                    <w:rPr>
                      <w:snapToGrid w:val="0"/>
                      <w:szCs w:val="21"/>
                    </w:rPr>
                  </w:pPr>
                  <w:r>
                    <w:rPr>
                      <w:rFonts w:hint="eastAsia"/>
                      <w:snapToGrid w:val="0"/>
                      <w:szCs w:val="21"/>
                    </w:rPr>
                    <w:t>噪声</w:t>
                  </w:r>
                </w:p>
              </w:tc>
              <w:tc>
                <w:tcPr>
                  <w:tcW w:w="1702" w:type="pct"/>
                  <w:vAlign w:val="center"/>
                </w:tcPr>
                <w:p>
                  <w:pPr>
                    <w:jc w:val="center"/>
                    <w:rPr>
                      <w:snapToGrid w:val="0"/>
                      <w:szCs w:val="21"/>
                    </w:rPr>
                  </w:pPr>
                  <w:r>
                    <w:rPr>
                      <w:rFonts w:hint="eastAsia"/>
                      <w:snapToGrid w:val="0"/>
                      <w:szCs w:val="21"/>
                    </w:rPr>
                    <w:t>东、南、西、北厂界外1m处</w:t>
                  </w:r>
                </w:p>
              </w:tc>
              <w:tc>
                <w:tcPr>
                  <w:tcW w:w="1235" w:type="pct"/>
                  <w:vAlign w:val="center"/>
                </w:tcPr>
                <w:p>
                  <w:pPr>
                    <w:jc w:val="center"/>
                    <w:rPr>
                      <w:snapToGrid w:val="0"/>
                      <w:szCs w:val="21"/>
                    </w:rPr>
                  </w:pPr>
                  <w:r>
                    <w:rPr>
                      <w:rFonts w:hint="eastAsia"/>
                      <w:snapToGrid w:val="0"/>
                      <w:szCs w:val="21"/>
                    </w:rPr>
                    <w:t>等效A声级</w:t>
                  </w:r>
                </w:p>
              </w:tc>
              <w:tc>
                <w:tcPr>
                  <w:tcW w:w="1348" w:type="pct"/>
                  <w:vAlign w:val="center"/>
                </w:tcPr>
                <w:p>
                  <w:pPr>
                    <w:jc w:val="center"/>
                    <w:rPr>
                      <w:snapToGrid w:val="0"/>
                      <w:szCs w:val="21"/>
                    </w:rPr>
                  </w:pPr>
                  <w:r>
                    <w:rPr>
                      <w:rFonts w:hint="eastAsia"/>
                      <w:snapToGrid w:val="0"/>
                      <w:szCs w:val="21"/>
                    </w:rPr>
                    <w:t>1次/季度</w:t>
                  </w:r>
                </w:p>
              </w:tc>
            </w:tr>
          </w:tbl>
          <w:p>
            <w:pPr>
              <w:pStyle w:val="2"/>
            </w:pPr>
          </w:p>
          <w:p>
            <w:pPr>
              <w:spacing w:line="360" w:lineRule="auto"/>
              <w:ind w:left="-62" w:firstLine="482" w:firstLineChars="200"/>
              <w:jc w:val="left"/>
              <w:rPr>
                <w:b/>
                <w:sz w:val="24"/>
              </w:rPr>
            </w:pPr>
            <w:r>
              <w:rPr>
                <w:rFonts w:hint="eastAsia"/>
                <w:b/>
                <w:sz w:val="24"/>
              </w:rPr>
              <w:t>四、固体废物</w:t>
            </w:r>
          </w:p>
          <w:p>
            <w:pPr>
              <w:pStyle w:val="34"/>
              <w:spacing w:line="360" w:lineRule="auto"/>
              <w:ind w:firstLine="482" w:firstLineChars="200"/>
              <w:rPr>
                <w:rFonts w:ascii="Times New Roman" w:hAnsi="Times New Roman"/>
                <w:b/>
                <w:sz w:val="24"/>
                <w:szCs w:val="24"/>
              </w:rPr>
            </w:pPr>
            <w:r>
              <w:rPr>
                <w:rFonts w:hint="eastAsia" w:ascii="Times New Roman" w:hAnsi="Times New Roman"/>
                <w:b/>
                <w:sz w:val="24"/>
                <w:szCs w:val="24"/>
              </w:rPr>
              <w:t>4</w:t>
            </w:r>
            <w:r>
              <w:rPr>
                <w:rFonts w:ascii="Times New Roman" w:hAnsi="Times New Roman"/>
                <w:b/>
                <w:sz w:val="24"/>
                <w:szCs w:val="24"/>
              </w:rPr>
              <w:t>.1</w:t>
            </w:r>
            <w:r>
              <w:rPr>
                <w:rFonts w:hint="eastAsia" w:ascii="Times New Roman" w:hAnsi="Times New Roman"/>
                <w:b/>
                <w:sz w:val="24"/>
                <w:szCs w:val="24"/>
              </w:rPr>
              <w:t>一般固废产生及处置</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一期工程：</w:t>
            </w:r>
            <w:r>
              <w:rPr>
                <w:rFonts w:hint="eastAsia" w:ascii="Times New Roman" w:hAnsi="Times New Roman" w:cs="Times New Roman"/>
                <w:sz w:val="24"/>
                <w:szCs w:val="24"/>
              </w:rPr>
              <w:tab/>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奶制品加工过程过滤奶渣，主要成分为奶渣、蛋白质、黄油，产生量约0</w:t>
            </w:r>
            <w:r>
              <w:rPr>
                <w:rFonts w:ascii="Times New Roman" w:hAnsi="Times New Roman" w:cs="Times New Roman"/>
                <w:sz w:val="24"/>
                <w:szCs w:val="24"/>
              </w:rPr>
              <w:t>.8</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a，收集后暂存一般固废间，作为餐厨垃圾处理；</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复合调味品鸡蛋壳和过滤物，过滤物主要为残留蛋白质、油脂类的滤纸，产生量约0</w:t>
            </w:r>
            <w:r>
              <w:rPr>
                <w:rFonts w:ascii="Times New Roman" w:hAnsi="Times New Roman" w:cs="Times New Roman"/>
                <w:sz w:val="24"/>
                <w:szCs w:val="24"/>
              </w:rPr>
              <w:t>.003</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a，与生活垃圾一同交环卫部门处置。</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污水处理站污泥，产生量约0</w:t>
            </w:r>
            <w:r>
              <w:rPr>
                <w:rFonts w:ascii="Times New Roman" w:hAnsi="Times New Roman" w:cs="Times New Roman"/>
                <w:sz w:val="24"/>
                <w:szCs w:val="24"/>
              </w:rPr>
              <w:t>.2</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a，收集后定期交环卫部门处置。</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香精过滤物：主要为沾染香精原料的滤纸，产生量约0</w:t>
            </w:r>
            <w:r>
              <w:rPr>
                <w:rFonts w:ascii="Times New Roman" w:hAnsi="Times New Roman" w:cs="Times New Roman"/>
                <w:sz w:val="24"/>
                <w:szCs w:val="24"/>
              </w:rPr>
              <w:t>.4</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a，与生活垃圾一同交环卫部门处置。</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奶制品、复合调味料废样品、过期原料和不合格产品类：为保障食品可追溯，每批次需采样化验，除化验部分样品，剩余的样品需保留一段时间，到期后会产生少的量的废样品，废样品即为产品，即为过期废产品，均为食品类产品，同时包括少量过期原料和不合格产品，产生量约0</w:t>
            </w:r>
            <w:r>
              <w:rPr>
                <w:rFonts w:ascii="Times New Roman" w:hAnsi="Times New Roman" w:cs="Times New Roman"/>
                <w:sz w:val="24"/>
                <w:szCs w:val="24"/>
              </w:rPr>
              <w:t>.1</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a。作为餐厨垃圾处理。</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奶制品、复合调味料废包装物：即为奶制品和复合调味料原料的包装物，主要包括少量的桶类、瓶类和袋装类，桶类和瓶装类部分返回厂家回收处理，剩余部分的收集外卖废品处理，产生量0</w:t>
            </w:r>
            <w:r>
              <w:rPr>
                <w:rFonts w:ascii="Times New Roman" w:hAnsi="Times New Roman" w:cs="Times New Roman"/>
                <w:sz w:val="24"/>
                <w:szCs w:val="24"/>
              </w:rPr>
              <w:t>.1</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香精原料废包装物（非沾染有毒类）：香精生产原料（除丙二醇、丁酸等有机溶剂类外）包装物，如废包装袋、包装桶和包装瓶，属于一般固废，交废旧资源回收单位综合利用，产生量0</w:t>
            </w:r>
            <w:r>
              <w:rPr>
                <w:rFonts w:ascii="Times New Roman" w:hAnsi="Times New Roman" w:cs="Times New Roman"/>
                <w:sz w:val="24"/>
                <w:szCs w:val="24"/>
              </w:rPr>
              <w:t>.1</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二期工程：</w:t>
            </w:r>
            <w:r>
              <w:rPr>
                <w:rFonts w:hint="eastAsia" w:ascii="Times New Roman" w:hAnsi="Times New Roman" w:cs="Times New Roman"/>
                <w:sz w:val="24"/>
                <w:szCs w:val="24"/>
              </w:rPr>
              <w:tab/>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奶制品加工过程过滤奶渣，产生量约</w:t>
            </w:r>
            <w:r>
              <w:rPr>
                <w:rFonts w:ascii="Times New Roman" w:hAnsi="Times New Roman" w:cs="Times New Roman"/>
                <w:sz w:val="24"/>
                <w:szCs w:val="24"/>
              </w:rPr>
              <w:t>3.2</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a，收集后暂存于生产车间内当日外售做饲料；</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污水处理站污泥和栅渣，产生量约0</w:t>
            </w:r>
            <w:r>
              <w:rPr>
                <w:rFonts w:ascii="Times New Roman" w:hAnsi="Times New Roman" w:cs="Times New Roman"/>
                <w:sz w:val="24"/>
                <w:szCs w:val="24"/>
              </w:rPr>
              <w:t>.5</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a，收集后定期交环卫部门处置；</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复合调味品鸡蛋壳和过滤物，产生量约0</w:t>
            </w:r>
            <w:r>
              <w:rPr>
                <w:rFonts w:ascii="Times New Roman" w:hAnsi="Times New Roman" w:cs="Times New Roman"/>
                <w:sz w:val="24"/>
                <w:szCs w:val="24"/>
              </w:rPr>
              <w:t>.01</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a，与生活垃圾一同交环卫部门处置。</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奶制品、复合调味料废样品、过期原料和不合格产品类：为保障食品可追溯，每批次需采样化验，除化验部分样品，剩余的样品需保留一段时间，到期后会产生少的量的废样品，约0</w:t>
            </w:r>
            <w:r>
              <w:rPr>
                <w:rFonts w:ascii="Times New Roman" w:hAnsi="Times New Roman" w:cs="Times New Roman"/>
                <w:sz w:val="24"/>
                <w:szCs w:val="24"/>
              </w:rPr>
              <w:t>.3</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a。废样品即为产品，即为过期废产品，均为食品类产品，废弃收集后定期交环卫部门处置。</w:t>
            </w:r>
          </w:p>
          <w:p>
            <w:pPr>
              <w:pStyle w:val="34"/>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奶制品、复合调味料废包装物：即为复合调味料原料的包装物，主要包括少量的桶类、瓶类和袋装类，桶类和瓶装类部分返回厂家回收处理，剩余部分收集外卖废品处理，产生量0</w:t>
            </w:r>
            <w:r>
              <w:rPr>
                <w:rFonts w:ascii="Times New Roman" w:hAnsi="Times New Roman" w:cs="Times New Roman"/>
                <w:sz w:val="24"/>
                <w:szCs w:val="24"/>
              </w:rPr>
              <w:t>.3</w:t>
            </w:r>
            <w:r>
              <w:rPr>
                <w:rFonts w:hint="eastAsia" w:ascii="Times New Roman" w:hAnsi="Times New Roman" w:cs="Times New Roman"/>
                <w:sz w:val="24"/>
                <w:szCs w:val="24"/>
              </w:rPr>
              <w:t>t</w:t>
            </w:r>
            <w:r>
              <w:rPr>
                <w:rFonts w:ascii="Times New Roman" w:hAnsi="Times New Roman" w:cs="Times New Roman"/>
                <w:sz w:val="24"/>
                <w:szCs w:val="24"/>
              </w:rPr>
              <w:t>/</w:t>
            </w:r>
            <w:r>
              <w:rPr>
                <w:rFonts w:hint="eastAsia" w:ascii="Times New Roman" w:hAnsi="Times New Roman" w:cs="Times New Roman"/>
                <w:sz w:val="24"/>
                <w:szCs w:val="24"/>
              </w:rPr>
              <w:t>a。</w:t>
            </w:r>
          </w:p>
          <w:p>
            <w:pPr>
              <w:spacing w:line="360" w:lineRule="auto"/>
              <w:ind w:firstLine="424" w:firstLineChars="177"/>
              <w:rPr>
                <w:bCs/>
                <w:sz w:val="24"/>
              </w:rPr>
            </w:pPr>
            <w:r>
              <w:rPr>
                <w:rFonts w:hint="eastAsia"/>
                <w:bCs/>
                <w:sz w:val="24"/>
              </w:rPr>
              <w:t>在生产车间靠墙空地设置一般固废间，面积2</w:t>
            </w:r>
            <w:r>
              <w:rPr>
                <w:bCs/>
                <w:sz w:val="24"/>
              </w:rPr>
              <w:t>0</w:t>
            </w:r>
            <w:r>
              <w:rPr>
                <w:rFonts w:hint="eastAsia"/>
                <w:bCs/>
                <w:sz w:val="24"/>
              </w:rPr>
              <w:t>m</w:t>
            </w:r>
            <w:r>
              <w:rPr>
                <w:bCs/>
                <w:sz w:val="24"/>
                <w:vertAlign w:val="superscript"/>
              </w:rPr>
              <w:t>2</w:t>
            </w:r>
            <w:r>
              <w:rPr>
                <w:rFonts w:hint="eastAsia"/>
                <w:bCs/>
                <w:sz w:val="24"/>
              </w:rPr>
              <w:t>，过滤物暂存收集桶内，定期处置，在污水处理站旁设置污泥收集桶，脱水污泥和栅渣收集桶暂存，定期外运处理。</w:t>
            </w:r>
          </w:p>
          <w:p>
            <w:pPr>
              <w:spacing w:line="360" w:lineRule="auto"/>
              <w:ind w:firstLine="424" w:firstLineChars="177"/>
              <w:rPr>
                <w:bCs/>
                <w:sz w:val="24"/>
              </w:rPr>
            </w:pPr>
            <w:r>
              <w:rPr>
                <w:rFonts w:hint="eastAsia"/>
                <w:bCs/>
                <w:sz w:val="24"/>
              </w:rPr>
              <w:t>项目投入运营后，严格落实《关于发布&lt;一般工业固体废物管理台账制定指南（实行）&gt;的公告》（2021公告第82号）文件的相关要求，做好一般工业固体废物管理台账的填报工作，认真填报一般工业固体废物的种类、产生量、流向、贮存、利用处置情况，保证纸质台账填写的完整性、准确性、真实性。</w:t>
            </w:r>
          </w:p>
          <w:p>
            <w:pPr>
              <w:adjustRightInd w:val="0"/>
              <w:snapToGrid w:val="0"/>
              <w:spacing w:line="400" w:lineRule="exact"/>
              <w:jc w:val="center"/>
              <w:rPr>
                <w:b/>
                <w:sz w:val="24"/>
              </w:rPr>
            </w:pPr>
            <w:r>
              <w:rPr>
                <w:rFonts w:hint="eastAsia"/>
                <w:b/>
                <w:sz w:val="24"/>
              </w:rPr>
              <w:t>表4</w:t>
            </w:r>
            <w:r>
              <w:rPr>
                <w:b/>
                <w:sz w:val="24"/>
              </w:rPr>
              <w:t xml:space="preserve">-16 </w:t>
            </w:r>
            <w:r>
              <w:rPr>
                <w:rFonts w:hint="eastAsia"/>
                <w:b/>
                <w:sz w:val="24"/>
              </w:rPr>
              <w:t>一般固废产生及处置情况</w:t>
            </w:r>
          </w:p>
          <w:tbl>
            <w:tblPr>
              <w:tblStyle w:val="22"/>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2990"/>
              <w:gridCol w:w="1132"/>
              <w:gridCol w:w="33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3"/>
                    <w:spacing w:after="0"/>
                    <w:ind w:left="0" w:leftChars="0" w:firstLine="0"/>
                    <w:jc w:val="center"/>
                    <w:rPr>
                      <w:sz w:val="21"/>
                      <w:szCs w:val="21"/>
                    </w:rPr>
                  </w:pPr>
                  <w:r>
                    <w:rPr>
                      <w:rFonts w:hint="eastAsia"/>
                      <w:sz w:val="21"/>
                      <w:szCs w:val="21"/>
                    </w:rPr>
                    <w:t>类别</w:t>
                  </w:r>
                </w:p>
              </w:tc>
              <w:tc>
                <w:tcPr>
                  <w:tcW w:w="2990" w:type="dxa"/>
                  <w:vAlign w:val="center"/>
                </w:tcPr>
                <w:p>
                  <w:pPr>
                    <w:pStyle w:val="3"/>
                    <w:spacing w:after="0"/>
                    <w:ind w:left="0" w:leftChars="0" w:firstLine="0"/>
                    <w:jc w:val="center"/>
                    <w:rPr>
                      <w:sz w:val="21"/>
                      <w:szCs w:val="21"/>
                    </w:rPr>
                  </w:pPr>
                  <w:r>
                    <w:rPr>
                      <w:rFonts w:hint="eastAsia"/>
                      <w:sz w:val="21"/>
                      <w:szCs w:val="21"/>
                    </w:rPr>
                    <w:t>种类</w:t>
                  </w:r>
                </w:p>
              </w:tc>
              <w:tc>
                <w:tcPr>
                  <w:tcW w:w="1132" w:type="dxa"/>
                  <w:vAlign w:val="center"/>
                </w:tcPr>
                <w:p>
                  <w:pPr>
                    <w:pStyle w:val="3"/>
                    <w:spacing w:after="0"/>
                    <w:ind w:left="0" w:leftChars="0" w:firstLine="0"/>
                    <w:jc w:val="center"/>
                    <w:rPr>
                      <w:sz w:val="21"/>
                      <w:szCs w:val="21"/>
                    </w:rPr>
                  </w:pPr>
                  <w:r>
                    <w:rPr>
                      <w:rFonts w:hint="eastAsia"/>
                      <w:sz w:val="21"/>
                      <w:szCs w:val="21"/>
                    </w:rPr>
                    <w:t>产生量t</w:t>
                  </w:r>
                  <w:r>
                    <w:rPr>
                      <w:sz w:val="21"/>
                      <w:szCs w:val="21"/>
                    </w:rPr>
                    <w:t>/</w:t>
                  </w:r>
                  <w:r>
                    <w:rPr>
                      <w:rFonts w:hint="eastAsia"/>
                      <w:sz w:val="21"/>
                      <w:szCs w:val="21"/>
                    </w:rPr>
                    <w:t>a</w:t>
                  </w:r>
                </w:p>
              </w:tc>
              <w:tc>
                <w:tcPr>
                  <w:tcW w:w="3337" w:type="dxa"/>
                  <w:vAlign w:val="center"/>
                </w:tcPr>
                <w:p>
                  <w:pPr>
                    <w:pStyle w:val="3"/>
                    <w:spacing w:after="0"/>
                    <w:ind w:left="0" w:leftChars="0" w:firstLine="0"/>
                    <w:jc w:val="center"/>
                    <w:rPr>
                      <w:sz w:val="21"/>
                      <w:szCs w:val="21"/>
                    </w:rPr>
                  </w:pPr>
                  <w:r>
                    <w:rPr>
                      <w:rFonts w:hint="eastAsia"/>
                      <w:sz w:val="21"/>
                      <w:szCs w:val="21"/>
                    </w:rPr>
                    <w:t>处置措施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3"/>
                    <w:spacing w:after="0"/>
                    <w:ind w:left="0" w:leftChars="0" w:firstLine="0"/>
                    <w:jc w:val="center"/>
                    <w:rPr>
                      <w:sz w:val="21"/>
                      <w:szCs w:val="21"/>
                    </w:rPr>
                  </w:pPr>
                  <w:r>
                    <w:rPr>
                      <w:rFonts w:hint="eastAsia"/>
                      <w:sz w:val="21"/>
                      <w:szCs w:val="21"/>
                    </w:rPr>
                    <w:t>一期工程</w:t>
                  </w:r>
                </w:p>
              </w:tc>
              <w:tc>
                <w:tcPr>
                  <w:tcW w:w="2990" w:type="dxa"/>
                  <w:vAlign w:val="center"/>
                </w:tcPr>
                <w:p>
                  <w:pPr>
                    <w:pStyle w:val="3"/>
                    <w:spacing w:after="0"/>
                    <w:ind w:left="0" w:leftChars="0" w:firstLine="0"/>
                    <w:jc w:val="center"/>
                    <w:rPr>
                      <w:sz w:val="21"/>
                      <w:szCs w:val="21"/>
                    </w:rPr>
                  </w:pPr>
                  <w:r>
                    <w:rPr>
                      <w:rFonts w:hint="eastAsia"/>
                      <w:sz w:val="21"/>
                      <w:szCs w:val="21"/>
                    </w:rPr>
                    <w:t>奶制品加工过程过滤奶渣</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.8</w:t>
                  </w:r>
                </w:p>
              </w:tc>
              <w:tc>
                <w:tcPr>
                  <w:tcW w:w="3337" w:type="dxa"/>
                  <w:vAlign w:val="center"/>
                </w:tcPr>
                <w:p>
                  <w:pPr>
                    <w:pStyle w:val="34"/>
                    <w:ind w:firstLine="420" w:firstLineChars="200"/>
                    <w:jc w:val="center"/>
                    <w:rPr>
                      <w:rFonts w:ascii="Times New Roman" w:hAnsi="Times New Roman" w:cs="Times New Roman"/>
                    </w:rPr>
                  </w:pPr>
                  <w:r>
                    <w:rPr>
                      <w:rFonts w:hint="eastAsia" w:ascii="Times New Roman" w:hAnsi="Times New Roman" w:cs="Times New Roman"/>
                    </w:rPr>
                    <w:t>收集后作为餐厨垃圾处理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复合调味品鸡蛋壳和过滤物</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.003</w:t>
                  </w:r>
                </w:p>
              </w:tc>
              <w:tc>
                <w:tcPr>
                  <w:tcW w:w="3337" w:type="dxa"/>
                  <w:vAlign w:val="center"/>
                </w:tcPr>
                <w:p>
                  <w:pPr>
                    <w:pStyle w:val="34"/>
                    <w:ind w:firstLine="420" w:firstLineChars="200"/>
                    <w:jc w:val="center"/>
                    <w:rPr>
                      <w:rFonts w:ascii="Times New Roman" w:hAnsi="Times New Roman" w:cs="Times New Roman"/>
                    </w:rPr>
                  </w:pPr>
                  <w:r>
                    <w:rPr>
                      <w:rFonts w:hint="eastAsia" w:ascii="Times New Roman" w:hAnsi="Times New Roman" w:cs="Times New Roman"/>
                    </w:rPr>
                    <w:t>与生活垃圾一同交环卫部门处置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污水处理站污泥</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.2</w:t>
                  </w:r>
                </w:p>
              </w:tc>
              <w:tc>
                <w:tcPr>
                  <w:tcW w:w="3337" w:type="dxa"/>
                  <w:vAlign w:val="center"/>
                </w:tcPr>
                <w:p>
                  <w:pPr>
                    <w:pStyle w:val="3"/>
                    <w:spacing w:after="0"/>
                    <w:ind w:left="0" w:leftChars="0" w:firstLine="0"/>
                    <w:jc w:val="center"/>
                    <w:rPr>
                      <w:sz w:val="21"/>
                      <w:szCs w:val="21"/>
                    </w:rPr>
                  </w:pPr>
                  <w:r>
                    <w:rPr>
                      <w:rFonts w:hint="eastAsia"/>
                      <w:sz w:val="21"/>
                      <w:szCs w:val="21"/>
                    </w:rPr>
                    <w:t>收集后定期交环卫部门填埋处置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Cs w:val="24"/>
                    </w:rPr>
                    <w:t>香精过滤物</w:t>
                  </w:r>
                </w:p>
              </w:tc>
              <w:tc>
                <w:tcPr>
                  <w:tcW w:w="1132" w:type="dxa"/>
                  <w:vAlign w:val="center"/>
                </w:tcPr>
                <w:p>
                  <w:pPr>
                    <w:pStyle w:val="3"/>
                    <w:spacing w:after="0"/>
                    <w:ind w:left="0" w:leftChars="0" w:firstLine="0"/>
                    <w:jc w:val="center"/>
                    <w:rPr>
                      <w:sz w:val="21"/>
                      <w:szCs w:val="21"/>
                    </w:rPr>
                  </w:pPr>
                  <w:r>
                    <w:rPr>
                      <w:sz w:val="21"/>
                      <w:szCs w:val="21"/>
                    </w:rPr>
                    <w:t>0.8</w:t>
                  </w:r>
                </w:p>
              </w:tc>
              <w:tc>
                <w:tcPr>
                  <w:tcW w:w="3337" w:type="dxa"/>
                  <w:vAlign w:val="center"/>
                </w:tcPr>
                <w:p>
                  <w:pPr>
                    <w:pStyle w:val="3"/>
                    <w:spacing w:after="0"/>
                    <w:ind w:left="0" w:leftChars="0" w:firstLine="0"/>
                    <w:jc w:val="center"/>
                    <w:rPr>
                      <w:sz w:val="21"/>
                      <w:szCs w:val="21"/>
                    </w:rPr>
                  </w:pPr>
                  <w:r>
                    <w:rPr>
                      <w:rFonts w:hint="eastAsia"/>
                      <w:sz w:val="21"/>
                      <w:szCs w:val="21"/>
                    </w:rPr>
                    <w:t>收集后定期交环卫部门填埋处置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奶制品、复合调味料废样品、过期原料和不合格产品类</w:t>
                  </w:r>
                </w:p>
              </w:tc>
              <w:tc>
                <w:tcPr>
                  <w:tcW w:w="1132" w:type="dxa"/>
                  <w:vAlign w:val="center"/>
                </w:tcPr>
                <w:p>
                  <w:pPr>
                    <w:pStyle w:val="3"/>
                    <w:spacing w:after="0"/>
                    <w:ind w:left="0" w:leftChars="0" w:firstLine="0"/>
                    <w:jc w:val="center"/>
                    <w:rPr>
                      <w:sz w:val="21"/>
                      <w:szCs w:val="21"/>
                    </w:rPr>
                  </w:pPr>
                  <w:r>
                    <w:rPr>
                      <w:sz w:val="21"/>
                      <w:szCs w:val="21"/>
                    </w:rPr>
                    <w:t>0.8</w:t>
                  </w:r>
                </w:p>
              </w:tc>
              <w:tc>
                <w:tcPr>
                  <w:tcW w:w="3337" w:type="dxa"/>
                  <w:vAlign w:val="center"/>
                </w:tcPr>
                <w:p>
                  <w:pPr>
                    <w:pStyle w:val="3"/>
                    <w:spacing w:after="0"/>
                    <w:ind w:left="0" w:leftChars="0" w:firstLine="0"/>
                    <w:jc w:val="center"/>
                    <w:rPr>
                      <w:sz w:val="21"/>
                      <w:szCs w:val="21"/>
                    </w:rPr>
                  </w:pPr>
                  <w:r>
                    <w:rPr>
                      <w:rFonts w:hint="eastAsia"/>
                      <w:sz w:val="21"/>
                      <w:szCs w:val="21"/>
                    </w:rPr>
                    <w:t>收集后作为餐厨垃圾处理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奶制品、复合调味料废包装物</w:t>
                  </w:r>
                </w:p>
              </w:tc>
              <w:tc>
                <w:tcPr>
                  <w:tcW w:w="1132" w:type="dxa"/>
                  <w:vAlign w:val="center"/>
                </w:tcPr>
                <w:p>
                  <w:pPr>
                    <w:pStyle w:val="3"/>
                    <w:spacing w:after="0"/>
                    <w:ind w:left="0" w:leftChars="0" w:firstLine="0"/>
                    <w:jc w:val="center"/>
                    <w:rPr>
                      <w:sz w:val="21"/>
                      <w:szCs w:val="21"/>
                    </w:rPr>
                  </w:pPr>
                  <w:r>
                    <w:rPr>
                      <w:sz w:val="21"/>
                      <w:szCs w:val="21"/>
                    </w:rPr>
                    <w:t>0.5</w:t>
                  </w:r>
                </w:p>
              </w:tc>
              <w:tc>
                <w:tcPr>
                  <w:tcW w:w="3337" w:type="dxa"/>
                  <w:vAlign w:val="center"/>
                </w:tcPr>
                <w:p>
                  <w:pPr>
                    <w:pStyle w:val="3"/>
                    <w:spacing w:after="0"/>
                    <w:ind w:left="0" w:leftChars="0" w:firstLine="0"/>
                    <w:jc w:val="center"/>
                    <w:rPr>
                      <w:sz w:val="21"/>
                      <w:szCs w:val="21"/>
                    </w:rPr>
                  </w:pPr>
                  <w:r>
                    <w:rPr>
                      <w:rFonts w:hint="eastAsia"/>
                      <w:sz w:val="21"/>
                      <w:szCs w:val="21"/>
                    </w:rPr>
                    <w:t>部分返回厂家回收处理，剩余部分的收集外卖废品处理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香精原料废包装物（非沾染有毒类）</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.1</w:t>
                  </w:r>
                </w:p>
              </w:tc>
              <w:tc>
                <w:tcPr>
                  <w:tcW w:w="3337" w:type="dxa"/>
                  <w:vAlign w:val="center"/>
                </w:tcPr>
                <w:p>
                  <w:pPr>
                    <w:pStyle w:val="3"/>
                    <w:spacing w:after="0"/>
                    <w:ind w:left="0" w:leftChars="0" w:firstLine="0"/>
                    <w:jc w:val="center"/>
                    <w:rPr>
                      <w:sz w:val="21"/>
                      <w:szCs w:val="21"/>
                    </w:rPr>
                  </w:pPr>
                  <w:r>
                    <w:rPr>
                      <w:rFonts w:hint="eastAsia"/>
                      <w:sz w:val="21"/>
                      <w:szCs w:val="21"/>
                    </w:rPr>
                    <w:t>交废旧资源回收单位综合利用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3"/>
                    <w:spacing w:after="0"/>
                    <w:ind w:left="0" w:leftChars="0" w:firstLine="0"/>
                    <w:jc w:val="center"/>
                    <w:rPr>
                      <w:sz w:val="21"/>
                      <w:szCs w:val="21"/>
                    </w:rPr>
                  </w:pPr>
                  <w:r>
                    <w:rPr>
                      <w:rFonts w:hint="eastAsia"/>
                      <w:sz w:val="21"/>
                      <w:szCs w:val="21"/>
                    </w:rPr>
                    <w:t>二期工程</w:t>
                  </w:r>
                </w:p>
              </w:tc>
              <w:tc>
                <w:tcPr>
                  <w:tcW w:w="2990" w:type="dxa"/>
                  <w:vAlign w:val="center"/>
                </w:tcPr>
                <w:p>
                  <w:pPr>
                    <w:pStyle w:val="3"/>
                    <w:spacing w:after="0"/>
                    <w:ind w:left="0" w:leftChars="0" w:firstLine="0"/>
                    <w:jc w:val="center"/>
                    <w:rPr>
                      <w:sz w:val="21"/>
                      <w:szCs w:val="21"/>
                    </w:rPr>
                  </w:pPr>
                  <w:r>
                    <w:rPr>
                      <w:rFonts w:hint="eastAsia"/>
                      <w:sz w:val="21"/>
                      <w:szCs w:val="21"/>
                    </w:rPr>
                    <w:t>奶制品加工过程过滤奶渣</w:t>
                  </w:r>
                </w:p>
              </w:tc>
              <w:tc>
                <w:tcPr>
                  <w:tcW w:w="1132" w:type="dxa"/>
                  <w:vAlign w:val="center"/>
                </w:tcPr>
                <w:p>
                  <w:pPr>
                    <w:pStyle w:val="3"/>
                    <w:spacing w:after="0"/>
                    <w:ind w:left="0" w:leftChars="0" w:firstLine="0"/>
                    <w:jc w:val="center"/>
                    <w:rPr>
                      <w:sz w:val="21"/>
                      <w:szCs w:val="21"/>
                    </w:rPr>
                  </w:pPr>
                  <w:r>
                    <w:rPr>
                      <w:sz w:val="21"/>
                      <w:szCs w:val="21"/>
                    </w:rPr>
                    <w:t>3.2</w:t>
                  </w:r>
                </w:p>
              </w:tc>
              <w:tc>
                <w:tcPr>
                  <w:tcW w:w="3337" w:type="dxa"/>
                  <w:vAlign w:val="center"/>
                </w:tcPr>
                <w:p>
                  <w:pPr>
                    <w:pStyle w:val="34"/>
                    <w:ind w:firstLine="420" w:firstLineChars="200"/>
                    <w:jc w:val="center"/>
                    <w:rPr>
                      <w:rFonts w:ascii="Times New Roman" w:hAnsi="Times New Roman" w:cs="Times New Roman"/>
                    </w:rPr>
                  </w:pPr>
                  <w:r>
                    <w:rPr>
                      <w:rFonts w:hint="eastAsia" w:ascii="Times New Roman" w:hAnsi="Times New Roman" w:cs="Times New Roman"/>
                    </w:rPr>
                    <w:t>收集后作为餐厨垃圾处理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复合调味品鸡蛋壳和过滤物</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.01</w:t>
                  </w:r>
                </w:p>
              </w:tc>
              <w:tc>
                <w:tcPr>
                  <w:tcW w:w="3337" w:type="dxa"/>
                  <w:vAlign w:val="center"/>
                </w:tcPr>
                <w:p>
                  <w:pPr>
                    <w:pStyle w:val="34"/>
                    <w:ind w:firstLine="420" w:firstLineChars="200"/>
                    <w:jc w:val="center"/>
                    <w:rPr>
                      <w:rFonts w:ascii="Times New Roman" w:hAnsi="Times New Roman" w:cs="Times New Roman"/>
                    </w:rPr>
                  </w:pPr>
                  <w:r>
                    <w:rPr>
                      <w:rFonts w:hint="eastAsia" w:ascii="Times New Roman" w:hAnsi="Times New Roman" w:cs="Times New Roman"/>
                    </w:rPr>
                    <w:t>与生活垃圾一同交环卫部门处置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污泥</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.5</w:t>
                  </w:r>
                </w:p>
              </w:tc>
              <w:tc>
                <w:tcPr>
                  <w:tcW w:w="3337" w:type="dxa"/>
                  <w:vAlign w:val="center"/>
                </w:tcPr>
                <w:p>
                  <w:pPr>
                    <w:pStyle w:val="34"/>
                    <w:ind w:firstLine="420" w:firstLineChars="200"/>
                    <w:jc w:val="center"/>
                    <w:rPr>
                      <w:rFonts w:ascii="Times New Roman" w:hAnsi="Times New Roman" w:cs="Times New Roman"/>
                    </w:rPr>
                  </w:pPr>
                  <w:r>
                    <w:rPr>
                      <w:rFonts w:hint="eastAsia" w:ascii="Times New Roman" w:hAnsi="Times New Roman" w:cs="Times New Roman"/>
                    </w:rPr>
                    <w:t>收集后暂存于生产车间内当日外售做饲料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奶制品、复合调味料废样品、过期原料和不合格产品类</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.3</w:t>
                  </w:r>
                </w:p>
              </w:tc>
              <w:tc>
                <w:tcPr>
                  <w:tcW w:w="3337" w:type="dxa"/>
                  <w:vAlign w:val="center"/>
                </w:tcPr>
                <w:p>
                  <w:pPr>
                    <w:pStyle w:val="34"/>
                    <w:ind w:firstLine="420" w:firstLineChars="200"/>
                    <w:jc w:val="center"/>
                    <w:rPr>
                      <w:rFonts w:ascii="Times New Roman" w:hAnsi="Times New Roman" w:cs="Times New Roman"/>
                    </w:rPr>
                  </w:pPr>
                  <w:r>
                    <w:rPr>
                      <w:rFonts w:hint="eastAsia" w:ascii="Times New Roman" w:hAnsi="Times New Roman" w:cs="Times New Roman"/>
                    </w:rPr>
                    <w:t>收集后作为餐厨垃圾处理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3"/>
                    <w:spacing w:after="0"/>
                    <w:ind w:left="0" w:leftChars="0" w:firstLine="0"/>
                    <w:jc w:val="center"/>
                    <w:rPr>
                      <w:sz w:val="21"/>
                      <w:szCs w:val="21"/>
                    </w:rPr>
                  </w:pPr>
                </w:p>
              </w:tc>
              <w:tc>
                <w:tcPr>
                  <w:tcW w:w="2990" w:type="dxa"/>
                  <w:vAlign w:val="center"/>
                </w:tcPr>
                <w:p>
                  <w:pPr>
                    <w:pStyle w:val="3"/>
                    <w:spacing w:after="0"/>
                    <w:ind w:left="0" w:leftChars="0" w:firstLine="0"/>
                    <w:jc w:val="center"/>
                    <w:rPr>
                      <w:sz w:val="21"/>
                      <w:szCs w:val="21"/>
                    </w:rPr>
                  </w:pPr>
                  <w:r>
                    <w:rPr>
                      <w:rFonts w:hint="eastAsia"/>
                      <w:sz w:val="21"/>
                      <w:szCs w:val="21"/>
                    </w:rPr>
                    <w:t>奶制品、复合调味料废包装物</w:t>
                  </w:r>
                </w:p>
              </w:tc>
              <w:tc>
                <w:tcPr>
                  <w:tcW w:w="1132" w:type="dxa"/>
                  <w:vAlign w:val="center"/>
                </w:tcPr>
                <w:p>
                  <w:pPr>
                    <w:pStyle w:val="3"/>
                    <w:spacing w:after="0"/>
                    <w:ind w:left="0" w:leftChars="0" w:firstLine="0"/>
                    <w:jc w:val="center"/>
                    <w:rPr>
                      <w:sz w:val="21"/>
                      <w:szCs w:val="21"/>
                    </w:rPr>
                  </w:pPr>
                  <w:r>
                    <w:rPr>
                      <w:rFonts w:hint="eastAsia"/>
                      <w:sz w:val="21"/>
                      <w:szCs w:val="21"/>
                    </w:rPr>
                    <w:t>0</w:t>
                  </w:r>
                  <w:r>
                    <w:rPr>
                      <w:sz w:val="21"/>
                      <w:szCs w:val="21"/>
                    </w:rPr>
                    <w:t>.3</w:t>
                  </w:r>
                </w:p>
              </w:tc>
              <w:tc>
                <w:tcPr>
                  <w:tcW w:w="3337" w:type="dxa"/>
                  <w:vAlign w:val="center"/>
                </w:tcPr>
                <w:p>
                  <w:pPr>
                    <w:pStyle w:val="34"/>
                    <w:ind w:firstLine="420" w:firstLineChars="200"/>
                    <w:jc w:val="center"/>
                    <w:rPr>
                      <w:rFonts w:ascii="Times New Roman" w:hAnsi="Times New Roman" w:cs="Times New Roman"/>
                    </w:rPr>
                  </w:pPr>
                  <w:r>
                    <w:rPr>
                      <w:rFonts w:hint="eastAsia" w:ascii="Times New Roman" w:hAnsi="Times New Roman" w:cs="Times New Roman"/>
                    </w:rPr>
                    <w:t>部分返回厂家回收处理，剩余部分收集外卖废品处理</w:t>
                  </w:r>
                </w:p>
              </w:tc>
            </w:tr>
          </w:tbl>
          <w:p>
            <w:pPr>
              <w:autoSpaceDE w:val="0"/>
              <w:autoSpaceDN w:val="0"/>
              <w:spacing w:line="360" w:lineRule="auto"/>
              <w:ind w:firstLine="482" w:firstLineChars="200"/>
              <w:rPr>
                <w:b/>
                <w:bCs/>
                <w:sz w:val="24"/>
              </w:rPr>
            </w:pPr>
            <w:r>
              <w:rPr>
                <w:rFonts w:hint="eastAsia"/>
                <w:b/>
                <w:bCs/>
                <w:sz w:val="24"/>
              </w:rPr>
              <w:t>4</w:t>
            </w:r>
            <w:r>
              <w:rPr>
                <w:b/>
                <w:bCs/>
                <w:sz w:val="24"/>
              </w:rPr>
              <w:t xml:space="preserve">.2 </w:t>
            </w:r>
            <w:r>
              <w:rPr>
                <w:rFonts w:hint="eastAsia"/>
                <w:b/>
                <w:bCs/>
                <w:sz w:val="24"/>
              </w:rPr>
              <w:t>危险废物产生及处置</w:t>
            </w:r>
          </w:p>
          <w:p>
            <w:pPr>
              <w:pStyle w:val="84"/>
              <w:adjustRightInd w:val="0"/>
              <w:snapToGrid w:val="0"/>
              <w:spacing w:line="360" w:lineRule="auto"/>
              <w:ind w:firstLine="480"/>
              <w:rPr>
                <w:sz w:val="24"/>
              </w:rPr>
            </w:pPr>
            <w:r>
              <w:rPr>
                <w:rFonts w:hint="eastAsia"/>
                <w:sz w:val="24"/>
              </w:rPr>
              <w:t>（1）危险废物产生及处置</w:t>
            </w:r>
          </w:p>
          <w:p>
            <w:pPr>
              <w:pStyle w:val="34"/>
              <w:spacing w:line="360" w:lineRule="auto"/>
              <w:ind w:firstLine="480" w:firstLineChars="200"/>
              <w:rPr>
                <w:rFonts w:ascii="Times New Roman" w:hAnsi="Times New Roman"/>
                <w:sz w:val="24"/>
              </w:rPr>
            </w:pPr>
            <w:r>
              <w:rPr>
                <w:rFonts w:hint="eastAsia" w:ascii="Times New Roman" w:hAnsi="Times New Roman"/>
                <w:sz w:val="24"/>
              </w:rPr>
              <w:t>危险废物主要为实验室废物。实验室废物主要包括实验废液、擦拭废纸巾、废实验器具、废手套、废气样品属于H</w:t>
            </w:r>
            <w:r>
              <w:rPr>
                <w:rFonts w:ascii="Times New Roman" w:hAnsi="Times New Roman"/>
                <w:sz w:val="24"/>
              </w:rPr>
              <w:t>W49</w:t>
            </w:r>
            <w:r>
              <w:rPr>
                <w:rFonts w:hint="eastAsia" w:ascii="Times New Roman" w:hAnsi="Times New Roman"/>
                <w:sz w:val="24"/>
              </w:rPr>
              <w:t>其他废物，9</w:t>
            </w:r>
            <w:r>
              <w:rPr>
                <w:rFonts w:ascii="Times New Roman" w:hAnsi="Times New Roman"/>
                <w:sz w:val="24"/>
              </w:rPr>
              <w:t>00-047-49</w:t>
            </w:r>
            <w:r>
              <w:rPr>
                <w:rFonts w:hint="eastAsia" w:ascii="Times New Roman" w:hAnsi="Times New Roman"/>
                <w:sz w:val="24"/>
              </w:rPr>
              <w:t>生产、研究活动中，化学和生物实验室产生的含重金属无机废液、以及沾染上述物质的一次性实验用品、包装物、过滤吸附介质等，产生量约0</w:t>
            </w:r>
            <w:r>
              <w:rPr>
                <w:rFonts w:ascii="Times New Roman" w:hAnsi="Times New Roman"/>
                <w:sz w:val="24"/>
              </w:rPr>
              <w:t>.02</w:t>
            </w:r>
            <w:r>
              <w:rPr>
                <w:rFonts w:hint="eastAsia" w:ascii="Times New Roman" w:hAnsi="Times New Roman"/>
                <w:sz w:val="24"/>
              </w:rPr>
              <w:t>t</w:t>
            </w:r>
            <w:r>
              <w:rPr>
                <w:rFonts w:ascii="Times New Roman" w:hAnsi="Times New Roman"/>
                <w:sz w:val="24"/>
              </w:rPr>
              <w:t>/</w:t>
            </w:r>
            <w:r>
              <w:rPr>
                <w:rFonts w:hint="eastAsia" w:ascii="Times New Roman" w:hAnsi="Times New Roman"/>
                <w:sz w:val="24"/>
              </w:rPr>
              <w:t>a。另外香精生产原料中使用丙二醇、丁酸类包装桶，《国家危险废物名录》（</w:t>
            </w:r>
            <w:r>
              <w:rPr>
                <w:rFonts w:ascii="Times New Roman" w:hAnsi="Times New Roman"/>
                <w:sz w:val="24"/>
              </w:rPr>
              <w:t xml:space="preserve">2021 </w:t>
            </w:r>
            <w:r>
              <w:rPr>
                <w:rFonts w:hint="eastAsia" w:ascii="Times New Roman" w:hAnsi="Times New Roman"/>
                <w:sz w:val="24"/>
              </w:rPr>
              <w:t>年版），废有机溶剂包装桶属于危险废物，废物类别</w:t>
            </w:r>
            <w:r>
              <w:rPr>
                <w:rFonts w:ascii="Times New Roman" w:hAnsi="Times New Roman"/>
                <w:sz w:val="24"/>
              </w:rPr>
              <w:t xml:space="preserve">HW49 </w:t>
            </w:r>
            <w:r>
              <w:rPr>
                <w:rFonts w:hint="eastAsia" w:ascii="Times New Roman" w:hAnsi="Times New Roman"/>
                <w:sz w:val="24"/>
              </w:rPr>
              <w:t>其他废物（废物代码</w:t>
            </w:r>
            <w:r>
              <w:rPr>
                <w:rFonts w:ascii="Times New Roman" w:hAnsi="Times New Roman"/>
                <w:sz w:val="24"/>
              </w:rPr>
              <w:t>900-041-49</w:t>
            </w:r>
            <w:r>
              <w:rPr>
                <w:rFonts w:hint="eastAsia" w:ascii="Times New Roman" w:hAnsi="Times New Roman"/>
                <w:sz w:val="24"/>
              </w:rPr>
              <w:t>），废有机溶剂包装桶暂存于危废暂存间，交由有危废处置资质的公司处置，产生量约0</w:t>
            </w:r>
            <w:r>
              <w:rPr>
                <w:rFonts w:ascii="Times New Roman" w:hAnsi="Times New Roman"/>
                <w:sz w:val="24"/>
              </w:rPr>
              <w:t>.05</w:t>
            </w:r>
            <w:r>
              <w:rPr>
                <w:rFonts w:hint="eastAsia" w:ascii="Times New Roman" w:hAnsi="Times New Roman"/>
                <w:sz w:val="24"/>
              </w:rPr>
              <w:t>t</w:t>
            </w:r>
            <w:r>
              <w:rPr>
                <w:rFonts w:ascii="Times New Roman" w:hAnsi="Times New Roman"/>
                <w:sz w:val="24"/>
              </w:rPr>
              <w:t>/</w:t>
            </w:r>
            <w:r>
              <w:rPr>
                <w:rFonts w:hint="eastAsia" w:ascii="Times New Roman" w:hAnsi="Times New Roman"/>
                <w:sz w:val="24"/>
              </w:rPr>
              <w:t>a。</w:t>
            </w:r>
          </w:p>
          <w:p>
            <w:pPr>
              <w:adjustRightInd w:val="0"/>
              <w:snapToGrid w:val="0"/>
              <w:spacing w:line="400" w:lineRule="exact"/>
              <w:jc w:val="center"/>
              <w:rPr>
                <w:b/>
                <w:sz w:val="24"/>
              </w:rPr>
            </w:pPr>
            <w:r>
              <w:rPr>
                <w:rFonts w:hint="eastAsia"/>
                <w:b/>
                <w:sz w:val="24"/>
              </w:rPr>
              <w:t>表4-</w:t>
            </w:r>
            <w:r>
              <w:rPr>
                <w:b/>
                <w:sz w:val="24"/>
              </w:rPr>
              <w:t>17</w:t>
            </w:r>
            <w:r>
              <w:rPr>
                <w:rFonts w:hint="eastAsia"/>
                <w:b/>
                <w:sz w:val="24"/>
              </w:rPr>
              <w:t>一期工程、二期工程危险废物产生情况一览表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837"/>
              <w:gridCol w:w="799"/>
              <w:gridCol w:w="1471"/>
              <w:gridCol w:w="983"/>
              <w:gridCol w:w="888"/>
              <w:gridCol w:w="654"/>
              <w:gridCol w:w="638"/>
              <w:gridCol w:w="638"/>
              <w:gridCol w:w="9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99" w:type="pct"/>
                  <w:vAlign w:val="center"/>
                </w:tcPr>
                <w:p>
                  <w:pPr>
                    <w:topLinePunct/>
                    <w:adjustRightInd w:val="0"/>
                    <w:snapToGrid w:val="0"/>
                    <w:jc w:val="center"/>
                    <w:rPr>
                      <w:kern w:val="0"/>
                      <w:szCs w:val="21"/>
                    </w:rPr>
                  </w:pPr>
                  <w:r>
                    <w:rPr>
                      <w:rFonts w:hint="eastAsia"/>
                      <w:kern w:val="0"/>
                      <w:szCs w:val="21"/>
                    </w:rPr>
                    <w:t>序号</w:t>
                  </w:r>
                </w:p>
              </w:tc>
              <w:tc>
                <w:tcPr>
                  <w:tcW w:w="499" w:type="pct"/>
                  <w:vAlign w:val="center"/>
                </w:tcPr>
                <w:p>
                  <w:pPr>
                    <w:topLinePunct/>
                    <w:adjustRightInd w:val="0"/>
                    <w:snapToGrid w:val="0"/>
                    <w:jc w:val="center"/>
                    <w:rPr>
                      <w:kern w:val="0"/>
                      <w:szCs w:val="21"/>
                    </w:rPr>
                  </w:pPr>
                  <w:r>
                    <w:rPr>
                      <w:rFonts w:hint="eastAsia"/>
                      <w:kern w:val="0"/>
                      <w:szCs w:val="21"/>
                    </w:rPr>
                    <w:t>危险废物名称</w:t>
                  </w:r>
                </w:p>
              </w:tc>
              <w:tc>
                <w:tcPr>
                  <w:tcW w:w="476" w:type="pct"/>
                  <w:vAlign w:val="center"/>
                </w:tcPr>
                <w:p>
                  <w:pPr>
                    <w:topLinePunct/>
                    <w:adjustRightInd w:val="0"/>
                    <w:snapToGrid w:val="0"/>
                    <w:jc w:val="center"/>
                    <w:rPr>
                      <w:kern w:val="0"/>
                      <w:szCs w:val="21"/>
                    </w:rPr>
                  </w:pPr>
                  <w:r>
                    <w:rPr>
                      <w:rFonts w:hint="eastAsia"/>
                      <w:kern w:val="0"/>
                      <w:szCs w:val="21"/>
                    </w:rPr>
                    <w:t>危险废物类别</w:t>
                  </w:r>
                </w:p>
              </w:tc>
              <w:tc>
                <w:tcPr>
                  <w:tcW w:w="877" w:type="pct"/>
                  <w:vAlign w:val="center"/>
                </w:tcPr>
                <w:p>
                  <w:pPr>
                    <w:topLinePunct/>
                    <w:adjustRightInd w:val="0"/>
                    <w:snapToGrid w:val="0"/>
                    <w:jc w:val="center"/>
                    <w:rPr>
                      <w:kern w:val="0"/>
                      <w:szCs w:val="21"/>
                    </w:rPr>
                  </w:pPr>
                  <w:r>
                    <w:rPr>
                      <w:rFonts w:hint="eastAsia"/>
                      <w:kern w:val="0"/>
                      <w:szCs w:val="21"/>
                    </w:rPr>
                    <w:t>危险废物代码</w:t>
                  </w:r>
                </w:p>
              </w:tc>
              <w:tc>
                <w:tcPr>
                  <w:tcW w:w="586" w:type="pct"/>
                  <w:vAlign w:val="center"/>
                </w:tcPr>
                <w:p>
                  <w:pPr>
                    <w:topLinePunct/>
                    <w:adjustRightInd w:val="0"/>
                    <w:snapToGrid w:val="0"/>
                    <w:jc w:val="center"/>
                    <w:rPr>
                      <w:kern w:val="0"/>
                      <w:szCs w:val="21"/>
                    </w:rPr>
                  </w:pPr>
                  <w:r>
                    <w:rPr>
                      <w:rFonts w:hint="eastAsia"/>
                      <w:kern w:val="0"/>
                      <w:szCs w:val="21"/>
                    </w:rPr>
                    <w:t>产生量（吨/年）</w:t>
                  </w:r>
                </w:p>
              </w:tc>
              <w:tc>
                <w:tcPr>
                  <w:tcW w:w="529" w:type="pct"/>
                  <w:vAlign w:val="center"/>
                </w:tcPr>
                <w:p>
                  <w:pPr>
                    <w:topLinePunct/>
                    <w:adjustRightInd w:val="0"/>
                    <w:snapToGrid w:val="0"/>
                    <w:jc w:val="center"/>
                    <w:rPr>
                      <w:kern w:val="0"/>
                      <w:szCs w:val="21"/>
                    </w:rPr>
                  </w:pPr>
                  <w:r>
                    <w:rPr>
                      <w:rFonts w:hint="eastAsia"/>
                      <w:kern w:val="0"/>
                      <w:szCs w:val="21"/>
                    </w:rPr>
                    <w:t>产生工序及装置</w:t>
                  </w:r>
                </w:p>
              </w:tc>
              <w:tc>
                <w:tcPr>
                  <w:tcW w:w="390" w:type="pct"/>
                  <w:vAlign w:val="center"/>
                </w:tcPr>
                <w:p>
                  <w:pPr>
                    <w:topLinePunct/>
                    <w:adjustRightInd w:val="0"/>
                    <w:snapToGrid w:val="0"/>
                    <w:jc w:val="center"/>
                    <w:rPr>
                      <w:kern w:val="0"/>
                      <w:szCs w:val="21"/>
                    </w:rPr>
                  </w:pPr>
                  <w:r>
                    <w:rPr>
                      <w:rFonts w:hint="eastAsia"/>
                      <w:kern w:val="0"/>
                      <w:szCs w:val="21"/>
                    </w:rPr>
                    <w:t>形态</w:t>
                  </w:r>
                </w:p>
              </w:tc>
              <w:tc>
                <w:tcPr>
                  <w:tcW w:w="380" w:type="pct"/>
                  <w:vAlign w:val="center"/>
                </w:tcPr>
                <w:p>
                  <w:pPr>
                    <w:topLinePunct/>
                    <w:adjustRightInd w:val="0"/>
                    <w:snapToGrid w:val="0"/>
                    <w:jc w:val="center"/>
                    <w:rPr>
                      <w:kern w:val="0"/>
                      <w:szCs w:val="21"/>
                    </w:rPr>
                  </w:pPr>
                  <w:r>
                    <w:rPr>
                      <w:rFonts w:hint="eastAsia"/>
                      <w:kern w:val="0"/>
                      <w:szCs w:val="21"/>
                    </w:rPr>
                    <w:t>主要成分</w:t>
                  </w:r>
                </w:p>
              </w:tc>
              <w:tc>
                <w:tcPr>
                  <w:tcW w:w="380" w:type="pct"/>
                  <w:vAlign w:val="center"/>
                </w:tcPr>
                <w:p>
                  <w:pPr>
                    <w:topLinePunct/>
                    <w:adjustRightInd w:val="0"/>
                    <w:snapToGrid w:val="0"/>
                    <w:jc w:val="center"/>
                    <w:rPr>
                      <w:kern w:val="0"/>
                      <w:szCs w:val="21"/>
                    </w:rPr>
                  </w:pPr>
                  <w:r>
                    <w:rPr>
                      <w:rFonts w:hint="eastAsia"/>
                      <w:kern w:val="0"/>
                      <w:szCs w:val="21"/>
                    </w:rPr>
                    <w:t>产废周期</w:t>
                  </w:r>
                </w:p>
              </w:tc>
              <w:tc>
                <w:tcPr>
                  <w:tcW w:w="583" w:type="pct"/>
                  <w:vAlign w:val="center"/>
                </w:tcPr>
                <w:p>
                  <w:pPr>
                    <w:topLinePunct/>
                    <w:adjustRightInd w:val="0"/>
                    <w:snapToGrid w:val="0"/>
                    <w:jc w:val="center"/>
                    <w:rPr>
                      <w:kern w:val="0"/>
                      <w:szCs w:val="21"/>
                    </w:rPr>
                  </w:pPr>
                  <w:r>
                    <w:rPr>
                      <w:rFonts w:hint="eastAsia"/>
                      <w:kern w:val="0"/>
                      <w:szCs w:val="21"/>
                    </w:rPr>
                    <w:t>危险</w:t>
                  </w:r>
                </w:p>
                <w:p>
                  <w:pPr>
                    <w:topLinePunct/>
                    <w:adjustRightInd w:val="0"/>
                    <w:snapToGrid w:val="0"/>
                    <w:jc w:val="center"/>
                    <w:rPr>
                      <w:kern w:val="0"/>
                      <w:szCs w:val="21"/>
                    </w:rPr>
                  </w:pPr>
                  <w:r>
                    <w:rPr>
                      <w:rFonts w:hint="eastAsia"/>
                      <w:kern w:val="0"/>
                      <w:szCs w:val="21"/>
                    </w:rPr>
                    <w:t>特性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Align w:val="center"/>
                </w:tcPr>
                <w:p>
                  <w:pPr>
                    <w:topLinePunct/>
                    <w:adjustRightInd w:val="0"/>
                    <w:snapToGrid w:val="0"/>
                    <w:jc w:val="center"/>
                    <w:rPr>
                      <w:kern w:val="0"/>
                      <w:szCs w:val="21"/>
                    </w:rPr>
                  </w:pPr>
                  <w:r>
                    <w:rPr>
                      <w:kern w:val="0"/>
                      <w:szCs w:val="21"/>
                    </w:rPr>
                    <w:t>1</w:t>
                  </w:r>
                </w:p>
              </w:tc>
              <w:tc>
                <w:tcPr>
                  <w:tcW w:w="499" w:type="pct"/>
                  <w:vAlign w:val="center"/>
                </w:tcPr>
                <w:p>
                  <w:pPr>
                    <w:spacing w:line="240" w:lineRule="exact"/>
                    <w:jc w:val="center"/>
                    <w:rPr>
                      <w:kern w:val="0"/>
                      <w:szCs w:val="21"/>
                    </w:rPr>
                  </w:pPr>
                  <w:r>
                    <w:rPr>
                      <w:rFonts w:hint="eastAsia"/>
                      <w:kern w:val="0"/>
                      <w:szCs w:val="21"/>
                    </w:rPr>
                    <w:t>实验室废物</w:t>
                  </w:r>
                </w:p>
              </w:tc>
              <w:tc>
                <w:tcPr>
                  <w:tcW w:w="476" w:type="pct"/>
                  <w:vAlign w:val="center"/>
                </w:tcPr>
                <w:p>
                  <w:pPr>
                    <w:tabs>
                      <w:tab w:val="left" w:pos="-1260"/>
                    </w:tabs>
                    <w:spacing w:line="240" w:lineRule="exact"/>
                    <w:jc w:val="center"/>
                    <w:rPr>
                      <w:rFonts w:cs="宋体"/>
                      <w:szCs w:val="21"/>
                    </w:rPr>
                  </w:pPr>
                  <w:r>
                    <w:rPr>
                      <w:rFonts w:hint="eastAsia" w:cs="宋体"/>
                      <w:szCs w:val="21"/>
                    </w:rPr>
                    <w:t>H</w:t>
                  </w:r>
                  <w:r>
                    <w:rPr>
                      <w:rFonts w:cs="宋体"/>
                      <w:szCs w:val="21"/>
                    </w:rPr>
                    <w:t>W49</w:t>
                  </w:r>
                </w:p>
              </w:tc>
              <w:tc>
                <w:tcPr>
                  <w:tcW w:w="877" w:type="pct"/>
                  <w:vAlign w:val="center"/>
                </w:tcPr>
                <w:p>
                  <w:pPr>
                    <w:topLinePunct/>
                    <w:adjustRightInd w:val="0"/>
                    <w:snapToGrid w:val="0"/>
                    <w:jc w:val="center"/>
                    <w:rPr>
                      <w:rFonts w:cs="宋体"/>
                      <w:spacing w:val="-10"/>
                      <w:szCs w:val="21"/>
                    </w:rPr>
                  </w:pPr>
                  <w:r>
                    <w:rPr>
                      <w:rFonts w:hint="eastAsia"/>
                      <w:szCs w:val="21"/>
                    </w:rPr>
                    <w:t>9</w:t>
                  </w:r>
                  <w:r>
                    <w:rPr>
                      <w:szCs w:val="21"/>
                    </w:rPr>
                    <w:t>00-047-49</w:t>
                  </w:r>
                </w:p>
              </w:tc>
              <w:tc>
                <w:tcPr>
                  <w:tcW w:w="586" w:type="pct"/>
                  <w:vAlign w:val="center"/>
                </w:tcPr>
                <w:p>
                  <w:pPr>
                    <w:topLinePunct/>
                    <w:adjustRightInd w:val="0"/>
                    <w:snapToGrid w:val="0"/>
                    <w:jc w:val="center"/>
                    <w:rPr>
                      <w:kern w:val="0"/>
                      <w:szCs w:val="21"/>
                    </w:rPr>
                  </w:pPr>
                  <w:r>
                    <w:rPr>
                      <w:rFonts w:hint="eastAsia"/>
                      <w:kern w:val="0"/>
                      <w:szCs w:val="21"/>
                    </w:rPr>
                    <w:t>0</w:t>
                  </w:r>
                  <w:r>
                    <w:rPr>
                      <w:kern w:val="0"/>
                      <w:szCs w:val="21"/>
                    </w:rPr>
                    <w:t>.02</w:t>
                  </w:r>
                </w:p>
              </w:tc>
              <w:tc>
                <w:tcPr>
                  <w:tcW w:w="529" w:type="pct"/>
                  <w:vAlign w:val="center"/>
                </w:tcPr>
                <w:p>
                  <w:pPr>
                    <w:topLinePunct/>
                    <w:adjustRightInd w:val="0"/>
                    <w:snapToGrid w:val="0"/>
                    <w:jc w:val="center"/>
                    <w:rPr>
                      <w:kern w:val="0"/>
                      <w:szCs w:val="21"/>
                    </w:rPr>
                  </w:pPr>
                  <w:r>
                    <w:rPr>
                      <w:rFonts w:hint="eastAsia"/>
                      <w:kern w:val="0"/>
                      <w:szCs w:val="21"/>
                    </w:rPr>
                    <w:t>实验</w:t>
                  </w:r>
                </w:p>
              </w:tc>
              <w:tc>
                <w:tcPr>
                  <w:tcW w:w="390" w:type="pct"/>
                  <w:vAlign w:val="center"/>
                </w:tcPr>
                <w:p>
                  <w:pPr>
                    <w:topLinePunct/>
                    <w:adjustRightInd w:val="0"/>
                    <w:snapToGrid w:val="0"/>
                    <w:jc w:val="center"/>
                    <w:rPr>
                      <w:kern w:val="0"/>
                      <w:szCs w:val="21"/>
                    </w:rPr>
                  </w:pPr>
                  <w:r>
                    <w:rPr>
                      <w:rFonts w:hint="eastAsia"/>
                      <w:kern w:val="0"/>
                      <w:szCs w:val="21"/>
                    </w:rPr>
                    <w:t>固态、液态</w:t>
                  </w:r>
                </w:p>
              </w:tc>
              <w:tc>
                <w:tcPr>
                  <w:tcW w:w="380" w:type="pct"/>
                  <w:vAlign w:val="center"/>
                </w:tcPr>
                <w:p>
                  <w:pPr>
                    <w:topLinePunct/>
                    <w:adjustRightInd w:val="0"/>
                    <w:snapToGrid w:val="0"/>
                    <w:jc w:val="center"/>
                    <w:rPr>
                      <w:kern w:val="0"/>
                      <w:szCs w:val="21"/>
                    </w:rPr>
                  </w:pPr>
                  <w:r>
                    <w:rPr>
                      <w:rFonts w:hint="eastAsia"/>
                      <w:kern w:val="0"/>
                      <w:szCs w:val="21"/>
                    </w:rPr>
                    <w:t>重金属</w:t>
                  </w:r>
                </w:p>
              </w:tc>
              <w:tc>
                <w:tcPr>
                  <w:tcW w:w="380" w:type="pct"/>
                  <w:vAlign w:val="center"/>
                </w:tcPr>
                <w:p>
                  <w:pPr>
                    <w:topLinePunct/>
                    <w:adjustRightInd w:val="0"/>
                    <w:snapToGrid w:val="0"/>
                    <w:jc w:val="center"/>
                    <w:rPr>
                      <w:kern w:val="0"/>
                      <w:szCs w:val="21"/>
                    </w:rPr>
                  </w:pPr>
                  <w:r>
                    <w:rPr>
                      <w:rFonts w:hint="eastAsia"/>
                      <w:kern w:val="0"/>
                      <w:szCs w:val="21"/>
                    </w:rPr>
                    <w:t>1次/批次</w:t>
                  </w:r>
                </w:p>
              </w:tc>
              <w:tc>
                <w:tcPr>
                  <w:tcW w:w="583" w:type="pct"/>
                  <w:vAlign w:val="center"/>
                </w:tcPr>
                <w:p>
                  <w:pPr>
                    <w:topLinePunct/>
                    <w:adjustRightInd w:val="0"/>
                    <w:snapToGrid w:val="0"/>
                    <w:jc w:val="center"/>
                    <w:rPr>
                      <w:kern w:val="0"/>
                      <w:szCs w:val="21"/>
                    </w:rPr>
                  </w:pPr>
                  <w:r>
                    <w:rPr>
                      <w:rFonts w:hint="eastAsia"/>
                      <w:kern w:val="0"/>
                      <w:szCs w:val="21"/>
                    </w:rPr>
                    <w:t>T</w:t>
                  </w:r>
                  <w:r>
                    <w:rPr>
                      <w:kern w:val="0"/>
                      <w:szCs w:val="21"/>
                    </w:rPr>
                    <w:t>/C/I/R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9" w:type="pct"/>
                  <w:vAlign w:val="center"/>
                </w:tcPr>
                <w:p>
                  <w:pPr>
                    <w:topLinePunct/>
                    <w:adjustRightInd w:val="0"/>
                    <w:snapToGrid w:val="0"/>
                    <w:jc w:val="center"/>
                    <w:rPr>
                      <w:kern w:val="0"/>
                      <w:szCs w:val="21"/>
                    </w:rPr>
                  </w:pPr>
                  <w:r>
                    <w:rPr>
                      <w:rFonts w:hint="eastAsia"/>
                      <w:kern w:val="0"/>
                      <w:szCs w:val="21"/>
                    </w:rPr>
                    <w:t>2</w:t>
                  </w:r>
                </w:p>
              </w:tc>
              <w:tc>
                <w:tcPr>
                  <w:tcW w:w="499" w:type="pct"/>
                  <w:vAlign w:val="center"/>
                </w:tcPr>
                <w:p>
                  <w:pPr>
                    <w:spacing w:line="240" w:lineRule="exact"/>
                    <w:jc w:val="center"/>
                    <w:rPr>
                      <w:kern w:val="0"/>
                      <w:szCs w:val="21"/>
                    </w:rPr>
                  </w:pPr>
                  <w:r>
                    <w:rPr>
                      <w:rFonts w:hint="eastAsia"/>
                      <w:kern w:val="0"/>
                      <w:szCs w:val="21"/>
                    </w:rPr>
                    <w:t>香精废包装物（沾染毒性、感染性危险废物）</w:t>
                  </w:r>
                </w:p>
              </w:tc>
              <w:tc>
                <w:tcPr>
                  <w:tcW w:w="476" w:type="pct"/>
                  <w:vAlign w:val="center"/>
                </w:tcPr>
                <w:p>
                  <w:pPr>
                    <w:tabs>
                      <w:tab w:val="left" w:pos="-1260"/>
                    </w:tabs>
                    <w:spacing w:line="240" w:lineRule="exact"/>
                    <w:jc w:val="center"/>
                    <w:rPr>
                      <w:rFonts w:cs="宋体"/>
                      <w:szCs w:val="21"/>
                    </w:rPr>
                  </w:pPr>
                  <w:r>
                    <w:rPr>
                      <w:rFonts w:hint="eastAsia" w:cs="宋体"/>
                      <w:szCs w:val="21"/>
                    </w:rPr>
                    <w:t>H</w:t>
                  </w:r>
                  <w:r>
                    <w:rPr>
                      <w:rFonts w:cs="宋体"/>
                      <w:szCs w:val="21"/>
                    </w:rPr>
                    <w:t>W49</w:t>
                  </w:r>
                </w:p>
              </w:tc>
              <w:tc>
                <w:tcPr>
                  <w:tcW w:w="877" w:type="pct"/>
                  <w:vAlign w:val="center"/>
                </w:tcPr>
                <w:p>
                  <w:pPr>
                    <w:topLinePunct/>
                    <w:adjustRightInd w:val="0"/>
                    <w:snapToGrid w:val="0"/>
                    <w:jc w:val="center"/>
                    <w:rPr>
                      <w:szCs w:val="21"/>
                    </w:rPr>
                  </w:pPr>
                  <w:r>
                    <w:rPr>
                      <w:rFonts w:hint="eastAsia"/>
                      <w:szCs w:val="21"/>
                    </w:rPr>
                    <w:t>9</w:t>
                  </w:r>
                  <w:r>
                    <w:rPr>
                      <w:szCs w:val="21"/>
                    </w:rPr>
                    <w:t>00-041-49</w:t>
                  </w:r>
                </w:p>
              </w:tc>
              <w:tc>
                <w:tcPr>
                  <w:tcW w:w="586" w:type="pct"/>
                  <w:vAlign w:val="center"/>
                </w:tcPr>
                <w:p>
                  <w:pPr>
                    <w:topLinePunct/>
                    <w:adjustRightInd w:val="0"/>
                    <w:snapToGrid w:val="0"/>
                    <w:jc w:val="center"/>
                    <w:rPr>
                      <w:kern w:val="0"/>
                      <w:szCs w:val="21"/>
                    </w:rPr>
                  </w:pPr>
                  <w:r>
                    <w:rPr>
                      <w:rFonts w:hint="eastAsia"/>
                      <w:kern w:val="0"/>
                      <w:szCs w:val="21"/>
                    </w:rPr>
                    <w:t>0</w:t>
                  </w:r>
                  <w:r>
                    <w:rPr>
                      <w:kern w:val="0"/>
                      <w:szCs w:val="21"/>
                    </w:rPr>
                    <w:t>.05</w:t>
                  </w:r>
                </w:p>
              </w:tc>
              <w:tc>
                <w:tcPr>
                  <w:tcW w:w="529" w:type="pct"/>
                  <w:vAlign w:val="center"/>
                </w:tcPr>
                <w:p>
                  <w:pPr>
                    <w:topLinePunct/>
                    <w:adjustRightInd w:val="0"/>
                    <w:snapToGrid w:val="0"/>
                    <w:jc w:val="center"/>
                    <w:rPr>
                      <w:kern w:val="0"/>
                      <w:szCs w:val="21"/>
                    </w:rPr>
                  </w:pPr>
                  <w:r>
                    <w:rPr>
                      <w:rFonts w:hint="eastAsia"/>
                      <w:kern w:val="0"/>
                      <w:szCs w:val="21"/>
                    </w:rPr>
                    <w:t>原料包装物</w:t>
                  </w:r>
                </w:p>
              </w:tc>
              <w:tc>
                <w:tcPr>
                  <w:tcW w:w="390" w:type="pct"/>
                  <w:vAlign w:val="center"/>
                </w:tcPr>
                <w:p>
                  <w:pPr>
                    <w:topLinePunct/>
                    <w:adjustRightInd w:val="0"/>
                    <w:snapToGrid w:val="0"/>
                    <w:jc w:val="center"/>
                    <w:rPr>
                      <w:kern w:val="0"/>
                      <w:szCs w:val="21"/>
                    </w:rPr>
                  </w:pPr>
                  <w:r>
                    <w:rPr>
                      <w:rFonts w:hint="eastAsia"/>
                      <w:kern w:val="0"/>
                      <w:szCs w:val="21"/>
                    </w:rPr>
                    <w:t>固态</w:t>
                  </w:r>
                </w:p>
              </w:tc>
              <w:tc>
                <w:tcPr>
                  <w:tcW w:w="380" w:type="pct"/>
                  <w:vAlign w:val="center"/>
                </w:tcPr>
                <w:p>
                  <w:pPr>
                    <w:topLinePunct/>
                    <w:adjustRightInd w:val="0"/>
                    <w:snapToGrid w:val="0"/>
                    <w:jc w:val="center"/>
                    <w:rPr>
                      <w:kern w:val="0"/>
                      <w:szCs w:val="21"/>
                    </w:rPr>
                  </w:pPr>
                  <w:r>
                    <w:rPr>
                      <w:rFonts w:hint="eastAsia"/>
                      <w:kern w:val="0"/>
                      <w:szCs w:val="21"/>
                    </w:rPr>
                    <w:t>毒性、感染性</w:t>
                  </w:r>
                </w:p>
              </w:tc>
              <w:tc>
                <w:tcPr>
                  <w:tcW w:w="380" w:type="pct"/>
                  <w:vAlign w:val="center"/>
                </w:tcPr>
                <w:p>
                  <w:pPr>
                    <w:topLinePunct/>
                    <w:adjustRightInd w:val="0"/>
                    <w:snapToGrid w:val="0"/>
                    <w:jc w:val="center"/>
                    <w:rPr>
                      <w:kern w:val="0"/>
                      <w:szCs w:val="21"/>
                    </w:rPr>
                  </w:pPr>
                  <w:r>
                    <w:rPr>
                      <w:rFonts w:hint="eastAsia"/>
                      <w:kern w:val="0"/>
                      <w:szCs w:val="21"/>
                    </w:rPr>
                    <w:t>每天</w:t>
                  </w:r>
                </w:p>
              </w:tc>
              <w:tc>
                <w:tcPr>
                  <w:tcW w:w="583" w:type="pct"/>
                  <w:vAlign w:val="center"/>
                </w:tcPr>
                <w:p>
                  <w:pPr>
                    <w:topLinePunct/>
                    <w:adjustRightInd w:val="0"/>
                    <w:snapToGrid w:val="0"/>
                    <w:jc w:val="center"/>
                    <w:rPr>
                      <w:kern w:val="0"/>
                      <w:szCs w:val="21"/>
                    </w:rPr>
                  </w:pPr>
                  <w:r>
                    <w:rPr>
                      <w:rFonts w:hint="eastAsia"/>
                      <w:kern w:val="0"/>
                      <w:szCs w:val="21"/>
                    </w:rPr>
                    <w:t>T</w:t>
                  </w:r>
                  <w:r>
                    <w:rPr>
                      <w:kern w:val="0"/>
                      <w:szCs w:val="21"/>
                    </w:rPr>
                    <w:t>/I</w:t>
                  </w:r>
                  <w:r>
                    <w:rPr>
                      <w:rFonts w:hint="eastAsia"/>
                      <w:kern w:val="0"/>
                      <w:szCs w:val="21"/>
                    </w:rPr>
                    <w:t>n</w:t>
                  </w:r>
                </w:p>
              </w:tc>
            </w:tr>
          </w:tbl>
          <w:p>
            <w:pPr>
              <w:adjustRightInd w:val="0"/>
              <w:snapToGrid w:val="0"/>
              <w:spacing w:line="400" w:lineRule="exact"/>
              <w:jc w:val="center"/>
              <w:rPr>
                <w:b/>
                <w:sz w:val="24"/>
              </w:rPr>
            </w:pPr>
            <w:r>
              <w:rPr>
                <w:rFonts w:hint="eastAsia"/>
                <w:b/>
                <w:sz w:val="24"/>
              </w:rPr>
              <w:t>表4-1</w:t>
            </w:r>
            <w:r>
              <w:rPr>
                <w:b/>
                <w:sz w:val="24"/>
              </w:rPr>
              <w:t xml:space="preserve">8 </w:t>
            </w:r>
            <w:r>
              <w:rPr>
                <w:rFonts w:hint="eastAsia"/>
                <w:b/>
                <w:sz w:val="24"/>
              </w:rPr>
              <w:t>危险废物贮存场所基本情况表</w:t>
            </w:r>
          </w:p>
          <w:tbl>
            <w:tblPr>
              <w:tblStyle w:val="21"/>
              <w:tblW w:w="498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486"/>
              <w:gridCol w:w="850"/>
              <w:gridCol w:w="1360"/>
              <w:gridCol w:w="545"/>
              <w:gridCol w:w="847"/>
              <w:gridCol w:w="898"/>
              <w:gridCol w:w="913"/>
              <w:gridCol w:w="7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64" w:hRule="atLeast"/>
                <w:jc w:val="center"/>
              </w:trPr>
              <w:tc>
                <w:tcPr>
                  <w:tcW w:w="417" w:type="pct"/>
                  <w:vAlign w:val="center"/>
                </w:tcPr>
                <w:p>
                  <w:pPr>
                    <w:pStyle w:val="89"/>
                    <w:widowControl w:val="0"/>
                    <w:rPr>
                      <w:rFonts w:ascii="Times New Roman" w:hAnsi="Times New Roman"/>
                      <w:kern w:val="2"/>
                      <w:szCs w:val="21"/>
                    </w:rPr>
                  </w:pPr>
                  <w:r>
                    <w:rPr>
                      <w:rFonts w:hint="eastAsia" w:ascii="Times New Roman" w:hAnsi="Times New Roman"/>
                      <w:kern w:val="2"/>
                      <w:szCs w:val="21"/>
                    </w:rPr>
                    <w:t>贮存场所名称</w:t>
                  </w:r>
                </w:p>
              </w:tc>
              <w:tc>
                <w:tcPr>
                  <w:tcW w:w="888" w:type="pct"/>
                  <w:vAlign w:val="center"/>
                </w:tcPr>
                <w:p>
                  <w:pPr>
                    <w:pStyle w:val="89"/>
                    <w:widowControl w:val="0"/>
                    <w:rPr>
                      <w:rFonts w:ascii="Times New Roman" w:hAnsi="Times New Roman"/>
                      <w:kern w:val="2"/>
                      <w:szCs w:val="21"/>
                    </w:rPr>
                  </w:pPr>
                  <w:r>
                    <w:rPr>
                      <w:rFonts w:hint="eastAsia" w:ascii="Times New Roman" w:hAnsi="Times New Roman"/>
                      <w:kern w:val="2"/>
                      <w:szCs w:val="21"/>
                    </w:rPr>
                    <w:t>危险废物名称</w:t>
                  </w:r>
                </w:p>
              </w:tc>
              <w:tc>
                <w:tcPr>
                  <w:tcW w:w="508" w:type="pct"/>
                  <w:vAlign w:val="center"/>
                </w:tcPr>
                <w:p>
                  <w:pPr>
                    <w:pStyle w:val="89"/>
                    <w:widowControl w:val="0"/>
                    <w:rPr>
                      <w:rFonts w:ascii="Times New Roman" w:hAnsi="Times New Roman"/>
                      <w:kern w:val="2"/>
                      <w:szCs w:val="21"/>
                    </w:rPr>
                  </w:pPr>
                  <w:r>
                    <w:rPr>
                      <w:rFonts w:hint="eastAsia" w:ascii="Times New Roman" w:hAnsi="Times New Roman"/>
                      <w:kern w:val="2"/>
                      <w:szCs w:val="21"/>
                    </w:rPr>
                    <w:t>危险废物类别</w:t>
                  </w:r>
                </w:p>
              </w:tc>
              <w:tc>
                <w:tcPr>
                  <w:tcW w:w="813" w:type="pct"/>
                  <w:vAlign w:val="center"/>
                </w:tcPr>
                <w:p>
                  <w:pPr>
                    <w:pStyle w:val="89"/>
                    <w:widowControl w:val="0"/>
                    <w:rPr>
                      <w:rFonts w:ascii="Times New Roman" w:hAnsi="Times New Roman"/>
                      <w:kern w:val="2"/>
                      <w:szCs w:val="21"/>
                    </w:rPr>
                  </w:pPr>
                  <w:r>
                    <w:rPr>
                      <w:rFonts w:hint="eastAsia" w:ascii="Times New Roman" w:hAnsi="Times New Roman"/>
                      <w:kern w:val="2"/>
                      <w:szCs w:val="21"/>
                    </w:rPr>
                    <w:t>危险废物代码</w:t>
                  </w:r>
                </w:p>
              </w:tc>
              <w:tc>
                <w:tcPr>
                  <w:tcW w:w="326" w:type="pct"/>
                  <w:vAlign w:val="center"/>
                </w:tcPr>
                <w:p>
                  <w:pPr>
                    <w:pStyle w:val="89"/>
                    <w:widowControl w:val="0"/>
                    <w:rPr>
                      <w:rFonts w:ascii="Times New Roman" w:hAnsi="Times New Roman"/>
                      <w:kern w:val="2"/>
                      <w:szCs w:val="21"/>
                    </w:rPr>
                  </w:pPr>
                  <w:r>
                    <w:rPr>
                      <w:rFonts w:hint="eastAsia" w:ascii="Times New Roman" w:hAnsi="Times New Roman"/>
                      <w:kern w:val="2"/>
                      <w:szCs w:val="21"/>
                    </w:rPr>
                    <w:t>位置</w:t>
                  </w:r>
                </w:p>
              </w:tc>
              <w:tc>
                <w:tcPr>
                  <w:tcW w:w="506" w:type="pct"/>
                  <w:vAlign w:val="center"/>
                </w:tcPr>
                <w:p>
                  <w:pPr>
                    <w:pStyle w:val="89"/>
                    <w:widowControl w:val="0"/>
                    <w:rPr>
                      <w:rFonts w:ascii="Times New Roman" w:hAnsi="Times New Roman"/>
                      <w:kern w:val="2"/>
                      <w:szCs w:val="21"/>
                    </w:rPr>
                  </w:pPr>
                  <w:r>
                    <w:rPr>
                      <w:rFonts w:hint="eastAsia" w:ascii="Times New Roman" w:hAnsi="Times New Roman"/>
                      <w:kern w:val="2"/>
                      <w:szCs w:val="21"/>
                    </w:rPr>
                    <w:t>占地面积</w:t>
                  </w:r>
                </w:p>
              </w:tc>
              <w:tc>
                <w:tcPr>
                  <w:tcW w:w="537" w:type="pct"/>
                  <w:vAlign w:val="center"/>
                </w:tcPr>
                <w:p>
                  <w:pPr>
                    <w:pStyle w:val="89"/>
                    <w:widowControl w:val="0"/>
                    <w:rPr>
                      <w:rFonts w:ascii="Times New Roman" w:hAnsi="Times New Roman"/>
                      <w:kern w:val="2"/>
                      <w:szCs w:val="21"/>
                    </w:rPr>
                  </w:pPr>
                  <w:r>
                    <w:rPr>
                      <w:rFonts w:hint="eastAsia" w:ascii="Times New Roman" w:hAnsi="Times New Roman"/>
                      <w:kern w:val="2"/>
                      <w:szCs w:val="21"/>
                    </w:rPr>
                    <w:t>贮存方式</w:t>
                  </w:r>
                </w:p>
              </w:tc>
              <w:tc>
                <w:tcPr>
                  <w:tcW w:w="546" w:type="pct"/>
                  <w:vAlign w:val="center"/>
                </w:tcPr>
                <w:p>
                  <w:pPr>
                    <w:pStyle w:val="89"/>
                    <w:widowControl w:val="0"/>
                    <w:rPr>
                      <w:rFonts w:ascii="Times New Roman" w:hAnsi="Times New Roman"/>
                      <w:kern w:val="2"/>
                      <w:szCs w:val="21"/>
                    </w:rPr>
                  </w:pPr>
                  <w:r>
                    <w:rPr>
                      <w:rFonts w:hint="eastAsia" w:ascii="Times New Roman" w:hAnsi="Times New Roman"/>
                      <w:kern w:val="2"/>
                      <w:szCs w:val="21"/>
                    </w:rPr>
                    <w:t>贮存能力</w:t>
                  </w:r>
                </w:p>
              </w:tc>
              <w:tc>
                <w:tcPr>
                  <w:tcW w:w="459" w:type="pct"/>
                  <w:vAlign w:val="center"/>
                </w:tcPr>
                <w:p>
                  <w:pPr>
                    <w:pStyle w:val="89"/>
                    <w:widowControl w:val="0"/>
                    <w:rPr>
                      <w:rFonts w:ascii="Times New Roman" w:hAnsi="Times New Roman"/>
                      <w:kern w:val="2"/>
                      <w:szCs w:val="21"/>
                    </w:rPr>
                  </w:pPr>
                  <w:r>
                    <w:rPr>
                      <w:rFonts w:hint="eastAsia" w:ascii="Times New Roman" w:hAnsi="Times New Roman"/>
                      <w:kern w:val="2"/>
                      <w:szCs w:val="21"/>
                    </w:rPr>
                    <w:t>贮存周期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17" w:type="pct"/>
                  <w:vMerge w:val="restart"/>
                  <w:vAlign w:val="center"/>
                </w:tcPr>
                <w:p>
                  <w:pPr>
                    <w:pStyle w:val="89"/>
                    <w:widowControl w:val="0"/>
                    <w:rPr>
                      <w:rFonts w:ascii="Times New Roman" w:hAnsi="Times New Roman"/>
                      <w:kern w:val="2"/>
                      <w:szCs w:val="21"/>
                    </w:rPr>
                  </w:pPr>
                  <w:r>
                    <w:rPr>
                      <w:rFonts w:hint="eastAsia" w:ascii="Times New Roman" w:hAnsi="Times New Roman"/>
                      <w:kern w:val="2"/>
                      <w:szCs w:val="21"/>
                    </w:rPr>
                    <w:t>危废间</w:t>
                  </w:r>
                </w:p>
              </w:tc>
              <w:tc>
                <w:tcPr>
                  <w:tcW w:w="888" w:type="pct"/>
                  <w:vAlign w:val="center"/>
                </w:tcPr>
                <w:p>
                  <w:pPr>
                    <w:pStyle w:val="89"/>
                    <w:widowControl w:val="0"/>
                    <w:rPr>
                      <w:rFonts w:ascii="Times New Roman" w:hAnsi="Times New Roman"/>
                      <w:szCs w:val="21"/>
                    </w:rPr>
                  </w:pPr>
                  <w:r>
                    <w:rPr>
                      <w:rFonts w:hint="eastAsia" w:ascii="Times New Roman" w:hAnsi="Times New Roman"/>
                      <w:szCs w:val="21"/>
                    </w:rPr>
                    <w:t>实验室废物</w:t>
                  </w:r>
                </w:p>
              </w:tc>
              <w:tc>
                <w:tcPr>
                  <w:tcW w:w="508" w:type="pct"/>
                  <w:vAlign w:val="center"/>
                </w:tcPr>
                <w:p>
                  <w:pPr>
                    <w:pStyle w:val="89"/>
                    <w:widowControl w:val="0"/>
                    <w:rPr>
                      <w:rFonts w:ascii="Times New Roman" w:hAnsi="Times New Roman" w:cs="宋体"/>
                      <w:szCs w:val="21"/>
                    </w:rPr>
                  </w:pPr>
                  <w:r>
                    <w:rPr>
                      <w:rFonts w:hint="eastAsia" w:ascii="Times New Roman" w:hAnsi="Times New Roman" w:cs="宋体"/>
                      <w:szCs w:val="21"/>
                    </w:rPr>
                    <w:t>H</w:t>
                  </w:r>
                  <w:r>
                    <w:rPr>
                      <w:rFonts w:ascii="Times New Roman" w:hAnsi="Times New Roman" w:cs="宋体"/>
                      <w:szCs w:val="21"/>
                    </w:rPr>
                    <w:t>W49</w:t>
                  </w:r>
                </w:p>
              </w:tc>
              <w:tc>
                <w:tcPr>
                  <w:tcW w:w="813" w:type="pct"/>
                  <w:vAlign w:val="center"/>
                </w:tcPr>
                <w:p>
                  <w:pPr>
                    <w:pStyle w:val="89"/>
                    <w:widowControl w:val="0"/>
                    <w:rPr>
                      <w:rFonts w:ascii="Times New Roman" w:hAnsi="Times New Roman" w:cs="宋体"/>
                      <w:spacing w:val="-10"/>
                      <w:szCs w:val="21"/>
                    </w:rPr>
                  </w:pPr>
                  <w:r>
                    <w:rPr>
                      <w:rFonts w:hint="eastAsia" w:ascii="Times New Roman" w:hAnsi="Times New Roman"/>
                      <w:szCs w:val="21"/>
                    </w:rPr>
                    <w:t>9</w:t>
                  </w:r>
                  <w:r>
                    <w:rPr>
                      <w:rFonts w:ascii="Times New Roman" w:hAnsi="Times New Roman"/>
                      <w:szCs w:val="21"/>
                    </w:rPr>
                    <w:t>00-047-49</w:t>
                  </w:r>
                </w:p>
              </w:tc>
              <w:tc>
                <w:tcPr>
                  <w:tcW w:w="326" w:type="pct"/>
                  <w:vMerge w:val="restart"/>
                  <w:vAlign w:val="center"/>
                </w:tcPr>
                <w:p>
                  <w:pPr>
                    <w:pStyle w:val="89"/>
                    <w:widowControl w:val="0"/>
                    <w:rPr>
                      <w:rFonts w:ascii="Times New Roman" w:hAnsi="Times New Roman"/>
                      <w:kern w:val="2"/>
                      <w:szCs w:val="21"/>
                    </w:rPr>
                  </w:pPr>
                  <w:r>
                    <w:rPr>
                      <w:rFonts w:hint="eastAsia" w:ascii="Times New Roman" w:hAnsi="Times New Roman"/>
                      <w:kern w:val="2"/>
                      <w:szCs w:val="21"/>
                    </w:rPr>
                    <w:t>一层生产车间</w:t>
                  </w:r>
                </w:p>
              </w:tc>
              <w:tc>
                <w:tcPr>
                  <w:tcW w:w="506" w:type="pct"/>
                  <w:vMerge w:val="restart"/>
                  <w:vAlign w:val="center"/>
                </w:tcPr>
                <w:p>
                  <w:pPr>
                    <w:pStyle w:val="89"/>
                    <w:widowControl w:val="0"/>
                    <w:rPr>
                      <w:rFonts w:ascii="Times New Roman" w:hAnsi="Times New Roman"/>
                      <w:kern w:val="2"/>
                      <w:szCs w:val="21"/>
                    </w:rPr>
                  </w:pPr>
                  <w:r>
                    <w:rPr>
                      <w:rFonts w:hint="eastAsia" w:ascii="Times New Roman" w:hAnsi="Times New Roman"/>
                      <w:kern w:val="2"/>
                      <w:szCs w:val="21"/>
                    </w:rPr>
                    <w:t>1</w:t>
                  </w:r>
                  <w:r>
                    <w:rPr>
                      <w:rFonts w:ascii="Times New Roman" w:hAnsi="Times New Roman"/>
                      <w:kern w:val="2"/>
                      <w:szCs w:val="21"/>
                    </w:rPr>
                    <w:t>0</w:t>
                  </w:r>
                  <w:r>
                    <w:rPr>
                      <w:rFonts w:hint="eastAsia" w:ascii="Times New Roman" w:hAnsi="Times New Roman"/>
                      <w:kern w:val="2"/>
                      <w:szCs w:val="21"/>
                    </w:rPr>
                    <w:t>m</w:t>
                  </w:r>
                  <w:r>
                    <w:rPr>
                      <w:rFonts w:ascii="Times New Roman" w:hAnsi="Times New Roman"/>
                      <w:kern w:val="2"/>
                      <w:szCs w:val="21"/>
                      <w:vertAlign w:val="superscript"/>
                    </w:rPr>
                    <w:t>2</w:t>
                  </w:r>
                </w:p>
              </w:tc>
              <w:tc>
                <w:tcPr>
                  <w:tcW w:w="537" w:type="pct"/>
                  <w:vMerge w:val="restart"/>
                  <w:vAlign w:val="center"/>
                </w:tcPr>
                <w:p>
                  <w:pPr>
                    <w:pStyle w:val="89"/>
                    <w:widowControl w:val="0"/>
                    <w:rPr>
                      <w:rFonts w:ascii="Times New Roman" w:hAnsi="Times New Roman"/>
                      <w:kern w:val="2"/>
                      <w:szCs w:val="21"/>
                    </w:rPr>
                  </w:pPr>
                  <w:r>
                    <w:rPr>
                      <w:rFonts w:hint="eastAsia" w:ascii="Times New Roman" w:hAnsi="Times New Roman"/>
                      <w:kern w:val="2"/>
                      <w:szCs w:val="21"/>
                    </w:rPr>
                    <w:t>桶装</w:t>
                  </w:r>
                </w:p>
              </w:tc>
              <w:tc>
                <w:tcPr>
                  <w:tcW w:w="546" w:type="pct"/>
                  <w:vMerge w:val="restart"/>
                  <w:vAlign w:val="center"/>
                </w:tcPr>
                <w:p>
                  <w:pPr>
                    <w:pStyle w:val="89"/>
                    <w:widowControl w:val="0"/>
                    <w:rPr>
                      <w:rFonts w:ascii="Times New Roman" w:hAnsi="Times New Roman"/>
                      <w:kern w:val="2"/>
                      <w:szCs w:val="21"/>
                    </w:rPr>
                  </w:pPr>
                  <w:r>
                    <w:rPr>
                      <w:rFonts w:ascii="Times New Roman" w:hAnsi="Times New Roman"/>
                      <w:kern w:val="2"/>
                      <w:szCs w:val="21"/>
                    </w:rPr>
                    <w:t>5</w:t>
                  </w:r>
                  <w:r>
                    <w:rPr>
                      <w:rFonts w:hint="eastAsia" w:ascii="Times New Roman" w:hAnsi="Times New Roman"/>
                      <w:kern w:val="2"/>
                      <w:szCs w:val="21"/>
                    </w:rPr>
                    <w:t>t</w:t>
                  </w:r>
                </w:p>
              </w:tc>
              <w:tc>
                <w:tcPr>
                  <w:tcW w:w="459" w:type="pct"/>
                  <w:vMerge w:val="restart"/>
                  <w:vAlign w:val="center"/>
                </w:tcPr>
                <w:p>
                  <w:pPr>
                    <w:pStyle w:val="89"/>
                    <w:widowControl w:val="0"/>
                    <w:rPr>
                      <w:rFonts w:ascii="Times New Roman" w:hAnsi="Times New Roman"/>
                      <w:kern w:val="2"/>
                      <w:szCs w:val="21"/>
                    </w:rPr>
                  </w:pPr>
                  <w:r>
                    <w:rPr>
                      <w:rFonts w:hint="eastAsia" w:ascii="Times New Roman" w:hAnsi="Times New Roman"/>
                      <w:kern w:val="2"/>
                      <w:szCs w:val="21"/>
                    </w:rPr>
                    <w:t>一年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17" w:type="pct"/>
                  <w:vMerge w:val="continue"/>
                  <w:vAlign w:val="center"/>
                </w:tcPr>
                <w:p>
                  <w:pPr>
                    <w:pStyle w:val="89"/>
                    <w:widowControl w:val="0"/>
                    <w:rPr>
                      <w:rFonts w:ascii="Times New Roman" w:hAnsi="Times New Roman"/>
                      <w:kern w:val="2"/>
                      <w:szCs w:val="21"/>
                    </w:rPr>
                  </w:pPr>
                </w:p>
              </w:tc>
              <w:tc>
                <w:tcPr>
                  <w:tcW w:w="888" w:type="pct"/>
                  <w:vAlign w:val="center"/>
                </w:tcPr>
                <w:p>
                  <w:pPr>
                    <w:pStyle w:val="89"/>
                    <w:widowControl w:val="0"/>
                    <w:rPr>
                      <w:rFonts w:ascii="Times New Roman" w:hAnsi="Times New Roman"/>
                      <w:szCs w:val="21"/>
                    </w:rPr>
                  </w:pPr>
                  <w:r>
                    <w:rPr>
                      <w:rFonts w:hint="eastAsia" w:ascii="Times New Roman" w:hAnsi="Times New Roman"/>
                      <w:szCs w:val="21"/>
                    </w:rPr>
                    <w:t>香精废包装物（沾染毒性、感染性危险废物）</w:t>
                  </w:r>
                </w:p>
              </w:tc>
              <w:tc>
                <w:tcPr>
                  <w:tcW w:w="508" w:type="pct"/>
                  <w:vAlign w:val="center"/>
                </w:tcPr>
                <w:p>
                  <w:pPr>
                    <w:pStyle w:val="89"/>
                    <w:widowControl w:val="0"/>
                    <w:rPr>
                      <w:rFonts w:ascii="Times New Roman" w:hAnsi="Times New Roman" w:cs="宋体"/>
                      <w:szCs w:val="21"/>
                    </w:rPr>
                  </w:pPr>
                  <w:r>
                    <w:rPr>
                      <w:rFonts w:hint="eastAsia" w:ascii="Times New Roman" w:hAnsi="Times New Roman" w:cs="宋体"/>
                      <w:szCs w:val="21"/>
                    </w:rPr>
                    <w:t>H</w:t>
                  </w:r>
                  <w:r>
                    <w:rPr>
                      <w:rFonts w:ascii="Times New Roman" w:hAnsi="Times New Roman" w:cs="宋体"/>
                      <w:szCs w:val="21"/>
                    </w:rPr>
                    <w:t>W49</w:t>
                  </w:r>
                </w:p>
              </w:tc>
              <w:tc>
                <w:tcPr>
                  <w:tcW w:w="813" w:type="pct"/>
                  <w:vAlign w:val="center"/>
                </w:tcPr>
                <w:p>
                  <w:pPr>
                    <w:pStyle w:val="89"/>
                    <w:widowControl w:val="0"/>
                    <w:rPr>
                      <w:rFonts w:ascii="Times New Roman" w:hAnsi="Times New Roman"/>
                      <w:szCs w:val="21"/>
                    </w:rPr>
                  </w:pPr>
                  <w:r>
                    <w:rPr>
                      <w:rFonts w:hint="eastAsia" w:ascii="Times New Roman" w:hAnsi="Times New Roman"/>
                      <w:szCs w:val="21"/>
                    </w:rPr>
                    <w:t>9</w:t>
                  </w:r>
                  <w:r>
                    <w:rPr>
                      <w:rFonts w:ascii="Times New Roman" w:hAnsi="Times New Roman"/>
                      <w:szCs w:val="21"/>
                    </w:rPr>
                    <w:t>00-041-49</w:t>
                  </w:r>
                </w:p>
              </w:tc>
              <w:tc>
                <w:tcPr>
                  <w:tcW w:w="326" w:type="pct"/>
                  <w:vMerge w:val="continue"/>
                  <w:vAlign w:val="center"/>
                </w:tcPr>
                <w:p>
                  <w:pPr>
                    <w:pStyle w:val="89"/>
                    <w:widowControl w:val="0"/>
                    <w:rPr>
                      <w:rFonts w:ascii="Times New Roman" w:hAnsi="Times New Roman"/>
                      <w:kern w:val="2"/>
                      <w:szCs w:val="21"/>
                    </w:rPr>
                  </w:pPr>
                </w:p>
              </w:tc>
              <w:tc>
                <w:tcPr>
                  <w:tcW w:w="506" w:type="pct"/>
                  <w:vMerge w:val="continue"/>
                  <w:vAlign w:val="center"/>
                </w:tcPr>
                <w:p>
                  <w:pPr>
                    <w:pStyle w:val="89"/>
                    <w:widowControl w:val="0"/>
                    <w:rPr>
                      <w:rFonts w:ascii="Times New Roman" w:hAnsi="Times New Roman"/>
                      <w:kern w:val="2"/>
                      <w:szCs w:val="21"/>
                    </w:rPr>
                  </w:pPr>
                </w:p>
              </w:tc>
              <w:tc>
                <w:tcPr>
                  <w:tcW w:w="537" w:type="pct"/>
                  <w:vMerge w:val="continue"/>
                  <w:vAlign w:val="center"/>
                </w:tcPr>
                <w:p>
                  <w:pPr>
                    <w:pStyle w:val="89"/>
                    <w:widowControl w:val="0"/>
                    <w:rPr>
                      <w:rFonts w:ascii="Times New Roman" w:hAnsi="Times New Roman"/>
                      <w:kern w:val="2"/>
                      <w:szCs w:val="21"/>
                    </w:rPr>
                  </w:pPr>
                </w:p>
              </w:tc>
              <w:tc>
                <w:tcPr>
                  <w:tcW w:w="546" w:type="pct"/>
                  <w:vMerge w:val="continue"/>
                  <w:vAlign w:val="center"/>
                </w:tcPr>
                <w:p>
                  <w:pPr>
                    <w:pStyle w:val="89"/>
                    <w:widowControl w:val="0"/>
                    <w:rPr>
                      <w:rFonts w:ascii="Times New Roman" w:hAnsi="Times New Roman"/>
                      <w:kern w:val="2"/>
                      <w:szCs w:val="21"/>
                    </w:rPr>
                  </w:pPr>
                </w:p>
              </w:tc>
              <w:tc>
                <w:tcPr>
                  <w:tcW w:w="459" w:type="pct"/>
                  <w:vMerge w:val="continue"/>
                  <w:vAlign w:val="center"/>
                </w:tcPr>
                <w:p>
                  <w:pPr>
                    <w:pStyle w:val="89"/>
                    <w:widowControl w:val="0"/>
                    <w:rPr>
                      <w:rFonts w:ascii="Times New Roman" w:hAnsi="Times New Roman"/>
                      <w:kern w:val="2"/>
                      <w:szCs w:val="21"/>
                    </w:rPr>
                  </w:pPr>
                </w:p>
              </w:tc>
            </w:tr>
          </w:tbl>
          <w:p>
            <w:pPr>
              <w:spacing w:before="161" w:line="377" w:lineRule="auto"/>
              <w:ind w:left="104" w:right="47" w:firstLine="250" w:firstLineChars="100"/>
              <w:rPr>
                <w:rFonts w:cs="宋体"/>
                <w:spacing w:val="9"/>
                <w:sz w:val="24"/>
              </w:rPr>
            </w:pPr>
            <w:r>
              <w:rPr>
                <w:rFonts w:cs="宋体"/>
                <w:spacing w:val="5"/>
                <w:sz w:val="24"/>
              </w:rPr>
              <w:t>厂区</w:t>
            </w:r>
            <w:r>
              <w:rPr>
                <w:rFonts w:hint="eastAsia" w:cs="宋体"/>
                <w:spacing w:val="5"/>
                <w:sz w:val="24"/>
              </w:rPr>
              <w:t>新建</w:t>
            </w:r>
            <w:r>
              <w:rPr>
                <w:spacing w:val="5"/>
                <w:sz w:val="24"/>
              </w:rPr>
              <w:t>1</w:t>
            </w:r>
            <w:r>
              <w:rPr>
                <w:rFonts w:cs="宋体"/>
                <w:spacing w:val="5"/>
                <w:sz w:val="24"/>
              </w:rPr>
              <w:t>座</w:t>
            </w:r>
            <w:r>
              <w:rPr>
                <w:spacing w:val="5"/>
                <w:sz w:val="24"/>
              </w:rPr>
              <w:t>10</w:t>
            </w:r>
            <w:r>
              <w:rPr>
                <w:sz w:val="24"/>
              </w:rPr>
              <w:t>m</w:t>
            </w:r>
            <w:r>
              <w:rPr>
                <w:spacing w:val="5"/>
                <w:position w:val="6"/>
                <w:szCs w:val="21"/>
              </w:rPr>
              <w:t>2</w:t>
            </w:r>
            <w:r>
              <w:rPr>
                <w:spacing w:val="5"/>
                <w:position w:val="6"/>
                <w:sz w:val="24"/>
              </w:rPr>
              <w:t xml:space="preserve"> </w:t>
            </w:r>
            <w:r>
              <w:rPr>
                <w:rFonts w:cs="宋体"/>
                <w:spacing w:val="5"/>
                <w:sz w:val="24"/>
              </w:rPr>
              <w:t>危险废物</w:t>
            </w:r>
            <w:r>
              <w:rPr>
                <w:rFonts w:cs="宋体"/>
                <w:spacing w:val="1"/>
                <w:sz w:val="24"/>
              </w:rPr>
              <w:t>贮</w:t>
            </w:r>
            <w:r>
              <w:rPr>
                <w:rFonts w:cs="宋体"/>
                <w:sz w:val="24"/>
              </w:rPr>
              <w:t>存</w:t>
            </w:r>
            <w:r>
              <w:rPr>
                <w:rFonts w:hint="eastAsia" w:cs="宋体"/>
                <w:spacing w:val="4"/>
                <w:sz w:val="24"/>
              </w:rPr>
              <w:t>间</w:t>
            </w:r>
            <w:r>
              <w:rPr>
                <w:rFonts w:hint="eastAsia" w:cs="宋体"/>
                <w:spacing w:val="9"/>
                <w:sz w:val="24"/>
              </w:rPr>
              <w:t>，最大储存量5吨，本项目年产生量约0</w:t>
            </w:r>
            <w:r>
              <w:rPr>
                <w:rFonts w:cs="宋体"/>
                <w:spacing w:val="9"/>
                <w:sz w:val="24"/>
              </w:rPr>
              <w:t>.12</w:t>
            </w:r>
            <w:r>
              <w:rPr>
                <w:rFonts w:hint="eastAsia" w:cs="宋体"/>
                <w:spacing w:val="9"/>
                <w:sz w:val="24"/>
              </w:rPr>
              <w:t>t，能够满足项目危废暂存需求。</w:t>
            </w:r>
          </w:p>
          <w:p>
            <w:pPr>
              <w:spacing w:before="161" w:line="377" w:lineRule="auto"/>
              <w:ind w:left="104" w:right="47" w:firstLine="516" w:firstLineChars="200"/>
              <w:rPr>
                <w:rFonts w:cs="宋体"/>
                <w:sz w:val="24"/>
              </w:rPr>
            </w:pPr>
            <w:r>
              <w:rPr>
                <w:rFonts w:hint="eastAsia" w:cs="宋体"/>
                <w:spacing w:val="9"/>
                <w:sz w:val="24"/>
              </w:rPr>
              <w:t>实验室废物桶装及沾染毒性原料桶，</w:t>
            </w:r>
            <w:r>
              <w:rPr>
                <w:rFonts w:cs="宋体"/>
                <w:spacing w:val="9"/>
                <w:sz w:val="24"/>
              </w:rPr>
              <w:t>危险废物贮存</w:t>
            </w:r>
            <w:r>
              <w:rPr>
                <w:rFonts w:hint="eastAsia" w:cs="宋体"/>
                <w:spacing w:val="9"/>
                <w:sz w:val="24"/>
              </w:rPr>
              <w:t>间</w:t>
            </w:r>
            <w:r>
              <w:rPr>
                <w:rFonts w:cs="宋体"/>
                <w:spacing w:val="9"/>
                <w:sz w:val="24"/>
              </w:rPr>
              <w:t>内暂存。要求危险废物由产生点至贮存库，从贮存库至厂</w:t>
            </w:r>
            <w:r>
              <w:rPr>
                <w:rFonts w:cs="宋体"/>
                <w:spacing w:val="10"/>
                <w:sz w:val="24"/>
              </w:rPr>
              <w:t>家</w:t>
            </w:r>
            <w:r>
              <w:rPr>
                <w:rFonts w:cs="宋体"/>
                <w:spacing w:val="7"/>
                <w:sz w:val="24"/>
              </w:rPr>
              <w:t>回收的运输过程，应严格按照《危险废物收集贮存运输技术规范》的要求进行。</w:t>
            </w:r>
            <w:r>
              <w:rPr>
                <w:rFonts w:hint="eastAsia" w:cs="宋体"/>
                <w:spacing w:val="7"/>
                <w:sz w:val="24"/>
              </w:rPr>
              <w:t>危废间的建设符合以下要求：</w:t>
            </w:r>
          </w:p>
          <w:p>
            <w:pPr>
              <w:spacing w:line="500" w:lineRule="exact"/>
              <w:ind w:firstLine="424" w:firstLineChars="177"/>
              <w:rPr>
                <w:bCs/>
                <w:sz w:val="24"/>
              </w:rPr>
            </w:pPr>
            <w:r>
              <w:rPr>
                <w:rFonts w:hint="eastAsia"/>
                <w:sz w:val="24"/>
              </w:rPr>
              <w:t>（1）防渗要求：</w:t>
            </w:r>
            <w:r>
              <w:rPr>
                <w:rFonts w:hint="eastAsia"/>
                <w:bCs/>
                <w:sz w:val="24"/>
              </w:rPr>
              <w:t>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bCs/>
                <w:sz w:val="24"/>
                <w:vertAlign w:val="superscript"/>
              </w:rPr>
              <w:t>-7</w:t>
            </w:r>
            <w:r>
              <w:rPr>
                <w:rFonts w:hint="eastAsia"/>
                <w:bCs/>
                <w:sz w:val="24"/>
              </w:rPr>
              <w:t xml:space="preserve"> cm/s），或至少2mm厚高密度聚乙烯膜等人工防渗材料（渗透系数不大于10</w:t>
            </w:r>
            <w:r>
              <w:rPr>
                <w:rFonts w:hint="eastAsia"/>
                <w:bCs/>
                <w:sz w:val="24"/>
                <w:vertAlign w:val="superscript"/>
              </w:rPr>
              <w:t xml:space="preserve">-10 </w:t>
            </w:r>
            <w:r>
              <w:rPr>
                <w:rFonts w:hint="eastAsia"/>
                <w:bCs/>
                <w:sz w:val="24"/>
              </w:rPr>
              <w:t>cm/s），或其他防渗性能等效的材料。</w:t>
            </w:r>
          </w:p>
          <w:p>
            <w:pPr>
              <w:spacing w:line="500" w:lineRule="exact"/>
              <w:ind w:firstLine="424" w:firstLineChars="177"/>
              <w:rPr>
                <w:bCs/>
                <w:sz w:val="24"/>
              </w:rPr>
            </w:pPr>
            <w:r>
              <w:rPr>
                <w:rFonts w:hint="eastAsia"/>
                <w:bCs/>
                <w:sz w:val="24"/>
              </w:rPr>
              <w:t>②贮存间其他要求</w:t>
            </w:r>
          </w:p>
          <w:p>
            <w:pPr>
              <w:spacing w:line="500" w:lineRule="exact"/>
              <w:ind w:firstLine="424" w:firstLineChars="177"/>
              <w:rPr>
                <w:bCs/>
                <w:sz w:val="24"/>
              </w:rPr>
            </w:pPr>
            <w:r>
              <w:rPr>
                <w:rFonts w:hint="eastAsia"/>
                <w:bCs/>
                <w:sz w:val="24"/>
              </w:rPr>
              <w:t>贮存设施应根据危险废物的类别、数量、形态、物理化学性质和污染防治等要求设置必要的贮存分区，避免不相容的危险废物接触、混合。</w:t>
            </w:r>
          </w:p>
          <w:p>
            <w:pPr>
              <w:spacing w:line="500" w:lineRule="exact"/>
              <w:ind w:firstLine="424" w:firstLineChars="177"/>
              <w:rPr>
                <w:bCs/>
                <w:sz w:val="24"/>
              </w:rPr>
            </w:pPr>
            <w:r>
              <w:rPr>
                <w:rFonts w:hint="eastAsia"/>
                <w:bCs/>
                <w:sz w:val="24"/>
              </w:rPr>
              <w:t>贮存设施或贮存分区内地面、墙面裙脚、堵截泄漏的围堰、接触危险废物的隔板和墙体等应采用坚固的材料建造，表面无裂缝。</w:t>
            </w:r>
          </w:p>
          <w:p>
            <w:pPr>
              <w:spacing w:line="500" w:lineRule="exact"/>
              <w:ind w:firstLine="424" w:firstLineChars="177"/>
              <w:rPr>
                <w:bCs/>
                <w:sz w:val="24"/>
              </w:rPr>
            </w:pPr>
            <w:r>
              <w:rPr>
                <w:rFonts w:hint="eastAsia"/>
                <w:bCs/>
                <w:sz w:val="24"/>
              </w:rPr>
              <w:t>贮存设施应采取技术和管理措施防止无关人员进入。</w:t>
            </w:r>
          </w:p>
          <w:p>
            <w:pPr>
              <w:spacing w:line="500" w:lineRule="exact"/>
              <w:ind w:firstLine="424" w:firstLineChars="177"/>
              <w:rPr>
                <w:bCs/>
                <w:sz w:val="24"/>
              </w:rPr>
            </w:pPr>
            <w:r>
              <w:rPr>
                <w:rFonts w:hint="eastAsia"/>
                <w:bCs/>
                <w:sz w:val="24"/>
              </w:rPr>
              <w:t>在贮存库内或通过贮存分区方式贮存液态危险废物的，应具有液体泄漏堵截设施，堵截设施最小容积不应低于对应贮存区域最大液态废物容器容积或液态废物总储量</w:t>
            </w:r>
            <w:r>
              <w:rPr>
                <w:bCs/>
                <w:sz w:val="24"/>
              </w:rPr>
              <w:t>1/10</w:t>
            </w:r>
            <w:r>
              <w:rPr>
                <w:rFonts w:hint="eastAsia"/>
                <w:bCs/>
                <w:sz w:val="24"/>
              </w:rPr>
              <w:t>（二者取较大者）；用于贮存可能产生渗滤液的危险废物的贮存库或贮存分区应设计渗滤液收集设施，收集设施容积应满足渗滤液的收集要求。</w:t>
            </w:r>
          </w:p>
          <w:p>
            <w:pPr>
              <w:spacing w:line="500" w:lineRule="exact"/>
              <w:ind w:firstLine="424" w:firstLineChars="177"/>
              <w:rPr>
                <w:bCs/>
                <w:sz w:val="24"/>
              </w:rPr>
            </w:pPr>
            <w:r>
              <w:rPr>
                <w:rFonts w:hint="eastAsia"/>
                <w:bCs/>
                <w:sz w:val="24"/>
              </w:rPr>
              <w:t>③容器和包装物污染控制要求</w:t>
            </w:r>
          </w:p>
          <w:p>
            <w:pPr>
              <w:spacing w:line="500" w:lineRule="exact"/>
              <w:ind w:firstLine="424" w:firstLineChars="177"/>
              <w:rPr>
                <w:bCs/>
                <w:sz w:val="24"/>
              </w:rPr>
            </w:pPr>
            <w:r>
              <w:rPr>
                <w:rFonts w:hint="eastAsia"/>
                <w:bCs/>
                <w:sz w:val="24"/>
              </w:rPr>
              <w:t>容器和包装物材质、内衬应与盛装的危险废物相容。</w:t>
            </w:r>
          </w:p>
          <w:p>
            <w:pPr>
              <w:spacing w:line="500" w:lineRule="exact"/>
              <w:ind w:firstLine="424" w:firstLineChars="177"/>
              <w:rPr>
                <w:bCs/>
                <w:sz w:val="24"/>
              </w:rPr>
            </w:pPr>
            <w:r>
              <w:rPr>
                <w:rFonts w:hint="eastAsia"/>
                <w:bCs/>
                <w:sz w:val="24"/>
              </w:rPr>
              <w:t>硬质容器和包装物及其支护结构堆叠码放时不应有明显变形，无破损泄漏。</w:t>
            </w:r>
          </w:p>
          <w:p>
            <w:pPr>
              <w:spacing w:line="500" w:lineRule="exact"/>
              <w:ind w:firstLine="424" w:firstLineChars="177"/>
              <w:rPr>
                <w:bCs/>
                <w:sz w:val="24"/>
              </w:rPr>
            </w:pPr>
            <w:r>
              <w:rPr>
                <w:rFonts w:hint="eastAsia"/>
                <w:bCs/>
                <w:sz w:val="24"/>
              </w:rPr>
              <w:t>使用容器盛装液态、半固态危险废物时，容器内部应留有适当的空间，以适应因温度变化等可能引发的收缩和膨胀，防止其导致容器渗漏或永久变形。</w:t>
            </w:r>
          </w:p>
          <w:p>
            <w:pPr>
              <w:spacing w:line="500" w:lineRule="exact"/>
              <w:ind w:firstLine="424" w:firstLineChars="177"/>
              <w:rPr>
                <w:bCs/>
                <w:sz w:val="24"/>
              </w:rPr>
            </w:pPr>
            <w:r>
              <w:rPr>
                <w:rFonts w:hint="eastAsia"/>
                <w:bCs/>
                <w:sz w:val="24"/>
              </w:rPr>
              <w:t>容器和包装物外表面应保持清洁。</w:t>
            </w:r>
          </w:p>
          <w:p>
            <w:pPr>
              <w:spacing w:line="500" w:lineRule="exact"/>
              <w:ind w:firstLine="424" w:firstLineChars="177"/>
              <w:rPr>
                <w:bCs/>
                <w:sz w:val="24"/>
              </w:rPr>
            </w:pPr>
            <w:r>
              <w:rPr>
                <w:rFonts w:hint="eastAsia"/>
                <w:bCs/>
                <w:sz w:val="24"/>
              </w:rPr>
              <w:t>（2）危废转移和管理台账要求</w:t>
            </w:r>
          </w:p>
          <w:p>
            <w:pPr>
              <w:spacing w:line="500" w:lineRule="exact"/>
              <w:ind w:firstLine="424" w:firstLineChars="177"/>
              <w:rPr>
                <w:bCs/>
                <w:sz w:val="24"/>
              </w:rPr>
            </w:pPr>
            <w:r>
              <w:rPr>
                <w:rFonts w:hint="eastAsia"/>
                <w:bCs/>
                <w:sz w:val="24"/>
              </w:rPr>
              <w:t>厂内转移及管理要求：</w:t>
            </w:r>
          </w:p>
          <w:p>
            <w:pPr>
              <w:spacing w:line="500" w:lineRule="exact"/>
              <w:ind w:firstLine="424" w:firstLineChars="177"/>
              <w:rPr>
                <w:bCs/>
                <w:sz w:val="24"/>
              </w:rPr>
            </w:pPr>
            <w:r>
              <w:rPr>
                <w:rFonts w:hint="eastAsia"/>
                <w:bCs/>
                <w:sz w:val="24"/>
              </w:rPr>
              <w:t>根据《危险废物贮存污染控制标准》（</w:t>
            </w:r>
            <w:r>
              <w:rPr>
                <w:bCs/>
                <w:sz w:val="24"/>
              </w:rPr>
              <w:t>GB 18597</w:t>
            </w:r>
            <w:r>
              <w:rPr>
                <w:rFonts w:hint="eastAsia"/>
                <w:bCs/>
                <w:sz w:val="24"/>
              </w:rPr>
              <w:t>—</w:t>
            </w:r>
            <w:r>
              <w:rPr>
                <w:bCs/>
                <w:sz w:val="24"/>
              </w:rPr>
              <w:t>2023</w:t>
            </w:r>
            <w:r>
              <w:rPr>
                <w:rFonts w:hint="eastAsia"/>
                <w:bCs/>
                <w:sz w:val="24"/>
              </w:rPr>
              <w:t>）做到以下相关要求：</w:t>
            </w:r>
          </w:p>
          <w:p>
            <w:pPr>
              <w:spacing w:line="500" w:lineRule="exact"/>
              <w:ind w:firstLine="424" w:firstLineChars="177"/>
              <w:rPr>
                <w:bCs/>
                <w:sz w:val="24"/>
              </w:rPr>
            </w:pPr>
            <w:r>
              <w:rPr>
                <w:rFonts w:hint="eastAsia"/>
                <w:bCs/>
                <w:sz w:val="24"/>
              </w:rPr>
              <w:t>应定期检查危险废物的贮存状况，及时清理贮存设施地面，更换破损泄漏的危险废物贮存容器和包装物，保证堆存危险废物的防雨、防风、防扬尘等设施功能完好。</w:t>
            </w:r>
          </w:p>
          <w:p>
            <w:pPr>
              <w:spacing w:line="500" w:lineRule="exact"/>
              <w:ind w:firstLine="424" w:firstLineChars="177"/>
              <w:rPr>
                <w:bCs/>
                <w:sz w:val="24"/>
              </w:rPr>
            </w:pPr>
            <w:r>
              <w:rPr>
                <w:rFonts w:hint="eastAsia"/>
                <w:bCs/>
                <w:sz w:val="24"/>
              </w:rPr>
              <w:t>贮存设施运行期间，应按国家有关标准和规定建立危险废物管理台账并保存。</w:t>
            </w:r>
          </w:p>
          <w:p>
            <w:pPr>
              <w:spacing w:line="500" w:lineRule="exact"/>
              <w:ind w:firstLine="424" w:firstLineChars="177"/>
              <w:rPr>
                <w:bCs/>
                <w:sz w:val="24"/>
              </w:rPr>
            </w:pPr>
            <w:r>
              <w:rPr>
                <w:rFonts w:hint="eastAsia"/>
                <w:bCs/>
                <w:sz w:val="24"/>
              </w:rPr>
              <w:t>贮存设施所有者或运营者应建立贮存设施环境管理制度、管理人员岗位职责制度、设施运行操作制度、人员岗位培训制度等。</w:t>
            </w:r>
          </w:p>
          <w:p>
            <w:pPr>
              <w:spacing w:line="500" w:lineRule="exact"/>
              <w:ind w:firstLine="424" w:firstLineChars="177"/>
              <w:rPr>
                <w:bCs/>
                <w:sz w:val="24"/>
              </w:rPr>
            </w:pPr>
            <w:r>
              <w:rPr>
                <w:rFonts w:hint="eastAsia"/>
                <w:bCs/>
                <w:sz w:val="24"/>
              </w:rPr>
              <w:t>贮存设施所有者或运营者应建立贮存设施全部档案，包括设计、施工、验收、运行、监测和环境应急等，应按国家有关档案管理的法律法规进行整理和归档。</w:t>
            </w:r>
          </w:p>
          <w:p>
            <w:pPr>
              <w:spacing w:line="500" w:lineRule="exact"/>
              <w:ind w:firstLine="424" w:firstLineChars="177"/>
              <w:rPr>
                <w:rFonts w:cs="宋体"/>
                <w:sz w:val="24"/>
              </w:rPr>
            </w:pPr>
            <w:r>
              <w:rPr>
                <w:rFonts w:hint="eastAsia"/>
                <w:bCs/>
                <w:sz w:val="24"/>
              </w:rPr>
              <w:t>盛装危险废物的容器上必须粘贴《危险废物识别标志设置技术规范》（</w:t>
            </w:r>
            <w:r>
              <w:rPr>
                <w:bCs/>
                <w:sz w:val="24"/>
              </w:rPr>
              <w:t>HJ 1276</w:t>
            </w:r>
            <w:r>
              <w:rPr>
                <w:rFonts w:hint="eastAsia"/>
                <w:bCs/>
                <w:sz w:val="24"/>
              </w:rPr>
              <w:t>—</w:t>
            </w:r>
            <w:r>
              <w:rPr>
                <w:bCs/>
                <w:sz w:val="24"/>
              </w:rPr>
              <w:t>2022</w:t>
            </w:r>
            <w:r>
              <w:rPr>
                <w:rFonts w:hint="eastAsia"/>
                <w:bCs/>
                <w:sz w:val="24"/>
              </w:rPr>
              <w:t>）所示的标签。</w:t>
            </w:r>
            <w:r>
              <w:rPr>
                <w:rFonts w:hint="eastAsia" w:cs="宋体"/>
                <w:sz w:val="24"/>
              </w:rPr>
              <w:t>设置危废贮存场所标志牌及警示标志。</w:t>
            </w:r>
          </w:p>
          <w:p>
            <w:pPr>
              <w:pStyle w:val="2"/>
            </w:pPr>
            <w:r>
              <w:drawing>
                <wp:inline distT="0" distB="0" distL="0" distR="0">
                  <wp:extent cx="2643505" cy="2633980"/>
                  <wp:effectExtent l="0" t="0" r="4445" b="0"/>
                  <wp:docPr id="6195339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33942"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643505" cy="2633980"/>
                          </a:xfrm>
                          <a:prstGeom prst="rect">
                            <a:avLst/>
                          </a:prstGeom>
                          <a:noFill/>
                          <a:ln>
                            <a:noFill/>
                          </a:ln>
                        </pic:spPr>
                      </pic:pic>
                    </a:graphicData>
                  </a:graphic>
                </wp:inline>
              </w:drawing>
            </w:r>
          </w:p>
          <w:p>
            <w:pPr>
              <w:spacing w:line="360" w:lineRule="auto"/>
              <w:ind w:left="590"/>
              <w:rPr>
                <w:rFonts w:cs="宋体"/>
                <w:sz w:val="24"/>
              </w:rPr>
            </w:pPr>
          </w:p>
          <w:p>
            <w:pPr>
              <w:adjustRightInd w:val="0"/>
              <w:snapToGrid w:val="0"/>
              <w:spacing w:line="360" w:lineRule="auto"/>
              <w:ind w:firstLine="480" w:firstLineChars="200"/>
              <w:rPr>
                <w:sz w:val="24"/>
              </w:rPr>
            </w:pPr>
            <w:r>
              <w:rPr>
                <w:rFonts w:hint="eastAsia"/>
                <w:sz w:val="24"/>
              </w:rPr>
              <w:t>建设单位运营过程对本项目产生的危险废物从收集、贮存、运输、利用、处置各 环节进行全过程的监管，各环节严格执行《危险废物收集、贮存、运输技术规范》（HJ2025-2012）的相关要求。</w:t>
            </w:r>
          </w:p>
          <w:p>
            <w:pPr>
              <w:adjustRightInd w:val="0"/>
              <w:snapToGrid w:val="0"/>
              <w:spacing w:line="360" w:lineRule="auto"/>
              <w:ind w:firstLine="480" w:firstLineChars="200"/>
              <w:rPr>
                <w:sz w:val="24"/>
              </w:rPr>
            </w:pPr>
            <w:r>
              <w:rPr>
                <w:rFonts w:hint="eastAsia"/>
                <w:sz w:val="24"/>
              </w:rPr>
              <w:t>（3）危险废物贮存设施的运行与管理按照下列要求执行：</w:t>
            </w:r>
          </w:p>
          <w:p>
            <w:pPr>
              <w:adjustRightInd w:val="0"/>
              <w:snapToGrid w:val="0"/>
              <w:spacing w:line="360" w:lineRule="auto"/>
              <w:ind w:firstLine="480" w:firstLineChars="200"/>
              <w:rPr>
                <w:sz w:val="24"/>
              </w:rPr>
            </w:pPr>
            <w:r>
              <w:rPr>
                <w:rFonts w:hint="eastAsia"/>
                <w:sz w:val="24"/>
              </w:rPr>
              <w:t>①不将不相容的废物混合或合并存放;</w:t>
            </w:r>
          </w:p>
          <w:p>
            <w:pPr>
              <w:adjustRightInd w:val="0"/>
              <w:snapToGrid w:val="0"/>
              <w:spacing w:line="360" w:lineRule="auto"/>
              <w:ind w:firstLine="480" w:firstLineChars="200"/>
              <w:rPr>
                <w:sz w:val="24"/>
              </w:rPr>
            </w:pPr>
            <w:r>
              <w:rPr>
                <w:rFonts w:hint="eastAsia"/>
                <w:sz w:val="24"/>
              </w:rPr>
              <w:t>②对承运人或者接受人的主体资格和技术能力进行核实，依法签订书面合同，并在合同中约定运输、贮存、利用、处置危险废物的污染防治要求及相关责任；</w:t>
            </w:r>
          </w:p>
          <w:p>
            <w:pPr>
              <w:adjustRightInd w:val="0"/>
              <w:snapToGrid w:val="0"/>
              <w:spacing w:line="360" w:lineRule="auto"/>
              <w:ind w:firstLine="480" w:firstLineChars="200"/>
              <w:rPr>
                <w:sz w:val="24"/>
              </w:rPr>
            </w:pPr>
            <w:r>
              <w:rPr>
                <w:rFonts w:hint="eastAsia" w:cs="宋体"/>
                <w:sz w:val="24"/>
              </w:rPr>
              <w:t>③</w:t>
            </w:r>
            <w:r>
              <w:rPr>
                <w:rFonts w:hint="eastAsia"/>
                <w:sz w:val="24"/>
              </w:rPr>
              <w:t>制定危险废物管理计划，明确拟转移危险废物的种类、重量（数量）和流向等信息；</w:t>
            </w:r>
          </w:p>
          <w:p>
            <w:pPr>
              <w:adjustRightInd w:val="0"/>
              <w:snapToGrid w:val="0"/>
              <w:spacing w:line="360" w:lineRule="auto"/>
              <w:ind w:firstLine="480" w:firstLineChars="200"/>
              <w:rPr>
                <w:sz w:val="24"/>
              </w:rPr>
            </w:pPr>
            <w:r>
              <w:rPr>
                <w:rFonts w:hint="eastAsia" w:ascii="宋体" w:hAnsi="宋体" w:cs="宋体"/>
                <w:sz w:val="24"/>
              </w:rPr>
              <w:t>④</w:t>
            </w:r>
            <w:r>
              <w:rPr>
                <w:rFonts w:hint="eastAsia"/>
                <w:sz w:val="24"/>
              </w:rPr>
              <w:t>建立危险废物管理台账，对转移的危险废物进行计量称重，如实记录、妥善保管转移危险废物的种类、重量（数量）和接受人等相关信息；</w:t>
            </w:r>
          </w:p>
          <w:p>
            <w:pPr>
              <w:adjustRightInd w:val="0"/>
              <w:snapToGrid w:val="0"/>
              <w:spacing w:line="360" w:lineRule="auto"/>
              <w:ind w:firstLine="480" w:firstLineChars="200"/>
              <w:rPr>
                <w:sz w:val="24"/>
              </w:rPr>
            </w:pPr>
            <w:r>
              <w:rPr>
                <w:rFonts w:hint="eastAsia" w:ascii="宋体" w:hAnsi="宋体" w:cs="宋体"/>
                <w:sz w:val="24"/>
              </w:rPr>
              <w:t>⑤</w:t>
            </w:r>
            <w:r>
              <w:rPr>
                <w:rFonts w:hint="eastAsia"/>
                <w:sz w:val="24"/>
              </w:rPr>
              <w:t>填写、运行危险废物转移联单，在危险废物转移联单中如实填写移出人、承运人、接受人信息，转移危险废物的种类、重量（数量）、危险特性等信息，以及突发环境事件的防范措施等；</w:t>
            </w:r>
          </w:p>
          <w:p>
            <w:pPr>
              <w:adjustRightInd w:val="0"/>
              <w:snapToGrid w:val="0"/>
              <w:spacing w:line="360" w:lineRule="auto"/>
              <w:ind w:firstLine="480" w:firstLineChars="200"/>
              <w:rPr>
                <w:sz w:val="24"/>
              </w:rPr>
            </w:pPr>
            <w:r>
              <w:rPr>
                <w:rFonts w:hint="eastAsia" w:cs="宋体"/>
                <w:sz w:val="24"/>
              </w:rPr>
              <w:t>⑥</w:t>
            </w:r>
            <w:r>
              <w:rPr>
                <w:rFonts w:hint="eastAsia"/>
                <w:sz w:val="24"/>
              </w:rPr>
              <w:t>及时核实接受人贮存、利用或者处置相关危险废物情况；</w:t>
            </w:r>
          </w:p>
          <w:p>
            <w:pPr>
              <w:spacing w:line="360" w:lineRule="auto"/>
              <w:ind w:firstLine="424" w:firstLineChars="177"/>
              <w:rPr>
                <w:bCs/>
                <w:sz w:val="24"/>
              </w:rPr>
            </w:pPr>
            <w:r>
              <w:rPr>
                <w:rFonts w:hint="eastAsia"/>
                <w:bCs/>
                <w:sz w:val="24"/>
              </w:rPr>
              <w:t>企业运行过程中按照《危险废物管理计划和管理台账制定技术导则》HJ 1259—2022做出以下要求：</w:t>
            </w:r>
          </w:p>
          <w:p>
            <w:pPr>
              <w:spacing w:line="360" w:lineRule="auto"/>
              <w:ind w:firstLine="424" w:firstLineChars="177"/>
              <w:rPr>
                <w:bCs/>
                <w:sz w:val="24"/>
              </w:rPr>
            </w:pPr>
            <w:r>
              <w:rPr>
                <w:bCs/>
                <w:sz w:val="24"/>
              </w:rPr>
              <w:t>按照标准规定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pPr>
              <w:spacing w:line="360" w:lineRule="auto"/>
              <w:ind w:firstLine="424" w:firstLineChars="177"/>
              <w:rPr>
                <w:bCs/>
                <w:sz w:val="24"/>
              </w:rPr>
            </w:pPr>
            <w:r>
              <w:rPr>
                <w:bCs/>
                <w:sz w:val="24"/>
              </w:rPr>
              <w:t>按照实际情况填写记录有关内容，并对内容的真实性、准确性和完整性负责</w:t>
            </w:r>
            <w:r>
              <w:rPr>
                <w:rFonts w:hint="eastAsia"/>
                <w:bCs/>
                <w:sz w:val="24"/>
              </w:rPr>
              <w:t>，</w:t>
            </w:r>
            <w:r>
              <w:rPr>
                <w:bCs/>
                <w:sz w:val="24"/>
              </w:rPr>
              <w:t>落实危险废物管理台账记录的责任人，明确工作职责，并对危险废物管理台账的真实性、准确性和完整性负法律责任。根据危险废物产生、贮存、利用、处置等环节的动态流向，如实建立各环节的危险废物管理台账，危险废物管理台账按照要求保存</w:t>
            </w:r>
            <w:r>
              <w:rPr>
                <w:rFonts w:hint="eastAsia"/>
                <w:bCs/>
                <w:sz w:val="24"/>
              </w:rPr>
              <w:t>5</w:t>
            </w:r>
            <w:r>
              <w:rPr>
                <w:bCs/>
                <w:sz w:val="24"/>
              </w:rPr>
              <w:t>年以上</w:t>
            </w:r>
            <w:r>
              <w:rPr>
                <w:rFonts w:hint="eastAsia"/>
                <w:bCs/>
                <w:sz w:val="24"/>
              </w:rPr>
              <w:t>。</w:t>
            </w:r>
          </w:p>
          <w:p>
            <w:pPr>
              <w:spacing w:line="360" w:lineRule="auto"/>
              <w:ind w:firstLine="424" w:firstLineChars="177"/>
              <w:rPr>
                <w:bCs/>
                <w:sz w:val="24"/>
              </w:rPr>
            </w:pPr>
            <w:r>
              <w:rPr>
                <w:rFonts w:hint="eastAsia"/>
                <w:bCs/>
                <w:sz w:val="24"/>
              </w:rPr>
              <w:t>（4）危废间日常管理要求</w:t>
            </w:r>
          </w:p>
          <w:p>
            <w:pPr>
              <w:pStyle w:val="89"/>
              <w:spacing w:line="360" w:lineRule="auto"/>
              <w:ind w:firstLine="480" w:firstLineChars="200"/>
              <w:jc w:val="both"/>
              <w:rPr>
                <w:rFonts w:ascii="Times New Roman" w:hAnsi="Times New Roman"/>
                <w:sz w:val="24"/>
              </w:rPr>
            </w:pPr>
            <w:r>
              <w:rPr>
                <w:rFonts w:hint="eastAsia" w:ascii="Times New Roman" w:hAnsi="Times New Roman"/>
                <w:sz w:val="24"/>
                <w:szCs w:val="24"/>
              </w:rPr>
              <w:t>①</w:t>
            </w:r>
            <w:r>
              <w:rPr>
                <w:rFonts w:hint="eastAsia" w:ascii="Times New Roman" w:hAnsi="Times New Roman"/>
                <w:sz w:val="24"/>
              </w:rPr>
              <w:t>建设单位</w:t>
            </w:r>
            <w:r>
              <w:rPr>
                <w:rFonts w:ascii="Times New Roman" w:hAnsi="Times New Roman"/>
                <w:sz w:val="24"/>
              </w:rPr>
              <w:t>做好危险废物的申报登记，建立</w:t>
            </w:r>
            <w:r>
              <w:rPr>
                <w:rFonts w:hint="eastAsia" w:ascii="Times New Roman" w:hAnsi="Times New Roman"/>
                <w:sz w:val="24"/>
              </w:rPr>
              <w:t>台账</w:t>
            </w:r>
            <w:r>
              <w:rPr>
                <w:rFonts w:ascii="Times New Roman" w:hAnsi="Times New Roman"/>
                <w:sz w:val="24"/>
              </w:rPr>
              <w:t>管理制度，记录上须注明危险废物的名称、来源、数量、特征和包装容器的类别、入库时间、存放库位、废物出库日期及接受单位名称。</w:t>
            </w:r>
            <w:r>
              <w:rPr>
                <w:rFonts w:hint="eastAsia" w:ascii="Times New Roman" w:hAnsi="Times New Roman"/>
                <w:sz w:val="24"/>
              </w:rPr>
              <w:t>危险废物入库前进行入场检验，确保同预定接收的危险废物一致，并登记注册。做好危险废物情况的记录，记录上须注明危险废物的名称、来源、数量、特 性和包装容器的类别、入库日期、存放单位、废物出库日期及接收单位名称。</w:t>
            </w:r>
            <w:r>
              <w:rPr>
                <w:rFonts w:ascii="Times New Roman" w:hAnsi="Times New Roman"/>
                <w:sz w:val="24"/>
              </w:rPr>
              <w:t>同时</w:t>
            </w:r>
            <w:r>
              <w:rPr>
                <w:rFonts w:hint="eastAsia" w:ascii="Times New Roman" w:hAnsi="Times New Roman"/>
                <w:sz w:val="24"/>
              </w:rPr>
              <w:t>于“内蒙古固体废物动态信息平台”时时记录、填报，做好账物一致，</w:t>
            </w:r>
            <w:r>
              <w:rPr>
                <w:rFonts w:ascii="Times New Roman" w:hAnsi="Times New Roman"/>
                <w:sz w:val="24"/>
              </w:rPr>
              <w:t>在危险废物转运的时候必须</w:t>
            </w:r>
            <w:r>
              <w:rPr>
                <w:rFonts w:hint="eastAsia" w:ascii="Times New Roman" w:hAnsi="Times New Roman"/>
                <w:sz w:val="24"/>
              </w:rPr>
              <w:t>于“内蒙古固体废物动态信息平台”填写转移联单，在获得有关部门许可后方可转移</w:t>
            </w:r>
            <w:r>
              <w:rPr>
                <w:rFonts w:ascii="Times New Roman" w:hAnsi="Times New Roman"/>
                <w:sz w:val="24"/>
              </w:rPr>
              <w:t>。</w:t>
            </w:r>
          </w:p>
          <w:p>
            <w:pPr>
              <w:pStyle w:val="89"/>
              <w:spacing w:line="360" w:lineRule="auto"/>
              <w:ind w:firstLine="480" w:firstLineChars="200"/>
              <w:jc w:val="both"/>
              <w:rPr>
                <w:rFonts w:ascii="Times New Roman" w:hAnsi="Times New Roman"/>
                <w:sz w:val="24"/>
              </w:rPr>
            </w:pPr>
            <w:r>
              <w:rPr>
                <w:rFonts w:hint="eastAsia" w:ascii="Times New Roman" w:hAnsi="Times New Roman"/>
                <w:sz w:val="24"/>
                <w:szCs w:val="24"/>
              </w:rPr>
              <w:t>②</w:t>
            </w:r>
            <w:r>
              <w:rPr>
                <w:rFonts w:hint="eastAsia" w:ascii="Times New Roman" w:hAnsi="Times New Roman"/>
                <w:sz w:val="24"/>
              </w:rPr>
              <w:t>危废贮存仓库设明显的警示标识，按当地政府文件要求，安装24小时连续视频监控，并实行专人监管，所有进出危险废物建立详细的“危险废物进出台账”并保留5 年。</w:t>
            </w:r>
          </w:p>
          <w:p>
            <w:pPr>
              <w:topLinePunct/>
              <w:adjustRightInd w:val="0"/>
              <w:snapToGrid w:val="0"/>
              <w:spacing w:line="360" w:lineRule="auto"/>
              <w:ind w:firstLine="480" w:firstLineChars="200"/>
              <w:textAlignment w:val="baseline"/>
            </w:pPr>
            <w:r>
              <w:rPr>
                <w:rFonts w:hint="eastAsia"/>
                <w:sz w:val="24"/>
              </w:rPr>
              <w:t>综上，</w:t>
            </w:r>
            <w:r>
              <w:rPr>
                <w:sz w:val="24"/>
              </w:rPr>
              <w:t>项目运营过程中建设单位将尽量做好固体废物收集、暂存、处置工作，在落实相关要求的条件下，本项目产生的固体废物不会对环境产生二次污染。</w:t>
            </w:r>
          </w:p>
          <w:p>
            <w:pPr>
              <w:autoSpaceDE w:val="0"/>
              <w:autoSpaceDN w:val="0"/>
              <w:spacing w:line="360" w:lineRule="auto"/>
              <w:ind w:firstLine="482" w:firstLineChars="200"/>
              <w:rPr>
                <w:b/>
                <w:bCs/>
                <w:sz w:val="24"/>
              </w:rPr>
            </w:pPr>
            <w:r>
              <w:rPr>
                <w:rFonts w:hint="eastAsia"/>
                <w:b/>
                <w:bCs/>
                <w:sz w:val="24"/>
              </w:rPr>
              <w:t>4</w:t>
            </w:r>
            <w:r>
              <w:rPr>
                <w:b/>
                <w:bCs/>
                <w:sz w:val="24"/>
              </w:rPr>
              <w:t>.3</w:t>
            </w:r>
            <w:r>
              <w:rPr>
                <w:rFonts w:hint="eastAsia"/>
                <w:b/>
                <w:bCs/>
                <w:sz w:val="24"/>
              </w:rPr>
              <w:t>生活垃圾</w:t>
            </w:r>
          </w:p>
          <w:p>
            <w:pPr>
              <w:spacing w:line="500" w:lineRule="exact"/>
              <w:ind w:left="93" w:firstLine="424" w:firstLineChars="177"/>
              <w:rPr>
                <w:sz w:val="24"/>
              </w:rPr>
            </w:pPr>
            <w:r>
              <w:rPr>
                <w:rFonts w:hint="eastAsia"/>
                <w:bCs/>
                <w:sz w:val="24"/>
              </w:rPr>
              <w:t>项目一期工程劳动定员</w:t>
            </w:r>
            <w:r>
              <w:rPr>
                <w:bCs/>
                <w:sz w:val="24"/>
              </w:rPr>
              <w:t>15</w:t>
            </w:r>
            <w:r>
              <w:rPr>
                <w:rFonts w:hint="eastAsia"/>
                <w:bCs/>
                <w:sz w:val="24"/>
              </w:rPr>
              <w:t>人，生活垃圾产生量按每人每天0</w:t>
            </w:r>
            <w:r>
              <w:rPr>
                <w:bCs/>
                <w:sz w:val="24"/>
              </w:rPr>
              <w:t>.3</w:t>
            </w:r>
            <w:r>
              <w:rPr>
                <w:rFonts w:hint="eastAsia"/>
                <w:bCs/>
                <w:sz w:val="24"/>
              </w:rPr>
              <w:t>kg</w:t>
            </w:r>
            <w:r>
              <w:rPr>
                <w:bCs/>
                <w:sz w:val="24"/>
              </w:rPr>
              <w:t>/</w:t>
            </w:r>
            <w:r>
              <w:rPr>
                <w:rFonts w:hint="eastAsia"/>
                <w:bCs/>
                <w:sz w:val="24"/>
              </w:rPr>
              <w:t>d，则生活垃圾产生量约为1</w:t>
            </w:r>
            <w:r>
              <w:rPr>
                <w:bCs/>
                <w:sz w:val="24"/>
              </w:rPr>
              <w:t>.4</w:t>
            </w:r>
            <w:r>
              <w:rPr>
                <w:rFonts w:hint="eastAsia"/>
                <w:bCs/>
                <w:sz w:val="24"/>
              </w:rPr>
              <w:t>t</w:t>
            </w:r>
            <w:r>
              <w:rPr>
                <w:bCs/>
                <w:sz w:val="24"/>
              </w:rPr>
              <w:t>/a</w:t>
            </w:r>
            <w:r>
              <w:rPr>
                <w:rFonts w:hint="eastAsia"/>
                <w:bCs/>
                <w:sz w:val="24"/>
              </w:rPr>
              <w:t>，二期工程3</w:t>
            </w:r>
            <w:r>
              <w:rPr>
                <w:bCs/>
                <w:sz w:val="24"/>
              </w:rPr>
              <w:t>4</w:t>
            </w:r>
            <w:r>
              <w:rPr>
                <w:rFonts w:hint="eastAsia"/>
                <w:bCs/>
                <w:sz w:val="24"/>
              </w:rPr>
              <w:t>人，生活垃圾产生量3</w:t>
            </w:r>
            <w:r>
              <w:rPr>
                <w:bCs/>
                <w:sz w:val="24"/>
              </w:rPr>
              <w:t>.1</w:t>
            </w:r>
            <w:r>
              <w:rPr>
                <w:rFonts w:hint="eastAsia"/>
                <w:bCs/>
                <w:sz w:val="24"/>
              </w:rPr>
              <w:t>t</w:t>
            </w:r>
            <w:r>
              <w:rPr>
                <w:bCs/>
                <w:sz w:val="24"/>
              </w:rPr>
              <w:t>/</w:t>
            </w:r>
            <w:r>
              <w:rPr>
                <w:rFonts w:hint="eastAsia"/>
                <w:bCs/>
                <w:sz w:val="24"/>
              </w:rPr>
              <w:t>a，</w:t>
            </w:r>
            <w:r>
              <w:rPr>
                <w:sz w:val="24"/>
              </w:rPr>
              <w:t>厂区设垃圾桶，生活垃圾经集中收集后，由当地环卫部门统一处理。</w:t>
            </w:r>
          </w:p>
          <w:p>
            <w:pPr>
              <w:autoSpaceDE w:val="0"/>
              <w:autoSpaceDN w:val="0"/>
              <w:spacing w:before="120" w:beforeLines="50" w:line="360" w:lineRule="auto"/>
              <w:ind w:firstLine="482" w:firstLineChars="200"/>
              <w:rPr>
                <w:b/>
                <w:bCs/>
                <w:sz w:val="24"/>
              </w:rPr>
            </w:pPr>
            <w:r>
              <w:rPr>
                <w:rFonts w:hint="eastAsia"/>
                <w:b/>
                <w:bCs/>
                <w:sz w:val="24"/>
              </w:rPr>
              <w:t>五、地下水、土壤影响分析</w:t>
            </w:r>
          </w:p>
          <w:p>
            <w:pPr>
              <w:topLinePunct/>
              <w:adjustRightInd w:val="0"/>
              <w:snapToGrid w:val="0"/>
              <w:spacing w:before="120" w:beforeLines="50" w:line="360" w:lineRule="auto"/>
              <w:ind w:firstLine="480" w:firstLineChars="200"/>
              <w:textAlignment w:val="baseline"/>
              <w:rPr>
                <w:sz w:val="24"/>
              </w:rPr>
            </w:pPr>
            <w:r>
              <w:rPr>
                <w:rFonts w:hint="eastAsia"/>
                <w:sz w:val="24"/>
              </w:rPr>
              <w:t>正常工况下项目对地下水和土壤无影响。项目对地下水和土壤的影响源主要为香精原料储存、危废间危废暂存过程，危险废物暂存间基础做防腐防渗处理，渗透系数小于1×10</w:t>
            </w:r>
            <w:r>
              <w:rPr>
                <w:rFonts w:hint="eastAsia"/>
                <w:sz w:val="24"/>
                <w:vertAlign w:val="superscript"/>
              </w:rPr>
              <w:t>-10</w:t>
            </w:r>
            <w:r>
              <w:rPr>
                <w:rFonts w:hint="eastAsia"/>
                <w:sz w:val="24"/>
              </w:rPr>
              <w:t>cm/s,满足《危险废物贮存污染控制标准》 （GB18597-20</w:t>
            </w:r>
            <w:r>
              <w:rPr>
                <w:sz w:val="24"/>
              </w:rPr>
              <w:t>23</w:t>
            </w:r>
            <w:r>
              <w:rPr>
                <w:rFonts w:hint="eastAsia"/>
                <w:sz w:val="24"/>
              </w:rPr>
              <w:t>）和《危险废物收集、贮存、运 输技术规范》（HJ2025-2012）中的相关要求。项目生产车间采用钢筋混凝土结构，采取相应防渗措施后，可有效阻止液体下渗污染地下水。运营后加强日常维护，派专人负责进行巡视，防止发生泄漏、跑 滴漏等现象。在严格落实各项措施的前提下，事故状态下污染物对地下水和土壤基本无影响。</w:t>
            </w:r>
          </w:p>
          <w:p>
            <w:pPr>
              <w:adjustRightInd w:val="0"/>
              <w:snapToGrid w:val="0"/>
              <w:spacing w:line="400" w:lineRule="exact"/>
              <w:jc w:val="center"/>
              <w:rPr>
                <w:b/>
                <w:sz w:val="24"/>
              </w:rPr>
            </w:pPr>
            <w:r>
              <w:rPr>
                <w:rFonts w:hint="eastAsia"/>
                <w:b/>
                <w:sz w:val="24"/>
              </w:rPr>
              <w:t>表4</w:t>
            </w:r>
            <w:r>
              <w:rPr>
                <w:b/>
                <w:sz w:val="24"/>
              </w:rPr>
              <w:t>-19</w:t>
            </w:r>
            <w:r>
              <w:rPr>
                <w:rFonts w:hint="eastAsia"/>
                <w:b/>
                <w:sz w:val="24"/>
              </w:rPr>
              <w:t>本项目防渗分区明细表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31"/>
              <w:gridCol w:w="4046"/>
              <w:gridCol w:w="2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660" w:type="dxa"/>
                  <w:tcBorders>
                    <w:top w:val="single" w:color="auto" w:sz="12" w:space="0"/>
                    <w:left w:val="nil"/>
                    <w:bottom w:val="single" w:color="auto" w:sz="4" w:space="0"/>
                    <w:right w:val="single" w:color="auto" w:sz="4" w:space="0"/>
                  </w:tcBorders>
                  <w:vAlign w:val="center"/>
                </w:tcPr>
                <w:p>
                  <w:pPr>
                    <w:pStyle w:val="73"/>
                    <w:spacing w:line="240" w:lineRule="atLeast"/>
                    <w:ind w:firstLine="0"/>
                    <w:jc w:val="center"/>
                    <w:rPr>
                      <w:sz w:val="21"/>
                      <w:szCs w:val="21"/>
                    </w:rPr>
                  </w:pPr>
                  <w:r>
                    <w:rPr>
                      <w:rFonts w:hint="eastAsia"/>
                      <w:sz w:val="21"/>
                      <w:szCs w:val="21"/>
                    </w:rPr>
                    <w:t>防渗部位</w:t>
                  </w:r>
                </w:p>
              </w:tc>
              <w:tc>
                <w:tcPr>
                  <w:tcW w:w="4644" w:type="dxa"/>
                  <w:tcBorders>
                    <w:top w:val="single" w:color="auto" w:sz="12" w:space="0"/>
                    <w:left w:val="single" w:color="auto" w:sz="4" w:space="0"/>
                    <w:bottom w:val="single" w:color="auto" w:sz="4" w:space="0"/>
                    <w:right w:val="single" w:color="auto" w:sz="4" w:space="0"/>
                  </w:tcBorders>
                  <w:vAlign w:val="center"/>
                </w:tcPr>
                <w:p>
                  <w:pPr>
                    <w:pStyle w:val="73"/>
                    <w:spacing w:line="240" w:lineRule="atLeast"/>
                    <w:ind w:firstLine="0"/>
                    <w:jc w:val="center"/>
                    <w:rPr>
                      <w:sz w:val="21"/>
                      <w:szCs w:val="21"/>
                    </w:rPr>
                  </w:pPr>
                  <w:r>
                    <w:rPr>
                      <w:rFonts w:hint="eastAsia"/>
                      <w:sz w:val="21"/>
                      <w:szCs w:val="21"/>
                    </w:rPr>
                    <w:t>防渗要求</w:t>
                  </w:r>
                </w:p>
              </w:tc>
              <w:tc>
                <w:tcPr>
                  <w:tcW w:w="2318" w:type="dxa"/>
                  <w:tcBorders>
                    <w:top w:val="single" w:color="auto" w:sz="12" w:space="0"/>
                    <w:left w:val="single" w:color="auto" w:sz="4" w:space="0"/>
                    <w:bottom w:val="single" w:color="auto" w:sz="4" w:space="0"/>
                    <w:right w:val="nil"/>
                  </w:tcBorders>
                  <w:vAlign w:val="center"/>
                </w:tcPr>
                <w:p>
                  <w:pPr>
                    <w:pStyle w:val="73"/>
                    <w:spacing w:line="240" w:lineRule="atLeast"/>
                    <w:ind w:firstLine="0"/>
                    <w:jc w:val="center"/>
                    <w:rPr>
                      <w:sz w:val="21"/>
                      <w:szCs w:val="21"/>
                    </w:rPr>
                  </w:pPr>
                  <w:r>
                    <w:rPr>
                      <w:rFonts w:hint="eastAsia"/>
                      <w:sz w:val="21"/>
                      <w:szCs w:val="21"/>
                    </w:rPr>
                    <w:t>防渗分区名称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660" w:type="dxa"/>
                  <w:tcBorders>
                    <w:top w:val="single" w:color="auto" w:sz="4" w:space="0"/>
                    <w:left w:val="nil"/>
                    <w:bottom w:val="single" w:color="auto" w:sz="4" w:space="0"/>
                    <w:right w:val="single" w:color="auto" w:sz="4" w:space="0"/>
                  </w:tcBorders>
                  <w:vAlign w:val="center"/>
                </w:tcPr>
                <w:p>
                  <w:pPr>
                    <w:pStyle w:val="73"/>
                    <w:spacing w:line="240" w:lineRule="atLeast"/>
                    <w:ind w:firstLine="0"/>
                    <w:jc w:val="center"/>
                    <w:rPr>
                      <w:sz w:val="21"/>
                      <w:szCs w:val="21"/>
                    </w:rPr>
                  </w:pPr>
                  <w:r>
                    <w:rPr>
                      <w:rFonts w:hint="eastAsia"/>
                      <w:sz w:val="21"/>
                      <w:szCs w:val="21"/>
                    </w:rPr>
                    <w:t>办公区等其他区域</w:t>
                  </w:r>
                </w:p>
              </w:tc>
              <w:tc>
                <w:tcPr>
                  <w:tcW w:w="4644" w:type="dxa"/>
                  <w:tcBorders>
                    <w:top w:val="single" w:color="auto" w:sz="4" w:space="0"/>
                    <w:left w:val="single" w:color="auto" w:sz="4" w:space="0"/>
                    <w:bottom w:val="single" w:color="auto" w:sz="4" w:space="0"/>
                    <w:right w:val="single" w:color="auto" w:sz="4" w:space="0"/>
                  </w:tcBorders>
                  <w:vAlign w:val="center"/>
                </w:tcPr>
                <w:p>
                  <w:pPr>
                    <w:pStyle w:val="73"/>
                    <w:spacing w:line="240" w:lineRule="atLeast"/>
                    <w:ind w:firstLine="0"/>
                    <w:jc w:val="center"/>
                    <w:rPr>
                      <w:sz w:val="21"/>
                      <w:szCs w:val="21"/>
                    </w:rPr>
                  </w:pPr>
                  <w:r>
                    <w:rPr>
                      <w:rFonts w:hint="eastAsia"/>
                      <w:sz w:val="21"/>
                      <w:szCs w:val="21"/>
                    </w:rPr>
                    <w:t>地面硬化</w:t>
                  </w:r>
                </w:p>
              </w:tc>
              <w:tc>
                <w:tcPr>
                  <w:tcW w:w="2318" w:type="dxa"/>
                  <w:tcBorders>
                    <w:top w:val="single" w:color="auto" w:sz="4" w:space="0"/>
                    <w:left w:val="single" w:color="auto" w:sz="4" w:space="0"/>
                    <w:bottom w:val="single" w:color="auto" w:sz="4" w:space="0"/>
                    <w:right w:val="nil"/>
                  </w:tcBorders>
                  <w:vAlign w:val="center"/>
                </w:tcPr>
                <w:p>
                  <w:pPr>
                    <w:pStyle w:val="73"/>
                    <w:spacing w:line="240" w:lineRule="atLeast"/>
                    <w:ind w:firstLine="0"/>
                    <w:jc w:val="center"/>
                    <w:rPr>
                      <w:sz w:val="21"/>
                      <w:szCs w:val="21"/>
                    </w:rPr>
                  </w:pPr>
                  <w:r>
                    <w:rPr>
                      <w:rFonts w:hint="eastAsia"/>
                      <w:sz w:val="21"/>
                      <w:szCs w:val="21"/>
                    </w:rPr>
                    <w:t>简单防渗区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660" w:type="dxa"/>
                  <w:tcBorders>
                    <w:top w:val="single" w:color="auto" w:sz="4" w:space="0"/>
                    <w:left w:val="nil"/>
                    <w:bottom w:val="single" w:color="auto" w:sz="4" w:space="0"/>
                    <w:right w:val="single" w:color="auto" w:sz="4" w:space="0"/>
                  </w:tcBorders>
                  <w:vAlign w:val="center"/>
                </w:tcPr>
                <w:p>
                  <w:pPr>
                    <w:pStyle w:val="73"/>
                    <w:spacing w:line="240" w:lineRule="atLeast"/>
                    <w:ind w:firstLine="0"/>
                    <w:jc w:val="center"/>
                    <w:rPr>
                      <w:sz w:val="21"/>
                      <w:szCs w:val="21"/>
                    </w:rPr>
                  </w:pPr>
                  <w:r>
                    <w:rPr>
                      <w:rFonts w:hint="eastAsia"/>
                      <w:sz w:val="21"/>
                      <w:szCs w:val="21"/>
                    </w:rPr>
                    <w:t>生产车间地面及污水处理一体化设施侧壁、底部和暗管管沟、化粪池</w:t>
                  </w:r>
                </w:p>
              </w:tc>
              <w:tc>
                <w:tcPr>
                  <w:tcW w:w="4644" w:type="dxa"/>
                  <w:tcBorders>
                    <w:top w:val="single" w:color="auto" w:sz="4" w:space="0"/>
                    <w:left w:val="single" w:color="auto" w:sz="4" w:space="0"/>
                    <w:bottom w:val="single" w:color="auto" w:sz="4" w:space="0"/>
                    <w:right w:val="single" w:color="auto" w:sz="4" w:space="0"/>
                  </w:tcBorders>
                  <w:vAlign w:val="center"/>
                </w:tcPr>
                <w:p>
                  <w:pPr>
                    <w:pStyle w:val="73"/>
                    <w:spacing w:line="240" w:lineRule="atLeast"/>
                    <w:ind w:firstLine="0"/>
                    <w:jc w:val="center"/>
                    <w:rPr>
                      <w:sz w:val="21"/>
                      <w:szCs w:val="21"/>
                    </w:rPr>
                  </w:pPr>
                  <w:r>
                    <w:rPr>
                      <w:sz w:val="21"/>
                      <w:szCs w:val="21"/>
                    </w:rPr>
                    <w:t>等效黏土防渗层≥1.5m，K</w:t>
                  </w:r>
                  <w:r>
                    <w:rPr>
                      <w:rFonts w:hint="eastAsia"/>
                      <w:sz w:val="21"/>
                      <w:szCs w:val="21"/>
                    </w:rPr>
                    <w:t>≦</w:t>
                  </w:r>
                  <w:r>
                    <w:rPr>
                      <w:sz w:val="21"/>
                      <w:szCs w:val="21"/>
                    </w:rPr>
                    <w:t>10</w:t>
                  </w:r>
                  <w:r>
                    <w:rPr>
                      <w:sz w:val="21"/>
                      <w:szCs w:val="21"/>
                      <w:vertAlign w:val="superscript"/>
                    </w:rPr>
                    <w:t>-7</w:t>
                  </w:r>
                  <w:r>
                    <w:rPr>
                      <w:sz w:val="21"/>
                      <w:szCs w:val="21"/>
                    </w:rPr>
                    <w:t>cm/s</w:t>
                  </w:r>
                </w:p>
              </w:tc>
              <w:tc>
                <w:tcPr>
                  <w:tcW w:w="2318" w:type="dxa"/>
                  <w:tcBorders>
                    <w:top w:val="single" w:color="auto" w:sz="4" w:space="0"/>
                    <w:left w:val="single" w:color="auto" w:sz="4" w:space="0"/>
                    <w:bottom w:val="single" w:color="auto" w:sz="4" w:space="0"/>
                    <w:right w:val="nil"/>
                  </w:tcBorders>
                  <w:vAlign w:val="center"/>
                </w:tcPr>
                <w:p>
                  <w:pPr>
                    <w:pStyle w:val="73"/>
                    <w:spacing w:line="240" w:lineRule="atLeast"/>
                    <w:ind w:firstLine="0"/>
                    <w:jc w:val="center"/>
                    <w:rPr>
                      <w:sz w:val="21"/>
                      <w:szCs w:val="21"/>
                    </w:rPr>
                  </w:pPr>
                  <w:r>
                    <w:rPr>
                      <w:rFonts w:hint="eastAsia"/>
                      <w:sz w:val="21"/>
                      <w:szCs w:val="21"/>
                    </w:rPr>
                    <w:t>一般防渗区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660" w:type="dxa"/>
                  <w:tcBorders>
                    <w:top w:val="single" w:color="auto" w:sz="4" w:space="0"/>
                    <w:left w:val="nil"/>
                    <w:bottom w:val="single" w:color="auto" w:sz="12" w:space="0"/>
                    <w:right w:val="single" w:color="auto" w:sz="4" w:space="0"/>
                  </w:tcBorders>
                  <w:vAlign w:val="center"/>
                </w:tcPr>
                <w:p>
                  <w:pPr>
                    <w:pStyle w:val="73"/>
                    <w:spacing w:line="240" w:lineRule="atLeast"/>
                    <w:ind w:firstLine="0"/>
                    <w:jc w:val="center"/>
                    <w:rPr>
                      <w:sz w:val="21"/>
                      <w:szCs w:val="21"/>
                    </w:rPr>
                  </w:pPr>
                  <w:r>
                    <w:rPr>
                      <w:rFonts w:hint="eastAsia"/>
                      <w:sz w:val="21"/>
                      <w:szCs w:val="21"/>
                    </w:rPr>
                    <w:t>危废间</w:t>
                  </w:r>
                </w:p>
              </w:tc>
              <w:tc>
                <w:tcPr>
                  <w:tcW w:w="4644" w:type="dxa"/>
                  <w:tcBorders>
                    <w:top w:val="single" w:color="auto" w:sz="4" w:space="0"/>
                    <w:left w:val="single" w:color="auto" w:sz="4" w:space="0"/>
                    <w:bottom w:val="single" w:color="auto" w:sz="12" w:space="0"/>
                    <w:right w:val="single" w:color="auto" w:sz="4" w:space="0"/>
                  </w:tcBorders>
                  <w:vAlign w:val="center"/>
                </w:tcPr>
                <w:p>
                  <w:pPr>
                    <w:pStyle w:val="73"/>
                    <w:spacing w:line="240" w:lineRule="atLeast"/>
                    <w:ind w:firstLine="0"/>
                    <w:jc w:val="center"/>
                    <w:rPr>
                      <w:sz w:val="21"/>
                      <w:szCs w:val="21"/>
                    </w:rPr>
                  </w:pPr>
                  <w:r>
                    <w:rPr>
                      <w:sz w:val="21"/>
                      <w:szCs w:val="21"/>
                    </w:rPr>
                    <w:t>等效黏土防渗层≥1.5m，K</w:t>
                  </w:r>
                  <w:r>
                    <w:rPr>
                      <w:rFonts w:hint="eastAsia"/>
                      <w:sz w:val="21"/>
                      <w:szCs w:val="21"/>
                    </w:rPr>
                    <w:t>≦</w:t>
                  </w:r>
                  <w:r>
                    <w:rPr>
                      <w:sz w:val="21"/>
                      <w:szCs w:val="21"/>
                    </w:rPr>
                    <w:t>10</w:t>
                  </w:r>
                  <w:r>
                    <w:rPr>
                      <w:sz w:val="21"/>
                      <w:szCs w:val="21"/>
                      <w:vertAlign w:val="superscript"/>
                    </w:rPr>
                    <w:t>-10</w:t>
                  </w:r>
                  <w:r>
                    <w:rPr>
                      <w:sz w:val="21"/>
                      <w:szCs w:val="21"/>
                    </w:rPr>
                    <w:t>cm/s</w:t>
                  </w:r>
                </w:p>
              </w:tc>
              <w:tc>
                <w:tcPr>
                  <w:tcW w:w="2318" w:type="dxa"/>
                  <w:tcBorders>
                    <w:top w:val="single" w:color="auto" w:sz="4" w:space="0"/>
                    <w:left w:val="single" w:color="auto" w:sz="4" w:space="0"/>
                    <w:bottom w:val="single" w:color="auto" w:sz="12" w:space="0"/>
                    <w:right w:val="nil"/>
                  </w:tcBorders>
                  <w:vAlign w:val="center"/>
                </w:tcPr>
                <w:p>
                  <w:pPr>
                    <w:pStyle w:val="73"/>
                    <w:spacing w:line="240" w:lineRule="atLeast"/>
                    <w:ind w:firstLine="0"/>
                    <w:jc w:val="center"/>
                    <w:rPr>
                      <w:sz w:val="21"/>
                      <w:szCs w:val="21"/>
                    </w:rPr>
                  </w:pPr>
                  <w:r>
                    <w:rPr>
                      <w:rFonts w:hint="eastAsia"/>
                      <w:sz w:val="21"/>
                      <w:szCs w:val="21"/>
                    </w:rPr>
                    <w:t>重点防渗区</w:t>
                  </w:r>
                </w:p>
              </w:tc>
            </w:tr>
          </w:tbl>
          <w:p>
            <w:pPr>
              <w:spacing w:line="360" w:lineRule="auto"/>
              <w:ind w:firstLine="482" w:firstLineChars="200"/>
              <w:jc w:val="left"/>
              <w:rPr>
                <w:b/>
              </w:rPr>
            </w:pPr>
            <w:r>
              <w:rPr>
                <w:rFonts w:hint="eastAsia"/>
                <w:b/>
                <w:sz w:val="24"/>
              </w:rPr>
              <w:t>六、生态影响</w:t>
            </w:r>
          </w:p>
          <w:p>
            <w:pPr>
              <w:spacing w:line="360" w:lineRule="auto"/>
              <w:ind w:firstLine="480" w:firstLineChars="200"/>
              <w:jc w:val="left"/>
              <w:rPr>
                <w:sz w:val="24"/>
              </w:rPr>
            </w:pPr>
            <w:r>
              <w:rPr>
                <w:rFonts w:hint="eastAsia"/>
                <w:sz w:val="24"/>
              </w:rPr>
              <w:t>项目位于镶黄旗奶制品产业园内，占地为工业用地，不涉及生态环境保护目标。</w:t>
            </w:r>
          </w:p>
          <w:p>
            <w:pPr>
              <w:spacing w:line="360" w:lineRule="auto"/>
              <w:ind w:firstLine="482" w:firstLineChars="200"/>
              <w:jc w:val="left"/>
              <w:rPr>
                <w:b/>
                <w:sz w:val="24"/>
              </w:rPr>
            </w:pPr>
            <w:r>
              <w:rPr>
                <w:rFonts w:hint="eastAsia"/>
                <w:b/>
                <w:sz w:val="24"/>
              </w:rPr>
              <w:t>七、环境风险</w:t>
            </w:r>
          </w:p>
          <w:p>
            <w:pPr>
              <w:spacing w:line="360" w:lineRule="auto"/>
              <w:ind w:firstLine="429" w:firstLineChars="179"/>
              <w:jc w:val="left"/>
              <w:rPr>
                <w:sz w:val="24"/>
              </w:rPr>
            </w:pPr>
            <w:r>
              <w:rPr>
                <w:rFonts w:hint="eastAsia"/>
                <w:sz w:val="24"/>
              </w:rPr>
              <w:t>（1）风险识别</w:t>
            </w:r>
          </w:p>
          <w:p>
            <w:pPr>
              <w:spacing w:line="360" w:lineRule="auto"/>
              <w:ind w:firstLine="429" w:firstLineChars="179"/>
              <w:jc w:val="left"/>
              <w:rPr>
                <w:sz w:val="24"/>
              </w:rPr>
            </w:pPr>
            <w:r>
              <w:rPr>
                <w:rFonts w:hint="eastAsia"/>
                <w:sz w:val="24"/>
              </w:rPr>
              <w:t>对照《建设项目环境风险评价技术导则》（HJ169-2018），项目涉及主要原辅料均不属于《建设项目环境风险评价技术导则》（HJ169-2018）附录危险物质名录。润滑油仅在使用时及时购买，不在厂内暂存。</w:t>
            </w:r>
          </w:p>
          <w:p>
            <w:pPr>
              <w:pStyle w:val="3"/>
              <w:spacing w:before="24" w:after="24" w:line="480" w:lineRule="exact"/>
              <w:ind w:left="0" w:leftChars="0" w:firstLine="480"/>
              <w:rPr>
                <w:bCs/>
              </w:rPr>
            </w:pPr>
            <w:r>
              <w:rPr>
                <w:rFonts w:hint="eastAsia"/>
                <w:bCs/>
              </w:rPr>
              <w:t>计算所涉及的危险物质在厂界内的最大存量与其在附录B中对应临界量的比值Q。在不同厂区的同一种物质，按其在厂界内的最大存在总量计算。对于长输管线项目，按照两个截断阀室之间管段危险物质最大存量在总量计算。</w:t>
            </w:r>
          </w:p>
          <w:p>
            <w:pPr>
              <w:spacing w:line="480" w:lineRule="exact"/>
              <w:ind w:firstLine="480" w:firstLineChars="200"/>
              <w:rPr>
                <w:sz w:val="24"/>
              </w:rPr>
            </w:pPr>
            <w:r>
              <w:rPr>
                <w:rFonts w:hint="eastAsia"/>
                <w:sz w:val="24"/>
              </w:rPr>
              <w:t>当只涉及一种危险物质时，计算该物质的总量与其临界量比值，即为Q；</w:t>
            </w:r>
          </w:p>
          <w:p>
            <w:pPr>
              <w:spacing w:line="480" w:lineRule="exact"/>
              <w:ind w:firstLine="480" w:firstLineChars="200"/>
              <w:rPr>
                <w:sz w:val="24"/>
              </w:rPr>
            </w:pPr>
            <w:r>
              <w:rPr>
                <w:rFonts w:hint="eastAsia"/>
                <w:sz w:val="24"/>
              </w:rPr>
              <w:t>当存在多种风险物质时，则按式（1）计算物质总量与其临界量比值（Q）：</w:t>
            </w:r>
          </w:p>
          <w:p>
            <w:pPr>
              <w:pStyle w:val="90"/>
              <w:ind w:firstLine="2640" w:firstLineChars="1100"/>
              <w:rPr>
                <w:rFonts w:ascii="Times New Roman" w:hAnsi="Times New Roman"/>
                <w:szCs w:val="24"/>
                <w:lang w:val="zh-CN"/>
              </w:rPr>
            </w:pPr>
            <w:r>
              <w:rPr>
                <w:rFonts w:hint="eastAsia" w:ascii="Times New Roman" w:hAnsi="Times New Roman"/>
                <w:position w:val="-26"/>
                <w:szCs w:val="24"/>
                <w:lang w:val="zh-CN"/>
              </w:rPr>
              <w:object>
                <v:shape id="_x0000_i1025" o:spt="75" type="#_x0000_t75" style="height:36.85pt;width:93.75pt;" o:ole="t" filled="f" o:preferrelative="t" stroked="f" coordsize="21600,21600">
                  <v:path/>
                  <v:fill on="f" focussize="0,0"/>
                  <v:stroke on="f" joinstyle="miter"/>
                  <v:imagedata r:id="rId24" o:title=""/>
                  <o:lock v:ext="edit" aspectratio="t"/>
                  <w10:wrap type="none"/>
                  <w10:anchorlock/>
                </v:shape>
                <o:OLEObject Type="Embed" ProgID="Equations" ShapeID="_x0000_i1025" DrawAspect="Content" ObjectID="_1468075725" r:id="rId23">
                  <o:LockedField>false</o:LockedField>
                </o:OLEObject>
              </w:object>
            </w:r>
            <w:r>
              <w:rPr>
                <w:rFonts w:hint="eastAsia" w:ascii="Times New Roman" w:hAnsi="Times New Roman"/>
                <w:szCs w:val="24"/>
                <w:lang w:val="zh-CN"/>
              </w:rPr>
              <w:t xml:space="preserve">  （</w:t>
            </w:r>
            <w:r>
              <w:rPr>
                <w:rFonts w:hint="eastAsia" w:ascii="Times New Roman" w:hAnsi="Times New Roman"/>
                <w:szCs w:val="24"/>
              </w:rPr>
              <w:t>1</w:t>
            </w:r>
            <w:r>
              <w:rPr>
                <w:rFonts w:hint="eastAsia" w:ascii="Times New Roman" w:hAnsi="Times New Roman"/>
                <w:szCs w:val="24"/>
                <w:lang w:val="zh-CN"/>
              </w:rPr>
              <w:t>）</w:t>
            </w:r>
          </w:p>
          <w:p>
            <w:pPr>
              <w:pStyle w:val="90"/>
              <w:ind w:firstLine="480"/>
              <w:rPr>
                <w:rFonts w:ascii="Times New Roman" w:hAnsi="Times New Roman"/>
                <w:szCs w:val="24"/>
                <w:lang w:val="zh-CN"/>
              </w:rPr>
            </w:pPr>
            <w:r>
              <w:rPr>
                <w:rFonts w:hint="eastAsia" w:ascii="Times New Roman" w:hAnsi="Times New Roman"/>
                <w:szCs w:val="24"/>
                <w:lang w:val="zh-CN"/>
              </w:rPr>
              <w:t>式中：</w:t>
            </w:r>
            <w:r>
              <w:rPr>
                <w:rFonts w:hint="eastAsia" w:ascii="Times New Roman" w:hAnsi="Times New Roman"/>
                <w:szCs w:val="24"/>
              </w:rPr>
              <w:t>q</w:t>
            </w:r>
            <w:r>
              <w:rPr>
                <w:rFonts w:hint="eastAsia" w:ascii="Times New Roman" w:hAnsi="Times New Roman"/>
                <w:szCs w:val="24"/>
                <w:vertAlign w:val="subscript"/>
                <w:lang w:val="zh-CN"/>
              </w:rPr>
              <w:t>1</w:t>
            </w:r>
            <w:r>
              <w:rPr>
                <w:rFonts w:hint="eastAsia" w:ascii="Times New Roman" w:hAnsi="Times New Roman"/>
                <w:szCs w:val="24"/>
                <w:lang w:val="zh-CN"/>
              </w:rPr>
              <w:t>、</w:t>
            </w:r>
            <w:r>
              <w:rPr>
                <w:rFonts w:hint="eastAsia" w:ascii="Times New Roman" w:hAnsi="Times New Roman"/>
                <w:szCs w:val="24"/>
              </w:rPr>
              <w:t>q</w:t>
            </w:r>
            <w:r>
              <w:rPr>
                <w:rFonts w:hint="eastAsia" w:ascii="Times New Roman" w:hAnsi="Times New Roman"/>
                <w:szCs w:val="24"/>
                <w:vertAlign w:val="subscript"/>
                <w:lang w:val="zh-CN"/>
              </w:rPr>
              <w:t>2</w:t>
            </w:r>
            <w:r>
              <w:rPr>
                <w:rFonts w:hint="eastAsia" w:ascii="Times New Roman" w:hAnsi="Times New Roman"/>
                <w:szCs w:val="24"/>
                <w:lang w:val="zh-CN"/>
              </w:rPr>
              <w:t>、…，</w:t>
            </w:r>
            <w:r>
              <w:rPr>
                <w:rFonts w:hint="eastAsia" w:ascii="Times New Roman" w:hAnsi="Times New Roman"/>
                <w:szCs w:val="24"/>
              </w:rPr>
              <w:t>q</w:t>
            </w:r>
            <w:r>
              <w:rPr>
                <w:rFonts w:hint="eastAsia" w:ascii="Times New Roman" w:hAnsi="Times New Roman"/>
                <w:szCs w:val="24"/>
                <w:vertAlign w:val="subscript"/>
                <w:lang w:val="zh-CN"/>
              </w:rPr>
              <w:t>n</w:t>
            </w:r>
            <w:r>
              <w:rPr>
                <w:rFonts w:hint="eastAsia" w:ascii="Times New Roman" w:hAnsi="Times New Roman"/>
                <w:szCs w:val="24"/>
                <w:lang w:val="zh-CN"/>
              </w:rPr>
              <w:t>—每种危险物质的最大存在量，t；</w:t>
            </w:r>
          </w:p>
          <w:p>
            <w:pPr>
              <w:pStyle w:val="90"/>
              <w:ind w:firstLine="480"/>
              <w:rPr>
                <w:rFonts w:ascii="Times New Roman" w:hAnsi="Times New Roman"/>
                <w:szCs w:val="24"/>
                <w:lang w:val="zh-CN"/>
              </w:rPr>
            </w:pPr>
            <w:r>
              <w:rPr>
                <w:rFonts w:hint="eastAsia" w:ascii="Times New Roman" w:hAnsi="Times New Roman"/>
                <w:szCs w:val="24"/>
              </w:rPr>
              <w:t xml:space="preserve">      </w:t>
            </w:r>
            <w:r>
              <w:rPr>
                <w:rFonts w:hint="eastAsia" w:ascii="Times New Roman" w:hAnsi="Times New Roman"/>
                <w:szCs w:val="24"/>
                <w:lang w:val="zh-CN"/>
              </w:rPr>
              <w:t>Q</w:t>
            </w:r>
            <w:r>
              <w:rPr>
                <w:rFonts w:hint="eastAsia" w:ascii="Times New Roman" w:hAnsi="Times New Roman"/>
                <w:szCs w:val="24"/>
                <w:vertAlign w:val="subscript"/>
                <w:lang w:val="zh-CN"/>
              </w:rPr>
              <w:t>1</w:t>
            </w:r>
            <w:r>
              <w:rPr>
                <w:rFonts w:hint="eastAsia" w:ascii="Times New Roman" w:hAnsi="Times New Roman"/>
                <w:szCs w:val="24"/>
                <w:lang w:val="zh-CN"/>
              </w:rPr>
              <w:t>、Q</w:t>
            </w:r>
            <w:r>
              <w:rPr>
                <w:rFonts w:hint="eastAsia" w:ascii="Times New Roman" w:hAnsi="Times New Roman"/>
                <w:szCs w:val="24"/>
                <w:vertAlign w:val="subscript"/>
                <w:lang w:val="zh-CN"/>
              </w:rPr>
              <w:t>2</w:t>
            </w:r>
            <w:r>
              <w:rPr>
                <w:rFonts w:hint="eastAsia" w:ascii="Times New Roman" w:hAnsi="Times New Roman"/>
                <w:szCs w:val="24"/>
                <w:lang w:val="zh-CN"/>
              </w:rPr>
              <w:t>、…，Q</w:t>
            </w:r>
            <w:r>
              <w:rPr>
                <w:rFonts w:hint="eastAsia" w:ascii="Times New Roman" w:hAnsi="Times New Roman"/>
                <w:szCs w:val="24"/>
                <w:vertAlign w:val="subscript"/>
                <w:lang w:val="zh-CN"/>
              </w:rPr>
              <w:t>n</w:t>
            </w:r>
            <w:r>
              <w:rPr>
                <w:rFonts w:hint="eastAsia" w:ascii="Times New Roman" w:hAnsi="Times New Roman"/>
                <w:szCs w:val="24"/>
                <w:lang w:val="zh-CN"/>
              </w:rPr>
              <w:t>—每种危险物质的临界量，t；</w:t>
            </w:r>
          </w:p>
          <w:p>
            <w:pPr>
              <w:pStyle w:val="90"/>
              <w:wordWrap w:val="0"/>
              <w:spacing w:line="480" w:lineRule="exact"/>
              <w:ind w:firstLine="480"/>
              <w:rPr>
                <w:rFonts w:ascii="Times New Roman" w:hAnsi="Times New Roman"/>
                <w:szCs w:val="24"/>
              </w:rPr>
            </w:pPr>
            <w:r>
              <w:rPr>
                <w:rFonts w:hint="eastAsia" w:ascii="Times New Roman" w:hAnsi="Times New Roman"/>
                <w:szCs w:val="24"/>
              </w:rPr>
              <w:t>当Q＜1时，该项目环境风险潜势为Ⅰ。</w:t>
            </w:r>
          </w:p>
          <w:p>
            <w:pPr>
              <w:autoSpaceDE w:val="0"/>
              <w:autoSpaceDN w:val="0"/>
              <w:adjustRightInd w:val="0"/>
              <w:spacing w:line="480" w:lineRule="exact"/>
              <w:ind w:left="120" w:firstLine="480" w:firstLineChars="200"/>
              <w:rPr>
                <w:sz w:val="24"/>
              </w:rPr>
            </w:pPr>
            <w:r>
              <w:rPr>
                <w:rFonts w:hint="eastAsia"/>
                <w:sz w:val="24"/>
              </w:rPr>
              <w:t>当Q≥1时，将Q值划分为：1≤Q＜10；10≤Q＜100；Q≥100。</w:t>
            </w:r>
          </w:p>
          <w:p>
            <w:pPr>
              <w:autoSpaceDE w:val="0"/>
              <w:autoSpaceDN w:val="0"/>
              <w:adjustRightInd w:val="0"/>
              <w:spacing w:line="480" w:lineRule="exact"/>
              <w:ind w:left="120" w:firstLine="482" w:firstLineChars="200"/>
              <w:jc w:val="center"/>
              <w:rPr>
                <w:b/>
                <w:sz w:val="24"/>
              </w:rPr>
            </w:pPr>
          </w:p>
          <w:p>
            <w:pPr>
              <w:autoSpaceDE w:val="0"/>
              <w:autoSpaceDN w:val="0"/>
              <w:adjustRightInd w:val="0"/>
              <w:spacing w:line="480" w:lineRule="exact"/>
              <w:ind w:left="120" w:firstLine="482" w:firstLineChars="200"/>
              <w:jc w:val="center"/>
              <w:rPr>
                <w:b/>
                <w:sz w:val="24"/>
              </w:rPr>
            </w:pPr>
          </w:p>
          <w:p>
            <w:pPr>
              <w:adjustRightInd w:val="0"/>
              <w:snapToGrid w:val="0"/>
              <w:spacing w:line="400" w:lineRule="exact"/>
              <w:jc w:val="center"/>
              <w:rPr>
                <w:b/>
                <w:sz w:val="24"/>
              </w:rPr>
            </w:pPr>
            <w:r>
              <w:rPr>
                <w:rFonts w:hint="eastAsia"/>
                <w:b/>
                <w:sz w:val="24"/>
              </w:rPr>
              <w:t>表</w:t>
            </w:r>
            <w:r>
              <w:rPr>
                <w:b/>
                <w:sz w:val="24"/>
              </w:rPr>
              <w:t xml:space="preserve">4-20 </w:t>
            </w:r>
            <w:r>
              <w:rPr>
                <w:rFonts w:hint="eastAsia"/>
                <w:b/>
                <w:sz w:val="24"/>
              </w:rPr>
              <w:t>事故环境风险物质数量与临界量的比值 Q</w:t>
            </w:r>
          </w:p>
          <w:tbl>
            <w:tblPr>
              <w:tblStyle w:val="2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223"/>
              <w:gridCol w:w="1402"/>
              <w:gridCol w:w="1283"/>
              <w:gridCol w:w="1681"/>
              <w:gridCol w:w="19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83" w:type="pct"/>
                  <w:vAlign w:val="center"/>
                </w:tcPr>
                <w:p>
                  <w:pPr>
                    <w:jc w:val="center"/>
                    <w:rPr>
                      <w:szCs w:val="21"/>
                    </w:rPr>
                  </w:pPr>
                  <w:r>
                    <w:rPr>
                      <w:rFonts w:hint="eastAsia"/>
                      <w:szCs w:val="21"/>
                    </w:rPr>
                    <w:t>序号</w:t>
                  </w:r>
                </w:p>
              </w:tc>
              <w:tc>
                <w:tcPr>
                  <w:tcW w:w="729" w:type="pct"/>
                  <w:vAlign w:val="center"/>
                </w:tcPr>
                <w:p>
                  <w:pPr>
                    <w:jc w:val="center"/>
                    <w:rPr>
                      <w:szCs w:val="21"/>
                    </w:rPr>
                  </w:pPr>
                  <w:r>
                    <w:rPr>
                      <w:rFonts w:hint="eastAsia"/>
                      <w:szCs w:val="21"/>
                    </w:rPr>
                    <w:t>风险单元</w:t>
                  </w:r>
                </w:p>
              </w:tc>
              <w:tc>
                <w:tcPr>
                  <w:tcW w:w="836" w:type="pct"/>
                  <w:vAlign w:val="center"/>
                </w:tcPr>
                <w:p>
                  <w:pPr>
                    <w:jc w:val="center"/>
                    <w:rPr>
                      <w:szCs w:val="21"/>
                    </w:rPr>
                  </w:pPr>
                  <w:r>
                    <w:rPr>
                      <w:rFonts w:hint="eastAsia"/>
                      <w:szCs w:val="21"/>
                    </w:rPr>
                    <w:t>危险物质</w:t>
                  </w:r>
                </w:p>
              </w:tc>
              <w:tc>
                <w:tcPr>
                  <w:tcW w:w="765" w:type="pct"/>
                  <w:vAlign w:val="center"/>
                </w:tcPr>
                <w:p>
                  <w:pPr>
                    <w:jc w:val="center"/>
                    <w:rPr>
                      <w:szCs w:val="21"/>
                    </w:rPr>
                  </w:pPr>
                  <w:r>
                    <w:rPr>
                      <w:rFonts w:hint="eastAsia"/>
                      <w:szCs w:val="21"/>
                    </w:rPr>
                    <w:t>单元内最大存在量 t</w:t>
                  </w:r>
                </w:p>
              </w:tc>
              <w:tc>
                <w:tcPr>
                  <w:tcW w:w="1002" w:type="pct"/>
                  <w:noWrap/>
                  <w:vAlign w:val="center"/>
                </w:tcPr>
                <w:p>
                  <w:pPr>
                    <w:jc w:val="center"/>
                    <w:rPr>
                      <w:szCs w:val="21"/>
                    </w:rPr>
                  </w:pPr>
                  <w:r>
                    <w:rPr>
                      <w:rFonts w:hint="eastAsia"/>
                      <w:szCs w:val="21"/>
                    </w:rPr>
                    <w:t>临界量Qn（t）</w:t>
                  </w:r>
                </w:p>
              </w:tc>
              <w:tc>
                <w:tcPr>
                  <w:tcW w:w="1185" w:type="pct"/>
                  <w:noWrap/>
                  <w:vAlign w:val="center"/>
                </w:tcPr>
                <w:p>
                  <w:pPr>
                    <w:jc w:val="center"/>
                    <w:rPr>
                      <w:szCs w:val="21"/>
                    </w:rPr>
                  </w:pPr>
                  <w:r>
                    <w:rPr>
                      <w:rFonts w:hint="eastAsia"/>
                      <w:szCs w:val="21"/>
                    </w:rPr>
                    <w:t>该种危险物质Q值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83" w:type="pct"/>
                  <w:vAlign w:val="center"/>
                </w:tcPr>
                <w:p>
                  <w:pPr>
                    <w:jc w:val="center"/>
                    <w:rPr>
                      <w:szCs w:val="21"/>
                    </w:rPr>
                  </w:pPr>
                  <w:r>
                    <w:rPr>
                      <w:szCs w:val="21"/>
                    </w:rPr>
                    <w:t>1</w:t>
                  </w:r>
                </w:p>
              </w:tc>
              <w:tc>
                <w:tcPr>
                  <w:tcW w:w="729" w:type="pct"/>
                  <w:vAlign w:val="center"/>
                </w:tcPr>
                <w:p>
                  <w:pPr>
                    <w:jc w:val="center"/>
                    <w:rPr>
                      <w:szCs w:val="21"/>
                    </w:rPr>
                  </w:pPr>
                  <w:r>
                    <w:rPr>
                      <w:rFonts w:hint="eastAsia"/>
                      <w:szCs w:val="21"/>
                    </w:rPr>
                    <w:t>危废间</w:t>
                  </w:r>
                </w:p>
              </w:tc>
              <w:tc>
                <w:tcPr>
                  <w:tcW w:w="836" w:type="pct"/>
                  <w:vAlign w:val="center"/>
                </w:tcPr>
                <w:p>
                  <w:pPr>
                    <w:jc w:val="center"/>
                    <w:rPr>
                      <w:szCs w:val="21"/>
                    </w:rPr>
                  </w:pPr>
                  <w:r>
                    <w:rPr>
                      <w:rFonts w:hint="eastAsia"/>
                      <w:szCs w:val="21"/>
                    </w:rPr>
                    <w:t>实验室废物</w:t>
                  </w:r>
                </w:p>
              </w:tc>
              <w:tc>
                <w:tcPr>
                  <w:tcW w:w="765" w:type="pct"/>
                  <w:vAlign w:val="center"/>
                </w:tcPr>
                <w:p>
                  <w:pPr>
                    <w:jc w:val="center"/>
                    <w:rPr>
                      <w:szCs w:val="21"/>
                    </w:rPr>
                  </w:pPr>
                  <w:r>
                    <w:rPr>
                      <w:rFonts w:hint="eastAsia"/>
                      <w:szCs w:val="21"/>
                    </w:rPr>
                    <w:t>0</w:t>
                  </w:r>
                  <w:r>
                    <w:rPr>
                      <w:szCs w:val="21"/>
                    </w:rPr>
                    <w:t>.02</w:t>
                  </w:r>
                </w:p>
              </w:tc>
              <w:tc>
                <w:tcPr>
                  <w:tcW w:w="1002" w:type="pct"/>
                  <w:vAlign w:val="center"/>
                </w:tcPr>
                <w:p>
                  <w:pPr>
                    <w:jc w:val="center"/>
                    <w:rPr>
                      <w:szCs w:val="21"/>
                    </w:rPr>
                  </w:pPr>
                  <w:r>
                    <w:rPr>
                      <w:rFonts w:hint="eastAsia"/>
                      <w:szCs w:val="21"/>
                    </w:rPr>
                    <w:t>5</w:t>
                  </w:r>
                  <w:r>
                    <w:rPr>
                      <w:szCs w:val="21"/>
                    </w:rPr>
                    <w:t>0</w:t>
                  </w:r>
                </w:p>
              </w:tc>
              <w:tc>
                <w:tcPr>
                  <w:tcW w:w="1185" w:type="pct"/>
                  <w:noWrap/>
                  <w:vAlign w:val="center"/>
                </w:tcPr>
                <w:p>
                  <w:pPr>
                    <w:jc w:val="center"/>
                    <w:rPr>
                      <w:szCs w:val="21"/>
                    </w:rPr>
                  </w:pPr>
                  <w:r>
                    <w:rPr>
                      <w:rFonts w:hint="eastAsia"/>
                      <w:szCs w:val="21"/>
                    </w:rPr>
                    <w:t>0</w:t>
                  </w:r>
                  <w:r>
                    <w:rPr>
                      <w:szCs w:val="21"/>
                    </w:rPr>
                    <w:t>.004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83" w:type="pct"/>
                  <w:vAlign w:val="center"/>
                </w:tcPr>
                <w:p>
                  <w:pPr>
                    <w:jc w:val="center"/>
                    <w:rPr>
                      <w:szCs w:val="21"/>
                    </w:rPr>
                  </w:pPr>
                  <w:r>
                    <w:rPr>
                      <w:rFonts w:hint="eastAsia"/>
                      <w:szCs w:val="21"/>
                    </w:rPr>
                    <w:t>合计</w:t>
                  </w:r>
                </w:p>
              </w:tc>
              <w:tc>
                <w:tcPr>
                  <w:tcW w:w="729" w:type="pct"/>
                  <w:vAlign w:val="center"/>
                </w:tcPr>
                <w:p>
                  <w:pPr>
                    <w:jc w:val="center"/>
                    <w:rPr>
                      <w:szCs w:val="21"/>
                    </w:rPr>
                  </w:pPr>
                </w:p>
              </w:tc>
              <w:tc>
                <w:tcPr>
                  <w:tcW w:w="836" w:type="pct"/>
                  <w:vAlign w:val="center"/>
                </w:tcPr>
                <w:p>
                  <w:pPr>
                    <w:jc w:val="center"/>
                    <w:rPr>
                      <w:szCs w:val="21"/>
                    </w:rPr>
                  </w:pPr>
                </w:p>
              </w:tc>
              <w:tc>
                <w:tcPr>
                  <w:tcW w:w="765" w:type="pct"/>
                  <w:vAlign w:val="center"/>
                </w:tcPr>
                <w:p>
                  <w:pPr>
                    <w:jc w:val="center"/>
                    <w:rPr>
                      <w:szCs w:val="21"/>
                    </w:rPr>
                  </w:pPr>
                </w:p>
              </w:tc>
              <w:tc>
                <w:tcPr>
                  <w:tcW w:w="1002" w:type="pct"/>
                  <w:vAlign w:val="center"/>
                </w:tcPr>
                <w:p>
                  <w:pPr>
                    <w:jc w:val="center"/>
                    <w:rPr>
                      <w:szCs w:val="21"/>
                    </w:rPr>
                  </w:pPr>
                </w:p>
              </w:tc>
              <w:tc>
                <w:tcPr>
                  <w:tcW w:w="1185" w:type="pct"/>
                  <w:noWrap/>
                  <w:vAlign w:val="center"/>
                </w:tcPr>
                <w:p>
                  <w:pPr>
                    <w:jc w:val="center"/>
                    <w:rPr>
                      <w:szCs w:val="21"/>
                    </w:rPr>
                  </w:pPr>
                  <w:r>
                    <w:rPr>
                      <w:rFonts w:hint="eastAsia"/>
                      <w:szCs w:val="21"/>
                    </w:rPr>
                    <w:t>0</w:t>
                  </w:r>
                  <w:r>
                    <w:rPr>
                      <w:szCs w:val="21"/>
                    </w:rPr>
                    <w:t>.004</w:t>
                  </w:r>
                </w:p>
              </w:tc>
            </w:tr>
          </w:tbl>
          <w:p>
            <w:pPr>
              <w:pStyle w:val="90"/>
              <w:wordWrap w:val="0"/>
              <w:spacing w:line="480" w:lineRule="exact"/>
              <w:ind w:firstLine="480"/>
              <w:rPr>
                <w:rFonts w:ascii="Times New Roman" w:hAnsi="Times New Roman"/>
                <w:szCs w:val="24"/>
              </w:rPr>
            </w:pPr>
            <w:r>
              <w:rPr>
                <w:rFonts w:ascii="Times New Roman" w:hAnsi="Times New Roman"/>
                <w:szCs w:val="24"/>
              </w:rPr>
              <w:t>由上表可知，本项目的 Q 值为 0.01＜1 。故项目环境风险潜势为 Ⅰ ，仅做简单分析。</w:t>
            </w:r>
          </w:p>
          <w:p>
            <w:pPr>
              <w:pStyle w:val="90"/>
              <w:wordWrap w:val="0"/>
              <w:spacing w:line="480" w:lineRule="exact"/>
              <w:ind w:firstLine="482"/>
              <w:rPr>
                <w:rFonts w:ascii="Times New Roman" w:hAnsi="Times New Roman"/>
                <w:b/>
                <w:bCs/>
              </w:rPr>
            </w:pPr>
            <w:r>
              <w:rPr>
                <w:rFonts w:hint="eastAsia" w:ascii="Times New Roman" w:hAnsi="Times New Roman"/>
                <w:b/>
                <w:bCs/>
              </w:rPr>
              <w:t>（</w:t>
            </w:r>
            <w:r>
              <w:rPr>
                <w:rFonts w:ascii="Times New Roman" w:hAnsi="Times New Roman"/>
                <w:b/>
                <w:bCs/>
              </w:rPr>
              <w:t>2</w:t>
            </w:r>
            <w:r>
              <w:rPr>
                <w:rFonts w:hint="eastAsia" w:ascii="Times New Roman" w:hAnsi="Times New Roman"/>
                <w:b/>
                <w:bCs/>
              </w:rPr>
              <w:t>）风险源分布及可能影响途径</w:t>
            </w:r>
          </w:p>
          <w:p>
            <w:pPr>
              <w:pStyle w:val="90"/>
              <w:wordWrap w:val="0"/>
              <w:spacing w:line="480" w:lineRule="exact"/>
              <w:ind w:firstLine="480"/>
              <w:rPr>
                <w:rFonts w:ascii="Times New Roman" w:hAnsi="Times New Roman"/>
              </w:rPr>
            </w:pPr>
            <w:r>
              <w:rPr>
                <w:rFonts w:hint="eastAsia" w:ascii="Times New Roman" w:hAnsi="Times New Roman"/>
              </w:rPr>
              <w:t>本次环境风险仅考虑废气处理设备故障后造成废气超标排放的环境风险分析，主要风险源为危废间。</w:t>
            </w:r>
          </w:p>
          <w:p>
            <w:pPr>
              <w:adjustRightInd w:val="0"/>
              <w:snapToGrid w:val="0"/>
              <w:spacing w:line="400" w:lineRule="exact"/>
              <w:jc w:val="center"/>
              <w:rPr>
                <w:b/>
                <w:sz w:val="24"/>
              </w:rPr>
            </w:pPr>
            <w:r>
              <w:rPr>
                <w:rFonts w:hint="eastAsia"/>
                <w:b/>
                <w:sz w:val="24"/>
              </w:rPr>
              <w:t>表4</w:t>
            </w:r>
            <w:r>
              <w:rPr>
                <w:b/>
                <w:sz w:val="24"/>
              </w:rPr>
              <w:t>-21</w:t>
            </w:r>
            <w:r>
              <w:rPr>
                <w:rFonts w:hint="eastAsia"/>
                <w:b/>
                <w:sz w:val="24"/>
              </w:rPr>
              <w:t>主要风险源及可能影响途径</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2"/>
              <w:gridCol w:w="1498"/>
              <w:gridCol w:w="1796"/>
              <w:gridCol w:w="2095"/>
              <w:gridCol w:w="2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8"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序号</w:t>
                  </w:r>
                </w:p>
              </w:tc>
              <w:tc>
                <w:tcPr>
                  <w:tcW w:w="893"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危险单元</w:t>
                  </w:r>
                </w:p>
              </w:tc>
              <w:tc>
                <w:tcPr>
                  <w:tcW w:w="1071"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主要风险</w:t>
                  </w:r>
                </w:p>
              </w:tc>
              <w:tc>
                <w:tcPr>
                  <w:tcW w:w="1249"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环境风险类型</w:t>
                  </w:r>
                </w:p>
              </w:tc>
              <w:tc>
                <w:tcPr>
                  <w:tcW w:w="1249"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8" w:type="pct"/>
                  <w:vAlign w:val="center"/>
                </w:tcPr>
                <w:p>
                  <w:pPr>
                    <w:pStyle w:val="90"/>
                    <w:wordWrap w:val="0"/>
                    <w:spacing w:line="240" w:lineRule="auto"/>
                    <w:ind w:firstLine="0" w:firstLineChars="0"/>
                    <w:jc w:val="center"/>
                    <w:rPr>
                      <w:rFonts w:ascii="Times New Roman" w:hAnsi="Times New Roman"/>
                      <w:sz w:val="21"/>
                      <w:szCs w:val="21"/>
                    </w:rPr>
                  </w:pPr>
                  <w:r>
                    <w:rPr>
                      <w:rFonts w:ascii="Times New Roman" w:hAnsi="Times New Roman"/>
                      <w:sz w:val="21"/>
                      <w:szCs w:val="21"/>
                    </w:rPr>
                    <w:t>1</w:t>
                  </w:r>
                </w:p>
              </w:tc>
              <w:tc>
                <w:tcPr>
                  <w:tcW w:w="893"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危废间</w:t>
                  </w:r>
                </w:p>
              </w:tc>
              <w:tc>
                <w:tcPr>
                  <w:tcW w:w="1071"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实验室废物</w:t>
                  </w:r>
                </w:p>
              </w:tc>
              <w:tc>
                <w:tcPr>
                  <w:tcW w:w="1249"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非法处置</w:t>
                  </w:r>
                </w:p>
              </w:tc>
              <w:tc>
                <w:tcPr>
                  <w:tcW w:w="1249" w:type="pct"/>
                  <w:vAlign w:val="center"/>
                </w:tcPr>
                <w:p>
                  <w:pPr>
                    <w:pStyle w:val="90"/>
                    <w:wordWrap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地下水、土壤</w:t>
                  </w:r>
                </w:p>
              </w:tc>
            </w:tr>
          </w:tbl>
          <w:p>
            <w:pPr>
              <w:pStyle w:val="90"/>
              <w:wordWrap w:val="0"/>
              <w:spacing w:line="480" w:lineRule="exact"/>
              <w:ind w:firstLine="480"/>
              <w:rPr>
                <w:rFonts w:ascii="Times New Roman" w:hAnsi="Times New Roman"/>
                <w:bCs/>
              </w:rPr>
            </w:pPr>
            <w:r>
              <w:rPr>
                <w:rFonts w:hint="eastAsia" w:ascii="Times New Roman" w:hAnsi="Times New Roman"/>
                <w:bCs/>
              </w:rPr>
              <w:t>（</w:t>
            </w:r>
            <w:r>
              <w:rPr>
                <w:rFonts w:ascii="Times New Roman" w:hAnsi="Times New Roman"/>
                <w:bCs/>
              </w:rPr>
              <w:t>3</w:t>
            </w:r>
            <w:r>
              <w:rPr>
                <w:rFonts w:hint="eastAsia" w:ascii="Times New Roman" w:hAnsi="Times New Roman"/>
                <w:bCs/>
              </w:rPr>
              <w:t>）环境风险防范措施</w:t>
            </w:r>
          </w:p>
          <w:p>
            <w:pPr>
              <w:pStyle w:val="90"/>
              <w:wordWrap w:val="0"/>
              <w:spacing w:line="480" w:lineRule="exact"/>
              <w:ind w:firstLine="480"/>
              <w:rPr>
                <w:rFonts w:ascii="Times New Roman" w:hAnsi="Times New Roman"/>
                <w:szCs w:val="24"/>
              </w:rPr>
            </w:pPr>
            <w:r>
              <w:rPr>
                <w:rFonts w:ascii="Times New Roman" w:hAnsi="Times New Roman"/>
                <w:szCs w:val="24"/>
              </w:rPr>
              <w:t>1</w:t>
            </w:r>
            <w:r>
              <w:rPr>
                <w:rFonts w:hint="eastAsia" w:ascii="Times New Roman" w:hAnsi="Times New Roman"/>
                <w:szCs w:val="24"/>
              </w:rPr>
              <w:t>）危废间</w:t>
            </w:r>
          </w:p>
          <w:p>
            <w:pPr>
              <w:pStyle w:val="90"/>
              <w:wordWrap w:val="0"/>
              <w:spacing w:line="480" w:lineRule="exact"/>
              <w:ind w:firstLine="480"/>
              <w:rPr>
                <w:rFonts w:ascii="Times New Roman" w:hAnsi="Times New Roman"/>
                <w:szCs w:val="24"/>
              </w:rPr>
            </w:pPr>
            <w:r>
              <w:rPr>
                <w:rFonts w:hint="eastAsia" w:ascii="Times New Roman" w:hAnsi="Times New Roman"/>
                <w:szCs w:val="24"/>
              </w:rPr>
              <w:t>危废间按照分区防渗要求进行防渗，按照</w:t>
            </w:r>
            <w:r>
              <w:rPr>
                <w:rFonts w:hint="eastAsia" w:ascii="Times New Roman" w:hAnsi="Times New Roman"/>
                <w:szCs w:val="20"/>
              </w:rPr>
              <w:t>《危险废物贮存污染控制标准》（GB 18597-2023）进行暂存管理，及时交有资质单位进行处置，不能随意自行处置。</w:t>
            </w:r>
          </w:p>
          <w:p>
            <w:pPr>
              <w:pStyle w:val="90"/>
              <w:wordWrap w:val="0"/>
              <w:spacing w:line="480" w:lineRule="exact"/>
              <w:ind w:firstLine="480"/>
              <w:rPr>
                <w:rFonts w:ascii="Times New Roman" w:hAnsi="Times New Roman"/>
                <w:szCs w:val="24"/>
              </w:rPr>
            </w:pPr>
            <w:r>
              <w:rPr>
                <w:rFonts w:ascii="Times New Roman" w:hAnsi="Times New Roman"/>
                <w:szCs w:val="24"/>
              </w:rPr>
              <w:t>2</w:t>
            </w:r>
            <w:r>
              <w:rPr>
                <w:rFonts w:hint="eastAsia" w:ascii="Times New Roman" w:hAnsi="Times New Roman"/>
                <w:szCs w:val="24"/>
              </w:rPr>
              <w:t>）项目建设需按照要求编写环境风险应急预案，并定期开展演练。</w:t>
            </w:r>
          </w:p>
          <w:p>
            <w:pPr>
              <w:pStyle w:val="90"/>
              <w:wordWrap w:val="0"/>
              <w:spacing w:line="480" w:lineRule="exact"/>
              <w:ind w:firstLine="480"/>
              <w:rPr>
                <w:rFonts w:ascii="Times New Roman" w:hAnsi="Times New Roman"/>
                <w:szCs w:val="24"/>
              </w:rPr>
            </w:pPr>
            <w:r>
              <w:rPr>
                <w:rFonts w:hint="eastAsia" w:ascii="Times New Roman" w:hAnsi="Times New Roman"/>
                <w:szCs w:val="24"/>
              </w:rPr>
              <w:t>采取以上环境风险防范措施前提下，环境风险可控。</w:t>
            </w:r>
          </w:p>
          <w:p>
            <w:pPr>
              <w:spacing w:before="120" w:beforeLines="50" w:line="360" w:lineRule="auto"/>
              <w:ind w:firstLine="482" w:firstLineChars="200"/>
              <w:jc w:val="left"/>
              <w:rPr>
                <w:b/>
                <w:sz w:val="24"/>
              </w:rPr>
            </w:pPr>
            <w:r>
              <w:rPr>
                <w:rFonts w:hint="eastAsia"/>
                <w:b/>
                <w:bCs/>
                <w:sz w:val="24"/>
              </w:rPr>
              <w:t>八、</w:t>
            </w:r>
            <w:r>
              <w:rPr>
                <w:b/>
                <w:bCs/>
                <w:sz w:val="24"/>
              </w:rPr>
              <w:t>环境管理</w:t>
            </w:r>
          </w:p>
          <w:p>
            <w:pPr>
              <w:pStyle w:val="90"/>
              <w:wordWrap w:val="0"/>
              <w:spacing w:line="480" w:lineRule="exact"/>
              <w:ind w:firstLine="480"/>
              <w:rPr>
                <w:rFonts w:ascii="Times New Roman" w:hAnsi="Times New Roman"/>
                <w:szCs w:val="24"/>
              </w:rPr>
            </w:pPr>
            <w:r>
              <w:rPr>
                <w:rFonts w:hint="eastAsia" w:ascii="Times New Roman" w:hAnsi="Times New Roman"/>
                <w:szCs w:val="24"/>
              </w:rPr>
              <w:t>（1）管理机构</w:t>
            </w:r>
          </w:p>
          <w:p>
            <w:pPr>
              <w:pStyle w:val="90"/>
              <w:wordWrap w:val="0"/>
              <w:spacing w:line="480" w:lineRule="exact"/>
              <w:ind w:firstLine="480"/>
              <w:rPr>
                <w:rFonts w:ascii="Times New Roman" w:hAnsi="Times New Roman"/>
                <w:szCs w:val="24"/>
              </w:rPr>
            </w:pPr>
            <w:r>
              <w:rPr>
                <w:rFonts w:hint="eastAsia" w:ascii="Times New Roman" w:hAnsi="Times New Roman"/>
                <w:szCs w:val="24"/>
              </w:rPr>
              <w:t>企业应设置专门的安全环保科，并设置</w:t>
            </w:r>
            <w:r>
              <w:rPr>
                <w:rFonts w:ascii="Times New Roman" w:hAnsi="Times New Roman"/>
                <w:szCs w:val="24"/>
              </w:rPr>
              <w:t>1-2</w:t>
            </w:r>
            <w:r>
              <w:rPr>
                <w:rFonts w:hint="eastAsia" w:ascii="Times New Roman" w:hAnsi="Times New Roman"/>
                <w:szCs w:val="24"/>
              </w:rPr>
              <w:t>名员工专门负责全厂环境管理；</w:t>
            </w:r>
            <w:r>
              <w:rPr>
                <w:rFonts w:ascii="Times New Roman" w:hAnsi="Times New Roman"/>
                <w:szCs w:val="24"/>
              </w:rPr>
              <w:t xml:space="preserve"> </w:t>
            </w:r>
          </w:p>
          <w:p>
            <w:pPr>
              <w:pStyle w:val="90"/>
              <w:wordWrap w:val="0"/>
              <w:spacing w:line="480" w:lineRule="exact"/>
              <w:ind w:firstLine="480"/>
              <w:rPr>
                <w:rFonts w:ascii="Times New Roman" w:hAnsi="Times New Roman"/>
                <w:szCs w:val="24"/>
              </w:rPr>
            </w:pPr>
            <w:r>
              <w:rPr>
                <w:rFonts w:hint="eastAsia" w:ascii="Times New Roman" w:hAnsi="Times New Roman"/>
                <w:szCs w:val="24"/>
              </w:rPr>
              <w:t>（2）排污口规范化</w:t>
            </w:r>
          </w:p>
          <w:p>
            <w:pPr>
              <w:pStyle w:val="90"/>
              <w:wordWrap w:val="0"/>
              <w:spacing w:line="480" w:lineRule="exact"/>
              <w:ind w:firstLine="480"/>
              <w:rPr>
                <w:rFonts w:ascii="Times New Roman" w:hAnsi="Times New Roman"/>
                <w:szCs w:val="24"/>
              </w:rPr>
            </w:pPr>
            <w:r>
              <w:rPr>
                <w:rFonts w:hint="eastAsia" w:ascii="Times New Roman" w:hAnsi="Times New Roman"/>
                <w:szCs w:val="24"/>
              </w:rPr>
              <w:t>①排污口管理</w:t>
            </w:r>
          </w:p>
          <w:p>
            <w:pPr>
              <w:pStyle w:val="90"/>
              <w:wordWrap w:val="0"/>
              <w:spacing w:line="480" w:lineRule="exact"/>
              <w:ind w:firstLine="480"/>
              <w:rPr>
                <w:rFonts w:ascii="Times New Roman" w:hAnsi="Times New Roman"/>
                <w:szCs w:val="24"/>
              </w:rPr>
            </w:pPr>
            <w:r>
              <w:rPr>
                <w:rFonts w:hint="eastAsia" w:ascii="Times New Roman" w:hAnsi="Times New Roman"/>
                <w:szCs w:val="24"/>
              </w:rPr>
              <w:t>各个排污口处树立标志牌，建立排污口管理档案：排污口性质和编号；位置；排放主要污染物种类、数量、浓度；排放去向；达标情况；治理设施运行情况。</w:t>
            </w:r>
          </w:p>
          <w:p>
            <w:pPr>
              <w:pStyle w:val="90"/>
              <w:wordWrap w:val="0"/>
              <w:spacing w:line="480" w:lineRule="exact"/>
              <w:ind w:firstLine="480"/>
              <w:rPr>
                <w:rFonts w:ascii="Times New Roman" w:hAnsi="Times New Roman"/>
                <w:szCs w:val="24"/>
              </w:rPr>
            </w:pPr>
            <w:r>
              <w:rPr>
                <w:rFonts w:hint="eastAsia" w:ascii="Times New Roman" w:hAnsi="Times New Roman"/>
                <w:szCs w:val="24"/>
              </w:rPr>
              <w:t>废气：建设项目建成后新增废气排放口1个。</w:t>
            </w:r>
          </w:p>
          <w:p>
            <w:pPr>
              <w:pStyle w:val="90"/>
              <w:wordWrap w:val="0"/>
              <w:spacing w:line="480" w:lineRule="exact"/>
              <w:ind w:firstLine="480"/>
              <w:rPr>
                <w:rFonts w:ascii="Times New Roman" w:hAnsi="Times New Roman"/>
                <w:szCs w:val="24"/>
              </w:rPr>
            </w:pPr>
            <w:r>
              <w:rPr>
                <w:rFonts w:hint="eastAsia" w:ascii="Times New Roman" w:hAnsi="Times New Roman"/>
                <w:szCs w:val="24"/>
              </w:rPr>
              <w:t>废水：建设项目建成后新增</w:t>
            </w:r>
            <w:r>
              <w:rPr>
                <w:rFonts w:ascii="Times New Roman" w:hAnsi="Times New Roman"/>
                <w:szCs w:val="24"/>
              </w:rPr>
              <w:t>2</w:t>
            </w:r>
            <w:r>
              <w:rPr>
                <w:rFonts w:hint="eastAsia" w:ascii="Times New Roman" w:hAnsi="Times New Roman"/>
                <w:szCs w:val="24"/>
              </w:rPr>
              <w:t>个污水排放口。</w:t>
            </w:r>
          </w:p>
          <w:p>
            <w:pPr>
              <w:pStyle w:val="90"/>
              <w:wordWrap w:val="0"/>
              <w:spacing w:line="480" w:lineRule="exact"/>
              <w:ind w:firstLine="480"/>
              <w:rPr>
                <w:rFonts w:ascii="Times New Roman" w:hAnsi="Times New Roman"/>
                <w:szCs w:val="24"/>
              </w:rPr>
            </w:pPr>
            <w:r>
              <w:rPr>
                <w:rFonts w:hint="eastAsia" w:ascii="Times New Roman" w:hAnsi="Times New Roman"/>
                <w:szCs w:val="24"/>
              </w:rPr>
              <w:t>固废：固体废物贮存场所应按《环境保护图形标志－排污口（源）》（GBl5562.1-1995）及《</w:t>
            </w:r>
            <w:r>
              <w:rPr>
                <w:rFonts w:ascii="Times New Roman" w:hAnsi="Times New Roman"/>
              </w:rPr>
              <w:t>危险废物识别标志设置技术规范</w:t>
            </w:r>
            <w:r>
              <w:rPr>
                <w:rFonts w:hint="eastAsia" w:ascii="Times New Roman" w:hAnsi="Times New Roman"/>
              </w:rPr>
              <w:t>》（</w:t>
            </w:r>
            <w:r>
              <w:rPr>
                <w:rFonts w:ascii="Times New Roman" w:hAnsi="Times New Roman"/>
              </w:rPr>
              <w:t>HJ 1276—2022</w:t>
            </w:r>
            <w:r>
              <w:rPr>
                <w:rFonts w:hint="eastAsia" w:ascii="Times New Roman" w:hAnsi="Times New Roman"/>
              </w:rPr>
              <w:t>）</w:t>
            </w:r>
            <w:r>
              <w:rPr>
                <w:rFonts w:hint="eastAsia" w:ascii="Times New Roman" w:hAnsi="Times New Roman"/>
                <w:szCs w:val="24"/>
              </w:rPr>
              <w:t>规定，设置统一制作的环境保护图形标志牌。</w:t>
            </w:r>
          </w:p>
          <w:p>
            <w:pPr>
              <w:pStyle w:val="90"/>
              <w:wordWrap w:val="0"/>
              <w:spacing w:line="480" w:lineRule="exact"/>
              <w:ind w:firstLine="480"/>
              <w:rPr>
                <w:rFonts w:ascii="Times New Roman" w:hAnsi="Times New Roman"/>
                <w:szCs w:val="24"/>
              </w:rPr>
            </w:pPr>
            <w:r>
              <w:rPr>
                <w:rFonts w:hint="eastAsia" w:ascii="Times New Roman" w:hAnsi="Times New Roman"/>
                <w:szCs w:val="24"/>
              </w:rPr>
              <w:t>②环境保护图形标志</w:t>
            </w:r>
          </w:p>
          <w:p>
            <w:pPr>
              <w:pStyle w:val="90"/>
              <w:wordWrap w:val="0"/>
              <w:spacing w:line="480" w:lineRule="exact"/>
              <w:ind w:firstLine="480"/>
              <w:rPr>
                <w:rFonts w:ascii="Times New Roman" w:hAnsi="Times New Roman"/>
                <w:szCs w:val="24"/>
              </w:rPr>
            </w:pPr>
            <w:r>
              <w:rPr>
                <w:rFonts w:hint="eastAsia" w:ascii="Times New Roman" w:hAnsi="Times New Roman"/>
                <w:szCs w:val="24"/>
              </w:rPr>
              <w:t>在厂区噪声源、固体废物贮存处应设置环境保护图形标志，图形符号分为提示图形和警告图形符号两种。环境保护图形见下表。</w:t>
            </w:r>
          </w:p>
          <w:p>
            <w:pPr>
              <w:adjustRightInd w:val="0"/>
              <w:snapToGrid w:val="0"/>
              <w:spacing w:line="400" w:lineRule="exact"/>
              <w:jc w:val="center"/>
              <w:rPr>
                <w:b/>
                <w:sz w:val="24"/>
              </w:rPr>
            </w:pPr>
            <w:r>
              <w:rPr>
                <w:rFonts w:hint="eastAsia"/>
                <w:b/>
                <w:sz w:val="24"/>
              </w:rPr>
              <w:t>表</w:t>
            </w:r>
            <w:r>
              <w:rPr>
                <w:b/>
                <w:sz w:val="24"/>
              </w:rPr>
              <w:t>4-22</w:t>
            </w:r>
            <w:r>
              <w:rPr>
                <w:rFonts w:hint="eastAsia"/>
                <w:b/>
                <w:sz w:val="24"/>
              </w:rPr>
              <w:t>环境保护图形符号一览表</w:t>
            </w:r>
          </w:p>
          <w:tbl>
            <w:tblPr>
              <w:tblStyle w:val="21"/>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3072"/>
              <w:gridCol w:w="1849"/>
              <w:gridCol w:w="1300"/>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78"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rFonts w:hint="eastAsia"/>
                      <w:kern w:val="2"/>
                      <w:sz w:val="24"/>
                      <w:szCs w:val="24"/>
                    </w:rPr>
                    <w:t>序号</w:t>
                  </w:r>
                </w:p>
              </w:tc>
              <w:tc>
                <w:tcPr>
                  <w:tcW w:w="1871"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rFonts w:hint="eastAsia"/>
                      <w:kern w:val="2"/>
                      <w:sz w:val="24"/>
                      <w:szCs w:val="24"/>
                    </w:rPr>
                    <w:t>提示图形符号</w:t>
                  </w:r>
                </w:p>
              </w:tc>
              <w:tc>
                <w:tcPr>
                  <w:tcW w:w="1126"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rFonts w:hint="eastAsia"/>
                      <w:kern w:val="2"/>
                      <w:sz w:val="24"/>
                      <w:szCs w:val="24"/>
                    </w:rPr>
                    <w:t>警告图形符号</w:t>
                  </w:r>
                </w:p>
              </w:tc>
              <w:tc>
                <w:tcPr>
                  <w:tcW w:w="792"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rFonts w:hint="eastAsia"/>
                      <w:kern w:val="2"/>
                      <w:sz w:val="24"/>
                      <w:szCs w:val="24"/>
                    </w:rPr>
                    <w:t>名称</w:t>
                  </w:r>
                </w:p>
              </w:tc>
              <w:tc>
                <w:tcPr>
                  <w:tcW w:w="934"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rFonts w:hint="eastAsia"/>
                      <w:kern w:val="2"/>
                      <w:sz w:val="24"/>
                      <w:szCs w:val="24"/>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8" w:hRule="atLeast"/>
              </w:trPr>
              <w:tc>
                <w:tcPr>
                  <w:tcW w:w="278"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kern w:val="2"/>
                      <w:sz w:val="24"/>
                      <w:szCs w:val="24"/>
                    </w:rPr>
                    <w:t>1</w:t>
                  </w:r>
                </w:p>
              </w:tc>
              <w:tc>
                <w:tcPr>
                  <w:tcW w:w="1871" w:type="pct"/>
                  <w:tcBorders>
                    <w:top w:val="single" w:color="auto" w:sz="4" w:space="0"/>
                    <w:left w:val="nil"/>
                    <w:bottom w:val="single" w:color="auto" w:sz="4" w:space="0"/>
                    <w:right w:val="single" w:color="auto" w:sz="4" w:space="0"/>
                  </w:tcBorders>
                  <w:vAlign w:val="center"/>
                </w:tcPr>
                <w:p>
                  <w:pPr>
                    <w:pStyle w:val="93"/>
                  </w:pPr>
                  <w:r>
                    <w:drawing>
                      <wp:inline distT="0" distB="0" distL="114300" distR="114300">
                        <wp:extent cx="1813560" cy="1122680"/>
                        <wp:effectExtent l="0" t="0" r="0" b="508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5"/>
                                <a:stretch>
                                  <a:fillRect/>
                                </a:stretch>
                              </pic:blipFill>
                              <pic:spPr>
                                <a:xfrm>
                                  <a:off x="0" y="0"/>
                                  <a:ext cx="1813560" cy="1122680"/>
                                </a:xfrm>
                                <a:prstGeom prst="rect">
                                  <a:avLst/>
                                </a:prstGeom>
                                <a:noFill/>
                                <a:ln>
                                  <a:noFill/>
                                </a:ln>
                              </pic:spPr>
                            </pic:pic>
                          </a:graphicData>
                        </a:graphic>
                      </wp:inline>
                    </w:drawing>
                  </w:r>
                </w:p>
              </w:tc>
              <w:tc>
                <w:tcPr>
                  <w:tcW w:w="1126"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p>
              </w:tc>
              <w:tc>
                <w:tcPr>
                  <w:tcW w:w="792"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rFonts w:hint="eastAsia"/>
                      <w:kern w:val="2"/>
                      <w:sz w:val="24"/>
                      <w:szCs w:val="24"/>
                    </w:rPr>
                    <w:t>设施标志</w:t>
                  </w:r>
                </w:p>
              </w:tc>
              <w:tc>
                <w:tcPr>
                  <w:tcW w:w="934" w:type="pct"/>
                  <w:tcBorders>
                    <w:top w:val="single" w:color="auto" w:sz="4" w:space="0"/>
                    <w:left w:val="single" w:color="auto" w:sz="4" w:space="0"/>
                    <w:bottom w:val="single" w:color="auto" w:sz="4" w:space="0"/>
                    <w:right w:val="single" w:color="auto" w:sz="4" w:space="0"/>
                  </w:tcBorders>
                  <w:vAlign w:val="center"/>
                </w:tcPr>
                <w:p>
                  <w:pPr>
                    <w:pStyle w:val="92"/>
                    <w:jc w:val="both"/>
                  </w:pPr>
                  <w:r>
                    <w:rPr>
                      <w:rFonts w:hint="eastAsia"/>
                    </w:rPr>
                    <w:t>根据《危险废物识别标志设置技术规范》要求，依据危险废物仓库储存仓库尺寸设置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trPr>
              <w:tc>
                <w:tcPr>
                  <w:tcW w:w="278"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kern w:val="2"/>
                      <w:sz w:val="24"/>
                      <w:szCs w:val="24"/>
                    </w:rPr>
                    <w:t>2</w:t>
                  </w:r>
                </w:p>
              </w:tc>
              <w:tc>
                <w:tcPr>
                  <w:tcW w:w="1871" w:type="pct"/>
                  <w:tcBorders>
                    <w:top w:val="single" w:color="auto" w:sz="4" w:space="0"/>
                    <w:left w:val="nil"/>
                    <w:bottom w:val="single" w:color="auto" w:sz="4" w:space="0"/>
                    <w:right w:val="single" w:color="auto" w:sz="4" w:space="0"/>
                  </w:tcBorders>
                  <w:vAlign w:val="center"/>
                </w:tcPr>
                <w:p>
                  <w:pPr>
                    <w:pStyle w:val="93"/>
                  </w:pPr>
                  <w:r>
                    <w:drawing>
                      <wp:inline distT="0" distB="0" distL="114300" distR="114300">
                        <wp:extent cx="1533525" cy="1285240"/>
                        <wp:effectExtent l="0" t="0" r="5715" b="10160"/>
                        <wp:docPr id="1225720027" name="图片 122572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20027" name="图片 1225720027"/>
                                <pic:cNvPicPr>
                                  <a:picLocks noChangeAspect="1"/>
                                </pic:cNvPicPr>
                              </pic:nvPicPr>
                              <pic:blipFill>
                                <a:blip r:embed="rId26"/>
                                <a:stretch>
                                  <a:fillRect/>
                                </a:stretch>
                              </pic:blipFill>
                              <pic:spPr>
                                <a:xfrm>
                                  <a:off x="0" y="0"/>
                                  <a:ext cx="1533525" cy="1285240"/>
                                </a:xfrm>
                                <a:prstGeom prst="rect">
                                  <a:avLst/>
                                </a:prstGeom>
                                <a:noFill/>
                                <a:ln>
                                  <a:noFill/>
                                </a:ln>
                              </pic:spPr>
                            </pic:pic>
                          </a:graphicData>
                        </a:graphic>
                      </wp:inline>
                    </w:drawing>
                  </w:r>
                </w:p>
              </w:tc>
              <w:tc>
                <w:tcPr>
                  <w:tcW w:w="1126" w:type="pct"/>
                  <w:tcBorders>
                    <w:top w:val="single" w:color="auto" w:sz="4" w:space="0"/>
                    <w:left w:val="single" w:color="auto" w:sz="4" w:space="0"/>
                    <w:bottom w:val="single" w:color="auto" w:sz="4" w:space="0"/>
                    <w:right w:val="single" w:color="auto" w:sz="4" w:space="0"/>
                  </w:tcBorders>
                  <w:vAlign w:val="center"/>
                </w:tcPr>
                <w:p>
                  <w:pPr>
                    <w:pStyle w:val="93"/>
                    <w:rPr>
                      <w:kern w:val="2"/>
                      <w:sz w:val="24"/>
                      <w:szCs w:val="24"/>
                    </w:rPr>
                  </w:pPr>
                </w:p>
              </w:tc>
              <w:tc>
                <w:tcPr>
                  <w:tcW w:w="792" w:type="pct"/>
                  <w:tcBorders>
                    <w:top w:val="single" w:color="auto" w:sz="4" w:space="0"/>
                    <w:left w:val="single" w:color="auto" w:sz="4" w:space="0"/>
                    <w:bottom w:val="single" w:color="auto" w:sz="4" w:space="0"/>
                    <w:right w:val="single" w:color="auto" w:sz="4" w:space="0"/>
                  </w:tcBorders>
                  <w:vAlign w:val="center"/>
                </w:tcPr>
                <w:p>
                  <w:pPr>
                    <w:pStyle w:val="93"/>
                    <w:rPr>
                      <w:kern w:val="2"/>
                      <w:sz w:val="24"/>
                      <w:szCs w:val="24"/>
                    </w:rPr>
                  </w:pPr>
                  <w:r>
                    <w:rPr>
                      <w:rFonts w:hint="eastAsia"/>
                      <w:kern w:val="2"/>
                      <w:sz w:val="24"/>
                      <w:szCs w:val="24"/>
                    </w:rPr>
                    <w:t>分区标识</w:t>
                  </w:r>
                </w:p>
              </w:tc>
              <w:tc>
                <w:tcPr>
                  <w:tcW w:w="934" w:type="pct"/>
                  <w:tcBorders>
                    <w:top w:val="single" w:color="auto" w:sz="4" w:space="0"/>
                    <w:left w:val="single" w:color="auto" w:sz="4" w:space="0"/>
                    <w:bottom w:val="single" w:color="auto" w:sz="4" w:space="0"/>
                    <w:right w:val="single" w:color="auto" w:sz="4" w:space="0"/>
                  </w:tcBorders>
                  <w:vAlign w:val="center"/>
                </w:tcPr>
                <w:p>
                  <w:pPr>
                    <w:pStyle w:val="92"/>
                    <w:jc w:val="both"/>
                    <w:rPr>
                      <w:kern w:val="2"/>
                      <w:sz w:val="24"/>
                      <w:szCs w:val="24"/>
                    </w:rPr>
                  </w:pPr>
                  <w:r>
                    <w:rPr>
                      <w:rFonts w:hint="eastAsia"/>
                    </w:rPr>
                    <w:t>根据《危险废物识别标志设置技术规范》要求，依据危险废物仓库储存仓库尺寸设置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trPr>
              <w:tc>
                <w:tcPr>
                  <w:tcW w:w="278"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kern w:val="2"/>
                      <w:sz w:val="24"/>
                      <w:szCs w:val="24"/>
                    </w:rPr>
                    <w:t>3</w:t>
                  </w:r>
                </w:p>
              </w:tc>
              <w:tc>
                <w:tcPr>
                  <w:tcW w:w="1871" w:type="pct"/>
                  <w:tcBorders>
                    <w:top w:val="single" w:color="auto" w:sz="4" w:space="0"/>
                    <w:left w:val="nil"/>
                    <w:bottom w:val="single" w:color="auto" w:sz="4" w:space="0"/>
                    <w:right w:val="single" w:color="auto" w:sz="4" w:space="0"/>
                  </w:tcBorders>
                  <w:vAlign w:val="center"/>
                </w:tcPr>
                <w:p>
                  <w:pPr>
                    <w:pStyle w:val="93"/>
                  </w:pPr>
                  <w:r>
                    <w:drawing>
                      <wp:inline distT="0" distB="0" distL="114300" distR="114300">
                        <wp:extent cx="1648460" cy="1012825"/>
                        <wp:effectExtent l="0" t="0" r="12700" b="8255"/>
                        <wp:docPr id="1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2"/>
                                <pic:cNvPicPr>
                                  <a:picLocks noChangeAspect="1"/>
                                </pic:cNvPicPr>
                              </pic:nvPicPr>
                              <pic:blipFill>
                                <a:blip r:embed="rId27"/>
                                <a:stretch>
                                  <a:fillRect/>
                                </a:stretch>
                              </pic:blipFill>
                              <pic:spPr>
                                <a:xfrm>
                                  <a:off x="0" y="0"/>
                                  <a:ext cx="1648460" cy="1012825"/>
                                </a:xfrm>
                                <a:prstGeom prst="rect">
                                  <a:avLst/>
                                </a:prstGeom>
                                <a:noFill/>
                                <a:ln w="9525">
                                  <a:noFill/>
                                </a:ln>
                              </pic:spPr>
                            </pic:pic>
                          </a:graphicData>
                        </a:graphic>
                      </wp:inline>
                    </w:drawing>
                  </w:r>
                </w:p>
              </w:tc>
              <w:tc>
                <w:tcPr>
                  <w:tcW w:w="1126" w:type="pct"/>
                  <w:tcBorders>
                    <w:top w:val="single" w:color="auto" w:sz="4" w:space="0"/>
                    <w:left w:val="single" w:color="auto" w:sz="4" w:space="0"/>
                    <w:bottom w:val="single" w:color="auto" w:sz="4" w:space="0"/>
                    <w:right w:val="single" w:color="auto" w:sz="4" w:space="0"/>
                  </w:tcBorders>
                  <w:vAlign w:val="center"/>
                </w:tcPr>
                <w:p>
                  <w:pPr>
                    <w:pStyle w:val="93"/>
                    <w:rPr>
                      <w:kern w:val="2"/>
                      <w:sz w:val="24"/>
                      <w:szCs w:val="24"/>
                    </w:rPr>
                  </w:pPr>
                </w:p>
              </w:tc>
              <w:tc>
                <w:tcPr>
                  <w:tcW w:w="792" w:type="pct"/>
                  <w:tcBorders>
                    <w:top w:val="single" w:color="auto" w:sz="4" w:space="0"/>
                    <w:left w:val="single" w:color="auto" w:sz="4" w:space="0"/>
                    <w:bottom w:val="single" w:color="auto" w:sz="4" w:space="0"/>
                    <w:right w:val="single" w:color="auto" w:sz="4" w:space="0"/>
                  </w:tcBorders>
                  <w:vAlign w:val="center"/>
                </w:tcPr>
                <w:p>
                  <w:pPr>
                    <w:pStyle w:val="93"/>
                    <w:rPr>
                      <w:kern w:val="2"/>
                      <w:sz w:val="24"/>
                      <w:szCs w:val="24"/>
                    </w:rPr>
                  </w:pPr>
                  <w:r>
                    <w:rPr>
                      <w:rFonts w:hint="eastAsia"/>
                      <w:kern w:val="2"/>
                      <w:sz w:val="24"/>
                      <w:szCs w:val="24"/>
                    </w:rPr>
                    <w:t>废水排放口</w:t>
                  </w:r>
                </w:p>
              </w:tc>
              <w:tc>
                <w:tcPr>
                  <w:tcW w:w="934" w:type="pct"/>
                  <w:tcBorders>
                    <w:top w:val="single" w:color="auto" w:sz="4" w:space="0"/>
                    <w:left w:val="single" w:color="auto" w:sz="4" w:space="0"/>
                    <w:bottom w:val="single" w:color="auto" w:sz="4" w:space="0"/>
                    <w:right w:val="single" w:color="auto" w:sz="4" w:space="0"/>
                  </w:tcBorders>
                  <w:vAlign w:val="center"/>
                </w:tcPr>
                <w:p>
                  <w:pPr>
                    <w:pStyle w:val="92"/>
                    <w:jc w:val="both"/>
                  </w:pPr>
                  <w:r>
                    <w:rPr>
                      <w:rFonts w:hint="eastAsia"/>
                    </w:rPr>
                    <w:t>尺寸：48×30cm</w:t>
                  </w:r>
                </w:p>
                <w:p>
                  <w:pPr>
                    <w:pStyle w:val="93"/>
                    <w:jc w:val="both"/>
                    <w:rPr>
                      <w:kern w:val="2"/>
                      <w:sz w:val="24"/>
                      <w:szCs w:val="24"/>
                    </w:rPr>
                  </w:pPr>
                  <w:r>
                    <w:rPr>
                      <w:rFonts w:hint="eastAsia"/>
                    </w:rPr>
                    <w:t>表示废水向外环境排放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2" w:hRule="atLeast"/>
              </w:trPr>
              <w:tc>
                <w:tcPr>
                  <w:tcW w:w="278"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kern w:val="2"/>
                      <w:sz w:val="24"/>
                      <w:szCs w:val="24"/>
                    </w:rPr>
                    <w:t>4</w:t>
                  </w:r>
                </w:p>
              </w:tc>
              <w:tc>
                <w:tcPr>
                  <w:tcW w:w="1871" w:type="pct"/>
                  <w:tcBorders>
                    <w:top w:val="single" w:color="auto" w:sz="4" w:space="0"/>
                    <w:left w:val="nil"/>
                    <w:bottom w:val="single" w:color="auto" w:sz="4" w:space="0"/>
                    <w:right w:val="single" w:color="auto" w:sz="4" w:space="0"/>
                  </w:tcBorders>
                  <w:vAlign w:val="center"/>
                </w:tcPr>
                <w:p>
                  <w:pPr>
                    <w:pStyle w:val="93"/>
                  </w:pPr>
                  <w:r>
                    <w:drawing>
                      <wp:inline distT="0" distB="0" distL="114300" distR="114300">
                        <wp:extent cx="1792605" cy="1109345"/>
                        <wp:effectExtent l="0" t="0" r="5715" b="3175"/>
                        <wp:docPr id="128" name="图片 30" descr="fbaf7155a59dced19beed87aa70549ce_11976980_10494876508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0" descr="fbaf7155a59dced19beed87aa70549ce_11976980_104948765086_2"/>
                                <pic:cNvPicPr>
                                  <a:picLocks noChangeAspect="1"/>
                                </pic:cNvPicPr>
                              </pic:nvPicPr>
                              <pic:blipFill>
                                <a:blip r:embed="rId28"/>
                                <a:srcRect l="7493" t="6932" r="5784" b="5007"/>
                                <a:stretch>
                                  <a:fillRect/>
                                </a:stretch>
                              </pic:blipFill>
                              <pic:spPr>
                                <a:xfrm>
                                  <a:off x="0" y="0"/>
                                  <a:ext cx="1792605" cy="1109345"/>
                                </a:xfrm>
                                <a:prstGeom prst="rect">
                                  <a:avLst/>
                                </a:prstGeom>
                              </pic:spPr>
                            </pic:pic>
                          </a:graphicData>
                        </a:graphic>
                      </wp:inline>
                    </w:drawing>
                  </w:r>
                </w:p>
              </w:tc>
              <w:tc>
                <w:tcPr>
                  <w:tcW w:w="1126" w:type="pct"/>
                  <w:tcBorders>
                    <w:top w:val="single" w:color="auto" w:sz="4" w:space="0"/>
                    <w:left w:val="single" w:color="auto" w:sz="4" w:space="0"/>
                    <w:bottom w:val="single" w:color="auto" w:sz="4" w:space="0"/>
                    <w:right w:val="single" w:color="auto" w:sz="4" w:space="0"/>
                  </w:tcBorders>
                  <w:vAlign w:val="center"/>
                </w:tcPr>
                <w:p>
                  <w:pPr>
                    <w:pStyle w:val="93"/>
                    <w:rPr>
                      <w:kern w:val="2"/>
                      <w:sz w:val="24"/>
                      <w:szCs w:val="24"/>
                    </w:rPr>
                  </w:pPr>
                </w:p>
              </w:tc>
              <w:tc>
                <w:tcPr>
                  <w:tcW w:w="792" w:type="pct"/>
                  <w:tcBorders>
                    <w:top w:val="single" w:color="auto" w:sz="4" w:space="0"/>
                    <w:left w:val="single" w:color="auto" w:sz="4" w:space="0"/>
                    <w:bottom w:val="single" w:color="auto" w:sz="4" w:space="0"/>
                    <w:right w:val="single" w:color="auto" w:sz="4" w:space="0"/>
                  </w:tcBorders>
                  <w:vAlign w:val="center"/>
                </w:tcPr>
                <w:p>
                  <w:pPr>
                    <w:pStyle w:val="93"/>
                    <w:rPr>
                      <w:kern w:val="2"/>
                      <w:sz w:val="24"/>
                      <w:szCs w:val="24"/>
                    </w:rPr>
                  </w:pPr>
                  <w:r>
                    <w:rPr>
                      <w:rFonts w:hint="eastAsia"/>
                      <w:kern w:val="2"/>
                      <w:sz w:val="24"/>
                      <w:szCs w:val="24"/>
                    </w:rPr>
                    <w:t>一般工业固废</w:t>
                  </w:r>
                </w:p>
              </w:tc>
              <w:tc>
                <w:tcPr>
                  <w:tcW w:w="934" w:type="pct"/>
                  <w:tcBorders>
                    <w:top w:val="single" w:color="auto" w:sz="4" w:space="0"/>
                    <w:left w:val="single" w:color="auto" w:sz="4" w:space="0"/>
                    <w:bottom w:val="single" w:color="auto" w:sz="4" w:space="0"/>
                    <w:right w:val="single" w:color="auto" w:sz="4" w:space="0"/>
                  </w:tcBorders>
                  <w:vAlign w:val="center"/>
                </w:tcPr>
                <w:p>
                  <w:pPr>
                    <w:pStyle w:val="92"/>
                    <w:jc w:val="both"/>
                  </w:pPr>
                  <w:r>
                    <w:rPr>
                      <w:rFonts w:hint="eastAsia"/>
                    </w:rPr>
                    <w:t>尺寸：48×30cm</w:t>
                  </w:r>
                </w:p>
                <w:p>
                  <w:pPr>
                    <w:pStyle w:val="93"/>
                    <w:jc w:val="both"/>
                    <w:rPr>
                      <w:kern w:val="2"/>
                      <w:sz w:val="24"/>
                      <w:szCs w:val="24"/>
                    </w:rPr>
                  </w:pPr>
                  <w:r>
                    <w:rPr>
                      <w:rFonts w:hint="eastAsia"/>
                    </w:rPr>
                    <w:t>表示一般固体废物贮存、处置场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trPr>
              <w:tc>
                <w:tcPr>
                  <w:tcW w:w="278"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kern w:val="2"/>
                      <w:sz w:val="24"/>
                      <w:szCs w:val="24"/>
                    </w:rPr>
                    <w:t>5</w:t>
                  </w:r>
                </w:p>
              </w:tc>
              <w:tc>
                <w:tcPr>
                  <w:tcW w:w="1871"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lang w:eastAsia="en-US"/>
                    </w:rPr>
                  </w:pPr>
                  <w:r>
                    <w:rPr>
                      <w:kern w:val="2"/>
                      <w:sz w:val="24"/>
                      <w:szCs w:val="24"/>
                    </w:rPr>
                    <w:drawing>
                      <wp:inline distT="0" distB="0" distL="114300" distR="114300">
                        <wp:extent cx="962025" cy="1019175"/>
                        <wp:effectExtent l="0" t="0" r="13335" b="1905"/>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29"/>
                                <a:stretch>
                                  <a:fillRect/>
                                </a:stretch>
                              </pic:blipFill>
                              <pic:spPr>
                                <a:xfrm>
                                  <a:off x="0" y="0"/>
                                  <a:ext cx="962025" cy="1019175"/>
                                </a:xfrm>
                                <a:prstGeom prst="rect">
                                  <a:avLst/>
                                </a:prstGeom>
                                <a:noFill/>
                                <a:ln>
                                  <a:noFill/>
                                </a:ln>
                              </pic:spPr>
                            </pic:pic>
                          </a:graphicData>
                        </a:graphic>
                      </wp:inline>
                    </w:drawing>
                  </w:r>
                </w:p>
              </w:tc>
              <w:tc>
                <w:tcPr>
                  <w:tcW w:w="1126"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lang w:eastAsia="en-US"/>
                    </w:rPr>
                  </w:pPr>
                  <w:r>
                    <w:rPr>
                      <w:kern w:val="2"/>
                      <w:sz w:val="24"/>
                      <w:szCs w:val="24"/>
                    </w:rPr>
                    <w:drawing>
                      <wp:inline distT="0" distB="0" distL="114300" distR="114300">
                        <wp:extent cx="1028700" cy="962025"/>
                        <wp:effectExtent l="0" t="0" r="7620" b="13335"/>
                        <wp:docPr id="1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
                                <pic:cNvPicPr>
                                  <a:picLocks noChangeAspect="1"/>
                                </pic:cNvPicPr>
                              </pic:nvPicPr>
                              <pic:blipFill>
                                <a:blip r:embed="rId30"/>
                                <a:stretch>
                                  <a:fillRect/>
                                </a:stretch>
                              </pic:blipFill>
                              <pic:spPr>
                                <a:xfrm>
                                  <a:off x="0" y="0"/>
                                  <a:ext cx="1028700" cy="962025"/>
                                </a:xfrm>
                                <a:prstGeom prst="rect">
                                  <a:avLst/>
                                </a:prstGeom>
                                <a:noFill/>
                                <a:ln>
                                  <a:noFill/>
                                </a:ln>
                              </pic:spPr>
                            </pic:pic>
                          </a:graphicData>
                        </a:graphic>
                      </wp:inline>
                    </w:drawing>
                  </w:r>
                </w:p>
              </w:tc>
              <w:tc>
                <w:tcPr>
                  <w:tcW w:w="792"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r>
                    <w:rPr>
                      <w:rFonts w:hint="eastAsia"/>
                      <w:kern w:val="2"/>
                      <w:sz w:val="24"/>
                      <w:szCs w:val="24"/>
                    </w:rPr>
                    <w:t>噪声排放源</w:t>
                  </w:r>
                </w:p>
              </w:tc>
              <w:tc>
                <w:tcPr>
                  <w:tcW w:w="934" w:type="pct"/>
                  <w:tcBorders>
                    <w:top w:val="single" w:color="auto" w:sz="4" w:space="0"/>
                    <w:left w:val="single" w:color="auto" w:sz="4" w:space="0"/>
                    <w:bottom w:val="single" w:color="auto" w:sz="4" w:space="0"/>
                    <w:right w:val="single" w:color="auto" w:sz="4" w:space="0"/>
                  </w:tcBorders>
                  <w:vAlign w:val="center"/>
                </w:tcPr>
                <w:p>
                  <w:pPr>
                    <w:pStyle w:val="92"/>
                    <w:rPr>
                      <w:kern w:val="2"/>
                      <w:sz w:val="24"/>
                      <w:szCs w:val="24"/>
                    </w:rPr>
                  </w:pPr>
                </w:p>
              </w:tc>
            </w:tr>
          </w:tbl>
          <w:p>
            <w:pPr>
              <w:spacing w:line="440" w:lineRule="exact"/>
              <w:ind w:firstLine="426" w:firstLineChars="177"/>
              <w:rPr>
                <w:b/>
                <w:sz w:val="24"/>
              </w:rPr>
            </w:pPr>
            <w:r>
              <w:rPr>
                <w:rFonts w:hint="eastAsia"/>
                <w:b/>
                <w:sz w:val="24"/>
              </w:rPr>
              <w:t>（</w:t>
            </w:r>
            <w:r>
              <w:rPr>
                <w:b/>
                <w:sz w:val="24"/>
              </w:rPr>
              <w:t>3</w:t>
            </w:r>
            <w:r>
              <w:rPr>
                <w:rFonts w:hint="eastAsia"/>
                <w:b/>
                <w:sz w:val="24"/>
              </w:rPr>
              <w:t>）排污许可证管理要求</w:t>
            </w:r>
          </w:p>
          <w:p>
            <w:pPr>
              <w:spacing w:line="440" w:lineRule="exact"/>
              <w:ind w:firstLine="424" w:firstLineChars="177"/>
              <w:rPr>
                <w:bCs/>
                <w:sz w:val="24"/>
              </w:rPr>
            </w:pPr>
            <w:r>
              <w:rPr>
                <w:rFonts w:hint="eastAsia"/>
                <w:bCs/>
                <w:sz w:val="24"/>
              </w:rPr>
              <w:t>根据</w:t>
            </w:r>
            <w:r>
              <w:rPr>
                <w:bCs/>
                <w:sz w:val="24"/>
              </w:rPr>
              <w:t>《排污许可管理条例》</w:t>
            </w:r>
            <w:r>
              <w:rPr>
                <w:rFonts w:hint="eastAsia"/>
                <w:bCs/>
                <w:sz w:val="24"/>
              </w:rPr>
              <w:t>和《固定污染源排污许可分类管理名录</w:t>
            </w:r>
            <w:r>
              <w:rPr>
                <w:bCs/>
                <w:sz w:val="24"/>
              </w:rPr>
              <w:t xml:space="preserve">（2019 </w:t>
            </w:r>
            <w:r>
              <w:rPr>
                <w:rFonts w:hint="eastAsia"/>
                <w:bCs/>
                <w:sz w:val="24"/>
              </w:rPr>
              <w:t>年版</w:t>
            </w:r>
            <w:r>
              <w:rPr>
                <w:bCs/>
                <w:sz w:val="24"/>
              </w:rPr>
              <w:t>）</w:t>
            </w:r>
            <w:r>
              <w:rPr>
                <w:rFonts w:hint="eastAsia"/>
                <w:bCs/>
                <w:sz w:val="24"/>
              </w:rPr>
              <w:t>》</w:t>
            </w:r>
            <w:r>
              <w:rPr>
                <w:bCs/>
                <w:sz w:val="24"/>
              </w:rPr>
              <w:t>（</w:t>
            </w:r>
            <w:r>
              <w:rPr>
                <w:rFonts w:hint="eastAsia"/>
                <w:bCs/>
                <w:sz w:val="24"/>
              </w:rPr>
              <w:t>生态环境部部令第</w:t>
            </w:r>
            <w:r>
              <w:rPr>
                <w:bCs/>
                <w:sz w:val="24"/>
              </w:rPr>
              <w:t>11</w:t>
            </w:r>
            <w:r>
              <w:rPr>
                <w:rFonts w:hint="eastAsia"/>
                <w:bCs/>
                <w:sz w:val="24"/>
              </w:rPr>
              <w:t>号</w:t>
            </w:r>
            <w:r>
              <w:rPr>
                <w:bCs/>
                <w:sz w:val="24"/>
              </w:rPr>
              <w:t>）</w:t>
            </w:r>
            <w:r>
              <w:rPr>
                <w:rFonts w:hint="eastAsia"/>
                <w:bCs/>
                <w:sz w:val="24"/>
              </w:rPr>
              <w:t>建设单位需在发生实际排污行为之前，按照国家环境保护相关法律法规以及排污许可证申请与核发技术规范要求进行排污申报，不得无证排污或不按证排污。按照以上规定项目建成后应填报排污许可。</w:t>
            </w:r>
          </w:p>
          <w:p>
            <w:pPr>
              <w:spacing w:line="440" w:lineRule="exact"/>
              <w:ind w:firstLine="424" w:firstLineChars="177"/>
              <w:rPr>
                <w:bCs/>
                <w:sz w:val="24"/>
              </w:rPr>
            </w:pPr>
            <w:r>
              <w:rPr>
                <w:rFonts w:hint="eastAsia"/>
                <w:bCs/>
                <w:sz w:val="24"/>
              </w:rPr>
              <w:t>申请排污许可证后，排污单位应按照自行监测方案开展自行监测；按照排污许可证中环境管理台账记录要求记录相关内容，记录频次形式等；按照排污许可证中执行报告要求定期上报等；按照排污许可证要求定期开展信息公开；排污单位应满足特殊时段污染防治要求。</w:t>
            </w:r>
          </w:p>
          <w:p>
            <w:pPr>
              <w:spacing w:line="440" w:lineRule="exact"/>
              <w:ind w:firstLine="482" w:firstLineChars="200"/>
              <w:jc w:val="left"/>
              <w:rPr>
                <w:b/>
                <w:sz w:val="24"/>
              </w:rPr>
            </w:pPr>
            <w:r>
              <w:rPr>
                <w:rFonts w:hint="eastAsia"/>
                <w:b/>
                <w:sz w:val="24"/>
              </w:rPr>
              <w:t>九、环保投资估算</w:t>
            </w:r>
          </w:p>
          <w:p>
            <w:pPr>
              <w:spacing w:line="440" w:lineRule="exact"/>
              <w:ind w:firstLine="480" w:firstLineChars="200"/>
              <w:rPr>
                <w:sz w:val="24"/>
              </w:rPr>
            </w:pPr>
            <w:r>
              <w:rPr>
                <w:rFonts w:hint="eastAsia"/>
                <w:sz w:val="24"/>
              </w:rPr>
              <w:t>本项目总投资</w:t>
            </w:r>
            <w:r>
              <w:rPr>
                <w:sz w:val="24"/>
              </w:rPr>
              <w:t>500</w:t>
            </w:r>
            <w:r>
              <w:rPr>
                <w:rFonts w:hint="eastAsia"/>
                <w:sz w:val="24"/>
              </w:rPr>
              <w:t>万元，其中环保投资</w:t>
            </w:r>
            <w:r>
              <w:rPr>
                <w:sz w:val="24"/>
              </w:rPr>
              <w:t>37</w:t>
            </w:r>
            <w:r>
              <w:rPr>
                <w:rFonts w:hint="eastAsia"/>
                <w:sz w:val="24"/>
              </w:rPr>
              <w:t>万元，占总投资的</w:t>
            </w:r>
            <w:r>
              <w:rPr>
                <w:sz w:val="24"/>
              </w:rPr>
              <w:t>7.4%</w:t>
            </w:r>
            <w:r>
              <w:rPr>
                <w:rFonts w:hint="eastAsia"/>
                <w:sz w:val="24"/>
              </w:rPr>
              <w:t>。</w:t>
            </w:r>
          </w:p>
          <w:p>
            <w:pPr>
              <w:adjustRightInd w:val="0"/>
              <w:snapToGrid w:val="0"/>
              <w:spacing w:line="400" w:lineRule="exact"/>
              <w:jc w:val="center"/>
              <w:rPr>
                <w:b/>
                <w:bCs/>
                <w:sz w:val="24"/>
              </w:rPr>
            </w:pPr>
            <w:r>
              <w:rPr>
                <w:rFonts w:hint="eastAsia"/>
                <w:b/>
                <w:sz w:val="24"/>
              </w:rPr>
              <w:t>表4</w:t>
            </w:r>
            <w:r>
              <w:rPr>
                <w:b/>
                <w:sz w:val="24"/>
              </w:rPr>
              <w:t xml:space="preserve">-23 </w:t>
            </w:r>
            <w:r>
              <w:rPr>
                <w:rFonts w:hint="eastAsia"/>
                <w:b/>
                <w:sz w:val="24"/>
              </w:rPr>
              <w:t>环保措施及环保投资表</w:t>
            </w:r>
          </w:p>
          <w:tbl>
            <w:tblPr>
              <w:tblStyle w:val="21"/>
              <w:tblW w:w="5000" w:type="pct"/>
              <w:tblInd w:w="0" w:type="dxa"/>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86"/>
              <w:gridCol w:w="1439"/>
              <w:gridCol w:w="1305"/>
              <w:gridCol w:w="3347"/>
              <w:gridCol w:w="1100"/>
            </w:tblGrid>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tcBorders>
                    <w:top w:val="single" w:color="auto" w:sz="12" w:space="0"/>
                    <w:left w:val="nil"/>
                    <w:bottom w:val="single" w:color="auto" w:sz="6" w:space="0"/>
                    <w:right w:val="single" w:color="auto" w:sz="4" w:space="0"/>
                  </w:tcBorders>
                  <w:vAlign w:val="center"/>
                </w:tcPr>
                <w:p>
                  <w:pPr>
                    <w:adjustRightInd w:val="0"/>
                    <w:snapToGrid w:val="0"/>
                    <w:jc w:val="center"/>
                    <w:rPr>
                      <w:b/>
                      <w:szCs w:val="21"/>
                    </w:rPr>
                  </w:pPr>
                  <w:r>
                    <w:rPr>
                      <w:b/>
                    </w:rPr>
                    <w:t>污染</w:t>
                  </w:r>
                </w:p>
                <w:p>
                  <w:pPr>
                    <w:adjustRightInd w:val="0"/>
                    <w:snapToGrid w:val="0"/>
                    <w:jc w:val="center"/>
                    <w:rPr>
                      <w:b/>
                    </w:rPr>
                  </w:pPr>
                  <w:r>
                    <w:rPr>
                      <w:b/>
                    </w:rPr>
                    <w:t>类型</w:t>
                  </w:r>
                </w:p>
              </w:tc>
              <w:tc>
                <w:tcPr>
                  <w:tcW w:w="859" w:type="pct"/>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b/>
                    </w:rPr>
                  </w:pPr>
                  <w:r>
                    <w:rPr>
                      <w:b/>
                    </w:rPr>
                    <w:t>排污工艺装置及过程</w:t>
                  </w:r>
                </w:p>
              </w:tc>
              <w:tc>
                <w:tcPr>
                  <w:tcW w:w="779" w:type="pct"/>
                  <w:tcBorders>
                    <w:top w:val="single" w:color="auto" w:sz="12" w:space="0"/>
                    <w:left w:val="nil"/>
                    <w:bottom w:val="single" w:color="auto" w:sz="6" w:space="0"/>
                    <w:right w:val="single" w:color="auto" w:sz="6" w:space="0"/>
                  </w:tcBorders>
                  <w:vAlign w:val="center"/>
                </w:tcPr>
                <w:p>
                  <w:pPr>
                    <w:adjustRightInd w:val="0"/>
                    <w:snapToGrid w:val="0"/>
                    <w:jc w:val="center"/>
                    <w:rPr>
                      <w:b/>
                    </w:rPr>
                  </w:pPr>
                  <w:r>
                    <w:rPr>
                      <w:b/>
                    </w:rPr>
                    <w:t>污染物</w:t>
                  </w:r>
                </w:p>
              </w:tc>
              <w:tc>
                <w:tcPr>
                  <w:tcW w:w="1998" w:type="pct"/>
                  <w:tcBorders>
                    <w:top w:val="single" w:color="auto" w:sz="12" w:space="0"/>
                    <w:left w:val="nil"/>
                    <w:bottom w:val="single" w:color="auto" w:sz="6" w:space="0"/>
                    <w:right w:val="single" w:color="auto" w:sz="6" w:space="0"/>
                  </w:tcBorders>
                  <w:vAlign w:val="center"/>
                </w:tcPr>
                <w:p>
                  <w:pPr>
                    <w:adjustRightInd w:val="0"/>
                    <w:snapToGrid w:val="0"/>
                    <w:jc w:val="center"/>
                    <w:rPr>
                      <w:b/>
                    </w:rPr>
                  </w:pPr>
                  <w:r>
                    <w:rPr>
                      <w:b/>
                    </w:rPr>
                    <w:t>环保措施</w:t>
                  </w:r>
                </w:p>
              </w:tc>
              <w:tc>
                <w:tcPr>
                  <w:tcW w:w="656" w:type="pct"/>
                  <w:tcBorders>
                    <w:top w:val="single" w:color="auto" w:sz="12" w:space="0"/>
                    <w:left w:val="nil"/>
                    <w:bottom w:val="single" w:color="auto" w:sz="6" w:space="0"/>
                    <w:right w:val="nil"/>
                  </w:tcBorders>
                </w:tcPr>
                <w:p>
                  <w:pPr>
                    <w:adjustRightInd w:val="0"/>
                    <w:snapToGrid w:val="0"/>
                    <w:jc w:val="center"/>
                    <w:rPr>
                      <w:b/>
                    </w:rPr>
                  </w:pPr>
                  <w:r>
                    <w:rPr>
                      <w:b/>
                    </w:rPr>
                    <w:t>环保投资</w:t>
                  </w:r>
                </w:p>
                <w:p>
                  <w:pPr>
                    <w:adjustRightInd w:val="0"/>
                    <w:snapToGrid w:val="0"/>
                    <w:jc w:val="center"/>
                    <w:rPr>
                      <w:b/>
                    </w:rPr>
                  </w:pPr>
                  <w:r>
                    <w:rPr>
                      <w:b/>
                    </w:rPr>
                    <w:t>（万元）</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tcBorders>
                    <w:top w:val="single" w:color="auto" w:sz="6" w:space="0"/>
                    <w:left w:val="nil"/>
                    <w:bottom w:val="single" w:color="auto" w:sz="6" w:space="0"/>
                    <w:right w:val="single" w:color="auto" w:sz="6" w:space="0"/>
                  </w:tcBorders>
                  <w:vAlign w:val="center"/>
                </w:tcPr>
                <w:p>
                  <w:pPr>
                    <w:adjustRightInd w:val="0"/>
                    <w:snapToGrid w:val="0"/>
                    <w:jc w:val="center"/>
                  </w:pPr>
                  <w:r>
                    <w:rPr>
                      <w:rFonts w:hint="eastAsia"/>
                    </w:rPr>
                    <w:t>大气</w:t>
                  </w:r>
                </w:p>
              </w:tc>
              <w:tc>
                <w:tcPr>
                  <w:tcW w:w="859" w:type="pct"/>
                  <w:tcBorders>
                    <w:top w:val="single" w:color="auto" w:sz="6" w:space="0"/>
                    <w:left w:val="nil"/>
                    <w:bottom w:val="single" w:color="auto" w:sz="6" w:space="0"/>
                    <w:right w:val="single" w:color="auto" w:sz="6" w:space="0"/>
                  </w:tcBorders>
                  <w:vAlign w:val="center"/>
                </w:tcPr>
                <w:p>
                  <w:pPr>
                    <w:adjustRightInd w:val="0"/>
                    <w:snapToGrid w:val="0"/>
                    <w:jc w:val="center"/>
                  </w:pPr>
                  <w:r>
                    <w:rPr>
                      <w:rFonts w:hint="eastAsia" w:cs="宋体"/>
                      <w:szCs w:val="21"/>
                    </w:rPr>
                    <w:t>香精生产过程</w:t>
                  </w:r>
                </w:p>
              </w:tc>
              <w:tc>
                <w:tcPr>
                  <w:tcW w:w="779" w:type="pct"/>
                  <w:tcBorders>
                    <w:top w:val="single" w:color="auto" w:sz="6" w:space="0"/>
                    <w:left w:val="nil"/>
                    <w:bottom w:val="single" w:color="auto" w:sz="6" w:space="0"/>
                    <w:right w:val="single" w:color="auto" w:sz="6" w:space="0"/>
                  </w:tcBorders>
                  <w:vAlign w:val="center"/>
                </w:tcPr>
                <w:p>
                  <w:pPr>
                    <w:adjustRightInd w:val="0"/>
                    <w:snapToGrid w:val="0"/>
                    <w:jc w:val="center"/>
                    <w:rPr>
                      <w:bCs/>
                    </w:rPr>
                  </w:pPr>
                  <w:r>
                    <w:rPr>
                      <w:rFonts w:hint="eastAsia"/>
                      <w:bCs/>
                      <w:szCs w:val="21"/>
                    </w:rPr>
                    <w:t>非甲烷总烃、臭气浓度</w:t>
                  </w:r>
                </w:p>
              </w:tc>
              <w:tc>
                <w:tcPr>
                  <w:tcW w:w="1998" w:type="pct"/>
                  <w:tcBorders>
                    <w:top w:val="single" w:color="auto" w:sz="6" w:space="0"/>
                    <w:left w:val="nil"/>
                    <w:bottom w:val="single" w:color="auto" w:sz="6" w:space="0"/>
                    <w:right w:val="single" w:color="auto" w:sz="6" w:space="0"/>
                  </w:tcBorders>
                  <w:vAlign w:val="center"/>
                </w:tcPr>
                <w:p>
                  <w:pPr>
                    <w:adjustRightInd w:val="0"/>
                    <w:snapToGrid w:val="0"/>
                    <w:jc w:val="center"/>
                    <w:rPr>
                      <w:kern w:val="0"/>
                    </w:rPr>
                  </w:pPr>
                  <w:r>
                    <w:rPr>
                      <w:rFonts w:hint="eastAsia"/>
                      <w:szCs w:val="21"/>
                    </w:rPr>
                    <w:t xml:space="preserve">加强车间通风和操作管理 </w:t>
                  </w:r>
                </w:p>
              </w:tc>
              <w:tc>
                <w:tcPr>
                  <w:tcW w:w="656" w:type="pct"/>
                  <w:tcBorders>
                    <w:top w:val="single" w:color="auto" w:sz="6" w:space="0"/>
                    <w:left w:val="nil"/>
                    <w:bottom w:val="single" w:color="auto" w:sz="6" w:space="0"/>
                    <w:right w:val="nil"/>
                  </w:tcBorders>
                  <w:vAlign w:val="center"/>
                </w:tcPr>
                <w:p>
                  <w:pPr>
                    <w:adjustRightInd w:val="0"/>
                    <w:snapToGrid w:val="0"/>
                    <w:jc w:val="center"/>
                  </w:pPr>
                  <w:r>
                    <w:t>5</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tcBorders>
                    <w:top w:val="single" w:color="auto" w:sz="6" w:space="0"/>
                    <w:left w:val="nil"/>
                    <w:bottom w:val="single" w:color="auto" w:sz="6" w:space="0"/>
                    <w:right w:val="single" w:color="auto" w:sz="6" w:space="0"/>
                  </w:tcBorders>
                  <w:vAlign w:val="center"/>
                </w:tcPr>
                <w:p>
                  <w:pPr>
                    <w:adjustRightInd w:val="0"/>
                    <w:snapToGrid w:val="0"/>
                    <w:jc w:val="center"/>
                  </w:pPr>
                  <w:r>
                    <w:t>废水</w:t>
                  </w:r>
                </w:p>
              </w:tc>
              <w:tc>
                <w:tcPr>
                  <w:tcW w:w="859" w:type="pct"/>
                  <w:tcBorders>
                    <w:top w:val="single" w:color="auto" w:sz="6" w:space="0"/>
                    <w:left w:val="nil"/>
                    <w:bottom w:val="single" w:color="auto" w:sz="6" w:space="0"/>
                    <w:right w:val="single" w:color="auto" w:sz="6" w:space="0"/>
                  </w:tcBorders>
                  <w:vAlign w:val="center"/>
                </w:tcPr>
                <w:p>
                  <w:pPr>
                    <w:adjustRightInd w:val="0"/>
                    <w:snapToGrid w:val="0"/>
                    <w:jc w:val="center"/>
                    <w:rPr>
                      <w:kern w:val="0"/>
                    </w:rPr>
                  </w:pPr>
                  <w:r>
                    <w:rPr>
                      <w:rFonts w:hint="eastAsia"/>
                    </w:rPr>
                    <w:t>污水处理设施</w:t>
                  </w:r>
                </w:p>
              </w:tc>
              <w:tc>
                <w:tcPr>
                  <w:tcW w:w="779" w:type="pct"/>
                  <w:tcBorders>
                    <w:top w:val="single" w:color="auto" w:sz="6" w:space="0"/>
                    <w:left w:val="nil"/>
                    <w:bottom w:val="single" w:color="auto" w:sz="6" w:space="0"/>
                    <w:right w:val="single" w:color="auto" w:sz="6" w:space="0"/>
                  </w:tcBorders>
                  <w:vAlign w:val="center"/>
                </w:tcPr>
                <w:p>
                  <w:pPr>
                    <w:adjustRightInd w:val="0"/>
                    <w:snapToGrid w:val="0"/>
                    <w:jc w:val="center"/>
                  </w:pPr>
                  <w:r>
                    <w:rPr>
                      <w:bCs/>
                    </w:rPr>
                    <w:t>COD</w:t>
                  </w:r>
                  <w:r>
                    <w:rPr>
                      <w:rFonts w:hint="eastAsia"/>
                      <w:bCs/>
                    </w:rPr>
                    <w:t>、氨氮等</w:t>
                  </w:r>
                </w:p>
              </w:tc>
              <w:tc>
                <w:tcPr>
                  <w:tcW w:w="1998" w:type="pct"/>
                  <w:tcBorders>
                    <w:top w:val="single" w:color="auto" w:sz="6" w:space="0"/>
                    <w:left w:val="nil"/>
                    <w:bottom w:val="single" w:color="auto" w:sz="6" w:space="0"/>
                    <w:right w:val="single" w:color="auto" w:sz="6" w:space="0"/>
                  </w:tcBorders>
                  <w:vAlign w:val="center"/>
                </w:tcPr>
                <w:p>
                  <w:pPr>
                    <w:adjustRightInd w:val="0"/>
                    <w:snapToGrid w:val="0"/>
                  </w:pPr>
                  <w:r>
                    <w:rPr>
                      <w:rFonts w:hint="eastAsia"/>
                      <w:kern w:val="0"/>
                    </w:rPr>
                    <w:t>污水处理站，两级生化处理，处理规模</w:t>
                  </w:r>
                  <w:r>
                    <w:rPr>
                      <w:kern w:val="0"/>
                    </w:rPr>
                    <w:t>10</w:t>
                  </w:r>
                  <w:r>
                    <w:rPr>
                      <w:rFonts w:hint="eastAsia"/>
                      <w:kern w:val="0"/>
                    </w:rPr>
                    <w:t>m</w:t>
                  </w:r>
                  <w:r>
                    <w:rPr>
                      <w:kern w:val="0"/>
                      <w:vertAlign w:val="superscript"/>
                    </w:rPr>
                    <w:t>3</w:t>
                  </w:r>
                  <w:r>
                    <w:rPr>
                      <w:kern w:val="0"/>
                    </w:rPr>
                    <w:t>/</w:t>
                  </w:r>
                  <w:r>
                    <w:rPr>
                      <w:rFonts w:hint="eastAsia"/>
                      <w:kern w:val="0"/>
                    </w:rPr>
                    <w:t>d</w:t>
                  </w:r>
                </w:p>
              </w:tc>
              <w:tc>
                <w:tcPr>
                  <w:tcW w:w="656" w:type="pct"/>
                  <w:tcBorders>
                    <w:top w:val="single" w:color="auto" w:sz="6" w:space="0"/>
                    <w:left w:val="nil"/>
                    <w:bottom w:val="single" w:color="auto" w:sz="6" w:space="0"/>
                    <w:right w:val="nil"/>
                  </w:tcBorders>
                  <w:vAlign w:val="center"/>
                </w:tcPr>
                <w:p>
                  <w:pPr>
                    <w:adjustRightInd w:val="0"/>
                    <w:snapToGrid w:val="0"/>
                    <w:jc w:val="center"/>
                  </w:pPr>
                  <w:r>
                    <w:t>10</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tcBorders>
                    <w:top w:val="single" w:color="auto" w:sz="6" w:space="0"/>
                    <w:left w:val="nil"/>
                    <w:bottom w:val="single" w:color="auto" w:sz="6" w:space="0"/>
                    <w:right w:val="single" w:color="auto" w:sz="6" w:space="0"/>
                  </w:tcBorders>
                  <w:vAlign w:val="center"/>
                </w:tcPr>
                <w:p>
                  <w:pPr>
                    <w:adjustRightInd w:val="0"/>
                    <w:snapToGrid w:val="0"/>
                    <w:jc w:val="center"/>
                  </w:pPr>
                  <w:r>
                    <w:t>噪声</w:t>
                  </w:r>
                </w:p>
              </w:tc>
              <w:tc>
                <w:tcPr>
                  <w:tcW w:w="859" w:type="pct"/>
                  <w:tcBorders>
                    <w:top w:val="single" w:color="auto" w:sz="6" w:space="0"/>
                    <w:left w:val="nil"/>
                    <w:bottom w:val="single" w:color="auto" w:sz="6" w:space="0"/>
                    <w:right w:val="single" w:color="auto" w:sz="6" w:space="0"/>
                  </w:tcBorders>
                  <w:vAlign w:val="center"/>
                </w:tcPr>
                <w:p>
                  <w:pPr>
                    <w:autoSpaceDE w:val="0"/>
                    <w:autoSpaceDN w:val="0"/>
                    <w:adjustRightInd w:val="0"/>
                    <w:snapToGrid w:val="0"/>
                    <w:jc w:val="center"/>
                  </w:pPr>
                  <w:r>
                    <w:t>车间</w:t>
                  </w:r>
                </w:p>
              </w:tc>
              <w:tc>
                <w:tcPr>
                  <w:tcW w:w="779" w:type="pct"/>
                  <w:tcBorders>
                    <w:top w:val="single" w:color="auto" w:sz="6" w:space="0"/>
                    <w:left w:val="nil"/>
                    <w:bottom w:val="single" w:color="auto" w:sz="6" w:space="0"/>
                    <w:right w:val="single" w:color="auto" w:sz="6" w:space="0"/>
                  </w:tcBorders>
                  <w:vAlign w:val="center"/>
                </w:tcPr>
                <w:p>
                  <w:pPr>
                    <w:autoSpaceDE w:val="0"/>
                    <w:autoSpaceDN w:val="0"/>
                    <w:adjustRightInd w:val="0"/>
                    <w:snapToGrid w:val="0"/>
                    <w:jc w:val="center"/>
                  </w:pPr>
                  <w:r>
                    <w:t>设备噪声</w:t>
                  </w:r>
                </w:p>
              </w:tc>
              <w:tc>
                <w:tcPr>
                  <w:tcW w:w="1998" w:type="pct"/>
                  <w:tcBorders>
                    <w:top w:val="single" w:color="auto" w:sz="6" w:space="0"/>
                    <w:left w:val="nil"/>
                    <w:bottom w:val="single" w:color="auto" w:sz="6" w:space="0"/>
                    <w:right w:val="single" w:color="auto" w:sz="6" w:space="0"/>
                  </w:tcBorders>
                  <w:vAlign w:val="center"/>
                </w:tcPr>
                <w:p>
                  <w:pPr>
                    <w:autoSpaceDE w:val="0"/>
                    <w:autoSpaceDN w:val="0"/>
                    <w:adjustRightInd w:val="0"/>
                    <w:snapToGrid w:val="0"/>
                  </w:pPr>
                  <w:r>
                    <w:t>消声器、基础减震、室内布置、距离衰减</w:t>
                  </w:r>
                </w:p>
              </w:tc>
              <w:tc>
                <w:tcPr>
                  <w:tcW w:w="656" w:type="pct"/>
                  <w:tcBorders>
                    <w:top w:val="single" w:color="auto" w:sz="6" w:space="0"/>
                    <w:left w:val="nil"/>
                    <w:bottom w:val="single" w:color="auto" w:sz="6" w:space="0"/>
                    <w:right w:val="nil"/>
                  </w:tcBorders>
                  <w:vAlign w:val="center"/>
                </w:tcPr>
                <w:p>
                  <w:pPr>
                    <w:adjustRightInd w:val="0"/>
                    <w:snapToGrid w:val="0"/>
                    <w:jc w:val="center"/>
                  </w:pPr>
                  <w:r>
                    <w:rPr>
                      <w:rFonts w:hint="eastAsia"/>
                    </w:rPr>
                    <w:t>4</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vMerge w:val="restart"/>
                  <w:tcBorders>
                    <w:top w:val="nil"/>
                    <w:left w:val="nil"/>
                    <w:bottom w:val="single" w:color="auto" w:sz="6" w:space="0"/>
                    <w:right w:val="single" w:color="auto" w:sz="6" w:space="0"/>
                  </w:tcBorders>
                  <w:vAlign w:val="center"/>
                </w:tcPr>
                <w:p>
                  <w:pPr>
                    <w:adjustRightInd w:val="0"/>
                    <w:snapToGrid w:val="0"/>
                    <w:jc w:val="center"/>
                  </w:pPr>
                  <w:r>
                    <w:rPr>
                      <w:rFonts w:hint="eastAsia"/>
                    </w:rPr>
                    <w:t>固体废物</w:t>
                  </w:r>
                </w:p>
              </w:tc>
              <w:tc>
                <w:tcPr>
                  <w:tcW w:w="1638" w:type="pct"/>
                  <w:gridSpan w:val="2"/>
                  <w:tcBorders>
                    <w:top w:val="single" w:color="auto" w:sz="6" w:space="0"/>
                    <w:left w:val="nil"/>
                    <w:bottom w:val="single" w:color="auto" w:sz="6" w:space="0"/>
                    <w:right w:val="single" w:color="auto" w:sz="6" w:space="0"/>
                  </w:tcBorders>
                  <w:vAlign w:val="center"/>
                </w:tcPr>
                <w:p>
                  <w:pPr>
                    <w:adjustRightInd w:val="0"/>
                    <w:snapToGrid w:val="0"/>
                    <w:jc w:val="center"/>
                  </w:pPr>
                  <w:r>
                    <w:rPr>
                      <w:rFonts w:hint="eastAsia"/>
                    </w:rPr>
                    <w:t>一般固废</w:t>
                  </w:r>
                </w:p>
              </w:tc>
              <w:tc>
                <w:tcPr>
                  <w:tcW w:w="1998" w:type="pct"/>
                  <w:tcBorders>
                    <w:top w:val="single" w:color="auto" w:sz="6" w:space="0"/>
                    <w:left w:val="nil"/>
                    <w:bottom w:val="single" w:color="auto" w:sz="6" w:space="0"/>
                    <w:right w:val="single" w:color="auto" w:sz="6" w:space="0"/>
                  </w:tcBorders>
                  <w:vAlign w:val="center"/>
                </w:tcPr>
                <w:p>
                  <w:pPr>
                    <w:adjustRightInd w:val="0"/>
                    <w:snapToGrid w:val="0"/>
                  </w:pPr>
                  <w:r>
                    <w:rPr>
                      <w:rFonts w:hint="eastAsia"/>
                    </w:rPr>
                    <w:t>收集后暂存于一般固废间，占地面积2</w:t>
                  </w:r>
                  <w:r>
                    <w:t>0</w:t>
                  </w:r>
                  <w:r>
                    <w:rPr>
                      <w:rFonts w:hint="eastAsia"/>
                    </w:rPr>
                    <w:t>m</w:t>
                  </w:r>
                  <w:r>
                    <w:rPr>
                      <w:vertAlign w:val="superscript"/>
                    </w:rPr>
                    <w:t>2</w:t>
                  </w:r>
                </w:p>
              </w:tc>
              <w:tc>
                <w:tcPr>
                  <w:tcW w:w="656" w:type="pct"/>
                  <w:vMerge w:val="restart"/>
                  <w:tcBorders>
                    <w:top w:val="nil"/>
                    <w:left w:val="nil"/>
                    <w:bottom w:val="single" w:color="auto" w:sz="6" w:space="0"/>
                    <w:right w:val="nil"/>
                  </w:tcBorders>
                  <w:vAlign w:val="center"/>
                </w:tcPr>
                <w:p>
                  <w:pPr>
                    <w:adjustRightInd w:val="0"/>
                    <w:snapToGrid w:val="0"/>
                    <w:jc w:val="center"/>
                  </w:pPr>
                  <w:r>
                    <w:t>5</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vMerge w:val="continue"/>
                  <w:tcBorders>
                    <w:top w:val="nil"/>
                    <w:left w:val="nil"/>
                    <w:bottom w:val="single" w:color="auto" w:sz="6" w:space="0"/>
                    <w:right w:val="single" w:color="auto" w:sz="6" w:space="0"/>
                  </w:tcBorders>
                  <w:vAlign w:val="center"/>
                </w:tcPr>
                <w:p>
                  <w:pPr>
                    <w:widowControl/>
                    <w:adjustRightInd w:val="0"/>
                    <w:snapToGrid w:val="0"/>
                    <w:jc w:val="left"/>
                    <w:rPr>
                      <w:szCs w:val="21"/>
                    </w:rPr>
                  </w:pPr>
                </w:p>
              </w:tc>
              <w:tc>
                <w:tcPr>
                  <w:tcW w:w="1638" w:type="pct"/>
                  <w:gridSpan w:val="2"/>
                  <w:tcBorders>
                    <w:top w:val="single" w:color="auto" w:sz="6" w:space="0"/>
                    <w:left w:val="nil"/>
                    <w:bottom w:val="single" w:color="auto" w:sz="6" w:space="0"/>
                    <w:right w:val="single" w:color="auto" w:sz="6" w:space="0"/>
                  </w:tcBorders>
                  <w:vAlign w:val="center"/>
                </w:tcPr>
                <w:p>
                  <w:pPr>
                    <w:adjustRightInd w:val="0"/>
                    <w:snapToGrid w:val="0"/>
                    <w:jc w:val="center"/>
                  </w:pPr>
                  <w:r>
                    <w:rPr>
                      <w:rFonts w:hint="eastAsia"/>
                    </w:rPr>
                    <w:t>危险废物</w:t>
                  </w:r>
                </w:p>
              </w:tc>
              <w:tc>
                <w:tcPr>
                  <w:tcW w:w="1998" w:type="pct"/>
                  <w:tcBorders>
                    <w:top w:val="single" w:color="auto" w:sz="4" w:space="0"/>
                    <w:left w:val="nil"/>
                    <w:bottom w:val="single" w:color="auto" w:sz="6" w:space="0"/>
                    <w:right w:val="single" w:color="auto" w:sz="6" w:space="0"/>
                  </w:tcBorders>
                  <w:vAlign w:val="center"/>
                </w:tcPr>
                <w:p>
                  <w:pPr>
                    <w:adjustRightInd w:val="0"/>
                    <w:snapToGrid w:val="0"/>
                    <w:jc w:val="center"/>
                  </w:pPr>
                  <w:r>
                    <w:rPr>
                      <w:rFonts w:hint="eastAsia"/>
                    </w:rPr>
                    <w:t>新建危废暂存间1</w:t>
                  </w:r>
                  <w:r>
                    <w:t>0</w:t>
                  </w:r>
                  <w:r>
                    <w:rPr>
                      <w:rFonts w:hint="eastAsia"/>
                    </w:rPr>
                    <w:t>m</w:t>
                  </w:r>
                  <w:r>
                    <w:rPr>
                      <w:vertAlign w:val="superscript"/>
                    </w:rPr>
                    <w:t>2</w:t>
                  </w:r>
                </w:p>
              </w:tc>
              <w:tc>
                <w:tcPr>
                  <w:tcW w:w="656" w:type="pct"/>
                  <w:vMerge w:val="continue"/>
                  <w:tcBorders>
                    <w:top w:val="nil"/>
                    <w:left w:val="nil"/>
                    <w:bottom w:val="single" w:color="auto" w:sz="6" w:space="0"/>
                    <w:right w:val="nil"/>
                  </w:tcBorders>
                  <w:vAlign w:val="center"/>
                </w:tcPr>
                <w:p>
                  <w:pPr>
                    <w:widowControl/>
                    <w:adjustRightInd w:val="0"/>
                    <w:snapToGrid w:val="0"/>
                    <w:jc w:val="center"/>
                    <w:rPr>
                      <w:szCs w:val="21"/>
                    </w:rPr>
                  </w:pP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vMerge w:val="continue"/>
                  <w:tcBorders>
                    <w:top w:val="nil"/>
                    <w:left w:val="nil"/>
                    <w:bottom w:val="single" w:color="auto" w:sz="6" w:space="0"/>
                    <w:right w:val="single" w:color="auto" w:sz="6" w:space="0"/>
                  </w:tcBorders>
                  <w:vAlign w:val="center"/>
                </w:tcPr>
                <w:p>
                  <w:pPr>
                    <w:widowControl/>
                    <w:adjustRightInd w:val="0"/>
                    <w:snapToGrid w:val="0"/>
                    <w:jc w:val="left"/>
                    <w:rPr>
                      <w:szCs w:val="21"/>
                    </w:rPr>
                  </w:pPr>
                </w:p>
              </w:tc>
              <w:tc>
                <w:tcPr>
                  <w:tcW w:w="1638" w:type="pct"/>
                  <w:gridSpan w:val="2"/>
                  <w:tcBorders>
                    <w:top w:val="single" w:color="auto" w:sz="6" w:space="0"/>
                    <w:left w:val="nil"/>
                    <w:bottom w:val="single" w:color="auto" w:sz="6" w:space="0"/>
                    <w:right w:val="single" w:color="auto" w:sz="6" w:space="0"/>
                  </w:tcBorders>
                  <w:vAlign w:val="center"/>
                </w:tcPr>
                <w:p>
                  <w:pPr>
                    <w:adjustRightInd w:val="0"/>
                    <w:snapToGrid w:val="0"/>
                    <w:jc w:val="center"/>
                  </w:pPr>
                  <w:r>
                    <w:rPr>
                      <w:rFonts w:hint="eastAsia"/>
                    </w:rPr>
                    <w:t>生活垃圾</w:t>
                  </w:r>
                </w:p>
              </w:tc>
              <w:tc>
                <w:tcPr>
                  <w:tcW w:w="1998" w:type="pct"/>
                  <w:tcBorders>
                    <w:top w:val="single" w:color="auto" w:sz="4" w:space="0"/>
                    <w:left w:val="nil"/>
                    <w:bottom w:val="single" w:color="auto" w:sz="6" w:space="0"/>
                    <w:right w:val="single" w:color="auto" w:sz="6" w:space="0"/>
                  </w:tcBorders>
                  <w:vAlign w:val="center"/>
                </w:tcPr>
                <w:p>
                  <w:pPr>
                    <w:adjustRightInd w:val="0"/>
                    <w:snapToGrid w:val="0"/>
                  </w:pPr>
                  <w:r>
                    <w:rPr>
                      <w:rFonts w:hint="eastAsia"/>
                    </w:rPr>
                    <w:t>统一收集后，</w:t>
                  </w:r>
                  <w:r>
                    <w:t>定期由当地环卫部门处理</w:t>
                  </w:r>
                </w:p>
              </w:tc>
              <w:tc>
                <w:tcPr>
                  <w:tcW w:w="656" w:type="pct"/>
                  <w:vMerge w:val="continue"/>
                  <w:tcBorders>
                    <w:top w:val="nil"/>
                    <w:left w:val="nil"/>
                    <w:bottom w:val="single" w:color="auto" w:sz="6" w:space="0"/>
                    <w:right w:val="nil"/>
                  </w:tcBorders>
                  <w:vAlign w:val="center"/>
                </w:tcPr>
                <w:p>
                  <w:pPr>
                    <w:widowControl/>
                    <w:adjustRightInd w:val="0"/>
                    <w:snapToGrid w:val="0"/>
                    <w:jc w:val="center"/>
                    <w:rPr>
                      <w:szCs w:val="21"/>
                    </w:rPr>
                  </w:pP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tcBorders>
                    <w:top w:val="nil"/>
                    <w:left w:val="nil"/>
                    <w:bottom w:val="single" w:color="auto" w:sz="6" w:space="0"/>
                    <w:right w:val="single" w:color="auto" w:sz="6" w:space="0"/>
                  </w:tcBorders>
                  <w:vAlign w:val="center"/>
                </w:tcPr>
                <w:p>
                  <w:pPr>
                    <w:widowControl/>
                    <w:adjustRightInd w:val="0"/>
                    <w:snapToGrid w:val="0"/>
                    <w:jc w:val="left"/>
                    <w:rPr>
                      <w:szCs w:val="21"/>
                    </w:rPr>
                  </w:pPr>
                  <w:r>
                    <w:rPr>
                      <w:rFonts w:hint="eastAsia"/>
                    </w:rPr>
                    <w:t>防渗措施</w:t>
                  </w:r>
                </w:p>
              </w:tc>
              <w:tc>
                <w:tcPr>
                  <w:tcW w:w="1638" w:type="pct"/>
                  <w:gridSpan w:val="2"/>
                  <w:tcBorders>
                    <w:top w:val="single" w:color="auto" w:sz="6" w:space="0"/>
                    <w:left w:val="nil"/>
                    <w:bottom w:val="single" w:color="auto" w:sz="6" w:space="0"/>
                    <w:right w:val="single" w:color="auto" w:sz="6" w:space="0"/>
                  </w:tcBorders>
                  <w:vAlign w:val="center"/>
                </w:tcPr>
                <w:p>
                  <w:pPr>
                    <w:adjustRightInd w:val="0"/>
                    <w:snapToGrid w:val="0"/>
                    <w:jc w:val="center"/>
                  </w:pPr>
                </w:p>
              </w:tc>
              <w:tc>
                <w:tcPr>
                  <w:tcW w:w="1998" w:type="pct"/>
                  <w:tcBorders>
                    <w:top w:val="single" w:color="auto" w:sz="4" w:space="0"/>
                    <w:left w:val="nil"/>
                    <w:bottom w:val="single" w:color="auto" w:sz="6" w:space="0"/>
                    <w:right w:val="single" w:color="auto" w:sz="6" w:space="0"/>
                  </w:tcBorders>
                  <w:vAlign w:val="center"/>
                </w:tcPr>
                <w:p>
                  <w:pPr>
                    <w:adjustRightInd w:val="0"/>
                    <w:snapToGrid w:val="0"/>
                    <w:jc w:val="center"/>
                  </w:pPr>
                  <w:r>
                    <w:rPr>
                      <w:rFonts w:hint="eastAsia"/>
                    </w:rPr>
                    <w:t>危废间重点防渗</w:t>
                  </w:r>
                </w:p>
              </w:tc>
              <w:tc>
                <w:tcPr>
                  <w:tcW w:w="656" w:type="pct"/>
                  <w:tcBorders>
                    <w:top w:val="nil"/>
                    <w:left w:val="nil"/>
                    <w:bottom w:val="single" w:color="auto" w:sz="6" w:space="0"/>
                    <w:right w:val="nil"/>
                  </w:tcBorders>
                  <w:vAlign w:val="center"/>
                </w:tcPr>
                <w:p>
                  <w:pPr>
                    <w:widowControl/>
                    <w:adjustRightInd w:val="0"/>
                    <w:snapToGrid w:val="0"/>
                    <w:jc w:val="center"/>
                    <w:rPr>
                      <w:szCs w:val="21"/>
                    </w:rPr>
                  </w:pPr>
                  <w:r>
                    <w:rPr>
                      <w:rFonts w:hint="eastAsia"/>
                      <w:szCs w:val="21"/>
                    </w:rPr>
                    <w:t>1</w:t>
                  </w:r>
                  <w:r>
                    <w:rPr>
                      <w:szCs w:val="21"/>
                    </w:rPr>
                    <w:t>0</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tcBorders>
                    <w:top w:val="nil"/>
                    <w:left w:val="nil"/>
                    <w:bottom w:val="single" w:color="auto" w:sz="6" w:space="0"/>
                    <w:right w:val="single" w:color="auto" w:sz="6" w:space="0"/>
                  </w:tcBorders>
                  <w:vAlign w:val="center"/>
                </w:tcPr>
                <w:p>
                  <w:pPr>
                    <w:widowControl/>
                    <w:adjustRightInd w:val="0"/>
                    <w:snapToGrid w:val="0"/>
                    <w:jc w:val="left"/>
                  </w:pPr>
                  <w:r>
                    <w:rPr>
                      <w:rFonts w:hint="eastAsia"/>
                    </w:rPr>
                    <w:t>环境管理</w:t>
                  </w:r>
                </w:p>
              </w:tc>
              <w:tc>
                <w:tcPr>
                  <w:tcW w:w="1638" w:type="pct"/>
                  <w:gridSpan w:val="2"/>
                  <w:tcBorders>
                    <w:top w:val="single" w:color="auto" w:sz="6" w:space="0"/>
                    <w:left w:val="nil"/>
                    <w:bottom w:val="single" w:color="auto" w:sz="6" w:space="0"/>
                    <w:right w:val="single" w:color="auto" w:sz="6" w:space="0"/>
                  </w:tcBorders>
                  <w:vAlign w:val="center"/>
                </w:tcPr>
                <w:p>
                  <w:pPr>
                    <w:adjustRightInd w:val="0"/>
                    <w:snapToGrid w:val="0"/>
                    <w:jc w:val="center"/>
                  </w:pPr>
                </w:p>
              </w:tc>
              <w:tc>
                <w:tcPr>
                  <w:tcW w:w="1998" w:type="pct"/>
                  <w:tcBorders>
                    <w:top w:val="single" w:color="auto" w:sz="4" w:space="0"/>
                    <w:left w:val="nil"/>
                    <w:bottom w:val="single" w:color="auto" w:sz="6" w:space="0"/>
                    <w:right w:val="single" w:color="auto" w:sz="6" w:space="0"/>
                  </w:tcBorders>
                  <w:vAlign w:val="center"/>
                </w:tcPr>
                <w:p>
                  <w:pPr>
                    <w:adjustRightInd w:val="0"/>
                    <w:snapToGrid w:val="0"/>
                    <w:jc w:val="center"/>
                  </w:pPr>
                  <w:r>
                    <w:rPr>
                      <w:rFonts w:hint="eastAsia"/>
                    </w:rPr>
                    <w:t>环境监测、环境管理</w:t>
                  </w:r>
                </w:p>
              </w:tc>
              <w:tc>
                <w:tcPr>
                  <w:tcW w:w="656" w:type="pct"/>
                  <w:tcBorders>
                    <w:top w:val="nil"/>
                    <w:left w:val="nil"/>
                    <w:bottom w:val="single" w:color="auto" w:sz="6" w:space="0"/>
                    <w:right w:val="nil"/>
                  </w:tcBorders>
                  <w:vAlign w:val="center"/>
                </w:tcPr>
                <w:p>
                  <w:pPr>
                    <w:widowControl/>
                    <w:adjustRightInd w:val="0"/>
                    <w:snapToGrid w:val="0"/>
                    <w:jc w:val="center"/>
                    <w:rPr>
                      <w:szCs w:val="21"/>
                    </w:rPr>
                  </w:pPr>
                  <w:r>
                    <w:rPr>
                      <w:rFonts w:hint="eastAsia"/>
                      <w:szCs w:val="21"/>
                    </w:rPr>
                    <w:t>3</w:t>
                  </w:r>
                </w:p>
              </w:tc>
            </w:tr>
            <w:tr>
              <w:tblPrEx>
                <w:tblBorders>
                  <w:top w:val="single" w:color="auto" w:sz="6" w:space="0"/>
                  <w:left w:val="single" w:color="auto" w:sz="4"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708" w:type="pct"/>
                  <w:tcBorders>
                    <w:top w:val="nil"/>
                    <w:left w:val="nil"/>
                    <w:bottom w:val="single" w:color="auto" w:sz="6" w:space="0"/>
                    <w:right w:val="single" w:color="auto" w:sz="6" w:space="0"/>
                  </w:tcBorders>
                  <w:vAlign w:val="center"/>
                </w:tcPr>
                <w:p>
                  <w:pPr>
                    <w:widowControl/>
                    <w:adjustRightInd w:val="0"/>
                    <w:snapToGrid w:val="0"/>
                    <w:jc w:val="left"/>
                  </w:pPr>
                  <w:r>
                    <w:rPr>
                      <w:rFonts w:hint="eastAsia"/>
                    </w:rPr>
                    <w:t>合计</w:t>
                  </w:r>
                </w:p>
              </w:tc>
              <w:tc>
                <w:tcPr>
                  <w:tcW w:w="1638" w:type="pct"/>
                  <w:gridSpan w:val="2"/>
                  <w:tcBorders>
                    <w:top w:val="single" w:color="auto" w:sz="6" w:space="0"/>
                    <w:left w:val="nil"/>
                    <w:bottom w:val="single" w:color="auto" w:sz="6" w:space="0"/>
                    <w:right w:val="single" w:color="auto" w:sz="6" w:space="0"/>
                  </w:tcBorders>
                  <w:vAlign w:val="center"/>
                </w:tcPr>
                <w:p>
                  <w:pPr>
                    <w:adjustRightInd w:val="0"/>
                    <w:snapToGrid w:val="0"/>
                    <w:jc w:val="center"/>
                  </w:pPr>
                </w:p>
              </w:tc>
              <w:tc>
                <w:tcPr>
                  <w:tcW w:w="1998" w:type="pct"/>
                  <w:tcBorders>
                    <w:top w:val="single" w:color="auto" w:sz="4" w:space="0"/>
                    <w:left w:val="nil"/>
                    <w:bottom w:val="single" w:color="auto" w:sz="6" w:space="0"/>
                    <w:right w:val="single" w:color="auto" w:sz="6" w:space="0"/>
                  </w:tcBorders>
                  <w:vAlign w:val="center"/>
                </w:tcPr>
                <w:p>
                  <w:pPr>
                    <w:adjustRightInd w:val="0"/>
                    <w:snapToGrid w:val="0"/>
                    <w:jc w:val="center"/>
                  </w:pPr>
                </w:p>
              </w:tc>
              <w:tc>
                <w:tcPr>
                  <w:tcW w:w="656" w:type="pct"/>
                  <w:tcBorders>
                    <w:top w:val="nil"/>
                    <w:left w:val="nil"/>
                    <w:bottom w:val="single" w:color="auto" w:sz="6" w:space="0"/>
                    <w:right w:val="nil"/>
                  </w:tcBorders>
                  <w:vAlign w:val="center"/>
                </w:tcPr>
                <w:p>
                  <w:pPr>
                    <w:widowControl/>
                    <w:adjustRightInd w:val="0"/>
                    <w:snapToGrid w:val="0"/>
                    <w:jc w:val="center"/>
                    <w:rPr>
                      <w:szCs w:val="21"/>
                    </w:rPr>
                  </w:pPr>
                  <w:r>
                    <w:rPr>
                      <w:szCs w:val="21"/>
                    </w:rPr>
                    <w:t>37</w:t>
                  </w:r>
                </w:p>
              </w:tc>
            </w:tr>
          </w:tbl>
          <w:p>
            <w:pPr>
              <w:pStyle w:val="34"/>
              <w:spacing w:line="360" w:lineRule="auto"/>
              <w:jc w:val="left"/>
              <w:rPr>
                <w:rFonts w:ascii="Times New Roman" w:hAnsi="Times New Roman" w:cs="Times New Roman"/>
                <w:sz w:val="24"/>
                <w:szCs w:val="24"/>
              </w:rPr>
            </w:pPr>
          </w:p>
        </w:tc>
      </w:tr>
    </w:tbl>
    <w:p>
      <w:pPr>
        <w:pStyle w:val="19"/>
        <w:pageBreakBefore/>
        <w:numPr>
          <w:ilvl w:val="0"/>
          <w:numId w:val="11"/>
        </w:numPr>
        <w:tabs>
          <w:tab w:val="center" w:pos="4422"/>
        </w:tabs>
        <w:jc w:val="both"/>
        <w:outlineLvl w:val="0"/>
        <w:rPr>
          <w:rFonts w:ascii="Times New Roman" w:hAnsi="Times New Roman"/>
          <w:b/>
          <w:bCs/>
          <w:snapToGrid w:val="0"/>
          <w:sz w:val="30"/>
          <w:szCs w:val="30"/>
        </w:rPr>
      </w:pPr>
      <w:bookmarkStart w:id="7" w:name="_Hlk54167917"/>
      <w:r>
        <w:rPr>
          <w:rFonts w:hint="eastAsia" w:ascii="Times New Roman" w:hAnsi="Times New Roman"/>
          <w:b/>
          <w:bCs/>
          <w:snapToGrid w:val="0"/>
          <w:sz w:val="30"/>
          <w:szCs w:val="30"/>
        </w:rPr>
        <w:t>环境保护措施监督检查清单</w:t>
      </w:r>
      <w:bookmarkEnd w:id="7"/>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20"/>
        <w:gridCol w:w="573"/>
        <w:gridCol w:w="1114"/>
        <w:gridCol w:w="1537"/>
        <w:gridCol w:w="2004"/>
        <w:gridCol w:w="29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1" w:type="pct"/>
            <w:gridSpan w:val="3"/>
            <w:tcBorders>
              <w:tl2br w:val="single" w:color="auto" w:sz="4" w:space="0"/>
            </w:tcBorders>
            <w:vAlign w:val="center"/>
          </w:tcPr>
          <w:p>
            <w:pPr>
              <w:adjustRightInd w:val="0"/>
              <w:snapToGrid w:val="0"/>
              <w:ind w:firstLine="630" w:firstLineChars="300"/>
              <w:rPr>
                <w:rFonts w:cs="宋体"/>
                <w:szCs w:val="21"/>
              </w:rPr>
            </w:pPr>
            <w:r>
              <w:rPr>
                <w:rFonts w:hint="eastAsia" w:cs="宋体"/>
                <w:szCs w:val="21"/>
              </w:rPr>
              <w:t>内容</w:t>
            </w:r>
          </w:p>
          <w:p>
            <w:pPr>
              <w:adjustRightInd w:val="0"/>
              <w:snapToGrid w:val="0"/>
              <w:rPr>
                <w:rFonts w:cs="宋体"/>
                <w:szCs w:val="21"/>
              </w:rPr>
            </w:pPr>
            <w:r>
              <w:rPr>
                <w:rFonts w:hint="eastAsia" w:cs="宋体"/>
                <w:szCs w:val="21"/>
              </w:rPr>
              <w:t>要素</w:t>
            </w:r>
          </w:p>
        </w:tc>
        <w:tc>
          <w:tcPr>
            <w:tcW w:w="615" w:type="pct"/>
            <w:vAlign w:val="center"/>
          </w:tcPr>
          <w:p>
            <w:pPr>
              <w:adjustRightInd w:val="0"/>
              <w:snapToGrid w:val="0"/>
              <w:jc w:val="center"/>
              <w:rPr>
                <w:rFonts w:cs="宋体"/>
                <w:szCs w:val="21"/>
              </w:rPr>
            </w:pPr>
            <w:r>
              <w:rPr>
                <w:rFonts w:hint="eastAsia" w:cs="宋体"/>
                <w:szCs w:val="21"/>
              </w:rPr>
              <w:t>排放口(编号、名称)/污染源</w:t>
            </w:r>
          </w:p>
        </w:tc>
        <w:tc>
          <w:tcPr>
            <w:tcW w:w="848" w:type="pct"/>
            <w:vAlign w:val="center"/>
          </w:tcPr>
          <w:p>
            <w:pPr>
              <w:adjustRightInd w:val="0"/>
              <w:snapToGrid w:val="0"/>
              <w:jc w:val="center"/>
              <w:rPr>
                <w:rFonts w:cs="宋体"/>
                <w:szCs w:val="21"/>
              </w:rPr>
            </w:pPr>
            <w:r>
              <w:rPr>
                <w:rFonts w:hint="eastAsia" w:cs="宋体"/>
                <w:szCs w:val="21"/>
              </w:rPr>
              <w:t>污染物项目</w:t>
            </w:r>
          </w:p>
        </w:tc>
        <w:tc>
          <w:tcPr>
            <w:tcW w:w="1106" w:type="pct"/>
            <w:vAlign w:val="center"/>
          </w:tcPr>
          <w:p>
            <w:pPr>
              <w:adjustRightInd w:val="0"/>
              <w:snapToGrid w:val="0"/>
              <w:jc w:val="center"/>
              <w:rPr>
                <w:rFonts w:cs="宋体"/>
                <w:szCs w:val="21"/>
              </w:rPr>
            </w:pPr>
            <w:r>
              <w:rPr>
                <w:rFonts w:hint="eastAsia" w:cs="宋体"/>
                <w:szCs w:val="21"/>
              </w:rPr>
              <w:t>环境保护措施</w:t>
            </w:r>
          </w:p>
        </w:tc>
        <w:tc>
          <w:tcPr>
            <w:tcW w:w="1651" w:type="pct"/>
            <w:vAlign w:val="center"/>
          </w:tcPr>
          <w:p>
            <w:pPr>
              <w:adjustRightInd w:val="0"/>
              <w:snapToGrid w:val="0"/>
              <w:jc w:val="center"/>
              <w:rPr>
                <w:rFonts w:cs="宋体"/>
                <w:szCs w:val="21"/>
              </w:rPr>
            </w:pPr>
            <w:r>
              <w:rPr>
                <w:rFonts w:hint="eastAsia"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465" w:type="pct"/>
            <w:gridSpan w:val="2"/>
            <w:vMerge w:val="restart"/>
            <w:vAlign w:val="center"/>
          </w:tcPr>
          <w:p>
            <w:pPr>
              <w:adjustRightInd w:val="0"/>
              <w:snapToGrid w:val="0"/>
              <w:jc w:val="center"/>
              <w:rPr>
                <w:rFonts w:cs="宋体"/>
                <w:szCs w:val="21"/>
              </w:rPr>
            </w:pPr>
            <w:r>
              <w:rPr>
                <w:rFonts w:hint="eastAsia" w:cs="宋体"/>
                <w:szCs w:val="21"/>
              </w:rPr>
              <w:t>大气</w:t>
            </w:r>
          </w:p>
          <w:p>
            <w:pPr>
              <w:adjustRightInd w:val="0"/>
              <w:snapToGrid w:val="0"/>
              <w:jc w:val="center"/>
              <w:rPr>
                <w:rFonts w:cs="宋体"/>
                <w:szCs w:val="21"/>
              </w:rPr>
            </w:pPr>
            <w:r>
              <w:rPr>
                <w:rFonts w:hint="eastAsia" w:cs="宋体"/>
                <w:szCs w:val="21"/>
              </w:rPr>
              <w:t>环境</w:t>
            </w:r>
          </w:p>
        </w:tc>
        <w:tc>
          <w:tcPr>
            <w:tcW w:w="316" w:type="pct"/>
            <w:vMerge w:val="restart"/>
            <w:vAlign w:val="center"/>
          </w:tcPr>
          <w:p>
            <w:pPr>
              <w:adjustRightInd w:val="0"/>
              <w:snapToGrid w:val="0"/>
              <w:jc w:val="center"/>
              <w:rPr>
                <w:rFonts w:cs="宋体"/>
                <w:szCs w:val="21"/>
              </w:rPr>
            </w:pPr>
            <w:r>
              <w:rPr>
                <w:rFonts w:hint="eastAsia" w:cs="宋体"/>
                <w:szCs w:val="21"/>
              </w:rPr>
              <w:t>一期工程</w:t>
            </w:r>
          </w:p>
        </w:tc>
        <w:tc>
          <w:tcPr>
            <w:tcW w:w="615" w:type="pct"/>
            <w:tcBorders>
              <w:top w:val="single" w:color="auto" w:sz="4" w:space="0"/>
              <w:left w:val="single" w:color="auto" w:sz="4" w:space="0"/>
              <w:right w:val="single" w:color="auto" w:sz="4" w:space="0"/>
            </w:tcBorders>
            <w:vAlign w:val="center"/>
          </w:tcPr>
          <w:p>
            <w:pPr>
              <w:adjustRightInd w:val="0"/>
              <w:snapToGrid w:val="0"/>
              <w:jc w:val="center"/>
              <w:rPr>
                <w:rFonts w:cs="宋体"/>
                <w:szCs w:val="21"/>
              </w:rPr>
            </w:pPr>
            <w:r>
              <w:rPr>
                <w:rFonts w:hint="eastAsia"/>
                <w:szCs w:val="21"/>
              </w:rPr>
              <w:t>香精生产废气</w:t>
            </w:r>
          </w:p>
        </w:tc>
        <w:tc>
          <w:tcPr>
            <w:tcW w:w="848" w:type="pct"/>
            <w:tcBorders>
              <w:top w:val="single" w:color="auto" w:sz="4" w:space="0"/>
              <w:left w:val="single" w:color="auto" w:sz="4" w:space="0"/>
              <w:right w:val="single" w:color="auto" w:sz="4" w:space="0"/>
            </w:tcBorders>
            <w:vAlign w:val="center"/>
          </w:tcPr>
          <w:p>
            <w:pPr>
              <w:adjustRightInd w:val="0"/>
              <w:snapToGrid w:val="0"/>
              <w:rPr>
                <w:rFonts w:cs="宋体"/>
                <w:szCs w:val="21"/>
              </w:rPr>
            </w:pPr>
            <w:r>
              <w:rPr>
                <w:rFonts w:hint="eastAsia"/>
                <w:bCs/>
                <w:szCs w:val="21"/>
              </w:rPr>
              <w:t>非甲烷总烃、颗粒物、臭气浓度</w:t>
            </w:r>
          </w:p>
        </w:tc>
        <w:tc>
          <w:tcPr>
            <w:tcW w:w="1106"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cs="宋体"/>
                <w:szCs w:val="21"/>
              </w:rPr>
            </w:pPr>
            <w:r>
              <w:rPr>
                <w:rFonts w:hint="eastAsia"/>
                <w:szCs w:val="21"/>
              </w:rPr>
              <w:t xml:space="preserve">加强车间通风和操作管理 </w:t>
            </w:r>
          </w:p>
        </w:tc>
        <w:tc>
          <w:tcPr>
            <w:tcW w:w="1651" w:type="pct"/>
            <w:vAlign w:val="center"/>
          </w:tcPr>
          <w:p>
            <w:pPr>
              <w:adjustRightInd w:val="0"/>
              <w:snapToGrid w:val="0"/>
              <w:rPr>
                <w:rFonts w:cs="宋体"/>
                <w:szCs w:val="21"/>
              </w:rPr>
            </w:pPr>
            <w:r>
              <w:rPr>
                <w:rFonts w:hint="eastAsia" w:cs="宋体"/>
                <w:szCs w:val="21"/>
              </w:rPr>
              <w:t>《恶臭污染物排放标准》（GB 14554-93）表标准、《大气污染物排放标准标准》（GB 16297-1996）新建二级标准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65" w:type="pct"/>
            <w:gridSpan w:val="2"/>
            <w:vMerge w:val="continue"/>
            <w:vAlign w:val="center"/>
          </w:tcPr>
          <w:p>
            <w:pPr>
              <w:adjustRightInd w:val="0"/>
              <w:snapToGrid w:val="0"/>
              <w:jc w:val="center"/>
              <w:rPr>
                <w:rFonts w:cs="宋体"/>
                <w:szCs w:val="21"/>
              </w:rPr>
            </w:pPr>
          </w:p>
        </w:tc>
        <w:tc>
          <w:tcPr>
            <w:tcW w:w="316" w:type="pct"/>
            <w:vMerge w:val="continue"/>
            <w:vAlign w:val="center"/>
          </w:tcPr>
          <w:p>
            <w:pPr>
              <w:adjustRightInd w:val="0"/>
              <w:snapToGrid w:val="0"/>
              <w:jc w:val="center"/>
              <w:rPr>
                <w:rFonts w:cs="宋体"/>
                <w:szCs w:val="21"/>
              </w:rPr>
            </w:pPr>
          </w:p>
        </w:tc>
        <w:tc>
          <w:tcPr>
            <w:tcW w:w="615"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调味料生产废气</w:t>
            </w:r>
          </w:p>
        </w:tc>
        <w:tc>
          <w:tcPr>
            <w:tcW w:w="848" w:type="pct"/>
            <w:tcBorders>
              <w:top w:val="single" w:color="auto" w:sz="4" w:space="0"/>
              <w:left w:val="single" w:color="auto" w:sz="4" w:space="0"/>
              <w:right w:val="single" w:color="auto" w:sz="4" w:space="0"/>
            </w:tcBorders>
            <w:vAlign w:val="center"/>
          </w:tcPr>
          <w:p>
            <w:pPr>
              <w:adjustRightInd w:val="0"/>
              <w:snapToGrid w:val="0"/>
              <w:jc w:val="center"/>
              <w:rPr>
                <w:bCs/>
                <w:szCs w:val="21"/>
              </w:rPr>
            </w:pPr>
            <w:r>
              <w:rPr>
                <w:rFonts w:hint="eastAsia"/>
                <w:bCs/>
                <w:szCs w:val="21"/>
              </w:rPr>
              <w:t>颗粒物</w:t>
            </w:r>
          </w:p>
        </w:tc>
        <w:tc>
          <w:tcPr>
            <w:tcW w:w="1106" w:type="pct"/>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湿式原料混合投入和搅拌</w:t>
            </w:r>
          </w:p>
        </w:tc>
        <w:tc>
          <w:tcPr>
            <w:tcW w:w="1651" w:type="pct"/>
            <w:vAlign w:val="center"/>
          </w:tcPr>
          <w:p>
            <w:pPr>
              <w:adjustRightInd w:val="0"/>
              <w:snapToGrid w:val="0"/>
              <w:rPr>
                <w:rFonts w:cs="宋体"/>
                <w:szCs w:val="21"/>
              </w:rPr>
            </w:pPr>
            <w:r>
              <w:rPr>
                <w:rFonts w:hint="eastAsia" w:cs="宋体"/>
                <w:szCs w:val="21"/>
              </w:rPr>
              <w:t>《大气污染物排放标准标准》（GB 16297-1996）新建二级标准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465" w:type="pct"/>
            <w:gridSpan w:val="2"/>
            <w:vMerge w:val="continue"/>
            <w:vAlign w:val="center"/>
          </w:tcPr>
          <w:p>
            <w:pPr>
              <w:adjustRightInd w:val="0"/>
              <w:snapToGrid w:val="0"/>
              <w:jc w:val="center"/>
              <w:rPr>
                <w:rFonts w:cs="宋体"/>
                <w:szCs w:val="21"/>
              </w:rPr>
            </w:pPr>
          </w:p>
        </w:tc>
        <w:tc>
          <w:tcPr>
            <w:tcW w:w="316" w:type="pct"/>
            <w:vAlign w:val="center"/>
          </w:tcPr>
          <w:p>
            <w:pPr>
              <w:adjustRightInd w:val="0"/>
              <w:snapToGrid w:val="0"/>
              <w:jc w:val="center"/>
              <w:rPr>
                <w:rFonts w:cs="宋体"/>
                <w:szCs w:val="21"/>
              </w:rPr>
            </w:pPr>
            <w:r>
              <w:rPr>
                <w:rFonts w:hint="eastAsia" w:cs="宋体"/>
                <w:szCs w:val="21"/>
              </w:rPr>
              <w:t>二期工程</w:t>
            </w:r>
          </w:p>
        </w:tc>
        <w:tc>
          <w:tcPr>
            <w:tcW w:w="615"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调味料生产废气</w:t>
            </w:r>
          </w:p>
        </w:tc>
        <w:tc>
          <w:tcPr>
            <w:tcW w:w="848" w:type="pct"/>
            <w:tcBorders>
              <w:top w:val="single" w:color="auto" w:sz="4" w:space="0"/>
              <w:left w:val="single" w:color="auto" w:sz="4" w:space="0"/>
              <w:right w:val="single" w:color="auto" w:sz="4" w:space="0"/>
            </w:tcBorders>
            <w:vAlign w:val="center"/>
          </w:tcPr>
          <w:p>
            <w:pPr>
              <w:adjustRightInd w:val="0"/>
              <w:snapToGrid w:val="0"/>
              <w:jc w:val="center"/>
              <w:rPr>
                <w:bCs/>
                <w:szCs w:val="21"/>
              </w:rPr>
            </w:pPr>
            <w:r>
              <w:rPr>
                <w:rFonts w:hint="eastAsia"/>
                <w:bCs/>
                <w:szCs w:val="21"/>
              </w:rPr>
              <w:t>颗粒物</w:t>
            </w:r>
          </w:p>
        </w:tc>
        <w:tc>
          <w:tcPr>
            <w:tcW w:w="1106" w:type="pct"/>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rFonts w:hint="eastAsia"/>
                <w:szCs w:val="21"/>
              </w:rPr>
              <w:t>湿式原料混合投入和搅拌</w:t>
            </w:r>
          </w:p>
        </w:tc>
        <w:tc>
          <w:tcPr>
            <w:tcW w:w="1651" w:type="pct"/>
            <w:vAlign w:val="center"/>
          </w:tcPr>
          <w:p>
            <w:pPr>
              <w:adjustRightInd w:val="0"/>
              <w:snapToGrid w:val="0"/>
              <w:rPr>
                <w:rFonts w:cs="宋体"/>
                <w:szCs w:val="21"/>
              </w:rPr>
            </w:pPr>
            <w:r>
              <w:rPr>
                <w:rFonts w:hint="eastAsia" w:cs="宋体"/>
                <w:szCs w:val="21"/>
              </w:rPr>
              <w:t>《大气污染物排放标准标准》（GB 16297-1996）新建二级标准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465" w:type="pct"/>
            <w:gridSpan w:val="2"/>
            <w:vMerge w:val="restart"/>
            <w:vAlign w:val="center"/>
          </w:tcPr>
          <w:p>
            <w:pPr>
              <w:adjustRightInd w:val="0"/>
              <w:snapToGrid w:val="0"/>
              <w:jc w:val="center"/>
              <w:rPr>
                <w:rFonts w:cs="宋体"/>
                <w:szCs w:val="21"/>
              </w:rPr>
            </w:pPr>
            <w:r>
              <w:rPr>
                <w:rFonts w:hint="eastAsia" w:cs="宋体"/>
                <w:szCs w:val="21"/>
              </w:rPr>
              <w:t>地表水环境</w:t>
            </w:r>
          </w:p>
        </w:tc>
        <w:tc>
          <w:tcPr>
            <w:tcW w:w="316" w:type="pct"/>
            <w:vMerge w:val="restart"/>
            <w:vAlign w:val="center"/>
          </w:tcPr>
          <w:p>
            <w:pPr>
              <w:adjustRightInd w:val="0"/>
              <w:snapToGrid w:val="0"/>
              <w:jc w:val="center"/>
              <w:rPr>
                <w:rFonts w:cs="宋体"/>
                <w:szCs w:val="21"/>
              </w:rPr>
            </w:pPr>
            <w:r>
              <w:rPr>
                <w:rFonts w:hint="eastAsia" w:cs="宋体"/>
                <w:szCs w:val="21"/>
              </w:rPr>
              <w:t>一期工程</w:t>
            </w:r>
          </w:p>
        </w:tc>
        <w:tc>
          <w:tcPr>
            <w:tcW w:w="615" w:type="pct"/>
            <w:tcBorders>
              <w:top w:val="single" w:color="auto" w:sz="4" w:space="0"/>
              <w:left w:val="single" w:color="auto" w:sz="4" w:space="0"/>
              <w:right w:val="single" w:color="auto" w:sz="4" w:space="0"/>
            </w:tcBorders>
            <w:vAlign w:val="center"/>
          </w:tcPr>
          <w:p>
            <w:pPr>
              <w:adjustRightInd w:val="0"/>
              <w:snapToGrid w:val="0"/>
              <w:jc w:val="center"/>
              <w:rPr>
                <w:rFonts w:cs="宋体"/>
                <w:szCs w:val="21"/>
              </w:rPr>
            </w:pPr>
            <w:r>
              <w:rPr>
                <w:rFonts w:hint="eastAsia"/>
                <w:szCs w:val="21"/>
              </w:rPr>
              <w:t>设备清洗废水</w:t>
            </w:r>
          </w:p>
        </w:tc>
        <w:tc>
          <w:tcPr>
            <w:tcW w:w="848" w:type="pct"/>
            <w:tcBorders>
              <w:top w:val="single" w:color="auto" w:sz="4" w:space="0"/>
              <w:left w:val="single" w:color="auto" w:sz="4" w:space="0"/>
              <w:right w:val="single" w:color="auto" w:sz="4" w:space="0"/>
            </w:tcBorders>
            <w:vAlign w:val="center"/>
          </w:tcPr>
          <w:p>
            <w:pPr>
              <w:autoSpaceDE w:val="0"/>
              <w:autoSpaceDN w:val="0"/>
              <w:snapToGrid w:val="0"/>
              <w:jc w:val="center"/>
              <w:rPr>
                <w:kern w:val="0"/>
                <w:szCs w:val="21"/>
              </w:rPr>
            </w:pPr>
            <w:r>
              <w:rPr>
                <w:bCs/>
                <w:szCs w:val="21"/>
              </w:rPr>
              <w:t>PH</w:t>
            </w:r>
            <w:r>
              <w:rPr>
                <w:rFonts w:hint="eastAsia"/>
                <w:bCs/>
                <w:szCs w:val="21"/>
              </w:rPr>
              <w:t>、</w:t>
            </w:r>
            <w:r>
              <w:rPr>
                <w:bCs/>
                <w:szCs w:val="21"/>
              </w:rPr>
              <w:t>COD</w:t>
            </w:r>
            <w:r>
              <w:rPr>
                <w:rFonts w:hint="eastAsia"/>
                <w:bCs/>
                <w:szCs w:val="21"/>
                <w:vertAlign w:val="subscript"/>
              </w:rPr>
              <w:t>cr</w:t>
            </w:r>
            <w:r>
              <w:rPr>
                <w:rFonts w:hint="eastAsia"/>
                <w:bCs/>
                <w:szCs w:val="21"/>
              </w:rPr>
              <w:t>、</w:t>
            </w:r>
            <w:r>
              <w:rPr>
                <w:bCs/>
                <w:szCs w:val="21"/>
              </w:rPr>
              <w:t>BOD</w:t>
            </w:r>
            <w:r>
              <w:rPr>
                <w:bCs/>
                <w:szCs w:val="21"/>
                <w:vertAlign w:val="subscript"/>
              </w:rPr>
              <w:t>5</w:t>
            </w:r>
            <w:r>
              <w:rPr>
                <w:rFonts w:hint="eastAsia"/>
                <w:bCs/>
                <w:szCs w:val="21"/>
              </w:rPr>
              <w:t>、</w:t>
            </w:r>
            <w:r>
              <w:rPr>
                <w:bCs/>
                <w:szCs w:val="21"/>
              </w:rPr>
              <w:t>PH</w:t>
            </w:r>
            <w:r>
              <w:rPr>
                <w:rFonts w:hint="eastAsia"/>
                <w:bCs/>
                <w:szCs w:val="21"/>
              </w:rPr>
              <w:t>、</w:t>
            </w:r>
          </w:p>
          <w:p>
            <w:pPr>
              <w:adjustRightInd w:val="0"/>
              <w:snapToGrid w:val="0"/>
              <w:jc w:val="center"/>
              <w:rPr>
                <w:rFonts w:cs="宋体"/>
                <w:szCs w:val="21"/>
              </w:rPr>
            </w:pPr>
            <w:r>
              <w:rPr>
                <w:bCs/>
                <w:szCs w:val="21"/>
              </w:rPr>
              <w:t>NH</w:t>
            </w:r>
            <w:r>
              <w:rPr>
                <w:bCs/>
                <w:szCs w:val="21"/>
                <w:vertAlign w:val="subscript"/>
              </w:rPr>
              <w:t>3</w:t>
            </w:r>
            <w:r>
              <w:rPr>
                <w:bCs/>
                <w:szCs w:val="21"/>
              </w:rPr>
              <w:t>－N</w:t>
            </w:r>
            <w:r>
              <w:rPr>
                <w:rFonts w:hint="eastAsia"/>
                <w:bCs/>
                <w:szCs w:val="21"/>
              </w:rPr>
              <w:t>、</w:t>
            </w:r>
            <w:r>
              <w:rPr>
                <w:bCs/>
                <w:szCs w:val="21"/>
              </w:rPr>
              <w:t>SS</w:t>
            </w:r>
            <w:r>
              <w:rPr>
                <w:rFonts w:hint="eastAsia"/>
                <w:bCs/>
                <w:szCs w:val="21"/>
              </w:rPr>
              <w:t>、色度</w:t>
            </w:r>
          </w:p>
        </w:tc>
        <w:tc>
          <w:tcPr>
            <w:tcW w:w="1106" w:type="pct"/>
            <w:tcBorders>
              <w:top w:val="single" w:color="auto" w:sz="4" w:space="0"/>
              <w:left w:val="single" w:color="auto" w:sz="4" w:space="0"/>
              <w:right w:val="single" w:color="auto" w:sz="4" w:space="0"/>
            </w:tcBorders>
            <w:vAlign w:val="center"/>
          </w:tcPr>
          <w:p>
            <w:pPr>
              <w:adjustRightInd w:val="0"/>
              <w:snapToGrid w:val="0"/>
              <w:rPr>
                <w:rFonts w:cs="宋体"/>
                <w:szCs w:val="21"/>
              </w:rPr>
            </w:pPr>
            <w:r>
              <w:rPr>
                <w:rFonts w:hint="eastAsia"/>
                <w:spacing w:val="-10"/>
                <w:szCs w:val="21"/>
              </w:rPr>
              <w:t>污水处理站处理后排入镶黄旗污水处理厂处理，待园区集中污水处理厂投入运行后，接入园区污水处理厂集中处置。</w:t>
            </w:r>
          </w:p>
        </w:tc>
        <w:tc>
          <w:tcPr>
            <w:tcW w:w="1651" w:type="pct"/>
            <w:vMerge w:val="restart"/>
            <w:vAlign w:val="center"/>
          </w:tcPr>
          <w:p>
            <w:pPr>
              <w:adjustRightInd w:val="0"/>
              <w:snapToGrid w:val="0"/>
              <w:rPr>
                <w:rFonts w:cs="宋体"/>
                <w:szCs w:val="21"/>
              </w:rPr>
            </w:pPr>
            <w:r>
              <w:rPr>
                <w:rFonts w:hint="eastAsia"/>
                <w:szCs w:val="21"/>
              </w:rPr>
              <w:t>《污水综合排放标准》（G</w:t>
            </w:r>
            <w:r>
              <w:rPr>
                <w:szCs w:val="21"/>
              </w:rPr>
              <w:t>B8978-1996</w:t>
            </w:r>
            <w:r>
              <w:rPr>
                <w:rFonts w:hint="eastAsia"/>
                <w:szCs w:val="21"/>
              </w:rPr>
              <w:t>）三级标准及镶黄旗污水处理厂进水水质要求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465" w:type="pct"/>
            <w:gridSpan w:val="2"/>
            <w:vMerge w:val="continue"/>
            <w:vAlign w:val="center"/>
          </w:tcPr>
          <w:p>
            <w:pPr>
              <w:adjustRightInd w:val="0"/>
              <w:snapToGrid w:val="0"/>
              <w:jc w:val="center"/>
              <w:rPr>
                <w:rFonts w:cs="宋体"/>
                <w:szCs w:val="21"/>
              </w:rPr>
            </w:pPr>
          </w:p>
        </w:tc>
        <w:tc>
          <w:tcPr>
            <w:tcW w:w="316" w:type="pct"/>
            <w:vMerge w:val="continue"/>
            <w:vAlign w:val="center"/>
          </w:tcPr>
          <w:p>
            <w:pPr>
              <w:adjustRightInd w:val="0"/>
              <w:snapToGrid w:val="0"/>
              <w:jc w:val="center"/>
              <w:rPr>
                <w:rFonts w:cs="宋体"/>
                <w:szCs w:val="21"/>
              </w:rPr>
            </w:pPr>
          </w:p>
        </w:tc>
        <w:tc>
          <w:tcPr>
            <w:tcW w:w="615"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生活污水</w:t>
            </w:r>
          </w:p>
        </w:tc>
        <w:tc>
          <w:tcPr>
            <w:tcW w:w="848" w:type="pct"/>
            <w:tcBorders>
              <w:top w:val="single" w:color="auto" w:sz="4" w:space="0"/>
              <w:left w:val="single" w:color="auto" w:sz="4" w:space="0"/>
              <w:right w:val="single" w:color="auto" w:sz="4" w:space="0"/>
            </w:tcBorders>
            <w:vAlign w:val="center"/>
          </w:tcPr>
          <w:p>
            <w:pPr>
              <w:autoSpaceDE w:val="0"/>
              <w:autoSpaceDN w:val="0"/>
              <w:snapToGrid w:val="0"/>
              <w:jc w:val="center"/>
              <w:rPr>
                <w:kern w:val="0"/>
                <w:szCs w:val="21"/>
              </w:rPr>
            </w:pPr>
            <w:r>
              <w:rPr>
                <w:bCs/>
                <w:szCs w:val="21"/>
              </w:rPr>
              <w:t>COD</w:t>
            </w:r>
            <w:r>
              <w:rPr>
                <w:rFonts w:hint="eastAsia"/>
                <w:bCs/>
                <w:szCs w:val="21"/>
                <w:vertAlign w:val="subscript"/>
              </w:rPr>
              <w:t>cr</w:t>
            </w:r>
            <w:r>
              <w:rPr>
                <w:rFonts w:hint="eastAsia"/>
                <w:bCs/>
                <w:szCs w:val="21"/>
              </w:rPr>
              <w:t>、</w:t>
            </w:r>
            <w:r>
              <w:rPr>
                <w:bCs/>
                <w:szCs w:val="21"/>
              </w:rPr>
              <w:t>BOD</w:t>
            </w:r>
            <w:r>
              <w:rPr>
                <w:bCs/>
                <w:szCs w:val="21"/>
                <w:vertAlign w:val="subscript"/>
              </w:rPr>
              <w:t>5</w:t>
            </w:r>
            <w:r>
              <w:rPr>
                <w:rFonts w:hint="eastAsia"/>
                <w:bCs/>
                <w:szCs w:val="21"/>
              </w:rPr>
              <w:t>、</w:t>
            </w:r>
            <w:r>
              <w:rPr>
                <w:bCs/>
                <w:szCs w:val="21"/>
              </w:rPr>
              <w:t>PH</w:t>
            </w:r>
            <w:r>
              <w:rPr>
                <w:rFonts w:hint="eastAsia"/>
                <w:bCs/>
                <w:szCs w:val="21"/>
              </w:rPr>
              <w:t>、</w:t>
            </w:r>
          </w:p>
          <w:p>
            <w:pPr>
              <w:autoSpaceDE w:val="0"/>
              <w:autoSpaceDN w:val="0"/>
              <w:snapToGrid w:val="0"/>
              <w:jc w:val="center"/>
              <w:rPr>
                <w:bCs/>
                <w:szCs w:val="21"/>
              </w:rPr>
            </w:pPr>
            <w:r>
              <w:rPr>
                <w:bCs/>
                <w:szCs w:val="21"/>
              </w:rPr>
              <w:t>NH</w:t>
            </w:r>
            <w:r>
              <w:rPr>
                <w:bCs/>
                <w:szCs w:val="21"/>
                <w:vertAlign w:val="subscript"/>
              </w:rPr>
              <w:t>3</w:t>
            </w:r>
            <w:r>
              <w:rPr>
                <w:bCs/>
                <w:szCs w:val="21"/>
              </w:rPr>
              <w:t>－N</w:t>
            </w:r>
            <w:r>
              <w:rPr>
                <w:rFonts w:hint="eastAsia"/>
                <w:bCs/>
                <w:szCs w:val="21"/>
              </w:rPr>
              <w:t>、</w:t>
            </w:r>
            <w:r>
              <w:rPr>
                <w:bCs/>
                <w:szCs w:val="21"/>
              </w:rPr>
              <w:t>SS</w:t>
            </w:r>
            <w:r>
              <w:rPr>
                <w:rFonts w:hint="eastAsia"/>
                <w:bCs/>
                <w:szCs w:val="21"/>
              </w:rPr>
              <w:t>、色度</w:t>
            </w:r>
          </w:p>
        </w:tc>
        <w:tc>
          <w:tcPr>
            <w:tcW w:w="1106" w:type="pct"/>
            <w:tcBorders>
              <w:top w:val="single" w:color="auto" w:sz="4" w:space="0"/>
              <w:left w:val="single" w:color="auto" w:sz="4" w:space="0"/>
              <w:right w:val="single" w:color="auto" w:sz="4" w:space="0"/>
            </w:tcBorders>
            <w:vAlign w:val="center"/>
          </w:tcPr>
          <w:p>
            <w:pPr>
              <w:adjustRightInd w:val="0"/>
              <w:snapToGrid w:val="0"/>
              <w:rPr>
                <w:spacing w:val="-10"/>
                <w:szCs w:val="21"/>
              </w:rPr>
            </w:pPr>
            <w:r>
              <w:rPr>
                <w:rFonts w:hint="eastAsia"/>
                <w:spacing w:val="-10"/>
                <w:szCs w:val="21"/>
              </w:rPr>
              <w:t>化粪池预处理后排入镶黄旗污水处理厂处理</w:t>
            </w:r>
          </w:p>
        </w:tc>
        <w:tc>
          <w:tcPr>
            <w:tcW w:w="1651" w:type="pct"/>
            <w:vMerge w:val="continue"/>
            <w:vAlign w:val="center"/>
          </w:tcPr>
          <w:p>
            <w:pPr>
              <w:adjustRightInd w:val="0"/>
              <w:snapToGrid w:val="0"/>
              <w:rPr>
                <w:rFonts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465" w:type="pct"/>
            <w:gridSpan w:val="2"/>
            <w:vMerge w:val="continue"/>
            <w:vAlign w:val="center"/>
          </w:tcPr>
          <w:p>
            <w:pPr>
              <w:adjustRightInd w:val="0"/>
              <w:snapToGrid w:val="0"/>
              <w:jc w:val="center"/>
              <w:rPr>
                <w:rFonts w:cs="宋体"/>
                <w:szCs w:val="21"/>
              </w:rPr>
            </w:pPr>
          </w:p>
        </w:tc>
        <w:tc>
          <w:tcPr>
            <w:tcW w:w="316" w:type="pct"/>
            <w:vMerge w:val="restart"/>
            <w:vAlign w:val="center"/>
          </w:tcPr>
          <w:p>
            <w:pPr>
              <w:adjustRightInd w:val="0"/>
              <w:snapToGrid w:val="0"/>
              <w:jc w:val="center"/>
              <w:rPr>
                <w:rFonts w:cs="宋体"/>
                <w:szCs w:val="21"/>
              </w:rPr>
            </w:pPr>
            <w:r>
              <w:rPr>
                <w:rFonts w:hint="eastAsia" w:cs="宋体"/>
                <w:szCs w:val="21"/>
              </w:rPr>
              <w:t>二期工程</w:t>
            </w:r>
          </w:p>
        </w:tc>
        <w:tc>
          <w:tcPr>
            <w:tcW w:w="615"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设备清洗废水</w:t>
            </w:r>
          </w:p>
        </w:tc>
        <w:tc>
          <w:tcPr>
            <w:tcW w:w="848" w:type="pct"/>
            <w:tcBorders>
              <w:top w:val="single" w:color="auto" w:sz="4" w:space="0"/>
              <w:left w:val="single" w:color="auto" w:sz="4" w:space="0"/>
              <w:right w:val="single" w:color="auto" w:sz="4" w:space="0"/>
            </w:tcBorders>
            <w:vAlign w:val="center"/>
          </w:tcPr>
          <w:p>
            <w:pPr>
              <w:autoSpaceDE w:val="0"/>
              <w:autoSpaceDN w:val="0"/>
              <w:snapToGrid w:val="0"/>
              <w:jc w:val="center"/>
              <w:rPr>
                <w:kern w:val="0"/>
                <w:szCs w:val="21"/>
              </w:rPr>
            </w:pPr>
            <w:r>
              <w:rPr>
                <w:bCs/>
                <w:szCs w:val="21"/>
              </w:rPr>
              <w:t>PH</w:t>
            </w:r>
            <w:r>
              <w:rPr>
                <w:rFonts w:hint="eastAsia"/>
                <w:bCs/>
                <w:szCs w:val="21"/>
              </w:rPr>
              <w:t>、</w:t>
            </w:r>
            <w:r>
              <w:rPr>
                <w:bCs/>
                <w:szCs w:val="21"/>
              </w:rPr>
              <w:t>COD</w:t>
            </w:r>
            <w:r>
              <w:rPr>
                <w:rFonts w:hint="eastAsia"/>
                <w:bCs/>
                <w:szCs w:val="21"/>
                <w:vertAlign w:val="subscript"/>
              </w:rPr>
              <w:t>cr</w:t>
            </w:r>
            <w:r>
              <w:rPr>
                <w:rFonts w:hint="eastAsia"/>
                <w:bCs/>
                <w:szCs w:val="21"/>
              </w:rPr>
              <w:t>、</w:t>
            </w:r>
            <w:r>
              <w:rPr>
                <w:bCs/>
                <w:szCs w:val="21"/>
              </w:rPr>
              <w:t>BOD</w:t>
            </w:r>
            <w:r>
              <w:rPr>
                <w:bCs/>
                <w:szCs w:val="21"/>
                <w:vertAlign w:val="subscript"/>
              </w:rPr>
              <w:t>5</w:t>
            </w:r>
            <w:r>
              <w:rPr>
                <w:rFonts w:hint="eastAsia"/>
                <w:bCs/>
                <w:szCs w:val="21"/>
              </w:rPr>
              <w:t>、</w:t>
            </w:r>
            <w:r>
              <w:rPr>
                <w:bCs/>
                <w:szCs w:val="21"/>
              </w:rPr>
              <w:t>PH</w:t>
            </w:r>
            <w:r>
              <w:rPr>
                <w:rFonts w:hint="eastAsia"/>
                <w:bCs/>
                <w:szCs w:val="21"/>
              </w:rPr>
              <w:t>、</w:t>
            </w:r>
          </w:p>
          <w:p>
            <w:pPr>
              <w:autoSpaceDE w:val="0"/>
              <w:autoSpaceDN w:val="0"/>
              <w:snapToGrid w:val="0"/>
              <w:jc w:val="center"/>
              <w:rPr>
                <w:bCs/>
                <w:szCs w:val="21"/>
              </w:rPr>
            </w:pPr>
            <w:r>
              <w:rPr>
                <w:bCs/>
                <w:szCs w:val="21"/>
              </w:rPr>
              <w:t>NH</w:t>
            </w:r>
            <w:r>
              <w:rPr>
                <w:bCs/>
                <w:szCs w:val="21"/>
                <w:vertAlign w:val="subscript"/>
              </w:rPr>
              <w:t>3</w:t>
            </w:r>
            <w:r>
              <w:rPr>
                <w:bCs/>
                <w:szCs w:val="21"/>
              </w:rPr>
              <w:t>－N</w:t>
            </w:r>
            <w:r>
              <w:rPr>
                <w:rFonts w:hint="eastAsia"/>
                <w:bCs/>
                <w:szCs w:val="21"/>
              </w:rPr>
              <w:t>、</w:t>
            </w:r>
            <w:r>
              <w:rPr>
                <w:bCs/>
                <w:szCs w:val="21"/>
              </w:rPr>
              <w:t>SS</w:t>
            </w:r>
            <w:r>
              <w:rPr>
                <w:rFonts w:hint="eastAsia"/>
                <w:bCs/>
                <w:szCs w:val="21"/>
              </w:rPr>
              <w:t>、色度</w:t>
            </w:r>
          </w:p>
        </w:tc>
        <w:tc>
          <w:tcPr>
            <w:tcW w:w="1106" w:type="pct"/>
            <w:tcBorders>
              <w:top w:val="single" w:color="auto" w:sz="4" w:space="0"/>
              <w:left w:val="single" w:color="auto" w:sz="4" w:space="0"/>
              <w:right w:val="single" w:color="auto" w:sz="4" w:space="0"/>
            </w:tcBorders>
            <w:vAlign w:val="center"/>
          </w:tcPr>
          <w:p>
            <w:pPr>
              <w:adjustRightInd w:val="0"/>
              <w:snapToGrid w:val="0"/>
              <w:rPr>
                <w:spacing w:val="-10"/>
                <w:szCs w:val="21"/>
              </w:rPr>
            </w:pPr>
            <w:r>
              <w:rPr>
                <w:rFonts w:hint="eastAsia"/>
                <w:spacing w:val="-10"/>
                <w:szCs w:val="21"/>
              </w:rPr>
              <w:t>依托一期工程污水处理设备处理后排入镶黄旗污水处理厂处理，待园区集中污水处理厂投入运行后，接入园区污水处理厂集中处置。</w:t>
            </w:r>
          </w:p>
        </w:tc>
        <w:tc>
          <w:tcPr>
            <w:tcW w:w="1651" w:type="pct"/>
            <w:vMerge w:val="restart"/>
            <w:vAlign w:val="center"/>
          </w:tcPr>
          <w:p>
            <w:pPr>
              <w:adjustRightInd w:val="0"/>
              <w:snapToGrid w:val="0"/>
              <w:rPr>
                <w:rFonts w:cs="宋体"/>
                <w:szCs w:val="21"/>
              </w:rPr>
            </w:pPr>
            <w:r>
              <w:rPr>
                <w:rFonts w:hint="eastAsia"/>
                <w:szCs w:val="21"/>
              </w:rPr>
              <w:t>《污水综合排放标准》（G</w:t>
            </w:r>
            <w:r>
              <w:rPr>
                <w:szCs w:val="21"/>
              </w:rPr>
              <w:t>B8978-1996</w:t>
            </w:r>
            <w:r>
              <w:rPr>
                <w:rFonts w:hint="eastAsia"/>
                <w:szCs w:val="21"/>
              </w:rPr>
              <w:t>）三级标准及镶黄旗污水处理厂进水水质要求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465" w:type="pct"/>
            <w:gridSpan w:val="2"/>
            <w:vMerge w:val="continue"/>
            <w:vAlign w:val="center"/>
          </w:tcPr>
          <w:p>
            <w:pPr>
              <w:adjustRightInd w:val="0"/>
              <w:snapToGrid w:val="0"/>
              <w:jc w:val="center"/>
              <w:rPr>
                <w:rFonts w:cs="宋体"/>
                <w:szCs w:val="21"/>
              </w:rPr>
            </w:pPr>
          </w:p>
        </w:tc>
        <w:tc>
          <w:tcPr>
            <w:tcW w:w="316" w:type="pct"/>
            <w:vMerge w:val="continue"/>
            <w:vAlign w:val="center"/>
          </w:tcPr>
          <w:p>
            <w:pPr>
              <w:adjustRightInd w:val="0"/>
              <w:snapToGrid w:val="0"/>
              <w:jc w:val="center"/>
              <w:rPr>
                <w:rFonts w:cs="宋体"/>
                <w:szCs w:val="21"/>
              </w:rPr>
            </w:pPr>
          </w:p>
        </w:tc>
        <w:tc>
          <w:tcPr>
            <w:tcW w:w="615" w:type="pc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生活污水</w:t>
            </w:r>
          </w:p>
        </w:tc>
        <w:tc>
          <w:tcPr>
            <w:tcW w:w="848" w:type="pct"/>
            <w:tcBorders>
              <w:top w:val="single" w:color="auto" w:sz="4" w:space="0"/>
              <w:left w:val="single" w:color="auto" w:sz="4" w:space="0"/>
              <w:right w:val="single" w:color="auto" w:sz="4" w:space="0"/>
            </w:tcBorders>
            <w:vAlign w:val="center"/>
          </w:tcPr>
          <w:p>
            <w:pPr>
              <w:autoSpaceDE w:val="0"/>
              <w:autoSpaceDN w:val="0"/>
              <w:snapToGrid w:val="0"/>
              <w:jc w:val="center"/>
              <w:rPr>
                <w:kern w:val="0"/>
                <w:szCs w:val="21"/>
              </w:rPr>
            </w:pPr>
            <w:r>
              <w:rPr>
                <w:bCs/>
                <w:szCs w:val="21"/>
              </w:rPr>
              <w:t>COD</w:t>
            </w:r>
            <w:r>
              <w:rPr>
                <w:rFonts w:hint="eastAsia"/>
                <w:bCs/>
                <w:szCs w:val="21"/>
                <w:vertAlign w:val="subscript"/>
              </w:rPr>
              <w:t>cr</w:t>
            </w:r>
            <w:r>
              <w:rPr>
                <w:rFonts w:hint="eastAsia"/>
                <w:bCs/>
                <w:szCs w:val="21"/>
              </w:rPr>
              <w:t>、</w:t>
            </w:r>
            <w:r>
              <w:rPr>
                <w:bCs/>
                <w:szCs w:val="21"/>
              </w:rPr>
              <w:t>BOD</w:t>
            </w:r>
            <w:r>
              <w:rPr>
                <w:bCs/>
                <w:szCs w:val="21"/>
                <w:vertAlign w:val="subscript"/>
              </w:rPr>
              <w:t>5</w:t>
            </w:r>
            <w:r>
              <w:rPr>
                <w:rFonts w:hint="eastAsia"/>
                <w:bCs/>
                <w:szCs w:val="21"/>
              </w:rPr>
              <w:t>、</w:t>
            </w:r>
            <w:r>
              <w:rPr>
                <w:bCs/>
                <w:szCs w:val="21"/>
              </w:rPr>
              <w:t>PH</w:t>
            </w:r>
            <w:r>
              <w:rPr>
                <w:rFonts w:hint="eastAsia"/>
                <w:bCs/>
                <w:szCs w:val="21"/>
              </w:rPr>
              <w:t>、</w:t>
            </w:r>
          </w:p>
          <w:p>
            <w:pPr>
              <w:autoSpaceDE w:val="0"/>
              <w:autoSpaceDN w:val="0"/>
              <w:snapToGrid w:val="0"/>
              <w:jc w:val="center"/>
              <w:rPr>
                <w:bCs/>
                <w:szCs w:val="21"/>
              </w:rPr>
            </w:pPr>
            <w:r>
              <w:rPr>
                <w:bCs/>
                <w:szCs w:val="21"/>
              </w:rPr>
              <w:t>NH</w:t>
            </w:r>
            <w:r>
              <w:rPr>
                <w:bCs/>
                <w:szCs w:val="21"/>
                <w:vertAlign w:val="subscript"/>
              </w:rPr>
              <w:t>3</w:t>
            </w:r>
            <w:r>
              <w:rPr>
                <w:bCs/>
                <w:szCs w:val="21"/>
              </w:rPr>
              <w:t>－N</w:t>
            </w:r>
            <w:r>
              <w:rPr>
                <w:rFonts w:hint="eastAsia"/>
                <w:bCs/>
                <w:szCs w:val="21"/>
              </w:rPr>
              <w:t>、</w:t>
            </w:r>
            <w:r>
              <w:rPr>
                <w:bCs/>
                <w:szCs w:val="21"/>
              </w:rPr>
              <w:t>SS</w:t>
            </w:r>
            <w:r>
              <w:rPr>
                <w:rFonts w:hint="eastAsia"/>
                <w:bCs/>
                <w:szCs w:val="21"/>
              </w:rPr>
              <w:t>、色度</w:t>
            </w:r>
          </w:p>
        </w:tc>
        <w:tc>
          <w:tcPr>
            <w:tcW w:w="1106" w:type="pct"/>
            <w:tcBorders>
              <w:top w:val="single" w:color="auto" w:sz="4" w:space="0"/>
              <w:left w:val="single" w:color="auto" w:sz="4" w:space="0"/>
              <w:right w:val="single" w:color="auto" w:sz="4" w:space="0"/>
            </w:tcBorders>
            <w:vAlign w:val="center"/>
          </w:tcPr>
          <w:p>
            <w:pPr>
              <w:adjustRightInd w:val="0"/>
              <w:snapToGrid w:val="0"/>
              <w:rPr>
                <w:spacing w:val="-10"/>
                <w:szCs w:val="21"/>
              </w:rPr>
            </w:pPr>
            <w:r>
              <w:rPr>
                <w:rFonts w:hint="eastAsia"/>
                <w:spacing w:val="-10"/>
                <w:szCs w:val="21"/>
              </w:rPr>
              <w:t>依托一期化粪池预处理后排入镶黄旗污水处理厂处理</w:t>
            </w:r>
          </w:p>
        </w:tc>
        <w:tc>
          <w:tcPr>
            <w:tcW w:w="1651" w:type="pct"/>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465" w:type="pct"/>
            <w:gridSpan w:val="2"/>
            <w:vMerge w:val="restart"/>
            <w:vAlign w:val="center"/>
          </w:tcPr>
          <w:p>
            <w:pPr>
              <w:adjustRightInd w:val="0"/>
              <w:snapToGrid w:val="0"/>
              <w:jc w:val="center"/>
              <w:rPr>
                <w:rFonts w:cs="宋体"/>
                <w:szCs w:val="21"/>
              </w:rPr>
            </w:pPr>
            <w:r>
              <w:rPr>
                <w:rFonts w:hint="eastAsia" w:cs="宋体"/>
                <w:szCs w:val="21"/>
              </w:rPr>
              <w:t>声环境</w:t>
            </w:r>
          </w:p>
        </w:tc>
        <w:tc>
          <w:tcPr>
            <w:tcW w:w="316" w:type="pct"/>
            <w:vAlign w:val="center"/>
          </w:tcPr>
          <w:p>
            <w:pPr>
              <w:adjustRightInd w:val="0"/>
              <w:snapToGrid w:val="0"/>
              <w:jc w:val="center"/>
              <w:rPr>
                <w:rFonts w:cs="宋体"/>
                <w:szCs w:val="21"/>
              </w:rPr>
            </w:pPr>
            <w:r>
              <w:rPr>
                <w:rFonts w:hint="eastAsia" w:cs="宋体"/>
                <w:szCs w:val="21"/>
              </w:rPr>
              <w:t>一期工程</w:t>
            </w:r>
          </w:p>
        </w:tc>
        <w:tc>
          <w:tcPr>
            <w:tcW w:w="615" w:type="pct"/>
            <w:vAlign w:val="center"/>
          </w:tcPr>
          <w:p>
            <w:pPr>
              <w:adjustRightInd w:val="0"/>
              <w:snapToGrid w:val="0"/>
              <w:jc w:val="center"/>
              <w:rPr>
                <w:rFonts w:cs="宋体"/>
                <w:szCs w:val="21"/>
              </w:rPr>
            </w:pPr>
            <w:r>
              <w:rPr>
                <w:rFonts w:hint="eastAsia" w:cs="宋体"/>
                <w:szCs w:val="21"/>
              </w:rPr>
              <w:t>机械噪声</w:t>
            </w:r>
          </w:p>
        </w:tc>
        <w:tc>
          <w:tcPr>
            <w:tcW w:w="848" w:type="pct"/>
            <w:vAlign w:val="center"/>
          </w:tcPr>
          <w:p>
            <w:pPr>
              <w:adjustRightInd w:val="0"/>
              <w:snapToGrid w:val="0"/>
              <w:rPr>
                <w:rFonts w:cs="宋体"/>
                <w:szCs w:val="21"/>
              </w:rPr>
            </w:pPr>
            <w:r>
              <w:rPr>
                <w:rFonts w:hint="eastAsia" w:cs="宋体"/>
                <w:szCs w:val="21"/>
              </w:rPr>
              <w:t>连续等效A声级</w:t>
            </w:r>
          </w:p>
        </w:tc>
        <w:tc>
          <w:tcPr>
            <w:tcW w:w="1106" w:type="pct"/>
            <w:vAlign w:val="center"/>
          </w:tcPr>
          <w:p>
            <w:pPr>
              <w:adjustRightInd w:val="0"/>
              <w:snapToGrid w:val="0"/>
              <w:rPr>
                <w:rFonts w:cs="宋体"/>
                <w:szCs w:val="21"/>
              </w:rPr>
            </w:pPr>
            <w:r>
              <w:rPr>
                <w:rFonts w:hint="eastAsia" w:cs="宋体"/>
                <w:szCs w:val="21"/>
              </w:rPr>
              <w:t>低噪声设备、基础减振、隔声措施，建筑隔声等</w:t>
            </w:r>
          </w:p>
        </w:tc>
        <w:tc>
          <w:tcPr>
            <w:tcW w:w="1651" w:type="pct"/>
            <w:vAlign w:val="center"/>
          </w:tcPr>
          <w:p>
            <w:pPr>
              <w:adjustRightInd w:val="0"/>
              <w:snapToGrid w:val="0"/>
              <w:rPr>
                <w:rFonts w:cs="宋体"/>
                <w:szCs w:val="21"/>
              </w:rPr>
            </w:pPr>
            <w:r>
              <w:rPr>
                <w:rFonts w:hint="eastAsia" w:cs="宋体"/>
                <w:szCs w:val="21"/>
              </w:rPr>
              <w:t>厂界噪声满足《工业企业厂界环境噪声排放标准》（GB12348-2008）</w:t>
            </w:r>
            <w:r>
              <w:rPr>
                <w:rFonts w:cs="宋体"/>
                <w:szCs w:val="21"/>
              </w:rPr>
              <w:t>3</w:t>
            </w:r>
            <w:r>
              <w:rPr>
                <w:rFonts w:hint="eastAsia" w:cs="宋体"/>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465" w:type="pct"/>
            <w:gridSpan w:val="2"/>
            <w:vMerge w:val="continue"/>
            <w:vAlign w:val="center"/>
          </w:tcPr>
          <w:p>
            <w:pPr>
              <w:adjustRightInd w:val="0"/>
              <w:snapToGrid w:val="0"/>
              <w:jc w:val="center"/>
              <w:rPr>
                <w:rFonts w:cs="宋体"/>
                <w:szCs w:val="21"/>
              </w:rPr>
            </w:pPr>
          </w:p>
        </w:tc>
        <w:tc>
          <w:tcPr>
            <w:tcW w:w="316" w:type="pct"/>
            <w:vAlign w:val="center"/>
          </w:tcPr>
          <w:p>
            <w:pPr>
              <w:adjustRightInd w:val="0"/>
              <w:snapToGrid w:val="0"/>
              <w:jc w:val="center"/>
              <w:rPr>
                <w:rFonts w:cs="宋体"/>
                <w:szCs w:val="21"/>
              </w:rPr>
            </w:pPr>
            <w:r>
              <w:rPr>
                <w:rFonts w:hint="eastAsia" w:cs="宋体"/>
                <w:szCs w:val="21"/>
              </w:rPr>
              <w:t>二期工程</w:t>
            </w:r>
          </w:p>
        </w:tc>
        <w:tc>
          <w:tcPr>
            <w:tcW w:w="615" w:type="pct"/>
            <w:vAlign w:val="center"/>
          </w:tcPr>
          <w:p>
            <w:pPr>
              <w:adjustRightInd w:val="0"/>
              <w:snapToGrid w:val="0"/>
              <w:jc w:val="center"/>
              <w:rPr>
                <w:rFonts w:cs="宋体"/>
                <w:szCs w:val="21"/>
              </w:rPr>
            </w:pPr>
            <w:r>
              <w:rPr>
                <w:rFonts w:hint="eastAsia" w:cs="宋体"/>
                <w:szCs w:val="21"/>
              </w:rPr>
              <w:t>机械噪声</w:t>
            </w:r>
          </w:p>
        </w:tc>
        <w:tc>
          <w:tcPr>
            <w:tcW w:w="848" w:type="pct"/>
            <w:vAlign w:val="center"/>
          </w:tcPr>
          <w:p>
            <w:pPr>
              <w:adjustRightInd w:val="0"/>
              <w:snapToGrid w:val="0"/>
              <w:jc w:val="center"/>
              <w:rPr>
                <w:rFonts w:cs="宋体"/>
                <w:szCs w:val="21"/>
              </w:rPr>
            </w:pPr>
            <w:r>
              <w:rPr>
                <w:rFonts w:hint="eastAsia" w:cs="宋体"/>
                <w:szCs w:val="21"/>
              </w:rPr>
              <w:t>连续等效A声级</w:t>
            </w:r>
          </w:p>
        </w:tc>
        <w:tc>
          <w:tcPr>
            <w:tcW w:w="1106" w:type="pct"/>
            <w:vAlign w:val="center"/>
          </w:tcPr>
          <w:p>
            <w:pPr>
              <w:adjustRightInd w:val="0"/>
              <w:snapToGrid w:val="0"/>
              <w:jc w:val="center"/>
              <w:rPr>
                <w:rFonts w:cs="宋体"/>
                <w:szCs w:val="21"/>
              </w:rPr>
            </w:pPr>
            <w:r>
              <w:rPr>
                <w:rFonts w:hint="eastAsia" w:cs="宋体"/>
                <w:szCs w:val="21"/>
              </w:rPr>
              <w:t>低噪声设备、基础减振、隔声措施，建筑隔声等</w:t>
            </w:r>
          </w:p>
        </w:tc>
        <w:tc>
          <w:tcPr>
            <w:tcW w:w="1651" w:type="pct"/>
            <w:vAlign w:val="center"/>
          </w:tcPr>
          <w:p>
            <w:pPr>
              <w:adjustRightInd w:val="0"/>
              <w:snapToGrid w:val="0"/>
              <w:rPr>
                <w:rFonts w:cs="宋体"/>
                <w:szCs w:val="21"/>
              </w:rPr>
            </w:pPr>
            <w:r>
              <w:rPr>
                <w:rFonts w:hint="eastAsia" w:cs="宋体"/>
                <w:szCs w:val="21"/>
              </w:rPr>
              <w:t>厂界噪声满足《工业企业厂界环境噪声排放标准》（GB12348-2008）</w:t>
            </w:r>
            <w:r>
              <w:rPr>
                <w:rFonts w:cs="宋体"/>
                <w:szCs w:val="21"/>
              </w:rPr>
              <w:t>3</w:t>
            </w:r>
            <w:r>
              <w:rPr>
                <w:rFonts w:hint="eastAsia" w:cs="宋体"/>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54" w:type="pct"/>
            <w:vMerge w:val="restart"/>
            <w:vAlign w:val="center"/>
          </w:tcPr>
          <w:p>
            <w:pPr>
              <w:adjustRightInd w:val="0"/>
              <w:snapToGrid w:val="0"/>
              <w:jc w:val="center"/>
              <w:rPr>
                <w:rFonts w:cs="宋体"/>
                <w:szCs w:val="21"/>
              </w:rPr>
            </w:pPr>
            <w:r>
              <w:rPr>
                <w:rFonts w:hint="eastAsia" w:cs="宋体"/>
                <w:szCs w:val="21"/>
              </w:rPr>
              <w:t>固体废物</w:t>
            </w:r>
          </w:p>
        </w:tc>
        <w:tc>
          <w:tcPr>
            <w:tcW w:w="327" w:type="pct"/>
            <w:gridSpan w:val="2"/>
            <w:vAlign w:val="center"/>
          </w:tcPr>
          <w:p>
            <w:pPr>
              <w:adjustRightInd w:val="0"/>
              <w:snapToGrid w:val="0"/>
              <w:jc w:val="center"/>
              <w:rPr>
                <w:rFonts w:cs="宋体"/>
                <w:szCs w:val="21"/>
              </w:rPr>
            </w:pPr>
            <w:r>
              <w:rPr>
                <w:rFonts w:hint="eastAsia" w:cs="宋体"/>
                <w:szCs w:val="21"/>
              </w:rPr>
              <w:t>一期工程</w:t>
            </w:r>
          </w:p>
        </w:tc>
        <w:tc>
          <w:tcPr>
            <w:tcW w:w="4219" w:type="pct"/>
            <w:gridSpan w:val="4"/>
            <w:vAlign w:val="center"/>
          </w:tcPr>
          <w:p>
            <w:pPr>
              <w:adjustRightInd w:val="0"/>
              <w:snapToGrid w:val="0"/>
              <w:rPr>
                <w:rFonts w:cs="宋体"/>
                <w:szCs w:val="21"/>
              </w:rPr>
            </w:pPr>
            <w:r>
              <w:rPr>
                <w:rFonts w:hint="eastAsia" w:cs="宋体"/>
                <w:szCs w:val="21"/>
              </w:rPr>
              <w:t>奶制品加工过程过滤奶渣收集后作为餐厨垃圾处理；</w:t>
            </w:r>
            <w:r>
              <w:rPr>
                <w:rFonts w:cs="宋体"/>
                <w:szCs w:val="21"/>
              </w:rPr>
              <w:t xml:space="preserve"> </w:t>
            </w:r>
          </w:p>
          <w:p>
            <w:pPr>
              <w:adjustRightInd w:val="0"/>
              <w:snapToGrid w:val="0"/>
              <w:rPr>
                <w:rFonts w:cs="宋体"/>
                <w:szCs w:val="21"/>
              </w:rPr>
            </w:pPr>
            <w:r>
              <w:rPr>
                <w:rFonts w:hint="eastAsia" w:cs="宋体"/>
                <w:szCs w:val="21"/>
              </w:rPr>
              <w:t>复合调味品鸡蛋壳和过滤物与生活垃圾一同交环卫部门处置；</w:t>
            </w:r>
          </w:p>
          <w:p>
            <w:pPr>
              <w:adjustRightInd w:val="0"/>
              <w:snapToGrid w:val="0"/>
              <w:rPr>
                <w:rFonts w:cs="宋体"/>
                <w:szCs w:val="21"/>
              </w:rPr>
            </w:pPr>
            <w:r>
              <w:rPr>
                <w:rFonts w:hint="eastAsia" w:cs="宋体"/>
                <w:szCs w:val="21"/>
              </w:rPr>
              <w:t>香精过滤杂质收集后与生活垃圾一同交环卫部门处置；</w:t>
            </w:r>
          </w:p>
          <w:p>
            <w:pPr>
              <w:pStyle w:val="2"/>
              <w:ind w:firstLine="0" w:firstLineChars="0"/>
            </w:pPr>
            <w:r>
              <w:rPr>
                <w:rFonts w:hint="eastAsia"/>
              </w:rPr>
              <w:t>污水处理站污泥收集后定期交环卫部门处置；</w:t>
            </w:r>
          </w:p>
          <w:p>
            <w:pPr>
              <w:adjustRightInd w:val="0"/>
              <w:snapToGrid w:val="0"/>
              <w:rPr>
                <w:rFonts w:cs="宋体"/>
                <w:szCs w:val="21"/>
              </w:rPr>
            </w:pPr>
            <w:r>
              <w:rPr>
                <w:rFonts w:hint="eastAsia" w:cs="宋体"/>
                <w:szCs w:val="21"/>
              </w:rPr>
              <w:t>奶制品、复合调味料废样品、过期原料和不合格产品类收集后作为餐厨垃圾处理。</w:t>
            </w:r>
          </w:p>
          <w:p>
            <w:pPr>
              <w:adjustRightInd w:val="0"/>
              <w:snapToGrid w:val="0"/>
              <w:rPr>
                <w:rFonts w:cs="宋体"/>
                <w:szCs w:val="21"/>
              </w:rPr>
            </w:pPr>
            <w:r>
              <w:rPr>
                <w:rFonts w:hint="eastAsia" w:cs="宋体"/>
                <w:szCs w:val="21"/>
              </w:rPr>
              <w:t>奶制品、香精（除丙二醇和丁酸类之外）、复合调味料废包装物桶类和瓶装类部分返回厂家回收处理，剩余部分收集外卖废品处理；</w:t>
            </w:r>
          </w:p>
          <w:p>
            <w:pPr>
              <w:adjustRightInd w:val="0"/>
              <w:snapToGrid w:val="0"/>
              <w:rPr>
                <w:rFonts w:cs="宋体"/>
                <w:szCs w:val="21"/>
              </w:rPr>
            </w:pPr>
            <w:r>
              <w:rPr>
                <w:rFonts w:hint="eastAsia" w:cs="宋体"/>
                <w:szCs w:val="21"/>
              </w:rPr>
              <w:t>危险废物实验室废物、香精废包装物（沾染毒性、感染性危险废物）暂存新建危废暂存间，定期交有资质单位处置；</w:t>
            </w:r>
          </w:p>
          <w:p>
            <w:pPr>
              <w:adjustRightInd w:val="0"/>
              <w:snapToGrid w:val="0"/>
              <w:rPr>
                <w:rFonts w:cs="宋体"/>
                <w:szCs w:val="21"/>
              </w:rPr>
            </w:pPr>
            <w:r>
              <w:rPr>
                <w:rFonts w:hint="eastAsia" w:cs="宋体"/>
                <w:szCs w:val="21"/>
              </w:rPr>
              <w:t>生活垃圾收集后交环卫部门处置。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54" w:type="pct"/>
            <w:vMerge w:val="continue"/>
            <w:vAlign w:val="center"/>
          </w:tcPr>
          <w:p>
            <w:pPr>
              <w:adjustRightInd w:val="0"/>
              <w:snapToGrid w:val="0"/>
              <w:jc w:val="center"/>
              <w:rPr>
                <w:rFonts w:cs="宋体"/>
                <w:szCs w:val="21"/>
              </w:rPr>
            </w:pPr>
          </w:p>
        </w:tc>
        <w:tc>
          <w:tcPr>
            <w:tcW w:w="327" w:type="pct"/>
            <w:gridSpan w:val="2"/>
            <w:vAlign w:val="center"/>
          </w:tcPr>
          <w:p>
            <w:pPr>
              <w:adjustRightInd w:val="0"/>
              <w:snapToGrid w:val="0"/>
              <w:jc w:val="center"/>
              <w:rPr>
                <w:rFonts w:cs="宋体"/>
                <w:szCs w:val="21"/>
              </w:rPr>
            </w:pPr>
            <w:r>
              <w:rPr>
                <w:rFonts w:hint="eastAsia" w:cs="宋体"/>
                <w:szCs w:val="21"/>
              </w:rPr>
              <w:t>二期工程</w:t>
            </w:r>
          </w:p>
        </w:tc>
        <w:tc>
          <w:tcPr>
            <w:tcW w:w="4219" w:type="pct"/>
            <w:gridSpan w:val="4"/>
            <w:vAlign w:val="center"/>
          </w:tcPr>
          <w:p>
            <w:pPr>
              <w:adjustRightInd w:val="0"/>
              <w:snapToGrid w:val="0"/>
              <w:rPr>
                <w:rFonts w:cs="宋体"/>
                <w:szCs w:val="21"/>
              </w:rPr>
            </w:pPr>
            <w:r>
              <w:rPr>
                <w:rFonts w:hint="eastAsia" w:cs="宋体"/>
                <w:szCs w:val="21"/>
              </w:rPr>
              <w:t>奶制品加工过程过滤奶渣收集后作为餐厨垃圾处理；</w:t>
            </w:r>
          </w:p>
          <w:p>
            <w:pPr>
              <w:pStyle w:val="2"/>
              <w:ind w:firstLine="0" w:firstLineChars="0"/>
            </w:pPr>
            <w:r>
              <w:rPr>
                <w:rFonts w:hint="eastAsia"/>
              </w:rPr>
              <w:t>污水处理站污泥收集后定期交环卫部门处置；</w:t>
            </w:r>
          </w:p>
          <w:p>
            <w:pPr>
              <w:adjustRightInd w:val="0"/>
              <w:snapToGrid w:val="0"/>
              <w:rPr>
                <w:rFonts w:cs="宋体"/>
                <w:szCs w:val="21"/>
              </w:rPr>
            </w:pPr>
            <w:r>
              <w:rPr>
                <w:rFonts w:hint="eastAsia" w:cs="宋体"/>
                <w:szCs w:val="21"/>
              </w:rPr>
              <w:t>复合调味品鸡蛋壳和过滤物与生活垃圾一同交环卫部门处置；</w:t>
            </w:r>
          </w:p>
          <w:p>
            <w:pPr>
              <w:adjustRightInd w:val="0"/>
              <w:snapToGrid w:val="0"/>
              <w:rPr>
                <w:rFonts w:cs="宋体"/>
                <w:szCs w:val="21"/>
              </w:rPr>
            </w:pPr>
            <w:r>
              <w:rPr>
                <w:rFonts w:hint="eastAsia" w:cs="宋体"/>
                <w:szCs w:val="21"/>
              </w:rPr>
              <w:t>奶制品、复合调味料废样品、过期原料和不合格产品类收集后作为餐厨垃圾处理。</w:t>
            </w:r>
          </w:p>
          <w:p>
            <w:pPr>
              <w:adjustRightInd w:val="0"/>
              <w:snapToGrid w:val="0"/>
              <w:rPr>
                <w:rFonts w:cs="宋体"/>
                <w:szCs w:val="21"/>
              </w:rPr>
            </w:pPr>
            <w:r>
              <w:rPr>
                <w:rFonts w:hint="eastAsia" w:cs="宋体"/>
                <w:szCs w:val="21"/>
              </w:rPr>
              <w:t>奶制品、复合调味料废包装物桶类和瓶装类部分返回厂家回收处理，剩余部分收集外卖废品处理；</w:t>
            </w:r>
          </w:p>
          <w:p>
            <w:pPr>
              <w:adjustRightInd w:val="0"/>
              <w:snapToGrid w:val="0"/>
              <w:rPr>
                <w:rFonts w:cs="宋体"/>
                <w:szCs w:val="21"/>
              </w:rPr>
            </w:pPr>
            <w:r>
              <w:rPr>
                <w:rFonts w:hint="eastAsia" w:cs="宋体"/>
                <w:szCs w:val="21"/>
              </w:rPr>
              <w:t>危险废物实验室废物暂存于危废暂存间，定期交有资质单位处置；</w:t>
            </w:r>
          </w:p>
          <w:p>
            <w:pPr>
              <w:pStyle w:val="2"/>
              <w:ind w:firstLine="0" w:firstLineChars="0"/>
            </w:pPr>
            <w:r>
              <w:rPr>
                <w:rFonts w:hint="eastAsia" w:cs="宋体"/>
                <w:szCs w:val="21"/>
              </w:rPr>
              <w:t>生活垃圾收集后交环卫部门处置。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81" w:type="pct"/>
            <w:gridSpan w:val="3"/>
            <w:vAlign w:val="center"/>
          </w:tcPr>
          <w:p>
            <w:pPr>
              <w:adjustRightInd w:val="0"/>
              <w:snapToGrid w:val="0"/>
              <w:jc w:val="center"/>
              <w:rPr>
                <w:rFonts w:cs="宋体"/>
                <w:szCs w:val="21"/>
              </w:rPr>
            </w:pPr>
            <w:r>
              <w:rPr>
                <w:rFonts w:hint="eastAsia" w:cs="宋体"/>
                <w:szCs w:val="21"/>
              </w:rPr>
              <w:t>土壤及地下水污染防治措施</w:t>
            </w:r>
          </w:p>
        </w:tc>
        <w:tc>
          <w:tcPr>
            <w:tcW w:w="4219" w:type="pct"/>
            <w:gridSpan w:val="4"/>
            <w:vAlign w:val="center"/>
          </w:tcPr>
          <w:p>
            <w:pPr>
              <w:adjustRightInd w:val="0"/>
              <w:snapToGrid w:val="0"/>
              <w:rPr>
                <w:rFonts w:cs="宋体"/>
                <w:szCs w:val="21"/>
              </w:rPr>
            </w:pPr>
            <w:r>
              <w:rPr>
                <w:rFonts w:hint="eastAsia"/>
                <w:szCs w:val="21"/>
              </w:rPr>
              <w:t>生产车间地面、污水处理一体化设施侧壁、底部和暗管管沟、化粪池为一般防渗区，防渗性能要求：等效黏土防渗层≥</w:t>
            </w:r>
            <w:r>
              <w:rPr>
                <w:szCs w:val="21"/>
              </w:rPr>
              <w:t>1.5m</w:t>
            </w:r>
            <w:r>
              <w:rPr>
                <w:rFonts w:hint="eastAsia"/>
                <w:szCs w:val="21"/>
              </w:rPr>
              <w:t>，</w:t>
            </w:r>
            <w:r>
              <w:rPr>
                <w:szCs w:val="21"/>
              </w:rPr>
              <w:t>K</w:t>
            </w:r>
            <w:r>
              <w:rPr>
                <w:rFonts w:hint="eastAsia"/>
                <w:szCs w:val="21"/>
              </w:rPr>
              <w:t>≦</w:t>
            </w:r>
            <w:r>
              <w:rPr>
                <w:szCs w:val="21"/>
              </w:rPr>
              <w:t>10</w:t>
            </w:r>
            <w:r>
              <w:rPr>
                <w:szCs w:val="21"/>
                <w:vertAlign w:val="superscript"/>
              </w:rPr>
              <w:t>-7</w:t>
            </w:r>
            <w:r>
              <w:rPr>
                <w:szCs w:val="21"/>
              </w:rPr>
              <w:t>cm/s</w:t>
            </w:r>
            <w:r>
              <w:rPr>
                <w:rFonts w:hint="eastAsia"/>
                <w:szCs w:val="21"/>
              </w:rPr>
              <w:t>；办公区等其他区域为简单防渗区，地面简单硬化。危废间重点防渗，等效黏土防渗层≥</w:t>
            </w:r>
            <w:r>
              <w:rPr>
                <w:szCs w:val="21"/>
              </w:rPr>
              <w:t>1.5m</w:t>
            </w:r>
            <w:r>
              <w:rPr>
                <w:rFonts w:hint="eastAsia"/>
                <w:szCs w:val="21"/>
              </w:rPr>
              <w:t>，</w:t>
            </w:r>
            <w:r>
              <w:rPr>
                <w:szCs w:val="21"/>
              </w:rPr>
              <w:t>K</w:t>
            </w:r>
            <w:r>
              <w:rPr>
                <w:rFonts w:hint="eastAsia"/>
                <w:szCs w:val="21"/>
              </w:rPr>
              <w:t>≦</w:t>
            </w:r>
            <w:r>
              <w:rPr>
                <w:szCs w:val="21"/>
              </w:rPr>
              <w:t>10</w:t>
            </w:r>
            <w:r>
              <w:rPr>
                <w:szCs w:val="21"/>
                <w:vertAlign w:val="superscript"/>
              </w:rPr>
              <w:t>-10</w:t>
            </w:r>
            <w:r>
              <w:rPr>
                <w:szCs w:val="21"/>
              </w:rPr>
              <w:t>cm/s</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81" w:type="pct"/>
            <w:gridSpan w:val="3"/>
            <w:vAlign w:val="center"/>
          </w:tcPr>
          <w:p>
            <w:pPr>
              <w:adjustRightInd w:val="0"/>
              <w:snapToGrid w:val="0"/>
              <w:jc w:val="center"/>
              <w:rPr>
                <w:rFonts w:cs="宋体"/>
                <w:szCs w:val="21"/>
              </w:rPr>
            </w:pPr>
            <w:r>
              <w:rPr>
                <w:rFonts w:hint="eastAsia" w:cs="宋体"/>
                <w:szCs w:val="21"/>
              </w:rPr>
              <w:t>生态保护措施</w:t>
            </w:r>
          </w:p>
        </w:tc>
        <w:tc>
          <w:tcPr>
            <w:tcW w:w="4219" w:type="pct"/>
            <w:gridSpan w:val="4"/>
            <w:vAlign w:val="center"/>
          </w:tcPr>
          <w:p>
            <w:pPr>
              <w:adjustRightInd w:val="0"/>
              <w:snapToGrid w:val="0"/>
              <w:rPr>
                <w:rFonts w:cs="宋体"/>
                <w:szCs w:val="21"/>
              </w:rPr>
            </w:pPr>
            <w:r>
              <w:rPr>
                <w:rFonts w:hint="eastAsia" w:cs="宋体"/>
                <w:szCs w:val="21"/>
              </w:rPr>
              <w:t>施工期严格控制工程作业范围，尽可能的将影响范围控制在最低限度。施工中临时堆放的土方要用苫布遮盖，避免造成水土流失。加强厂区绿化。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81" w:type="pct"/>
            <w:gridSpan w:val="3"/>
            <w:vAlign w:val="center"/>
          </w:tcPr>
          <w:p>
            <w:pPr>
              <w:adjustRightInd w:val="0"/>
              <w:snapToGrid w:val="0"/>
              <w:jc w:val="center"/>
              <w:rPr>
                <w:rFonts w:cs="宋体"/>
                <w:szCs w:val="21"/>
              </w:rPr>
            </w:pPr>
            <w:r>
              <w:rPr>
                <w:rFonts w:hint="eastAsia" w:cs="宋体"/>
                <w:szCs w:val="21"/>
              </w:rPr>
              <w:t>环境风险防范措施</w:t>
            </w:r>
          </w:p>
        </w:tc>
        <w:tc>
          <w:tcPr>
            <w:tcW w:w="4219" w:type="pct"/>
            <w:gridSpan w:val="4"/>
            <w:vAlign w:val="center"/>
          </w:tcPr>
          <w:p>
            <w:pPr>
              <w:adjustRightInd w:val="0"/>
              <w:snapToGrid w:val="0"/>
              <w:rPr>
                <w:rFonts w:cs="宋体"/>
                <w:szCs w:val="21"/>
              </w:rPr>
            </w:pPr>
            <w:r>
              <w:rPr>
                <w:rFonts w:hint="eastAsia" w:cs="宋体"/>
                <w:szCs w:val="21"/>
              </w:rPr>
              <w:t>危废间按照分区防渗要求进行防渗，按照《危险废物贮存污染控制标准》（GB 18597-2023）进行暂存管理，及时交有资质单位进行处置，不能随意自行处置。</w:t>
            </w:r>
          </w:p>
          <w:p>
            <w:pPr>
              <w:adjustRightInd w:val="0"/>
              <w:snapToGrid w:val="0"/>
              <w:rPr>
                <w:rFonts w:cs="宋体"/>
                <w:szCs w:val="21"/>
              </w:rPr>
            </w:pPr>
            <w:r>
              <w:rPr>
                <w:rFonts w:hint="eastAsia" w:cs="宋体"/>
                <w:szCs w:val="21"/>
              </w:rPr>
              <w:t>项目建设需按照要求编写环境风险应急预案，并定期开展演练。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1" w:type="pct"/>
            <w:gridSpan w:val="3"/>
            <w:vAlign w:val="center"/>
          </w:tcPr>
          <w:p>
            <w:pPr>
              <w:adjustRightInd w:val="0"/>
              <w:snapToGrid w:val="0"/>
              <w:jc w:val="center"/>
              <w:rPr>
                <w:rFonts w:cs="宋体"/>
                <w:szCs w:val="21"/>
              </w:rPr>
            </w:pPr>
            <w:r>
              <w:rPr>
                <w:rFonts w:hint="eastAsia" w:cs="宋体"/>
                <w:szCs w:val="21"/>
              </w:rPr>
              <w:t>其他环境</w:t>
            </w:r>
          </w:p>
          <w:p>
            <w:pPr>
              <w:adjustRightInd w:val="0"/>
              <w:snapToGrid w:val="0"/>
              <w:jc w:val="center"/>
              <w:rPr>
                <w:rFonts w:cs="宋体"/>
                <w:szCs w:val="21"/>
              </w:rPr>
            </w:pPr>
            <w:r>
              <w:rPr>
                <w:rFonts w:hint="eastAsia" w:cs="宋体"/>
                <w:szCs w:val="21"/>
              </w:rPr>
              <w:t>管理要求</w:t>
            </w:r>
          </w:p>
        </w:tc>
        <w:tc>
          <w:tcPr>
            <w:tcW w:w="4219" w:type="pct"/>
            <w:gridSpan w:val="4"/>
            <w:vAlign w:val="center"/>
          </w:tcPr>
          <w:p>
            <w:pPr>
              <w:pStyle w:val="28"/>
              <w:rPr>
                <w:rFonts w:ascii="Times New Roman"/>
                <w:color w:val="auto"/>
                <w:sz w:val="21"/>
                <w:szCs w:val="21"/>
              </w:rPr>
            </w:pPr>
            <w:r>
              <w:rPr>
                <w:rFonts w:hint="eastAsia" w:ascii="Times New Roman"/>
                <w:color w:val="auto"/>
                <w:sz w:val="21"/>
                <w:szCs w:val="21"/>
              </w:rPr>
              <w:t>①</w:t>
            </w:r>
            <w:r>
              <w:rPr>
                <w:rFonts w:ascii="Times New Roman"/>
                <w:color w:val="auto"/>
                <w:sz w:val="21"/>
                <w:szCs w:val="21"/>
              </w:rPr>
              <w:t>按《排污许可管理办法（试行）》及《固定源污染源排污许可分类管理名录（2019年</w:t>
            </w:r>
            <w:r>
              <w:rPr>
                <w:rFonts w:hint="eastAsia" w:ascii="Times New Roman"/>
                <w:color w:val="auto"/>
                <w:sz w:val="21"/>
                <w:szCs w:val="21"/>
              </w:rPr>
              <w:t>版）》相关要求办理排污许可；</w:t>
            </w:r>
          </w:p>
          <w:p>
            <w:pPr>
              <w:pStyle w:val="28"/>
              <w:rPr>
                <w:rFonts w:ascii="Times New Roman"/>
                <w:color w:val="auto"/>
                <w:sz w:val="21"/>
                <w:szCs w:val="21"/>
              </w:rPr>
            </w:pPr>
            <w:r>
              <w:rPr>
                <w:rFonts w:hint="eastAsia" w:ascii="Times New Roman"/>
                <w:color w:val="auto"/>
                <w:sz w:val="21"/>
                <w:szCs w:val="21"/>
              </w:rPr>
              <w:t>②编制完善应急预案并备案；</w:t>
            </w:r>
          </w:p>
          <w:p>
            <w:pPr>
              <w:pStyle w:val="28"/>
              <w:rPr>
                <w:rFonts w:ascii="Times New Roman"/>
                <w:color w:val="auto"/>
                <w:sz w:val="21"/>
                <w:szCs w:val="21"/>
              </w:rPr>
            </w:pPr>
            <w:r>
              <w:rPr>
                <w:rFonts w:hint="eastAsia" w:ascii="Times New Roman"/>
                <w:color w:val="auto"/>
                <w:sz w:val="21"/>
                <w:szCs w:val="21"/>
              </w:rPr>
              <w:t>③项目建设完成后，建设单位应及时进行自主验收，待验收合格后项目方可正式投入使用；</w:t>
            </w:r>
          </w:p>
          <w:p>
            <w:pPr>
              <w:pStyle w:val="28"/>
              <w:rPr>
                <w:rFonts w:ascii="Times New Roman"/>
                <w:color w:val="auto"/>
                <w:sz w:val="21"/>
                <w:szCs w:val="21"/>
              </w:rPr>
            </w:pPr>
            <w:r>
              <w:rPr>
                <w:rFonts w:hint="eastAsia" w:ascii="Times New Roman"/>
                <w:color w:val="auto"/>
                <w:sz w:val="21"/>
                <w:szCs w:val="21"/>
              </w:rPr>
              <w:t>④按评价提出的自行检测方案，委托有资质单位定期检测；</w:t>
            </w:r>
          </w:p>
        </w:tc>
      </w:tr>
    </w:tbl>
    <w:p>
      <w:pPr>
        <w:pStyle w:val="19"/>
        <w:jc w:val="center"/>
        <w:outlineLvl w:val="0"/>
        <w:rPr>
          <w:rFonts w:ascii="Times New Roman" w:hAnsi="Times New Roman"/>
          <w:snapToGrid w:val="0"/>
          <w:sz w:val="30"/>
          <w:szCs w:val="30"/>
        </w:rPr>
      </w:pPr>
      <w:r>
        <w:rPr>
          <w:rFonts w:ascii="Times New Roman" w:hAnsi="Times New Roman"/>
          <w:snapToGrid w:val="0"/>
        </w:rPr>
        <w:br w:type="page"/>
      </w:r>
      <w:r>
        <w:rPr>
          <w:rFonts w:hint="eastAsia" w:ascii="Times New Roman" w:hAnsi="Times New Roman"/>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cs="宋体"/>
                <w:sz w:val="24"/>
              </w:rPr>
            </w:pPr>
            <w:r>
              <w:rPr>
                <w:rFonts w:hint="eastAsia"/>
                <w:sz w:val="24"/>
              </w:rPr>
              <w:t>综上所述，本项目符合国家现阶段产业政策，通过本项目的环境影响分析，本环评认为只要在运行过程中充分落实本环评的各项污染防治对策，严格执行各种污染物排放标准，对当地环境造成的影响较小。因此，从环保角度分析，本项目建设可行。</w:t>
            </w:r>
          </w:p>
        </w:tc>
      </w:tr>
    </w:tbl>
    <w:p>
      <w:pPr>
        <w:sectPr>
          <w:headerReference r:id="rId5" w:type="even"/>
          <w:footerReference r:id="rId6" w:type="even"/>
          <w:pgSz w:w="11906" w:h="16838"/>
          <w:pgMar w:top="1701" w:right="1531" w:bottom="1701" w:left="1531" w:header="851" w:footer="851" w:gutter="0"/>
          <w:pgNumType w:start="1"/>
          <w:cols w:space="720" w:num="1"/>
          <w:docGrid w:linePitch="312" w:charSpace="0"/>
        </w:sectPr>
      </w:pPr>
    </w:p>
    <w:p>
      <w:pPr>
        <w:pStyle w:val="19"/>
        <w:spacing w:before="0" w:beforeAutospacing="0" w:after="0" w:afterAutospacing="0" w:line="648" w:lineRule="auto"/>
        <w:ind w:firstLine="640"/>
        <w:outlineLvl w:val="0"/>
        <w:rPr>
          <w:rFonts w:ascii="Times New Roman" w:hAnsi="Times New Roman"/>
          <w:snapToGrid w:val="0"/>
          <w:sz w:val="32"/>
          <w:szCs w:val="32"/>
        </w:rPr>
      </w:pPr>
    </w:p>
    <w:p>
      <w:pPr>
        <w:pStyle w:val="19"/>
        <w:spacing w:before="0" w:beforeAutospacing="0" w:after="0" w:afterAutospacing="0"/>
        <w:ind w:firstLine="760"/>
        <w:jc w:val="center"/>
        <w:outlineLvl w:val="0"/>
        <w:rPr>
          <w:rFonts w:ascii="Times New Roman" w:hAnsi="Times New Roman"/>
          <w:snapToGrid w:val="0"/>
          <w:sz w:val="38"/>
          <w:szCs w:val="38"/>
        </w:rPr>
      </w:pPr>
      <w:r>
        <w:rPr>
          <w:rFonts w:hint="eastAsia" w:ascii="Times New Roman" w:hAnsi="Times New Roman"/>
          <w:snapToGrid w:val="0"/>
          <w:sz w:val="38"/>
          <w:szCs w:val="38"/>
        </w:rPr>
        <w:t>建设项目污染物排放量汇总表</w:t>
      </w:r>
    </w:p>
    <w:tbl>
      <w:tblPr>
        <w:tblStyle w:val="21"/>
        <w:tblW w:w="1390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95"/>
        <w:gridCol w:w="798"/>
        <w:gridCol w:w="1418"/>
        <w:gridCol w:w="929"/>
        <w:gridCol w:w="1287"/>
        <w:gridCol w:w="1716"/>
        <w:gridCol w:w="1572"/>
        <w:gridCol w:w="1776"/>
        <w:gridCol w:w="1976"/>
        <w:gridCol w:w="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602" w:type="dxa"/>
            <w:gridSpan w:val="2"/>
            <w:tcBorders>
              <w:tl2br w:val="single" w:color="auto" w:sz="4" w:space="0"/>
            </w:tcBorders>
            <w:tcMar>
              <w:left w:w="28" w:type="dxa"/>
              <w:right w:w="28" w:type="dxa"/>
            </w:tcMar>
            <w:vAlign w:val="center"/>
          </w:tcPr>
          <w:p>
            <w:pPr>
              <w:pStyle w:val="44"/>
              <w:rPr>
                <w:snapToGrid w:val="0"/>
              </w:rPr>
            </w:pPr>
            <w:r>
              <w:rPr>
                <w:rFonts w:hint="eastAsia"/>
                <w:snapToGrid w:val="0"/>
              </w:rPr>
              <w:t>项目</w:t>
            </w:r>
          </w:p>
          <w:p>
            <w:pPr>
              <w:pStyle w:val="44"/>
              <w:rPr>
                <w:snapToGrid w:val="0"/>
              </w:rPr>
            </w:pPr>
            <w:r>
              <w:rPr>
                <w:rFonts w:hint="eastAsia"/>
                <w:snapToGrid w:val="0"/>
              </w:rPr>
              <w:t>分类</w:t>
            </w:r>
          </w:p>
        </w:tc>
        <w:tc>
          <w:tcPr>
            <w:tcW w:w="2216" w:type="dxa"/>
            <w:gridSpan w:val="2"/>
            <w:tcMar>
              <w:left w:w="28" w:type="dxa"/>
              <w:right w:w="28" w:type="dxa"/>
            </w:tcMar>
            <w:vAlign w:val="center"/>
          </w:tcPr>
          <w:p>
            <w:pPr>
              <w:pStyle w:val="44"/>
              <w:rPr>
                <w:snapToGrid w:val="0"/>
              </w:rPr>
            </w:pPr>
            <w:r>
              <w:rPr>
                <w:rFonts w:hint="eastAsia"/>
                <w:snapToGrid w:val="0"/>
              </w:rPr>
              <w:t>污染物名称</w:t>
            </w:r>
          </w:p>
        </w:tc>
        <w:tc>
          <w:tcPr>
            <w:tcW w:w="929" w:type="dxa"/>
            <w:tcMar>
              <w:left w:w="28" w:type="dxa"/>
              <w:right w:w="28" w:type="dxa"/>
            </w:tcMar>
            <w:vAlign w:val="center"/>
          </w:tcPr>
          <w:p>
            <w:pPr>
              <w:pStyle w:val="44"/>
              <w:rPr>
                <w:snapToGrid w:val="0"/>
              </w:rPr>
            </w:pPr>
            <w:r>
              <w:rPr>
                <w:snapToGrid w:val="0"/>
              </w:rPr>
              <w:t>现有工程</w:t>
            </w:r>
          </w:p>
          <w:p>
            <w:pPr>
              <w:pStyle w:val="44"/>
              <w:rPr>
                <w:snapToGrid w:val="0"/>
              </w:rPr>
            </w:pPr>
            <w:r>
              <w:rPr>
                <w:snapToGrid w:val="0"/>
              </w:rPr>
              <w:t>排放量（固</w:t>
            </w:r>
            <w:r>
              <w:rPr>
                <w:rFonts w:hint="eastAsia"/>
                <w:snapToGrid w:val="0"/>
              </w:rPr>
              <w:t>体</w:t>
            </w:r>
            <w:r>
              <w:rPr>
                <w:snapToGrid w:val="0"/>
              </w:rPr>
              <w:t>废</w:t>
            </w:r>
            <w:r>
              <w:rPr>
                <w:rFonts w:hint="eastAsia"/>
                <w:snapToGrid w:val="0"/>
              </w:rPr>
              <w:t>物</w:t>
            </w:r>
            <w:r>
              <w:rPr>
                <w:snapToGrid w:val="0"/>
              </w:rPr>
              <w:t>产生量）</w:t>
            </w:r>
            <w:r>
              <w:rPr>
                <w:snapToGrid w:val="0"/>
              </w:rPr>
              <w:fldChar w:fldCharType="begin"/>
            </w:r>
            <w:r>
              <w:rPr>
                <w:snapToGrid w:val="0"/>
              </w:rPr>
              <w:instrText xml:space="preserve"> = 1 \* GB3 \* MERGEFORMAT </w:instrText>
            </w:r>
            <w:r>
              <w:rPr>
                <w:snapToGrid w:val="0"/>
              </w:rPr>
              <w:fldChar w:fldCharType="separate"/>
            </w:r>
            <w:r>
              <w:rPr>
                <w:rFonts w:hint="eastAsia"/>
              </w:rPr>
              <w:t>①</w:t>
            </w:r>
            <w:r>
              <w:rPr>
                <w:snapToGrid w:val="0"/>
              </w:rPr>
              <w:fldChar w:fldCharType="end"/>
            </w:r>
          </w:p>
        </w:tc>
        <w:tc>
          <w:tcPr>
            <w:tcW w:w="1287" w:type="dxa"/>
            <w:tcMar>
              <w:left w:w="28" w:type="dxa"/>
              <w:right w:w="28" w:type="dxa"/>
            </w:tcMar>
            <w:vAlign w:val="center"/>
          </w:tcPr>
          <w:p>
            <w:pPr>
              <w:pStyle w:val="44"/>
              <w:rPr>
                <w:snapToGrid w:val="0"/>
              </w:rPr>
            </w:pPr>
            <w:r>
              <w:rPr>
                <w:snapToGrid w:val="0"/>
              </w:rPr>
              <w:t>现有工程</w:t>
            </w:r>
          </w:p>
          <w:p>
            <w:pPr>
              <w:pStyle w:val="44"/>
              <w:rPr>
                <w:snapToGrid w:val="0"/>
              </w:rPr>
            </w:pPr>
            <w:r>
              <w:rPr>
                <w:snapToGrid w:val="0"/>
              </w:rPr>
              <w:t>许可排放量</w:t>
            </w:r>
          </w:p>
          <w:p>
            <w:pPr>
              <w:pStyle w:val="44"/>
              <w:rPr>
                <w:snapToGrid w:val="0"/>
              </w:rPr>
            </w:pPr>
            <w:r>
              <w:rPr>
                <w:snapToGrid w:val="0"/>
              </w:rPr>
              <w:fldChar w:fldCharType="begin"/>
            </w:r>
            <w:r>
              <w:rPr>
                <w:snapToGrid w:val="0"/>
              </w:rPr>
              <w:instrText xml:space="preserve"> = 2 \* GB3 \* MERGEFORMAT </w:instrText>
            </w:r>
            <w:r>
              <w:rPr>
                <w:snapToGrid w:val="0"/>
              </w:rPr>
              <w:fldChar w:fldCharType="separate"/>
            </w:r>
            <w:r>
              <w:rPr>
                <w:rFonts w:hint="eastAsia"/>
                <w:snapToGrid w:val="0"/>
              </w:rPr>
              <w:t>②</w:t>
            </w:r>
            <w:r>
              <w:rPr>
                <w:snapToGrid w:val="0"/>
              </w:rPr>
              <w:fldChar w:fldCharType="end"/>
            </w:r>
          </w:p>
        </w:tc>
        <w:tc>
          <w:tcPr>
            <w:tcW w:w="1716" w:type="dxa"/>
            <w:tcMar>
              <w:left w:w="28" w:type="dxa"/>
              <w:right w:w="28" w:type="dxa"/>
            </w:tcMar>
            <w:vAlign w:val="center"/>
          </w:tcPr>
          <w:p>
            <w:pPr>
              <w:pStyle w:val="44"/>
              <w:rPr>
                <w:snapToGrid w:val="0"/>
              </w:rPr>
            </w:pPr>
            <w:r>
              <w:rPr>
                <w:snapToGrid w:val="0"/>
              </w:rPr>
              <w:t>在建工程</w:t>
            </w:r>
          </w:p>
          <w:p>
            <w:pPr>
              <w:pStyle w:val="44"/>
              <w:rPr>
                <w:snapToGrid w:val="0"/>
              </w:rPr>
            </w:pPr>
            <w:r>
              <w:rPr>
                <w:snapToGrid w:val="0"/>
              </w:rPr>
              <w:t>排放量（固</w:t>
            </w:r>
            <w:r>
              <w:rPr>
                <w:rFonts w:hint="eastAsia"/>
                <w:snapToGrid w:val="0"/>
              </w:rPr>
              <w:t>体</w:t>
            </w:r>
            <w:r>
              <w:rPr>
                <w:snapToGrid w:val="0"/>
              </w:rPr>
              <w:t>废</w:t>
            </w:r>
            <w:r>
              <w:rPr>
                <w:rFonts w:hint="eastAsia"/>
                <w:snapToGrid w:val="0"/>
              </w:rPr>
              <w:t>物</w:t>
            </w:r>
            <w:r>
              <w:rPr>
                <w:snapToGrid w:val="0"/>
              </w:rPr>
              <w:t>产生量）</w:t>
            </w:r>
            <w:r>
              <w:rPr>
                <w:snapToGrid w:val="0"/>
              </w:rPr>
              <w:fldChar w:fldCharType="begin"/>
            </w:r>
            <w:r>
              <w:rPr>
                <w:snapToGrid w:val="0"/>
              </w:rPr>
              <w:instrText xml:space="preserve"> = 3 \* GB3 \* MERGEFORMAT </w:instrText>
            </w:r>
            <w:r>
              <w:rPr>
                <w:snapToGrid w:val="0"/>
              </w:rPr>
              <w:fldChar w:fldCharType="separate"/>
            </w:r>
            <w:r>
              <w:rPr>
                <w:rFonts w:hint="eastAsia"/>
              </w:rPr>
              <w:t>③</w:t>
            </w:r>
            <w:r>
              <w:rPr>
                <w:snapToGrid w:val="0"/>
              </w:rPr>
              <w:fldChar w:fldCharType="end"/>
            </w:r>
          </w:p>
        </w:tc>
        <w:tc>
          <w:tcPr>
            <w:tcW w:w="1572" w:type="dxa"/>
            <w:tcMar>
              <w:left w:w="28" w:type="dxa"/>
              <w:right w:w="28" w:type="dxa"/>
            </w:tcMar>
            <w:vAlign w:val="center"/>
          </w:tcPr>
          <w:p>
            <w:pPr>
              <w:pStyle w:val="44"/>
              <w:rPr>
                <w:snapToGrid w:val="0"/>
              </w:rPr>
            </w:pPr>
            <w:r>
              <w:rPr>
                <w:snapToGrid w:val="0"/>
              </w:rPr>
              <w:t>本项目</w:t>
            </w:r>
          </w:p>
          <w:p>
            <w:pPr>
              <w:pStyle w:val="44"/>
              <w:rPr>
                <w:snapToGrid w:val="0"/>
              </w:rPr>
            </w:pPr>
            <w:r>
              <w:rPr>
                <w:snapToGrid w:val="0"/>
              </w:rPr>
              <w:t>排放量（固</w:t>
            </w:r>
            <w:r>
              <w:rPr>
                <w:rFonts w:hint="eastAsia"/>
                <w:snapToGrid w:val="0"/>
              </w:rPr>
              <w:t>体</w:t>
            </w:r>
            <w:r>
              <w:rPr>
                <w:snapToGrid w:val="0"/>
              </w:rPr>
              <w:t>废</w:t>
            </w:r>
            <w:r>
              <w:rPr>
                <w:rFonts w:hint="eastAsia"/>
                <w:snapToGrid w:val="0"/>
              </w:rPr>
              <w:t>物</w:t>
            </w:r>
            <w:r>
              <w:rPr>
                <w:snapToGrid w:val="0"/>
              </w:rPr>
              <w:t>产生量）</w:t>
            </w:r>
            <w:r>
              <w:rPr>
                <w:snapToGrid w:val="0"/>
              </w:rPr>
              <w:fldChar w:fldCharType="begin"/>
            </w:r>
            <w:r>
              <w:rPr>
                <w:snapToGrid w:val="0"/>
              </w:rPr>
              <w:instrText xml:space="preserve"> = 4 \* GB3 \* MERGEFORMAT </w:instrText>
            </w:r>
            <w:r>
              <w:rPr>
                <w:snapToGrid w:val="0"/>
              </w:rPr>
              <w:fldChar w:fldCharType="separate"/>
            </w:r>
            <w:r>
              <w:rPr>
                <w:rFonts w:hint="eastAsia"/>
              </w:rPr>
              <w:t>④</w:t>
            </w:r>
            <w:r>
              <w:rPr>
                <w:snapToGrid w:val="0"/>
              </w:rPr>
              <w:fldChar w:fldCharType="end"/>
            </w:r>
          </w:p>
        </w:tc>
        <w:tc>
          <w:tcPr>
            <w:tcW w:w="1776" w:type="dxa"/>
            <w:tcMar>
              <w:left w:w="28" w:type="dxa"/>
              <w:right w:w="28" w:type="dxa"/>
            </w:tcMar>
            <w:vAlign w:val="center"/>
          </w:tcPr>
          <w:p>
            <w:pPr>
              <w:pStyle w:val="44"/>
              <w:rPr>
                <w:snapToGrid w:val="0"/>
                <w:spacing w:val="-16"/>
              </w:rPr>
            </w:pPr>
            <w:r>
              <w:rPr>
                <w:snapToGrid w:val="0"/>
                <w:spacing w:val="-16"/>
              </w:rPr>
              <w:t>以新带老削减量</w:t>
            </w:r>
          </w:p>
          <w:p>
            <w:pPr>
              <w:pStyle w:val="44"/>
              <w:rPr>
                <w:snapToGrid w:val="0"/>
                <w:spacing w:val="-16"/>
              </w:rPr>
            </w:pPr>
            <w:r>
              <w:rPr>
                <w:snapToGrid w:val="0"/>
                <w:spacing w:val="-16"/>
              </w:rPr>
              <w:t>（新建项目不填）</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rPr>
              <w:t>⑤</w:t>
            </w:r>
            <w:r>
              <w:rPr>
                <w:snapToGrid w:val="0"/>
                <w:spacing w:val="-16"/>
              </w:rPr>
              <w:fldChar w:fldCharType="end"/>
            </w:r>
          </w:p>
        </w:tc>
        <w:tc>
          <w:tcPr>
            <w:tcW w:w="1976" w:type="dxa"/>
            <w:tcMar>
              <w:left w:w="28" w:type="dxa"/>
              <w:right w:w="28" w:type="dxa"/>
            </w:tcMar>
            <w:vAlign w:val="center"/>
          </w:tcPr>
          <w:p>
            <w:pPr>
              <w:pStyle w:val="44"/>
              <w:rPr>
                <w:snapToGrid w:val="0"/>
                <w:spacing w:val="-16"/>
              </w:rPr>
            </w:pPr>
            <w:r>
              <w:rPr>
                <w:snapToGrid w:val="0"/>
                <w:spacing w:val="-16"/>
              </w:rPr>
              <w:t>本项目建成后</w:t>
            </w:r>
          </w:p>
          <w:p>
            <w:pPr>
              <w:pStyle w:val="44"/>
              <w:rPr>
                <w:snapToGrid w:val="0"/>
                <w:spacing w:val="-16"/>
              </w:rPr>
            </w:pPr>
            <w:r>
              <w:rPr>
                <w:rFonts w:hint="eastAsia"/>
                <w:snapToGrid w:val="0"/>
                <w:spacing w:val="-16"/>
              </w:rPr>
              <w:t>全厂</w:t>
            </w:r>
            <w:r>
              <w:rPr>
                <w:snapToGrid w:val="0"/>
                <w:spacing w:val="-16"/>
              </w:rPr>
              <w:t>排放量（固</w:t>
            </w:r>
            <w:r>
              <w:rPr>
                <w:rFonts w:hint="eastAsia"/>
                <w:snapToGrid w:val="0"/>
                <w:spacing w:val="-16"/>
              </w:rPr>
              <w:t>体</w:t>
            </w:r>
            <w:r>
              <w:rPr>
                <w:snapToGrid w:val="0"/>
                <w:spacing w:val="-16"/>
              </w:rPr>
              <w:t>废</w:t>
            </w:r>
            <w:r>
              <w:rPr>
                <w:rFonts w:hint="eastAsia"/>
                <w:snapToGrid w:val="0"/>
                <w:spacing w:val="-16"/>
              </w:rPr>
              <w:t>物</w:t>
            </w:r>
            <w:r>
              <w:rPr>
                <w:snapToGrid w:val="0"/>
                <w:spacing w:val="-16"/>
              </w:rPr>
              <w:t>产生量）</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rPr>
              <w:t>⑥</w:t>
            </w:r>
            <w:r>
              <w:rPr>
                <w:snapToGrid w:val="0"/>
                <w:spacing w:val="-16"/>
              </w:rPr>
              <w:fldChar w:fldCharType="end"/>
            </w:r>
          </w:p>
        </w:tc>
        <w:tc>
          <w:tcPr>
            <w:tcW w:w="833" w:type="dxa"/>
            <w:tcMar>
              <w:left w:w="28" w:type="dxa"/>
              <w:right w:w="28" w:type="dxa"/>
            </w:tcMar>
            <w:vAlign w:val="center"/>
          </w:tcPr>
          <w:p>
            <w:pPr>
              <w:pStyle w:val="44"/>
              <w:rPr>
                <w:snapToGrid w:val="0"/>
              </w:rPr>
            </w:pPr>
            <w:r>
              <w:rPr>
                <w:snapToGrid w:val="0"/>
              </w:rPr>
              <w:t>变化量</w:t>
            </w:r>
          </w:p>
          <w:p>
            <w:pPr>
              <w:pStyle w:val="44"/>
              <w:rPr>
                <w:snapToGrid w:val="0"/>
              </w:rPr>
            </w:pPr>
            <w:r>
              <w:rPr>
                <w:snapToGrid w:val="0"/>
              </w:rPr>
              <w:fldChar w:fldCharType="begin"/>
            </w:r>
            <w:r>
              <w:rPr>
                <w:snapToGrid w:val="0"/>
              </w:rPr>
              <w:instrText xml:space="preserve"> = 7 \* GB3 \* MERGEFORMAT </w:instrText>
            </w:r>
            <w:r>
              <w:rPr>
                <w:snapToGrid w:val="0"/>
              </w:rPr>
              <w:fldChar w:fldCharType="separate"/>
            </w:r>
            <w:r>
              <w:rPr>
                <w:rFonts w:hint="eastAsia"/>
              </w:rPr>
              <w:t>⑦</w:t>
            </w:r>
            <w:r>
              <w:rPr>
                <w:snapToGrid w:val="0"/>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602" w:type="dxa"/>
            <w:gridSpan w:val="2"/>
            <w:vMerge w:val="restart"/>
            <w:vAlign w:val="center"/>
          </w:tcPr>
          <w:p>
            <w:pPr>
              <w:pStyle w:val="44"/>
              <w:rPr>
                <w:snapToGrid w:val="0"/>
              </w:rPr>
            </w:pPr>
            <w:r>
              <w:rPr>
                <w:rFonts w:hint="eastAsia"/>
                <w:snapToGrid w:val="0"/>
              </w:rPr>
              <w:t>废气</w:t>
            </w:r>
          </w:p>
        </w:tc>
        <w:tc>
          <w:tcPr>
            <w:tcW w:w="798" w:type="dxa"/>
            <w:vMerge w:val="restart"/>
            <w:tcBorders>
              <w:right w:val="single" w:color="auto" w:sz="12" w:space="0"/>
            </w:tcBorders>
            <w:vAlign w:val="center"/>
          </w:tcPr>
          <w:p>
            <w:pPr>
              <w:pStyle w:val="44"/>
              <w:rPr>
                <w:snapToGrid w:val="0"/>
                <w:sz w:val="21"/>
                <w:szCs w:val="21"/>
              </w:rPr>
            </w:pPr>
            <w:r>
              <w:rPr>
                <w:rFonts w:hint="eastAsia"/>
                <w:snapToGrid w:val="0"/>
                <w:sz w:val="21"/>
                <w:szCs w:val="21"/>
              </w:rPr>
              <w:t>一期工程</w:t>
            </w:r>
          </w:p>
        </w:tc>
        <w:tc>
          <w:tcPr>
            <w:tcW w:w="1418" w:type="dxa"/>
            <w:tcBorders>
              <w:left w:val="single" w:color="auto" w:sz="12" w:space="0"/>
            </w:tcBorders>
            <w:vAlign w:val="center"/>
          </w:tcPr>
          <w:p>
            <w:pPr>
              <w:pStyle w:val="44"/>
              <w:rPr>
                <w:snapToGrid w:val="0"/>
                <w:sz w:val="21"/>
                <w:szCs w:val="21"/>
              </w:rPr>
            </w:pPr>
            <w:r>
              <w:rPr>
                <w:rFonts w:hint="eastAsia"/>
                <w:sz w:val="21"/>
                <w:szCs w:val="21"/>
              </w:rPr>
              <w:t>颗粒物</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rPr>
            </w:pPr>
          </w:p>
        </w:tc>
        <w:tc>
          <w:tcPr>
            <w:tcW w:w="1572" w:type="dxa"/>
            <w:vAlign w:val="center"/>
          </w:tcPr>
          <w:p>
            <w:pPr>
              <w:pStyle w:val="44"/>
              <w:rPr>
                <w:snapToGrid w:val="0"/>
              </w:rPr>
            </w:pPr>
            <w:r>
              <w:rPr>
                <w:rFonts w:hint="eastAsia"/>
                <w:snapToGrid w:val="0"/>
              </w:rPr>
              <w:t>0</w:t>
            </w:r>
            <w:r>
              <w:rPr>
                <w:snapToGrid w:val="0"/>
              </w:rPr>
              <w:t>.0095</w:t>
            </w:r>
          </w:p>
        </w:tc>
        <w:tc>
          <w:tcPr>
            <w:tcW w:w="1776" w:type="dxa"/>
            <w:vAlign w:val="center"/>
          </w:tcPr>
          <w:p>
            <w:pPr>
              <w:pStyle w:val="44"/>
              <w:rPr>
                <w:snapToGrid w:val="0"/>
              </w:rPr>
            </w:pPr>
          </w:p>
        </w:tc>
        <w:tc>
          <w:tcPr>
            <w:tcW w:w="1976" w:type="dxa"/>
            <w:vAlign w:val="center"/>
          </w:tcPr>
          <w:p>
            <w:pPr>
              <w:pStyle w:val="44"/>
              <w:rPr>
                <w:snapToGrid w:val="0"/>
              </w:rPr>
            </w:pPr>
            <w:r>
              <w:rPr>
                <w:rFonts w:hint="eastAsia"/>
                <w:snapToGrid w:val="0"/>
              </w:rPr>
              <w:t>0</w:t>
            </w:r>
            <w:r>
              <w:rPr>
                <w:snapToGrid w:val="0"/>
              </w:rPr>
              <w:t>.0095</w:t>
            </w:r>
          </w:p>
        </w:tc>
        <w:tc>
          <w:tcPr>
            <w:tcW w:w="833" w:type="dxa"/>
            <w:vAlign w:val="center"/>
          </w:tcPr>
          <w:p>
            <w:pPr>
              <w:pStyle w:val="44"/>
              <w:rPr>
                <w:snapToGrid w:val="0"/>
              </w:rPr>
            </w:pPr>
            <w:r>
              <w:rPr>
                <w:snapToGrid w:val="0"/>
              </w:rPr>
              <w:t>+</w:t>
            </w:r>
            <w:r>
              <w:rPr>
                <w:rFonts w:hint="eastAsia"/>
                <w:snapToGrid w:val="0"/>
              </w:rPr>
              <w:t>0</w:t>
            </w:r>
            <w:r>
              <w:rPr>
                <w:snapToGrid w:val="0"/>
              </w:rPr>
              <w:t>.0095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602" w:type="dxa"/>
            <w:gridSpan w:val="2"/>
            <w:vMerge w:val="continue"/>
            <w:vAlign w:val="center"/>
          </w:tcPr>
          <w:p>
            <w:pPr>
              <w:pStyle w:val="44"/>
              <w:rPr>
                <w:snapToGrid w:val="0"/>
              </w:rPr>
            </w:pPr>
          </w:p>
        </w:tc>
        <w:tc>
          <w:tcPr>
            <w:tcW w:w="798" w:type="dxa"/>
            <w:vMerge w:val="continue"/>
            <w:tcBorders>
              <w:right w:val="single" w:color="auto" w:sz="12" w:space="0"/>
            </w:tcBorders>
            <w:vAlign w:val="center"/>
          </w:tcPr>
          <w:p>
            <w:pPr>
              <w:pStyle w:val="44"/>
              <w:rPr>
                <w:sz w:val="21"/>
                <w:szCs w:val="21"/>
              </w:rPr>
            </w:pPr>
          </w:p>
        </w:tc>
        <w:tc>
          <w:tcPr>
            <w:tcW w:w="1418" w:type="dxa"/>
            <w:tcBorders>
              <w:left w:val="single" w:color="auto" w:sz="12" w:space="0"/>
            </w:tcBorders>
            <w:vAlign w:val="center"/>
          </w:tcPr>
          <w:p>
            <w:pPr>
              <w:pStyle w:val="44"/>
              <w:rPr>
                <w:sz w:val="21"/>
                <w:szCs w:val="21"/>
              </w:rPr>
            </w:pPr>
            <w:r>
              <w:rPr>
                <w:rFonts w:hint="eastAsia"/>
                <w:sz w:val="21"/>
                <w:szCs w:val="21"/>
              </w:rPr>
              <w:t>非甲烷总烃</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rPr>
            </w:pPr>
          </w:p>
        </w:tc>
        <w:tc>
          <w:tcPr>
            <w:tcW w:w="1572" w:type="dxa"/>
            <w:vAlign w:val="center"/>
          </w:tcPr>
          <w:p>
            <w:pPr>
              <w:pStyle w:val="44"/>
              <w:rPr>
                <w:snapToGrid w:val="0"/>
              </w:rPr>
            </w:pPr>
            <w:r>
              <w:rPr>
                <w:rFonts w:hint="eastAsia"/>
                <w:snapToGrid w:val="0"/>
              </w:rPr>
              <w:t>0</w:t>
            </w:r>
            <w:r>
              <w:rPr>
                <w:snapToGrid w:val="0"/>
              </w:rPr>
              <w:t>.025</w:t>
            </w:r>
          </w:p>
        </w:tc>
        <w:tc>
          <w:tcPr>
            <w:tcW w:w="1776" w:type="dxa"/>
            <w:vAlign w:val="center"/>
          </w:tcPr>
          <w:p>
            <w:pPr>
              <w:pStyle w:val="44"/>
              <w:rPr>
                <w:snapToGrid w:val="0"/>
              </w:rPr>
            </w:pPr>
          </w:p>
        </w:tc>
        <w:tc>
          <w:tcPr>
            <w:tcW w:w="1976" w:type="dxa"/>
            <w:vAlign w:val="center"/>
          </w:tcPr>
          <w:p>
            <w:pPr>
              <w:pStyle w:val="44"/>
              <w:rPr>
                <w:snapToGrid w:val="0"/>
              </w:rPr>
            </w:pPr>
            <w:r>
              <w:rPr>
                <w:rFonts w:hint="eastAsia"/>
                <w:snapToGrid w:val="0"/>
              </w:rPr>
              <w:t>0</w:t>
            </w:r>
            <w:r>
              <w:rPr>
                <w:snapToGrid w:val="0"/>
              </w:rPr>
              <w:t>.025</w:t>
            </w:r>
          </w:p>
        </w:tc>
        <w:tc>
          <w:tcPr>
            <w:tcW w:w="833" w:type="dxa"/>
            <w:vAlign w:val="center"/>
          </w:tcPr>
          <w:p>
            <w:pPr>
              <w:pStyle w:val="44"/>
              <w:rPr>
                <w:snapToGrid w:val="0"/>
              </w:rPr>
            </w:pPr>
            <w:r>
              <w:rPr>
                <w:snapToGrid w:val="0"/>
              </w:rPr>
              <w:t>+</w:t>
            </w:r>
            <w:r>
              <w:rPr>
                <w:rFonts w:hint="eastAsia"/>
                <w:snapToGrid w:val="0"/>
              </w:rPr>
              <w:t>0</w:t>
            </w:r>
            <w:r>
              <w:rPr>
                <w:snapToGrid w:val="0"/>
              </w:rPr>
              <w:t>.025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602" w:type="dxa"/>
            <w:gridSpan w:val="2"/>
            <w:vMerge w:val="continue"/>
            <w:vAlign w:val="center"/>
          </w:tcPr>
          <w:p>
            <w:pPr>
              <w:pStyle w:val="44"/>
              <w:rPr>
                <w:snapToGrid w:val="0"/>
              </w:rPr>
            </w:pPr>
          </w:p>
        </w:tc>
        <w:tc>
          <w:tcPr>
            <w:tcW w:w="798" w:type="dxa"/>
            <w:tcBorders>
              <w:right w:val="single" w:color="auto" w:sz="12" w:space="0"/>
            </w:tcBorders>
            <w:vAlign w:val="center"/>
          </w:tcPr>
          <w:p>
            <w:pPr>
              <w:pStyle w:val="44"/>
              <w:rPr>
                <w:sz w:val="21"/>
                <w:szCs w:val="21"/>
              </w:rPr>
            </w:pPr>
            <w:r>
              <w:rPr>
                <w:rFonts w:hint="eastAsia"/>
                <w:sz w:val="21"/>
                <w:szCs w:val="21"/>
              </w:rPr>
              <w:t>二期工程</w:t>
            </w:r>
          </w:p>
        </w:tc>
        <w:tc>
          <w:tcPr>
            <w:tcW w:w="1418" w:type="dxa"/>
            <w:tcBorders>
              <w:left w:val="single" w:color="auto" w:sz="12" w:space="0"/>
            </w:tcBorders>
            <w:vAlign w:val="center"/>
          </w:tcPr>
          <w:p>
            <w:pPr>
              <w:pStyle w:val="44"/>
              <w:rPr>
                <w:sz w:val="21"/>
                <w:szCs w:val="21"/>
              </w:rPr>
            </w:pPr>
            <w:r>
              <w:rPr>
                <w:rFonts w:hint="eastAsia"/>
                <w:sz w:val="21"/>
                <w:szCs w:val="21"/>
              </w:rPr>
              <w:t>颗粒物</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rPr>
            </w:pPr>
          </w:p>
        </w:tc>
        <w:tc>
          <w:tcPr>
            <w:tcW w:w="1572" w:type="dxa"/>
            <w:vAlign w:val="center"/>
          </w:tcPr>
          <w:p>
            <w:pPr>
              <w:pStyle w:val="44"/>
              <w:rPr>
                <w:snapToGrid w:val="0"/>
              </w:rPr>
            </w:pPr>
            <w:r>
              <w:rPr>
                <w:rFonts w:hint="eastAsia"/>
                <w:snapToGrid w:val="0"/>
              </w:rPr>
              <w:t>0</w:t>
            </w:r>
            <w:r>
              <w:rPr>
                <w:snapToGrid w:val="0"/>
              </w:rPr>
              <w:t>.0225</w:t>
            </w:r>
          </w:p>
        </w:tc>
        <w:tc>
          <w:tcPr>
            <w:tcW w:w="1776" w:type="dxa"/>
            <w:vAlign w:val="center"/>
          </w:tcPr>
          <w:p>
            <w:pPr>
              <w:pStyle w:val="44"/>
              <w:rPr>
                <w:snapToGrid w:val="0"/>
              </w:rPr>
            </w:pPr>
          </w:p>
        </w:tc>
        <w:tc>
          <w:tcPr>
            <w:tcW w:w="1976" w:type="dxa"/>
            <w:vAlign w:val="center"/>
          </w:tcPr>
          <w:p>
            <w:pPr>
              <w:pStyle w:val="44"/>
              <w:rPr>
                <w:snapToGrid w:val="0"/>
              </w:rPr>
            </w:pPr>
            <w:r>
              <w:rPr>
                <w:rFonts w:hint="eastAsia"/>
                <w:snapToGrid w:val="0"/>
              </w:rPr>
              <w:t>0</w:t>
            </w:r>
            <w:r>
              <w:rPr>
                <w:snapToGrid w:val="0"/>
              </w:rPr>
              <w:t>.0225</w:t>
            </w:r>
          </w:p>
        </w:tc>
        <w:tc>
          <w:tcPr>
            <w:tcW w:w="833" w:type="dxa"/>
            <w:vAlign w:val="center"/>
          </w:tcPr>
          <w:p>
            <w:pPr>
              <w:pStyle w:val="44"/>
              <w:rPr>
                <w:snapToGrid w:val="0"/>
              </w:rPr>
            </w:pPr>
            <w:r>
              <w:rPr>
                <w:snapToGrid w:val="0"/>
              </w:rPr>
              <w:t>+</w:t>
            </w:r>
            <w:r>
              <w:rPr>
                <w:rFonts w:hint="eastAsia"/>
                <w:snapToGrid w:val="0"/>
              </w:rPr>
              <w:t>0</w:t>
            </w:r>
            <w:r>
              <w:rPr>
                <w:snapToGrid w:val="0"/>
              </w:rPr>
              <w:t>.0225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602" w:type="dxa"/>
            <w:gridSpan w:val="2"/>
            <w:vMerge w:val="restart"/>
            <w:vAlign w:val="center"/>
          </w:tcPr>
          <w:p>
            <w:pPr>
              <w:pStyle w:val="44"/>
              <w:rPr>
                <w:snapToGrid w:val="0"/>
              </w:rPr>
            </w:pPr>
            <w:r>
              <w:rPr>
                <w:rFonts w:hint="eastAsia"/>
                <w:snapToGrid w:val="0"/>
              </w:rPr>
              <w:t>废水</w:t>
            </w:r>
          </w:p>
        </w:tc>
        <w:tc>
          <w:tcPr>
            <w:tcW w:w="2216" w:type="dxa"/>
            <w:gridSpan w:val="2"/>
            <w:vAlign w:val="center"/>
          </w:tcPr>
          <w:p>
            <w:pPr>
              <w:pStyle w:val="44"/>
              <w:rPr>
                <w:snapToGrid w:val="0"/>
                <w:sz w:val="21"/>
                <w:szCs w:val="21"/>
              </w:rPr>
            </w:pPr>
            <w:r>
              <w:rPr>
                <w:sz w:val="21"/>
                <w:szCs w:val="21"/>
              </w:rPr>
              <w:t>COD</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rPr>
            </w:pPr>
          </w:p>
        </w:tc>
        <w:tc>
          <w:tcPr>
            <w:tcW w:w="1572" w:type="dxa"/>
            <w:shd w:val="clear" w:color="auto" w:fill="auto"/>
            <w:vAlign w:val="center"/>
          </w:tcPr>
          <w:p>
            <w:pPr>
              <w:pStyle w:val="44"/>
              <w:rPr>
                <w:snapToGrid w:val="0"/>
              </w:rPr>
            </w:pPr>
            <w:r>
              <w:rPr>
                <w:sz w:val="21"/>
                <w:szCs w:val="21"/>
              </w:rPr>
              <w:t>0.216</w:t>
            </w:r>
          </w:p>
        </w:tc>
        <w:tc>
          <w:tcPr>
            <w:tcW w:w="1776" w:type="dxa"/>
            <w:vAlign w:val="center"/>
          </w:tcPr>
          <w:p>
            <w:pPr>
              <w:pStyle w:val="44"/>
              <w:rPr>
                <w:snapToGrid w:val="0"/>
              </w:rPr>
            </w:pPr>
          </w:p>
        </w:tc>
        <w:tc>
          <w:tcPr>
            <w:tcW w:w="1976" w:type="dxa"/>
            <w:vAlign w:val="center"/>
          </w:tcPr>
          <w:p>
            <w:pPr>
              <w:pStyle w:val="44"/>
              <w:rPr>
                <w:snapToGrid w:val="0"/>
              </w:rPr>
            </w:pPr>
            <w:r>
              <w:rPr>
                <w:sz w:val="21"/>
                <w:szCs w:val="21"/>
              </w:rPr>
              <w:t>0.216</w:t>
            </w:r>
          </w:p>
        </w:tc>
        <w:tc>
          <w:tcPr>
            <w:tcW w:w="833" w:type="dxa"/>
            <w:vAlign w:val="center"/>
          </w:tcPr>
          <w:p>
            <w:pPr>
              <w:pStyle w:val="44"/>
              <w:rPr>
                <w:snapToGrid w:val="0"/>
              </w:rPr>
            </w:pPr>
            <w:r>
              <w:rPr>
                <w:sz w:val="21"/>
                <w:szCs w:val="21"/>
              </w:rPr>
              <w:t>+0.216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602" w:type="dxa"/>
            <w:gridSpan w:val="2"/>
            <w:vMerge w:val="continue"/>
            <w:vAlign w:val="center"/>
          </w:tcPr>
          <w:p>
            <w:pPr>
              <w:pStyle w:val="44"/>
              <w:rPr>
                <w:snapToGrid w:val="0"/>
              </w:rPr>
            </w:pPr>
          </w:p>
        </w:tc>
        <w:tc>
          <w:tcPr>
            <w:tcW w:w="2216" w:type="dxa"/>
            <w:gridSpan w:val="2"/>
            <w:vAlign w:val="center"/>
          </w:tcPr>
          <w:p>
            <w:pPr>
              <w:pStyle w:val="44"/>
              <w:rPr>
                <w:snapToGrid w:val="0"/>
                <w:sz w:val="21"/>
                <w:szCs w:val="21"/>
              </w:rPr>
            </w:pPr>
            <w:r>
              <w:rPr>
                <w:sz w:val="21"/>
                <w:szCs w:val="21"/>
              </w:rPr>
              <w:t>BOD</w:t>
            </w:r>
            <w:r>
              <w:rPr>
                <w:sz w:val="21"/>
                <w:szCs w:val="21"/>
                <w:vertAlign w:val="subscript"/>
              </w:rPr>
              <w:t>5</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shd w:val="clear" w:color="auto" w:fill="auto"/>
            <w:vAlign w:val="center"/>
          </w:tcPr>
          <w:p>
            <w:pPr>
              <w:pStyle w:val="44"/>
              <w:rPr>
                <w:snapToGrid w:val="0"/>
                <w:sz w:val="21"/>
                <w:szCs w:val="21"/>
              </w:rPr>
            </w:pPr>
            <w:r>
              <w:rPr>
                <w:sz w:val="21"/>
                <w:szCs w:val="21"/>
              </w:rPr>
              <w:t>0.144</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sz w:val="21"/>
                <w:szCs w:val="21"/>
              </w:rPr>
              <w:t>0.144</w:t>
            </w:r>
          </w:p>
        </w:tc>
        <w:tc>
          <w:tcPr>
            <w:tcW w:w="833" w:type="dxa"/>
            <w:vAlign w:val="center"/>
          </w:tcPr>
          <w:p>
            <w:pPr>
              <w:pStyle w:val="44"/>
              <w:rPr>
                <w:snapToGrid w:val="0"/>
                <w:sz w:val="21"/>
                <w:szCs w:val="21"/>
              </w:rPr>
            </w:pPr>
            <w:r>
              <w:rPr>
                <w:sz w:val="21"/>
                <w:szCs w:val="21"/>
              </w:rPr>
              <w:t>+0.144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602" w:type="dxa"/>
            <w:gridSpan w:val="2"/>
            <w:vMerge w:val="continue"/>
            <w:vAlign w:val="center"/>
          </w:tcPr>
          <w:p>
            <w:pPr>
              <w:pStyle w:val="44"/>
              <w:rPr>
                <w:snapToGrid w:val="0"/>
              </w:rPr>
            </w:pPr>
          </w:p>
        </w:tc>
        <w:tc>
          <w:tcPr>
            <w:tcW w:w="2216" w:type="dxa"/>
            <w:gridSpan w:val="2"/>
            <w:vAlign w:val="center"/>
          </w:tcPr>
          <w:p>
            <w:pPr>
              <w:pStyle w:val="44"/>
              <w:rPr>
                <w:snapToGrid w:val="0"/>
                <w:sz w:val="21"/>
                <w:szCs w:val="21"/>
              </w:rPr>
            </w:pPr>
            <w:r>
              <w:rPr>
                <w:rFonts w:hint="eastAsia"/>
                <w:sz w:val="21"/>
                <w:szCs w:val="21"/>
              </w:rPr>
              <w:t>氨氮</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shd w:val="clear" w:color="auto" w:fill="auto"/>
            <w:vAlign w:val="center"/>
          </w:tcPr>
          <w:p>
            <w:pPr>
              <w:pStyle w:val="44"/>
              <w:rPr>
                <w:snapToGrid w:val="0"/>
                <w:sz w:val="21"/>
                <w:szCs w:val="21"/>
              </w:rPr>
            </w:pPr>
            <w:r>
              <w:rPr>
                <w:sz w:val="21"/>
                <w:szCs w:val="21"/>
              </w:rPr>
              <w:t>0.011</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sz w:val="21"/>
                <w:szCs w:val="21"/>
              </w:rPr>
              <w:t>0.011</w:t>
            </w:r>
          </w:p>
        </w:tc>
        <w:tc>
          <w:tcPr>
            <w:tcW w:w="833" w:type="dxa"/>
            <w:vAlign w:val="center"/>
          </w:tcPr>
          <w:p>
            <w:pPr>
              <w:pStyle w:val="44"/>
              <w:rPr>
                <w:snapToGrid w:val="0"/>
                <w:sz w:val="21"/>
                <w:szCs w:val="21"/>
              </w:rPr>
            </w:pPr>
            <w:r>
              <w:rPr>
                <w:sz w:val="21"/>
                <w:szCs w:val="21"/>
              </w:rPr>
              <w:t>+0.011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602" w:type="dxa"/>
            <w:gridSpan w:val="2"/>
            <w:vMerge w:val="continue"/>
            <w:vAlign w:val="center"/>
          </w:tcPr>
          <w:p>
            <w:pPr>
              <w:pStyle w:val="44"/>
              <w:rPr>
                <w:snapToGrid w:val="0"/>
              </w:rPr>
            </w:pPr>
          </w:p>
        </w:tc>
        <w:tc>
          <w:tcPr>
            <w:tcW w:w="2216" w:type="dxa"/>
            <w:gridSpan w:val="2"/>
            <w:vAlign w:val="center"/>
          </w:tcPr>
          <w:p>
            <w:pPr>
              <w:pStyle w:val="44"/>
              <w:rPr>
                <w:snapToGrid w:val="0"/>
                <w:sz w:val="21"/>
                <w:szCs w:val="21"/>
              </w:rPr>
            </w:pPr>
            <w:r>
              <w:rPr>
                <w:rFonts w:hint="eastAsia"/>
                <w:sz w:val="21"/>
                <w:szCs w:val="21"/>
              </w:rPr>
              <w:t>SS</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shd w:val="clear" w:color="auto" w:fill="auto"/>
            <w:vAlign w:val="center"/>
          </w:tcPr>
          <w:p>
            <w:pPr>
              <w:pStyle w:val="44"/>
              <w:rPr>
                <w:snapToGrid w:val="0"/>
                <w:sz w:val="21"/>
                <w:szCs w:val="21"/>
              </w:rPr>
            </w:pPr>
            <w:r>
              <w:rPr>
                <w:sz w:val="21"/>
                <w:szCs w:val="21"/>
              </w:rPr>
              <w:t>0.072</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sz w:val="21"/>
                <w:szCs w:val="21"/>
              </w:rPr>
              <w:t>0.072</w:t>
            </w:r>
          </w:p>
        </w:tc>
        <w:tc>
          <w:tcPr>
            <w:tcW w:w="833" w:type="dxa"/>
            <w:vAlign w:val="center"/>
          </w:tcPr>
          <w:p>
            <w:pPr>
              <w:pStyle w:val="44"/>
              <w:rPr>
                <w:snapToGrid w:val="0"/>
                <w:sz w:val="21"/>
                <w:szCs w:val="21"/>
              </w:rPr>
            </w:pPr>
            <w:r>
              <w:rPr>
                <w:sz w:val="21"/>
                <w:szCs w:val="21"/>
              </w:rPr>
              <w:t>+0.072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07" w:type="dxa"/>
            <w:vMerge w:val="restart"/>
            <w:vAlign w:val="center"/>
          </w:tcPr>
          <w:p>
            <w:pPr>
              <w:pStyle w:val="44"/>
              <w:rPr>
                <w:snapToGrid w:val="0"/>
              </w:rPr>
            </w:pPr>
            <w:r>
              <w:rPr>
                <w:rFonts w:hint="eastAsia"/>
                <w:snapToGrid w:val="0"/>
              </w:rPr>
              <w:t>一期工程</w:t>
            </w:r>
          </w:p>
        </w:tc>
        <w:tc>
          <w:tcPr>
            <w:tcW w:w="995" w:type="dxa"/>
            <w:vMerge w:val="restart"/>
            <w:vAlign w:val="center"/>
          </w:tcPr>
          <w:p>
            <w:pPr>
              <w:pStyle w:val="44"/>
              <w:rPr>
                <w:snapToGrid w:val="0"/>
              </w:rPr>
            </w:pPr>
            <w:r>
              <w:rPr>
                <w:rFonts w:hint="eastAsia"/>
                <w:snapToGrid w:val="0"/>
              </w:rPr>
              <w:t>一般工业</w:t>
            </w:r>
          </w:p>
          <w:p>
            <w:pPr>
              <w:pStyle w:val="44"/>
              <w:rPr>
                <w:snapToGrid w:val="0"/>
              </w:rPr>
            </w:pPr>
            <w:r>
              <w:rPr>
                <w:rFonts w:hint="eastAsia"/>
                <w:snapToGrid w:val="0"/>
              </w:rPr>
              <w:t>固体废物</w:t>
            </w:r>
          </w:p>
        </w:tc>
        <w:tc>
          <w:tcPr>
            <w:tcW w:w="2216" w:type="dxa"/>
            <w:gridSpan w:val="2"/>
            <w:vAlign w:val="center"/>
          </w:tcPr>
          <w:p>
            <w:pPr>
              <w:pStyle w:val="44"/>
              <w:jc w:val="both"/>
              <w:rPr>
                <w:snapToGrid w:val="0"/>
                <w:sz w:val="21"/>
                <w:szCs w:val="21"/>
              </w:rPr>
            </w:pPr>
            <w:r>
              <w:rPr>
                <w:rFonts w:hint="eastAsia"/>
                <w:sz w:val="21"/>
                <w:szCs w:val="21"/>
              </w:rPr>
              <w:t>奶制品加工过程过滤奶渣</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napToGrid w:val="0"/>
                <w:sz w:val="21"/>
                <w:szCs w:val="21"/>
              </w:rPr>
            </w:pPr>
            <w:r>
              <w:rPr>
                <w:rFonts w:hint="eastAsia"/>
                <w:sz w:val="21"/>
                <w:szCs w:val="21"/>
              </w:rPr>
              <w:t>0</w:t>
            </w:r>
            <w:r>
              <w:rPr>
                <w:sz w:val="21"/>
                <w:szCs w:val="21"/>
              </w:rPr>
              <w:t>.8</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rFonts w:hint="eastAsia"/>
                <w:sz w:val="21"/>
                <w:szCs w:val="21"/>
              </w:rPr>
              <w:t>0</w:t>
            </w:r>
            <w:r>
              <w:rPr>
                <w:sz w:val="21"/>
                <w:szCs w:val="21"/>
              </w:rPr>
              <w:t>.8</w:t>
            </w:r>
          </w:p>
        </w:tc>
        <w:tc>
          <w:tcPr>
            <w:tcW w:w="833" w:type="dxa"/>
            <w:vAlign w:val="center"/>
          </w:tcPr>
          <w:p>
            <w:pPr>
              <w:pStyle w:val="44"/>
              <w:rPr>
                <w:snapToGrid w:val="0"/>
                <w:sz w:val="21"/>
                <w:szCs w:val="21"/>
              </w:rPr>
            </w:pPr>
            <w:r>
              <w:rPr>
                <w:sz w:val="21"/>
                <w:szCs w:val="21"/>
              </w:rPr>
              <w:t>+</w:t>
            </w:r>
            <w:r>
              <w:rPr>
                <w:rFonts w:hint="eastAsia"/>
                <w:sz w:val="21"/>
                <w:szCs w:val="21"/>
              </w:rPr>
              <w:t>0</w:t>
            </w:r>
            <w:r>
              <w:rPr>
                <w:sz w:val="21"/>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napToGrid w:val="0"/>
                <w:sz w:val="21"/>
                <w:szCs w:val="21"/>
              </w:rPr>
            </w:pPr>
            <w:r>
              <w:rPr>
                <w:rFonts w:hint="eastAsia"/>
                <w:sz w:val="21"/>
                <w:szCs w:val="21"/>
              </w:rPr>
              <w:t>复合调味品鸡蛋壳和过滤物</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napToGrid w:val="0"/>
                <w:sz w:val="21"/>
                <w:szCs w:val="21"/>
              </w:rPr>
            </w:pPr>
            <w:r>
              <w:rPr>
                <w:rFonts w:hint="eastAsia"/>
                <w:sz w:val="21"/>
                <w:szCs w:val="21"/>
              </w:rPr>
              <w:t>0</w:t>
            </w:r>
            <w:r>
              <w:rPr>
                <w:sz w:val="21"/>
                <w:szCs w:val="21"/>
              </w:rPr>
              <w:t>.003</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rFonts w:hint="eastAsia"/>
                <w:sz w:val="21"/>
                <w:szCs w:val="21"/>
              </w:rPr>
              <w:t>0</w:t>
            </w:r>
            <w:r>
              <w:rPr>
                <w:sz w:val="21"/>
                <w:szCs w:val="21"/>
              </w:rPr>
              <w:t>.003</w:t>
            </w:r>
          </w:p>
        </w:tc>
        <w:tc>
          <w:tcPr>
            <w:tcW w:w="833" w:type="dxa"/>
            <w:vAlign w:val="center"/>
          </w:tcPr>
          <w:p>
            <w:pPr>
              <w:pStyle w:val="44"/>
              <w:rPr>
                <w:snapToGrid w:val="0"/>
                <w:sz w:val="21"/>
                <w:szCs w:val="21"/>
              </w:rPr>
            </w:pPr>
            <w:r>
              <w:rPr>
                <w:sz w:val="21"/>
                <w:szCs w:val="21"/>
              </w:rPr>
              <w:t>+</w:t>
            </w:r>
            <w:r>
              <w:rPr>
                <w:rFonts w:hint="eastAsia"/>
                <w:sz w:val="21"/>
                <w:szCs w:val="21"/>
              </w:rPr>
              <w:t>0</w:t>
            </w:r>
            <w:r>
              <w:rPr>
                <w:sz w:val="21"/>
                <w:szCs w:val="21"/>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napToGrid w:val="0"/>
                <w:sz w:val="21"/>
                <w:szCs w:val="21"/>
              </w:rPr>
            </w:pPr>
            <w:r>
              <w:rPr>
                <w:rFonts w:hint="eastAsia"/>
                <w:sz w:val="21"/>
                <w:szCs w:val="21"/>
              </w:rPr>
              <w:t>污水处理站污泥</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napToGrid w:val="0"/>
                <w:sz w:val="21"/>
                <w:szCs w:val="21"/>
              </w:rPr>
            </w:pPr>
            <w:r>
              <w:rPr>
                <w:rFonts w:hint="eastAsia"/>
                <w:sz w:val="21"/>
                <w:szCs w:val="21"/>
              </w:rPr>
              <w:t>0</w:t>
            </w:r>
            <w:r>
              <w:rPr>
                <w:sz w:val="21"/>
                <w:szCs w:val="21"/>
              </w:rPr>
              <w:t>.2</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rFonts w:hint="eastAsia"/>
                <w:sz w:val="21"/>
                <w:szCs w:val="21"/>
              </w:rPr>
              <w:t>0</w:t>
            </w:r>
            <w:r>
              <w:rPr>
                <w:sz w:val="21"/>
                <w:szCs w:val="21"/>
              </w:rPr>
              <w:t>.2</w:t>
            </w:r>
          </w:p>
        </w:tc>
        <w:tc>
          <w:tcPr>
            <w:tcW w:w="833" w:type="dxa"/>
            <w:vAlign w:val="center"/>
          </w:tcPr>
          <w:p>
            <w:pPr>
              <w:pStyle w:val="44"/>
              <w:rPr>
                <w:snapToGrid w:val="0"/>
                <w:sz w:val="21"/>
                <w:szCs w:val="21"/>
              </w:rPr>
            </w:pPr>
            <w:r>
              <w:rPr>
                <w:sz w:val="21"/>
                <w:szCs w:val="21"/>
              </w:rPr>
              <w:t>+</w:t>
            </w:r>
            <w:r>
              <w:rPr>
                <w:rFonts w:hint="eastAsia"/>
                <w:sz w:val="21"/>
                <w:szCs w:val="21"/>
              </w:rPr>
              <w:t>0</w:t>
            </w:r>
            <w:r>
              <w:rPr>
                <w:sz w:val="21"/>
                <w:szCs w:val="21"/>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napToGrid w:val="0"/>
                <w:sz w:val="21"/>
                <w:szCs w:val="21"/>
              </w:rPr>
            </w:pPr>
            <w:r>
              <w:rPr>
                <w:rFonts w:hint="eastAsia"/>
                <w:sz w:val="21"/>
                <w:szCs w:val="21"/>
              </w:rPr>
              <w:t>香精过滤物</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napToGrid w:val="0"/>
                <w:sz w:val="21"/>
                <w:szCs w:val="21"/>
              </w:rPr>
            </w:pPr>
            <w:r>
              <w:rPr>
                <w:sz w:val="21"/>
                <w:szCs w:val="21"/>
              </w:rPr>
              <w:t>0.8</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sz w:val="21"/>
                <w:szCs w:val="21"/>
              </w:rPr>
              <w:t>0.8</w:t>
            </w:r>
          </w:p>
        </w:tc>
        <w:tc>
          <w:tcPr>
            <w:tcW w:w="833" w:type="dxa"/>
            <w:vAlign w:val="center"/>
          </w:tcPr>
          <w:p>
            <w:pPr>
              <w:pStyle w:val="44"/>
              <w:rPr>
                <w:snapToGrid w:val="0"/>
                <w:sz w:val="21"/>
                <w:szCs w:val="21"/>
              </w:rPr>
            </w:pPr>
            <w:r>
              <w:rPr>
                <w:sz w:val="21"/>
                <w:szCs w:val="21"/>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z w:val="21"/>
                <w:szCs w:val="21"/>
              </w:rPr>
            </w:pPr>
            <w:r>
              <w:rPr>
                <w:rFonts w:hint="eastAsia"/>
                <w:sz w:val="21"/>
                <w:szCs w:val="21"/>
              </w:rPr>
              <w:t>奶制品、复合调味料废样品、过期原料和不合格产品类</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z w:val="21"/>
                <w:szCs w:val="21"/>
              </w:rPr>
            </w:pPr>
            <w:r>
              <w:rPr>
                <w:sz w:val="21"/>
                <w:szCs w:val="21"/>
              </w:rPr>
              <w:t>0.8</w:t>
            </w:r>
          </w:p>
        </w:tc>
        <w:tc>
          <w:tcPr>
            <w:tcW w:w="1776" w:type="dxa"/>
            <w:vAlign w:val="center"/>
          </w:tcPr>
          <w:p>
            <w:pPr>
              <w:pStyle w:val="44"/>
              <w:rPr>
                <w:snapToGrid w:val="0"/>
                <w:sz w:val="21"/>
                <w:szCs w:val="21"/>
              </w:rPr>
            </w:pPr>
          </w:p>
        </w:tc>
        <w:tc>
          <w:tcPr>
            <w:tcW w:w="1976" w:type="dxa"/>
            <w:vAlign w:val="center"/>
          </w:tcPr>
          <w:p>
            <w:pPr>
              <w:pStyle w:val="44"/>
              <w:rPr>
                <w:sz w:val="21"/>
                <w:szCs w:val="21"/>
              </w:rPr>
            </w:pPr>
            <w:r>
              <w:rPr>
                <w:sz w:val="21"/>
                <w:szCs w:val="21"/>
              </w:rPr>
              <w:t>0.8</w:t>
            </w:r>
          </w:p>
        </w:tc>
        <w:tc>
          <w:tcPr>
            <w:tcW w:w="833" w:type="dxa"/>
            <w:vAlign w:val="center"/>
          </w:tcPr>
          <w:p>
            <w:pPr>
              <w:pStyle w:val="44"/>
              <w:rPr>
                <w:sz w:val="21"/>
                <w:szCs w:val="21"/>
              </w:rPr>
            </w:pPr>
            <w:r>
              <w:rPr>
                <w:sz w:val="21"/>
                <w:szCs w:val="21"/>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z w:val="21"/>
                <w:szCs w:val="21"/>
              </w:rPr>
            </w:pPr>
            <w:r>
              <w:rPr>
                <w:rFonts w:hint="eastAsia"/>
                <w:sz w:val="21"/>
                <w:szCs w:val="21"/>
              </w:rPr>
              <w:t>奶制品、复合调味料废包装物</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z w:val="21"/>
                <w:szCs w:val="21"/>
              </w:rPr>
            </w:pPr>
            <w:r>
              <w:rPr>
                <w:sz w:val="21"/>
                <w:szCs w:val="21"/>
              </w:rPr>
              <w:t>0.5</w:t>
            </w:r>
          </w:p>
        </w:tc>
        <w:tc>
          <w:tcPr>
            <w:tcW w:w="1776" w:type="dxa"/>
            <w:vAlign w:val="center"/>
          </w:tcPr>
          <w:p>
            <w:pPr>
              <w:pStyle w:val="44"/>
              <w:rPr>
                <w:snapToGrid w:val="0"/>
                <w:sz w:val="21"/>
                <w:szCs w:val="21"/>
              </w:rPr>
            </w:pPr>
          </w:p>
        </w:tc>
        <w:tc>
          <w:tcPr>
            <w:tcW w:w="1976" w:type="dxa"/>
            <w:vAlign w:val="center"/>
          </w:tcPr>
          <w:p>
            <w:pPr>
              <w:pStyle w:val="44"/>
              <w:rPr>
                <w:sz w:val="21"/>
                <w:szCs w:val="21"/>
              </w:rPr>
            </w:pPr>
            <w:r>
              <w:rPr>
                <w:sz w:val="21"/>
                <w:szCs w:val="21"/>
              </w:rPr>
              <w:t>0.5</w:t>
            </w:r>
          </w:p>
        </w:tc>
        <w:tc>
          <w:tcPr>
            <w:tcW w:w="833" w:type="dxa"/>
            <w:vAlign w:val="center"/>
          </w:tcPr>
          <w:p>
            <w:pPr>
              <w:pStyle w:val="44"/>
              <w:rPr>
                <w:sz w:val="21"/>
                <w:szCs w:val="21"/>
              </w:rPr>
            </w:pPr>
            <w:r>
              <w:rPr>
                <w:sz w:val="21"/>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z w:val="21"/>
                <w:szCs w:val="21"/>
              </w:rPr>
            </w:pPr>
            <w:r>
              <w:rPr>
                <w:rFonts w:hint="eastAsia"/>
                <w:sz w:val="21"/>
                <w:szCs w:val="21"/>
              </w:rPr>
              <w:t>香精原料废包装物（非沾染有毒类）</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z w:val="21"/>
                <w:szCs w:val="21"/>
              </w:rPr>
            </w:pPr>
            <w:r>
              <w:rPr>
                <w:rFonts w:hint="eastAsia"/>
                <w:sz w:val="21"/>
                <w:szCs w:val="21"/>
              </w:rPr>
              <w:t>0</w:t>
            </w:r>
            <w:r>
              <w:rPr>
                <w:sz w:val="21"/>
                <w:szCs w:val="21"/>
              </w:rPr>
              <w:t>.1</w:t>
            </w:r>
          </w:p>
        </w:tc>
        <w:tc>
          <w:tcPr>
            <w:tcW w:w="1776" w:type="dxa"/>
            <w:vAlign w:val="center"/>
          </w:tcPr>
          <w:p>
            <w:pPr>
              <w:pStyle w:val="44"/>
              <w:rPr>
                <w:snapToGrid w:val="0"/>
                <w:sz w:val="21"/>
                <w:szCs w:val="21"/>
              </w:rPr>
            </w:pPr>
          </w:p>
        </w:tc>
        <w:tc>
          <w:tcPr>
            <w:tcW w:w="1976" w:type="dxa"/>
            <w:vAlign w:val="center"/>
          </w:tcPr>
          <w:p>
            <w:pPr>
              <w:pStyle w:val="44"/>
              <w:rPr>
                <w:sz w:val="21"/>
                <w:szCs w:val="21"/>
              </w:rPr>
            </w:pPr>
            <w:r>
              <w:rPr>
                <w:rFonts w:hint="eastAsia"/>
                <w:sz w:val="21"/>
                <w:szCs w:val="21"/>
              </w:rPr>
              <w:t>0</w:t>
            </w:r>
            <w:r>
              <w:rPr>
                <w:sz w:val="21"/>
                <w:szCs w:val="21"/>
              </w:rPr>
              <w:t>.1</w:t>
            </w:r>
          </w:p>
        </w:tc>
        <w:tc>
          <w:tcPr>
            <w:tcW w:w="833" w:type="dxa"/>
            <w:vAlign w:val="center"/>
          </w:tcPr>
          <w:p>
            <w:pPr>
              <w:pStyle w:val="44"/>
              <w:rPr>
                <w:sz w:val="21"/>
                <w:szCs w:val="21"/>
              </w:rPr>
            </w:pPr>
            <w:r>
              <w:rPr>
                <w:sz w:val="21"/>
                <w:szCs w:val="21"/>
              </w:rPr>
              <w:t>+</w:t>
            </w:r>
            <w:r>
              <w:rPr>
                <w:rFonts w:hint="eastAsia"/>
                <w:sz w:val="21"/>
                <w:szCs w:val="21"/>
              </w:rPr>
              <w:t>0</w:t>
            </w:r>
            <w:r>
              <w:rPr>
                <w:sz w:val="21"/>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 w:type="dxa"/>
            <w:vMerge w:val="continue"/>
            <w:vAlign w:val="center"/>
          </w:tcPr>
          <w:p>
            <w:pPr>
              <w:pStyle w:val="44"/>
              <w:rPr>
                <w:snapToGrid w:val="0"/>
              </w:rPr>
            </w:pPr>
          </w:p>
        </w:tc>
        <w:tc>
          <w:tcPr>
            <w:tcW w:w="995" w:type="dxa"/>
            <w:vMerge w:val="restart"/>
            <w:vAlign w:val="center"/>
          </w:tcPr>
          <w:p>
            <w:pPr>
              <w:pStyle w:val="44"/>
              <w:rPr>
                <w:snapToGrid w:val="0"/>
              </w:rPr>
            </w:pPr>
            <w:r>
              <w:rPr>
                <w:rFonts w:hint="eastAsia"/>
                <w:snapToGrid w:val="0"/>
              </w:rPr>
              <w:t>危险废物</w:t>
            </w:r>
          </w:p>
        </w:tc>
        <w:tc>
          <w:tcPr>
            <w:tcW w:w="2216" w:type="dxa"/>
            <w:gridSpan w:val="2"/>
            <w:vAlign w:val="center"/>
          </w:tcPr>
          <w:p>
            <w:pPr>
              <w:pStyle w:val="44"/>
              <w:jc w:val="both"/>
              <w:rPr>
                <w:sz w:val="21"/>
                <w:szCs w:val="21"/>
              </w:rPr>
            </w:pPr>
            <w:r>
              <w:rPr>
                <w:rFonts w:hint="eastAsia"/>
                <w:kern w:val="0"/>
                <w:sz w:val="21"/>
                <w:szCs w:val="21"/>
              </w:rPr>
              <w:t>实验室废物</w:t>
            </w:r>
          </w:p>
        </w:tc>
        <w:tc>
          <w:tcPr>
            <w:tcW w:w="929" w:type="dxa"/>
            <w:vAlign w:val="center"/>
          </w:tcPr>
          <w:p>
            <w:pPr>
              <w:pStyle w:val="44"/>
              <w:rPr>
                <w:sz w:val="21"/>
                <w:szCs w:val="21"/>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z w:val="21"/>
                <w:szCs w:val="21"/>
              </w:rPr>
            </w:pPr>
            <w:r>
              <w:rPr>
                <w:rFonts w:hint="eastAsia"/>
                <w:kern w:val="0"/>
                <w:szCs w:val="21"/>
              </w:rPr>
              <w:t>0</w:t>
            </w:r>
            <w:r>
              <w:rPr>
                <w:kern w:val="0"/>
                <w:szCs w:val="21"/>
              </w:rPr>
              <w:t>.02</w:t>
            </w:r>
          </w:p>
        </w:tc>
        <w:tc>
          <w:tcPr>
            <w:tcW w:w="1776" w:type="dxa"/>
            <w:vAlign w:val="center"/>
          </w:tcPr>
          <w:p>
            <w:pPr>
              <w:pStyle w:val="44"/>
              <w:rPr>
                <w:snapToGrid w:val="0"/>
                <w:sz w:val="21"/>
                <w:szCs w:val="21"/>
              </w:rPr>
            </w:pPr>
          </w:p>
        </w:tc>
        <w:tc>
          <w:tcPr>
            <w:tcW w:w="1976" w:type="dxa"/>
            <w:vAlign w:val="center"/>
          </w:tcPr>
          <w:p>
            <w:pPr>
              <w:pStyle w:val="44"/>
              <w:rPr>
                <w:sz w:val="21"/>
                <w:szCs w:val="21"/>
              </w:rPr>
            </w:pPr>
            <w:r>
              <w:rPr>
                <w:rFonts w:hint="eastAsia"/>
                <w:kern w:val="0"/>
                <w:szCs w:val="21"/>
              </w:rPr>
              <w:t>0</w:t>
            </w:r>
            <w:r>
              <w:rPr>
                <w:kern w:val="0"/>
                <w:szCs w:val="21"/>
              </w:rPr>
              <w:t>.02</w:t>
            </w:r>
          </w:p>
        </w:tc>
        <w:tc>
          <w:tcPr>
            <w:tcW w:w="833" w:type="dxa"/>
            <w:vAlign w:val="center"/>
          </w:tcPr>
          <w:p>
            <w:pPr>
              <w:pStyle w:val="44"/>
              <w:rPr>
                <w:sz w:val="21"/>
                <w:szCs w:val="21"/>
              </w:rPr>
            </w:pPr>
            <w:r>
              <w:rPr>
                <w:kern w:val="0"/>
                <w:szCs w:val="21"/>
              </w:rPr>
              <w:t>+</w:t>
            </w:r>
            <w:r>
              <w:rPr>
                <w:rFonts w:hint="eastAsia"/>
                <w:kern w:val="0"/>
                <w:szCs w:val="21"/>
              </w:rPr>
              <w:t>0</w:t>
            </w:r>
            <w:r>
              <w:rPr>
                <w:kern w:val="0"/>
                <w:szCs w:val="21"/>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napToGrid w:val="0"/>
                <w:sz w:val="21"/>
                <w:szCs w:val="21"/>
              </w:rPr>
            </w:pPr>
            <w:r>
              <w:rPr>
                <w:rFonts w:hint="eastAsia"/>
                <w:kern w:val="0"/>
                <w:sz w:val="21"/>
                <w:szCs w:val="21"/>
              </w:rPr>
              <w:t>香精废包装物（沾染毒性、感染性危险废物）</w:t>
            </w:r>
          </w:p>
        </w:tc>
        <w:tc>
          <w:tcPr>
            <w:tcW w:w="929" w:type="dxa"/>
            <w:vAlign w:val="center"/>
          </w:tcPr>
          <w:p>
            <w:pPr>
              <w:pStyle w:val="44"/>
              <w:rPr>
                <w:sz w:val="21"/>
                <w:szCs w:val="21"/>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kern w:val="0"/>
                <w:szCs w:val="21"/>
              </w:rPr>
            </w:pPr>
            <w:r>
              <w:rPr>
                <w:rFonts w:hint="eastAsia"/>
                <w:kern w:val="0"/>
                <w:szCs w:val="21"/>
              </w:rPr>
              <w:t>0</w:t>
            </w:r>
            <w:r>
              <w:rPr>
                <w:kern w:val="0"/>
                <w:szCs w:val="21"/>
              </w:rPr>
              <w:t>.05</w:t>
            </w:r>
          </w:p>
        </w:tc>
        <w:tc>
          <w:tcPr>
            <w:tcW w:w="1776" w:type="dxa"/>
            <w:vAlign w:val="center"/>
          </w:tcPr>
          <w:p>
            <w:pPr>
              <w:pStyle w:val="44"/>
              <w:rPr>
                <w:snapToGrid w:val="0"/>
                <w:sz w:val="21"/>
                <w:szCs w:val="21"/>
              </w:rPr>
            </w:pPr>
          </w:p>
        </w:tc>
        <w:tc>
          <w:tcPr>
            <w:tcW w:w="1976" w:type="dxa"/>
            <w:vAlign w:val="center"/>
          </w:tcPr>
          <w:p>
            <w:pPr>
              <w:pStyle w:val="44"/>
              <w:rPr>
                <w:kern w:val="0"/>
                <w:szCs w:val="21"/>
              </w:rPr>
            </w:pPr>
            <w:r>
              <w:rPr>
                <w:rFonts w:hint="eastAsia"/>
                <w:kern w:val="0"/>
                <w:szCs w:val="21"/>
              </w:rPr>
              <w:t>0</w:t>
            </w:r>
            <w:r>
              <w:rPr>
                <w:kern w:val="0"/>
                <w:szCs w:val="21"/>
              </w:rPr>
              <w:t>.05</w:t>
            </w:r>
          </w:p>
        </w:tc>
        <w:tc>
          <w:tcPr>
            <w:tcW w:w="833" w:type="dxa"/>
            <w:vAlign w:val="center"/>
          </w:tcPr>
          <w:p>
            <w:pPr>
              <w:pStyle w:val="44"/>
              <w:rPr>
                <w:kern w:val="0"/>
                <w:szCs w:val="21"/>
              </w:rPr>
            </w:pPr>
            <w:r>
              <w:rPr>
                <w:kern w:val="0"/>
                <w:szCs w:val="21"/>
              </w:rPr>
              <w:t>+</w:t>
            </w:r>
            <w:r>
              <w:rPr>
                <w:rFonts w:hint="eastAsia"/>
                <w:kern w:val="0"/>
                <w:szCs w:val="21"/>
              </w:rPr>
              <w:t>0</w:t>
            </w:r>
            <w:r>
              <w:rPr>
                <w:kern w:val="0"/>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 w:type="dxa"/>
            <w:vMerge w:val="restart"/>
            <w:vAlign w:val="center"/>
          </w:tcPr>
          <w:p>
            <w:pPr>
              <w:pStyle w:val="44"/>
              <w:rPr>
                <w:snapToGrid w:val="0"/>
              </w:rPr>
            </w:pPr>
            <w:r>
              <w:rPr>
                <w:rFonts w:hint="eastAsia"/>
                <w:snapToGrid w:val="0"/>
              </w:rPr>
              <w:t>二期工程</w:t>
            </w:r>
          </w:p>
        </w:tc>
        <w:tc>
          <w:tcPr>
            <w:tcW w:w="995" w:type="dxa"/>
            <w:vMerge w:val="restart"/>
            <w:vAlign w:val="center"/>
          </w:tcPr>
          <w:p>
            <w:pPr>
              <w:pStyle w:val="44"/>
              <w:rPr>
                <w:snapToGrid w:val="0"/>
              </w:rPr>
            </w:pPr>
            <w:r>
              <w:rPr>
                <w:rFonts w:hint="eastAsia"/>
                <w:snapToGrid w:val="0"/>
              </w:rPr>
              <w:t>一般工业</w:t>
            </w:r>
          </w:p>
          <w:p>
            <w:pPr>
              <w:pStyle w:val="44"/>
              <w:rPr>
                <w:snapToGrid w:val="0"/>
              </w:rPr>
            </w:pPr>
            <w:r>
              <w:rPr>
                <w:rFonts w:hint="eastAsia"/>
                <w:snapToGrid w:val="0"/>
              </w:rPr>
              <w:t>固体废物</w:t>
            </w:r>
          </w:p>
        </w:tc>
        <w:tc>
          <w:tcPr>
            <w:tcW w:w="2216" w:type="dxa"/>
            <w:gridSpan w:val="2"/>
            <w:vAlign w:val="center"/>
          </w:tcPr>
          <w:p>
            <w:pPr>
              <w:pStyle w:val="44"/>
              <w:jc w:val="both"/>
              <w:rPr>
                <w:snapToGrid w:val="0"/>
                <w:sz w:val="21"/>
                <w:szCs w:val="21"/>
              </w:rPr>
            </w:pPr>
            <w:r>
              <w:rPr>
                <w:rFonts w:hint="eastAsia"/>
                <w:sz w:val="21"/>
                <w:szCs w:val="21"/>
              </w:rPr>
              <w:t>奶制品加工过程过滤奶渣</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napToGrid w:val="0"/>
                <w:sz w:val="21"/>
                <w:szCs w:val="21"/>
              </w:rPr>
            </w:pPr>
            <w:r>
              <w:rPr>
                <w:sz w:val="21"/>
                <w:szCs w:val="21"/>
              </w:rPr>
              <w:t>3.2</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sz w:val="21"/>
                <w:szCs w:val="21"/>
              </w:rPr>
              <w:t>3.2</w:t>
            </w:r>
          </w:p>
        </w:tc>
        <w:tc>
          <w:tcPr>
            <w:tcW w:w="833" w:type="dxa"/>
            <w:vAlign w:val="center"/>
          </w:tcPr>
          <w:p>
            <w:pPr>
              <w:pStyle w:val="44"/>
              <w:rPr>
                <w:snapToGrid w:val="0"/>
                <w:sz w:val="21"/>
                <w:szCs w:val="21"/>
              </w:rPr>
            </w:pPr>
            <w:r>
              <w:rPr>
                <w:sz w:val="21"/>
                <w:szCs w:val="21"/>
              </w:rPr>
              <w:t>+3.2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napToGrid w:val="0"/>
                <w:sz w:val="21"/>
                <w:szCs w:val="21"/>
              </w:rPr>
            </w:pPr>
            <w:r>
              <w:rPr>
                <w:rFonts w:hint="eastAsia"/>
                <w:sz w:val="21"/>
                <w:szCs w:val="21"/>
              </w:rPr>
              <w:t>复合调味品鸡蛋壳和过滤物</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napToGrid w:val="0"/>
                <w:sz w:val="21"/>
                <w:szCs w:val="21"/>
              </w:rPr>
            </w:pPr>
            <w:r>
              <w:rPr>
                <w:rFonts w:hint="eastAsia"/>
                <w:sz w:val="21"/>
                <w:szCs w:val="21"/>
              </w:rPr>
              <w:t>0</w:t>
            </w:r>
            <w:r>
              <w:rPr>
                <w:sz w:val="21"/>
                <w:szCs w:val="21"/>
              </w:rPr>
              <w:t>.01</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rFonts w:hint="eastAsia"/>
                <w:sz w:val="21"/>
                <w:szCs w:val="21"/>
              </w:rPr>
              <w:t>0</w:t>
            </w:r>
            <w:r>
              <w:rPr>
                <w:sz w:val="21"/>
                <w:szCs w:val="21"/>
              </w:rPr>
              <w:t>.01</w:t>
            </w:r>
          </w:p>
        </w:tc>
        <w:tc>
          <w:tcPr>
            <w:tcW w:w="833" w:type="dxa"/>
            <w:vAlign w:val="center"/>
          </w:tcPr>
          <w:p>
            <w:pPr>
              <w:pStyle w:val="44"/>
              <w:rPr>
                <w:snapToGrid w:val="0"/>
                <w:sz w:val="21"/>
                <w:szCs w:val="21"/>
              </w:rPr>
            </w:pPr>
            <w:r>
              <w:rPr>
                <w:sz w:val="21"/>
                <w:szCs w:val="21"/>
              </w:rPr>
              <w:t>+</w:t>
            </w:r>
            <w:r>
              <w:rPr>
                <w:rFonts w:hint="eastAsia"/>
                <w:sz w:val="21"/>
                <w:szCs w:val="21"/>
              </w:rPr>
              <w:t>0</w:t>
            </w:r>
            <w:r>
              <w:rPr>
                <w:sz w:val="21"/>
                <w:szCs w:val="21"/>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napToGrid w:val="0"/>
                <w:sz w:val="21"/>
                <w:szCs w:val="21"/>
              </w:rPr>
            </w:pPr>
            <w:r>
              <w:rPr>
                <w:rFonts w:hint="eastAsia"/>
                <w:sz w:val="21"/>
                <w:szCs w:val="21"/>
              </w:rPr>
              <w:t>污泥</w:t>
            </w:r>
          </w:p>
        </w:tc>
        <w:tc>
          <w:tcPr>
            <w:tcW w:w="929" w:type="dxa"/>
            <w:vAlign w:val="center"/>
          </w:tcPr>
          <w:p>
            <w:pPr>
              <w:pStyle w:val="44"/>
              <w:rPr>
                <w:snapToGrid w:val="0"/>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napToGrid w:val="0"/>
                <w:sz w:val="21"/>
                <w:szCs w:val="21"/>
              </w:rPr>
            </w:pPr>
            <w:r>
              <w:rPr>
                <w:rFonts w:hint="eastAsia"/>
                <w:sz w:val="21"/>
                <w:szCs w:val="21"/>
              </w:rPr>
              <w:t>0</w:t>
            </w:r>
            <w:r>
              <w:rPr>
                <w:sz w:val="21"/>
                <w:szCs w:val="21"/>
              </w:rPr>
              <w:t>.5</w:t>
            </w:r>
          </w:p>
        </w:tc>
        <w:tc>
          <w:tcPr>
            <w:tcW w:w="1776" w:type="dxa"/>
            <w:vAlign w:val="center"/>
          </w:tcPr>
          <w:p>
            <w:pPr>
              <w:pStyle w:val="44"/>
              <w:rPr>
                <w:snapToGrid w:val="0"/>
                <w:sz w:val="21"/>
                <w:szCs w:val="21"/>
              </w:rPr>
            </w:pPr>
          </w:p>
        </w:tc>
        <w:tc>
          <w:tcPr>
            <w:tcW w:w="1976" w:type="dxa"/>
            <w:vAlign w:val="center"/>
          </w:tcPr>
          <w:p>
            <w:pPr>
              <w:pStyle w:val="44"/>
              <w:rPr>
                <w:snapToGrid w:val="0"/>
                <w:sz w:val="21"/>
                <w:szCs w:val="21"/>
              </w:rPr>
            </w:pPr>
            <w:r>
              <w:rPr>
                <w:rFonts w:hint="eastAsia"/>
                <w:sz w:val="21"/>
                <w:szCs w:val="21"/>
              </w:rPr>
              <w:t>0</w:t>
            </w:r>
            <w:r>
              <w:rPr>
                <w:sz w:val="21"/>
                <w:szCs w:val="21"/>
              </w:rPr>
              <w:t>.5</w:t>
            </w:r>
          </w:p>
        </w:tc>
        <w:tc>
          <w:tcPr>
            <w:tcW w:w="833" w:type="dxa"/>
            <w:vAlign w:val="center"/>
          </w:tcPr>
          <w:p>
            <w:pPr>
              <w:pStyle w:val="44"/>
              <w:rPr>
                <w:snapToGrid w:val="0"/>
                <w:sz w:val="21"/>
                <w:szCs w:val="21"/>
              </w:rPr>
            </w:pPr>
            <w:r>
              <w:rPr>
                <w:sz w:val="21"/>
                <w:szCs w:val="21"/>
              </w:rPr>
              <w:t>+</w:t>
            </w:r>
            <w:r>
              <w:rPr>
                <w:rFonts w:hint="eastAsia"/>
                <w:sz w:val="21"/>
                <w:szCs w:val="21"/>
              </w:rPr>
              <w:t>0</w:t>
            </w:r>
            <w:r>
              <w:rPr>
                <w:sz w:val="21"/>
                <w:szCs w:val="21"/>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z w:val="21"/>
                <w:szCs w:val="21"/>
              </w:rPr>
            </w:pPr>
            <w:r>
              <w:rPr>
                <w:rFonts w:hint="eastAsia"/>
                <w:sz w:val="21"/>
                <w:szCs w:val="21"/>
              </w:rPr>
              <w:t>奶制品、复合调味料废样品、过期原料和不合格产品类</w:t>
            </w:r>
          </w:p>
        </w:tc>
        <w:tc>
          <w:tcPr>
            <w:tcW w:w="929" w:type="dxa"/>
            <w:vAlign w:val="center"/>
          </w:tcPr>
          <w:p>
            <w:pPr>
              <w:pStyle w:val="44"/>
              <w:rPr>
                <w:sz w:val="21"/>
                <w:szCs w:val="21"/>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z w:val="21"/>
                <w:szCs w:val="21"/>
              </w:rPr>
            </w:pPr>
            <w:r>
              <w:rPr>
                <w:rFonts w:hint="eastAsia"/>
                <w:sz w:val="21"/>
                <w:szCs w:val="21"/>
              </w:rPr>
              <w:t>0</w:t>
            </w:r>
            <w:r>
              <w:rPr>
                <w:sz w:val="21"/>
                <w:szCs w:val="21"/>
              </w:rPr>
              <w:t>.3</w:t>
            </w:r>
          </w:p>
        </w:tc>
        <w:tc>
          <w:tcPr>
            <w:tcW w:w="1776" w:type="dxa"/>
            <w:vAlign w:val="center"/>
          </w:tcPr>
          <w:p>
            <w:pPr>
              <w:pStyle w:val="44"/>
              <w:rPr>
                <w:snapToGrid w:val="0"/>
                <w:sz w:val="21"/>
                <w:szCs w:val="21"/>
              </w:rPr>
            </w:pPr>
          </w:p>
        </w:tc>
        <w:tc>
          <w:tcPr>
            <w:tcW w:w="1976" w:type="dxa"/>
            <w:vAlign w:val="center"/>
          </w:tcPr>
          <w:p>
            <w:pPr>
              <w:pStyle w:val="44"/>
              <w:rPr>
                <w:sz w:val="21"/>
                <w:szCs w:val="21"/>
              </w:rPr>
            </w:pPr>
            <w:r>
              <w:rPr>
                <w:rFonts w:hint="eastAsia"/>
                <w:sz w:val="21"/>
                <w:szCs w:val="21"/>
              </w:rPr>
              <w:t>0</w:t>
            </w:r>
            <w:r>
              <w:rPr>
                <w:sz w:val="21"/>
                <w:szCs w:val="21"/>
              </w:rPr>
              <w:t>.3</w:t>
            </w:r>
          </w:p>
        </w:tc>
        <w:tc>
          <w:tcPr>
            <w:tcW w:w="833" w:type="dxa"/>
            <w:vAlign w:val="center"/>
          </w:tcPr>
          <w:p>
            <w:pPr>
              <w:pStyle w:val="44"/>
              <w:rPr>
                <w:sz w:val="21"/>
                <w:szCs w:val="21"/>
              </w:rPr>
            </w:pPr>
            <w:r>
              <w:rPr>
                <w:sz w:val="21"/>
                <w:szCs w:val="21"/>
              </w:rPr>
              <w:t>+</w:t>
            </w:r>
            <w:r>
              <w:rPr>
                <w:rFonts w:hint="eastAsia"/>
                <w:sz w:val="21"/>
                <w:szCs w:val="21"/>
              </w:rPr>
              <w:t>0</w:t>
            </w:r>
            <w:r>
              <w:rPr>
                <w:sz w:val="21"/>
                <w:szCs w:val="21"/>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07" w:type="dxa"/>
            <w:vMerge w:val="continue"/>
            <w:vAlign w:val="center"/>
          </w:tcPr>
          <w:p>
            <w:pPr>
              <w:pStyle w:val="44"/>
              <w:rPr>
                <w:snapToGrid w:val="0"/>
              </w:rPr>
            </w:pPr>
          </w:p>
        </w:tc>
        <w:tc>
          <w:tcPr>
            <w:tcW w:w="995" w:type="dxa"/>
            <w:vMerge w:val="continue"/>
            <w:vAlign w:val="center"/>
          </w:tcPr>
          <w:p>
            <w:pPr>
              <w:pStyle w:val="44"/>
              <w:rPr>
                <w:snapToGrid w:val="0"/>
              </w:rPr>
            </w:pPr>
          </w:p>
        </w:tc>
        <w:tc>
          <w:tcPr>
            <w:tcW w:w="2216" w:type="dxa"/>
            <w:gridSpan w:val="2"/>
            <w:vAlign w:val="center"/>
          </w:tcPr>
          <w:p>
            <w:pPr>
              <w:pStyle w:val="44"/>
              <w:jc w:val="both"/>
              <w:rPr>
                <w:sz w:val="21"/>
                <w:szCs w:val="21"/>
              </w:rPr>
            </w:pPr>
            <w:r>
              <w:rPr>
                <w:rFonts w:hint="eastAsia"/>
                <w:sz w:val="21"/>
                <w:szCs w:val="21"/>
              </w:rPr>
              <w:t>奶制品、复合调味料废包装物</w:t>
            </w:r>
          </w:p>
        </w:tc>
        <w:tc>
          <w:tcPr>
            <w:tcW w:w="929" w:type="dxa"/>
            <w:vAlign w:val="center"/>
          </w:tcPr>
          <w:p>
            <w:pPr>
              <w:pStyle w:val="44"/>
              <w:rPr>
                <w:sz w:val="21"/>
                <w:szCs w:val="21"/>
              </w:rPr>
            </w:pPr>
          </w:p>
        </w:tc>
        <w:tc>
          <w:tcPr>
            <w:tcW w:w="1287" w:type="dxa"/>
            <w:vAlign w:val="center"/>
          </w:tcPr>
          <w:p>
            <w:pPr>
              <w:pStyle w:val="44"/>
              <w:rPr>
                <w:snapToGrid w:val="0"/>
              </w:rPr>
            </w:pPr>
          </w:p>
        </w:tc>
        <w:tc>
          <w:tcPr>
            <w:tcW w:w="1716" w:type="dxa"/>
            <w:vAlign w:val="center"/>
          </w:tcPr>
          <w:p>
            <w:pPr>
              <w:pStyle w:val="44"/>
              <w:rPr>
                <w:snapToGrid w:val="0"/>
                <w:sz w:val="21"/>
                <w:szCs w:val="21"/>
              </w:rPr>
            </w:pPr>
          </w:p>
        </w:tc>
        <w:tc>
          <w:tcPr>
            <w:tcW w:w="1572" w:type="dxa"/>
            <w:vAlign w:val="center"/>
          </w:tcPr>
          <w:p>
            <w:pPr>
              <w:pStyle w:val="44"/>
              <w:rPr>
                <w:sz w:val="21"/>
                <w:szCs w:val="21"/>
              </w:rPr>
            </w:pPr>
            <w:r>
              <w:rPr>
                <w:rFonts w:hint="eastAsia"/>
                <w:sz w:val="21"/>
                <w:szCs w:val="21"/>
              </w:rPr>
              <w:t>0</w:t>
            </w:r>
            <w:r>
              <w:rPr>
                <w:sz w:val="21"/>
                <w:szCs w:val="21"/>
              </w:rPr>
              <w:t>.3</w:t>
            </w:r>
          </w:p>
        </w:tc>
        <w:tc>
          <w:tcPr>
            <w:tcW w:w="1776" w:type="dxa"/>
            <w:vAlign w:val="center"/>
          </w:tcPr>
          <w:p>
            <w:pPr>
              <w:pStyle w:val="44"/>
              <w:rPr>
                <w:snapToGrid w:val="0"/>
                <w:sz w:val="21"/>
                <w:szCs w:val="21"/>
              </w:rPr>
            </w:pPr>
          </w:p>
        </w:tc>
        <w:tc>
          <w:tcPr>
            <w:tcW w:w="1976" w:type="dxa"/>
            <w:vAlign w:val="center"/>
          </w:tcPr>
          <w:p>
            <w:pPr>
              <w:pStyle w:val="44"/>
              <w:rPr>
                <w:sz w:val="21"/>
                <w:szCs w:val="21"/>
              </w:rPr>
            </w:pPr>
            <w:r>
              <w:rPr>
                <w:rFonts w:hint="eastAsia"/>
                <w:sz w:val="21"/>
                <w:szCs w:val="21"/>
              </w:rPr>
              <w:t>0</w:t>
            </w:r>
            <w:r>
              <w:rPr>
                <w:sz w:val="21"/>
                <w:szCs w:val="21"/>
              </w:rPr>
              <w:t>.3</w:t>
            </w:r>
          </w:p>
        </w:tc>
        <w:tc>
          <w:tcPr>
            <w:tcW w:w="833" w:type="dxa"/>
            <w:vAlign w:val="center"/>
          </w:tcPr>
          <w:p>
            <w:pPr>
              <w:pStyle w:val="44"/>
              <w:rPr>
                <w:sz w:val="21"/>
                <w:szCs w:val="21"/>
              </w:rPr>
            </w:pPr>
            <w:r>
              <w:rPr>
                <w:sz w:val="21"/>
                <w:szCs w:val="21"/>
              </w:rPr>
              <w:t>+</w:t>
            </w:r>
            <w:r>
              <w:rPr>
                <w:rFonts w:hint="eastAsia"/>
                <w:sz w:val="21"/>
                <w:szCs w:val="21"/>
              </w:rPr>
              <w:t>0</w:t>
            </w:r>
            <w:r>
              <w:rPr>
                <w:sz w:val="21"/>
                <w:szCs w:val="21"/>
              </w:rPr>
              <w:t>.3</w:t>
            </w:r>
          </w:p>
        </w:tc>
      </w:tr>
    </w:tbl>
    <w:p>
      <w:pPr>
        <w:pStyle w:val="27"/>
        <w:spacing w:before="192" w:beforeLines="80" w:after="24"/>
        <w:jc w:val="left"/>
        <w:rPr>
          <w:rFonts w:ascii="Times New Roman"/>
          <w:snapToGrid w:val="0"/>
          <w:spacing w:val="-6"/>
          <w:kern w:val="21"/>
          <w:szCs w:val="21"/>
        </w:rPr>
        <w:sectPr>
          <w:footerReference r:id="rId7" w:type="default"/>
          <w:pgSz w:w="16838" w:h="11906" w:orient="landscape"/>
          <w:pgMar w:top="1701" w:right="1531" w:bottom="1701" w:left="1531" w:header="851" w:footer="851" w:gutter="0"/>
          <w:cols w:space="720" w:num="1"/>
          <w:docGrid w:linePitch="312" w:charSpace="0"/>
        </w:sect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p>
    <w:p>
      <w:pPr>
        <w:pStyle w:val="3"/>
        <w:ind w:left="0" w:leftChars="0" w:firstLine="0"/>
        <w:jc w:val="center"/>
        <w:rPr>
          <w:sz w:val="36"/>
          <w:szCs w:val="24"/>
        </w:rPr>
      </w:pPr>
      <w:r>
        <w:drawing>
          <wp:anchor distT="0" distB="0" distL="114300" distR="114300" simplePos="0" relativeHeight="251664384" behindDoc="0" locked="0" layoutInCell="1" allowOverlap="1">
            <wp:simplePos x="0" y="0"/>
            <wp:positionH relativeFrom="column">
              <wp:posOffset>7424420</wp:posOffset>
            </wp:positionH>
            <wp:positionV relativeFrom="page">
              <wp:posOffset>989965</wp:posOffset>
            </wp:positionV>
            <wp:extent cx="1080770" cy="891540"/>
            <wp:effectExtent l="0" t="0" r="5080" b="3810"/>
            <wp:wrapNone/>
            <wp:docPr id="7733594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59426" name="图片 22"/>
                    <pic:cNvPicPr>
                      <a:picLocks noChangeAspect="1" noChangeArrowheads="1"/>
                    </pic:cNvPicPr>
                  </pic:nvPicPr>
                  <pic:blipFill>
                    <a:blip r:embed="rId31">
                      <a:extLst>
                        <a:ext uri="{28A0092B-C50C-407E-A947-70E740481C1C}">
                          <a14:useLocalDpi xmlns:a14="http://schemas.microsoft.com/office/drawing/2010/main" val="0"/>
                        </a:ext>
                      </a:extLst>
                    </a:blip>
                    <a:srcRect r="4744"/>
                    <a:stretch>
                      <a:fillRect/>
                    </a:stretch>
                  </pic:blipFill>
                  <pic:spPr>
                    <a:xfrm>
                      <a:off x="0" y="0"/>
                      <a:ext cx="1080770" cy="891540"/>
                    </a:xfrm>
                    <a:prstGeom prst="rect">
                      <a:avLst/>
                    </a:prstGeom>
                    <a:noFill/>
                    <a:ln>
                      <a:noFill/>
                    </a:ln>
                    <a:effectLst/>
                  </pic:spPr>
                </pic:pic>
              </a:graphicData>
            </a:graphic>
          </wp:anchor>
        </w:drawing>
      </w:r>
      <w:r>
        <w:drawing>
          <wp:inline distT="0" distB="0" distL="0" distR="0">
            <wp:extent cx="7896225" cy="5314950"/>
            <wp:effectExtent l="19050" t="19050" r="28575" b="19050"/>
            <wp:docPr id="57044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45859" name="图片 1"/>
                    <pic:cNvPicPr>
                      <a:picLocks noChangeAspect="1"/>
                    </pic:cNvPicPr>
                  </pic:nvPicPr>
                  <pic:blipFill>
                    <a:blip r:embed="rId32"/>
                    <a:stretch>
                      <a:fillRect/>
                    </a:stretch>
                  </pic:blipFill>
                  <pic:spPr>
                    <a:xfrm>
                      <a:off x="0" y="0"/>
                      <a:ext cx="7912607" cy="5325942"/>
                    </a:xfrm>
                    <a:prstGeom prst="rect">
                      <a:avLst/>
                    </a:prstGeom>
                    <a:ln>
                      <a:solidFill>
                        <a:schemeClr val="tx1"/>
                      </a:solidFill>
                    </a:ln>
                  </pic:spPr>
                </pic:pic>
              </a:graphicData>
            </a:graphic>
          </wp:inline>
        </w:drawing>
      </w:r>
    </w:p>
    <w:p>
      <w:pPr>
        <w:pStyle w:val="3"/>
        <w:jc w:val="center"/>
        <w:rPr>
          <w:b/>
          <w:bCs/>
          <w:sz w:val="28"/>
          <w:szCs w:val="28"/>
        </w:rPr>
      </w:pPr>
      <w:r>
        <w:rPr>
          <w:rFonts w:hint="eastAsia"/>
          <w:b/>
          <w:bCs/>
          <w:sz w:val="28"/>
          <w:szCs w:val="28"/>
        </w:rPr>
        <w:t>附图</w:t>
      </w:r>
      <w:r>
        <w:rPr>
          <w:b/>
          <w:bCs/>
          <w:sz w:val="28"/>
          <w:szCs w:val="28"/>
        </w:rPr>
        <w:t xml:space="preserve">1  </w:t>
      </w:r>
      <w:r>
        <w:rPr>
          <w:rFonts w:hint="eastAsia"/>
          <w:b/>
          <w:bCs/>
          <w:sz w:val="28"/>
          <w:szCs w:val="28"/>
        </w:rPr>
        <w:t>建设项目地理位置图</w:t>
      </w:r>
    </w:p>
    <w:p>
      <w:pPr>
        <w:jc w:val="center"/>
      </w:pPr>
      <w:r>
        <w:drawing>
          <wp:anchor distT="0" distB="0" distL="114300" distR="114300" simplePos="0" relativeHeight="251671552" behindDoc="0" locked="0" layoutInCell="1" allowOverlap="1">
            <wp:simplePos x="0" y="0"/>
            <wp:positionH relativeFrom="column">
              <wp:posOffset>7247890</wp:posOffset>
            </wp:positionH>
            <wp:positionV relativeFrom="page">
              <wp:posOffset>923925</wp:posOffset>
            </wp:positionV>
            <wp:extent cx="1080770" cy="891540"/>
            <wp:effectExtent l="0" t="0" r="5080" b="3810"/>
            <wp:wrapNone/>
            <wp:docPr id="1328106267" name="图片 1328106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06267" name="图片 1328106267"/>
                    <pic:cNvPicPr>
                      <a:picLocks noChangeAspect="1" noChangeArrowheads="1"/>
                    </pic:cNvPicPr>
                  </pic:nvPicPr>
                  <pic:blipFill>
                    <a:blip r:embed="rId31">
                      <a:extLst>
                        <a:ext uri="{28A0092B-C50C-407E-A947-70E740481C1C}">
                          <a14:useLocalDpi xmlns:a14="http://schemas.microsoft.com/office/drawing/2010/main" val="0"/>
                        </a:ext>
                      </a:extLst>
                    </a:blip>
                    <a:srcRect r="4744"/>
                    <a:stretch>
                      <a:fillRect/>
                    </a:stretch>
                  </pic:blipFill>
                  <pic:spPr>
                    <a:xfrm>
                      <a:off x="0" y="0"/>
                      <a:ext cx="1080770" cy="891540"/>
                    </a:xfrm>
                    <a:prstGeom prst="rect">
                      <a:avLst/>
                    </a:prstGeom>
                    <a:noFill/>
                    <a:ln>
                      <a:noFill/>
                    </a:ln>
                    <a:effectLst/>
                  </pic:spPr>
                </pic:pic>
              </a:graphicData>
            </a:graphic>
          </wp:anchor>
        </w:drawing>
      </w:r>
      <w:r>
        <w:drawing>
          <wp:inline distT="0" distB="0" distL="0" distR="0">
            <wp:extent cx="7410450" cy="5379720"/>
            <wp:effectExtent l="19050" t="19050" r="19050" b="11430"/>
            <wp:docPr id="920162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62389" name="图片 1"/>
                    <pic:cNvPicPr>
                      <a:picLocks noChangeAspect="1"/>
                    </pic:cNvPicPr>
                  </pic:nvPicPr>
                  <pic:blipFill>
                    <a:blip r:embed="rId33"/>
                    <a:stretch>
                      <a:fillRect/>
                    </a:stretch>
                  </pic:blipFill>
                  <pic:spPr>
                    <a:xfrm>
                      <a:off x="0" y="0"/>
                      <a:ext cx="7416634" cy="5384524"/>
                    </a:xfrm>
                    <a:prstGeom prst="rect">
                      <a:avLst/>
                    </a:prstGeom>
                    <a:ln>
                      <a:solidFill>
                        <a:schemeClr val="tx1"/>
                      </a:solidFill>
                    </a:ln>
                  </pic:spPr>
                </pic:pic>
              </a:graphicData>
            </a:graphic>
          </wp:inline>
        </w:drawing>
      </w:r>
    </w:p>
    <w:p>
      <w:pPr>
        <w:pStyle w:val="3"/>
        <w:jc w:val="center"/>
        <w:rPr>
          <w:b/>
          <w:bCs/>
          <w:sz w:val="28"/>
          <w:szCs w:val="28"/>
        </w:rPr>
      </w:pPr>
      <w:r>
        <w:rPr>
          <w:rFonts w:hint="eastAsia"/>
          <w:b/>
          <w:bCs/>
          <w:sz w:val="28"/>
          <w:szCs w:val="28"/>
        </w:rPr>
        <w:t>附图</w:t>
      </w:r>
      <w:r>
        <w:rPr>
          <w:b/>
          <w:bCs/>
          <w:sz w:val="28"/>
          <w:szCs w:val="28"/>
        </w:rPr>
        <w:t xml:space="preserve">2  </w:t>
      </w:r>
      <w:r>
        <w:rPr>
          <w:rFonts w:hint="eastAsia"/>
          <w:b/>
          <w:bCs/>
          <w:sz w:val="28"/>
          <w:szCs w:val="28"/>
        </w:rPr>
        <w:t>建设项目周边关系及敏感目标图</w:t>
      </w:r>
    </w:p>
    <w:p>
      <w:pPr>
        <w:pStyle w:val="2"/>
      </w:pPr>
    </w:p>
    <w:p>
      <w:pPr>
        <w:pStyle w:val="2"/>
        <w:jc w:val="center"/>
      </w:pPr>
      <w:r>
        <mc:AlternateContent>
          <mc:Choice Requires="wps">
            <w:drawing>
              <wp:anchor distT="0" distB="0" distL="114300" distR="114300" simplePos="0" relativeHeight="251670528" behindDoc="0" locked="0" layoutInCell="1" allowOverlap="1">
                <wp:simplePos x="0" y="0"/>
                <wp:positionH relativeFrom="column">
                  <wp:posOffset>4711065</wp:posOffset>
                </wp:positionH>
                <wp:positionV relativeFrom="paragraph">
                  <wp:posOffset>1793875</wp:posOffset>
                </wp:positionV>
                <wp:extent cx="641985" cy="354330"/>
                <wp:effectExtent l="0" t="0" r="0" b="0"/>
                <wp:wrapNone/>
                <wp:docPr id="882635122" name="矩形 6"/>
                <wp:cNvGraphicFramePr/>
                <a:graphic xmlns:a="http://schemas.openxmlformats.org/drawingml/2006/main">
                  <a:graphicData uri="http://schemas.microsoft.com/office/word/2010/wordprocessingShape">
                    <wps:wsp>
                      <wps:cNvSpPr/>
                      <wps:spPr>
                        <a:xfrm>
                          <a:off x="0" y="0"/>
                          <a:ext cx="641985" cy="3543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A001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70.95pt;margin-top:141.25pt;height:27.9pt;width:50.55pt;z-index:251670528;v-text-anchor:middle;mso-width-relative:page;mso-height-relative:page;" filled="f" stroked="f" coordsize="21600,21600" o:gfxdata="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Dmt02gAAAAsBAAAPAAAAAAAAAAEAIAAAACIAAABkcnMvZG93bnJldi54bWxQSwECFAAUAAAACACH&#10;TuJAfM1WbVsCAACdBAAADgAAAAAAAAABACAAAAApAQAAZHJzL2Uyb0RvYy54bWxQSwUGAAAAAAYA&#10;BgBZAQAA9gUAAAAA&#10;">
                <v:fill on="f" focussize="0,0"/>
                <v:stroke on="f" weight="2pt"/>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A001</w:t>
                      </w:r>
                    </w:p>
                  </w:txbxContent>
                </v:textbox>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4528820</wp:posOffset>
                </wp:positionH>
                <wp:positionV relativeFrom="paragraph">
                  <wp:posOffset>1791970</wp:posOffset>
                </wp:positionV>
                <wp:extent cx="247015" cy="403225"/>
                <wp:effectExtent l="76200" t="57150" r="76835" b="54610"/>
                <wp:wrapNone/>
                <wp:docPr id="230834966" name="矩形 6"/>
                <wp:cNvGraphicFramePr/>
                <a:graphic xmlns:a="http://schemas.openxmlformats.org/drawingml/2006/main">
                  <a:graphicData uri="http://schemas.microsoft.com/office/word/2010/wordprocessingShape">
                    <wps:wsp>
                      <wps:cNvSpPr/>
                      <wps:spPr>
                        <a:xfrm rot="20432287">
                          <a:off x="0" y="0"/>
                          <a:ext cx="247015" cy="40304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6.6pt;margin-top:141.1pt;height:31.75pt;width:19.45pt;rotation:-1275454f;z-index:251677696;v-text-anchor:middle;mso-width-relative:page;mso-height-relative:page;" filled="f" stroked="t" coordsize="21600,21600" o:gfxdata="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PzJ2NsAAAALAQAADwAAAAAAAAABACAAAAAiAAAAZHJzL2Rvd25y&#10;ZXYueG1sUEsBAhQAFAAAAAgAh07iQBTtn7ltAgAAygQAAA4AAAAAAAAAAQAgAAAAKgEAAGRycy9l&#10;Mm9Eb2MueG1sUEsFBgAAAAAGAAYAWQEAAAkGAAAAAA==&#10;">
                <v:fill on="f" focussize="0,0"/>
                <v:stroke weight="2pt" color="#000000 [3213]" joinstyle="round"/>
                <v:imagedata o:title=""/>
                <o:lock v:ext="edit" aspectratio="f"/>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4334510</wp:posOffset>
                </wp:positionH>
                <wp:positionV relativeFrom="paragraph">
                  <wp:posOffset>1492885</wp:posOffset>
                </wp:positionV>
                <wp:extent cx="619760" cy="259715"/>
                <wp:effectExtent l="0" t="0" r="0" b="6985"/>
                <wp:wrapNone/>
                <wp:docPr id="6270863" name="文本框 2"/>
                <wp:cNvGraphicFramePr/>
                <a:graphic xmlns:a="http://schemas.openxmlformats.org/drawingml/2006/main">
                  <a:graphicData uri="http://schemas.microsoft.com/office/word/2010/wordprocessingShape">
                    <wps:wsp>
                      <wps:cNvSpPr txBox="1"/>
                      <wps:spPr>
                        <a:xfrm>
                          <a:off x="0" y="0"/>
                          <a:ext cx="619760" cy="259715"/>
                        </a:xfrm>
                        <a:prstGeom prst="rect">
                          <a:avLst/>
                        </a:prstGeom>
                        <a:noFill/>
                        <a:ln w="6350">
                          <a:noFill/>
                        </a:ln>
                      </wps:spPr>
                      <wps:txbx>
                        <w:txbxContent>
                          <w:p>
                            <w:r>
                              <w:rPr>
                                <w:rFonts w:hint="eastAsia"/>
                              </w:rPr>
                              <w:t>危废间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41.3pt;margin-top:117.55pt;height:20.45pt;width:48.8pt;z-index:251667456;mso-width-relative:page;mso-height-relative:page;" filled="f" stroked="f" coordsize="21600,21600" o:gfxdata="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zYp09sAAAALAQAADwAAAAAAAAABACAAAAAi&#10;AAAAZHJzL2Rvd25yZXYueG1sUEsBAhQAFAAAAAgAh07iQM8BdtdAAgAAawQAAA4AAAAAAAAAAQAg&#10;AAAAKgEAAGRycy9lMm9Eb2MueG1sUEsFBgAAAAAGAAYAWQEAANwFAAAAAA==&#10;">
                <v:fill on="f" focussize="0,0"/>
                <v:stroke on="f" weight="0.5pt"/>
                <v:imagedata o:title=""/>
                <o:lock v:ext="edit" aspectratio="f"/>
                <v:textbox>
                  <w:txbxContent>
                    <w:p>
                      <w:r>
                        <w:rPr>
                          <w:rFonts w:hint="eastAsia"/>
                        </w:rPr>
                        <w:t>危废间</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2480945</wp:posOffset>
                </wp:positionH>
                <wp:positionV relativeFrom="paragraph">
                  <wp:posOffset>2018030</wp:posOffset>
                </wp:positionV>
                <wp:extent cx="1196975" cy="429895"/>
                <wp:effectExtent l="0" t="0" r="0" b="0"/>
                <wp:wrapNone/>
                <wp:docPr id="1680938786" name="矩形 3"/>
                <wp:cNvGraphicFramePr/>
                <a:graphic xmlns:a="http://schemas.openxmlformats.org/drawingml/2006/main">
                  <a:graphicData uri="http://schemas.microsoft.com/office/word/2010/wordprocessingShape">
                    <wps:wsp>
                      <wps:cNvSpPr/>
                      <wps:spPr>
                        <a:xfrm>
                          <a:off x="0" y="0"/>
                          <a:ext cx="1196975" cy="4298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污水处理站（D</w:t>
                            </w:r>
                            <w:r>
                              <w:rPr>
                                <w:color w:val="000000" w:themeColor="text1"/>
                                <w14:textFill>
                                  <w14:solidFill>
                                    <w14:schemeClr w14:val="tx1"/>
                                  </w14:solidFill>
                                </w14:textFill>
                              </w:rPr>
                              <w:t>W001</w:t>
                            </w:r>
                            <w:r>
                              <w:rPr>
                                <w:rFonts w:hint="eastAsia"/>
                                <w:color w:val="000000" w:themeColor="text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195.35pt;margin-top:158.9pt;height:33.85pt;width:94.25pt;z-index:251668480;v-text-anchor:middle;mso-width-relative:page;mso-height-relative:page;" filled="f" stroked="f" coordsize="21600,21600" o:gfxdata="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2&#10;Ahcn2gAAAAsBAAAPAAAAAAAAAAEAIAAAACIAAABkcnMvZG93bnJldi54bWxQSwECFAAUAAAACACH&#10;TuJA/dFaPVsCAACfBAAADgAAAAAAAAABACAAAAApAQAAZHJzL2Uyb0RvYy54bWxQSwUGAAAAAAYA&#10;BgBZAQAA9gUAAAAA&#10;">
                <v:fill on="f" focussize="0,0"/>
                <v:stroke on="f" weight="2pt"/>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污水处理站（D</w:t>
                      </w:r>
                      <w:r>
                        <w:rPr>
                          <w:color w:val="000000" w:themeColor="text1"/>
                          <w14:textFill>
                            <w14:solidFill>
                              <w14:schemeClr w14:val="tx1"/>
                            </w14:solidFill>
                          </w14:textFill>
                        </w:rPr>
                        <w:t>W001</w:t>
                      </w:r>
                      <w:r>
                        <w:rPr>
                          <w:rFonts w:hint="eastAsia"/>
                          <w:color w:val="000000" w:themeColor="text1"/>
                          <w14:textFill>
                            <w14:solidFill>
                              <w14:schemeClr w14:val="tx1"/>
                            </w14:solidFill>
                          </w14:textFill>
                        </w:rPr>
                        <w:t>）</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2653030</wp:posOffset>
                </wp:positionH>
                <wp:positionV relativeFrom="paragraph">
                  <wp:posOffset>2111375</wp:posOffset>
                </wp:positionV>
                <wp:extent cx="2230120" cy="314960"/>
                <wp:effectExtent l="0" t="76200" r="0" b="27940"/>
                <wp:wrapNone/>
                <wp:docPr id="1774676696" name="连接符: 肘形 4"/>
                <wp:cNvGraphicFramePr/>
                <a:graphic xmlns:a="http://schemas.openxmlformats.org/drawingml/2006/main">
                  <a:graphicData uri="http://schemas.microsoft.com/office/word/2010/wordprocessingShape">
                    <wps:wsp>
                      <wps:cNvCnPr/>
                      <wps:spPr>
                        <a:xfrm flipV="1">
                          <a:off x="0" y="0"/>
                          <a:ext cx="2230120" cy="3149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4" o:spid="_x0000_s1026" o:spt="34" type="#_x0000_t34" style="position:absolute;left:0pt;flip:y;margin-left:208.9pt;margin-top:166.25pt;height:24.8pt;width:175.6pt;z-index:251669504;mso-width-relative:page;mso-height-relative:page;" filled="f" stroked="t" coordsize="21600,21600" o:gfxdata="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6HQ/dkAAAALAQAADwAAAAAAAAABACAAAAAiAAAAZHJzL2Rvd25yZXYueG1sUEsBAhQAFAAAAAgA&#10;h07iQAa1lzEkAgAAEwQAAA4AAAAAAAAAAQAgAAAAKAEAAGRycy9lMm9Eb2MueG1sUEsFBgAAAAAG&#10;AAYAWQEAAL4FAAAAAA==&#10;" adj="10800">
                <v:fill on="f" focussize="0,0"/>
                <v:stroke color="#000000 [3200]" joinstyle="round" endarrow="block"/>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5006340</wp:posOffset>
                </wp:positionH>
                <wp:positionV relativeFrom="paragraph">
                  <wp:posOffset>1589405</wp:posOffset>
                </wp:positionV>
                <wp:extent cx="504825" cy="390525"/>
                <wp:effectExtent l="76200" t="95250" r="67310" b="85725"/>
                <wp:wrapNone/>
                <wp:docPr id="1508593786" name="矩形 6"/>
                <wp:cNvGraphicFramePr/>
                <a:graphic xmlns:a="http://schemas.openxmlformats.org/drawingml/2006/main">
                  <a:graphicData uri="http://schemas.microsoft.com/office/word/2010/wordprocessingShape">
                    <wps:wsp>
                      <wps:cNvSpPr/>
                      <wps:spPr>
                        <a:xfrm rot="20432287">
                          <a:off x="0" y="0"/>
                          <a:ext cx="504810" cy="390593"/>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94.2pt;margin-top:125.15pt;height:30.75pt;width:39.75pt;rotation:-1275454f;z-index:251678720;v-text-anchor:middle;mso-width-relative:page;mso-height-relative:page;" filled="f" stroked="t" coordsize="21600,21600" o:gfxdata="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Jik5D2gAAAAsBAAAPAAAAAAAAAAEAIAAAACIAAABkcnMvZG93&#10;bnJldi54bWxQSwECFAAUAAAACACHTuJAbzoRuHACAADLBAAADgAAAAAAAAABACAAAAApAQAAZHJz&#10;L2Uyb0RvYy54bWxQSwUGAAAAAAYABgBZAQAACwYAAAAA&#10;">
                <v:fill on="f" focussize="0,0"/>
                <v:stroke weight="2pt" color="#00B050 [3204]" joinstyle="round"/>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5819775</wp:posOffset>
                </wp:positionH>
                <wp:positionV relativeFrom="paragraph">
                  <wp:posOffset>1294765</wp:posOffset>
                </wp:positionV>
                <wp:extent cx="774065" cy="274320"/>
                <wp:effectExtent l="0" t="0" r="0" b="0"/>
                <wp:wrapNone/>
                <wp:docPr id="321428224" name="文本框 65"/>
                <wp:cNvGraphicFramePr/>
                <a:graphic xmlns:a="http://schemas.openxmlformats.org/drawingml/2006/main">
                  <a:graphicData uri="http://schemas.microsoft.com/office/word/2010/wordprocessingShape">
                    <wps:wsp>
                      <wps:cNvSpPr txBox="1"/>
                      <wps:spPr>
                        <a:xfrm>
                          <a:off x="0" y="0"/>
                          <a:ext cx="774065" cy="274320"/>
                        </a:xfrm>
                        <a:prstGeom prst="rect">
                          <a:avLst/>
                        </a:prstGeom>
                        <a:noFill/>
                        <a:ln w="6350">
                          <a:noFill/>
                        </a:ln>
                      </wps:spPr>
                      <wps:txbx>
                        <w:txbxContent>
                          <w:p>
                            <w:pPr>
                              <w:rPr>
                                <w:b/>
                                <w:bCs/>
                              </w:rPr>
                            </w:pPr>
                            <w:r>
                              <w:rPr>
                                <w:rFonts w:hint="eastAsia"/>
                                <w:b/>
                                <w:bCs/>
                              </w:rPr>
                              <w:t>二期工程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458.25pt;margin-top:101.95pt;height:21.6pt;width:60.95pt;z-index:251663360;mso-width-relative:page;mso-height-relative:page;" filled="f" stroked="f" coordsize="21600,21600" o:gfxdata="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pADxTcAAAADAEAAA8AAAAAAAAAAQAg&#10;AAAAIgAAAGRycy9kb3ducmV2LnhtbFBLAQIUABQAAAAIAIdO4kCfmCTzQwIAAG4EAAAOAAAAAAAA&#10;AAEAIAAAACsBAABkcnMvZTJvRG9jLnhtbFBLBQYAAAAABgAGAFkBAADgBQAAAAA=&#10;">
                <v:fill on="f" focussize="0,0"/>
                <v:stroke on="f" weight="0.5pt"/>
                <v:imagedata o:title=""/>
                <o:lock v:ext="edit" aspectratio="f"/>
                <v:textbox>
                  <w:txbxContent>
                    <w:p>
                      <w:pPr>
                        <w:rPr>
                          <w:b/>
                          <w:bCs/>
                        </w:rPr>
                      </w:pPr>
                      <w:r>
                        <w:rPr>
                          <w:rFonts w:hint="eastAsia"/>
                          <w:b/>
                          <w:bCs/>
                        </w:rPr>
                        <w:t>二期工程</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5352415</wp:posOffset>
                </wp:positionH>
                <wp:positionV relativeFrom="paragraph">
                  <wp:posOffset>1517015</wp:posOffset>
                </wp:positionV>
                <wp:extent cx="1181735" cy="274320"/>
                <wp:effectExtent l="38100" t="0" r="18415" b="87630"/>
                <wp:wrapNone/>
                <wp:docPr id="518842059" name="连接符: 肘形 8"/>
                <wp:cNvGraphicFramePr/>
                <a:graphic xmlns:a="http://schemas.openxmlformats.org/drawingml/2006/main">
                  <a:graphicData uri="http://schemas.microsoft.com/office/word/2010/wordprocessingShape">
                    <wps:wsp>
                      <wps:cNvCnPr/>
                      <wps:spPr>
                        <a:xfrm flipH="1">
                          <a:off x="0" y="0"/>
                          <a:ext cx="1181735" cy="2743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8" o:spid="_x0000_s1026" o:spt="34" type="#_x0000_t34" style="position:absolute;left:0pt;flip:x;margin-left:421.45pt;margin-top:119.45pt;height:21.6pt;width:93.05pt;z-index:251680768;mso-width-relative:page;mso-height-relative:page;" filled="f" stroked="t" coordsize="21600,21600" o:gfxdata="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X&#10;7/DO2AAAAAwBAAAPAAAAAAAAAAEAIAAAACIAAABkcnMvZG93bnJldi54bWxQSwECFAAUAAAACACH&#10;TuJA1QkFcSQCAAASBAAADgAAAAAAAAABACAAAAAnAQAAZHJzL2Uyb0RvYy54bWxQSwUGAAAAAAYA&#10;BgBZAQAAvQUAAAAA&#10;" adj="10800">
                <v:fill on="f" focussize="0,0"/>
                <v:stroke color="#000000 [3200]" joinstyle="round"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2989580</wp:posOffset>
                </wp:positionH>
                <wp:positionV relativeFrom="paragraph">
                  <wp:posOffset>1804035</wp:posOffset>
                </wp:positionV>
                <wp:extent cx="774065" cy="274320"/>
                <wp:effectExtent l="0" t="0" r="0" b="0"/>
                <wp:wrapNone/>
                <wp:docPr id="1950778031" name="文本框 65"/>
                <wp:cNvGraphicFramePr/>
                <a:graphic xmlns:a="http://schemas.openxmlformats.org/drawingml/2006/main">
                  <a:graphicData uri="http://schemas.microsoft.com/office/word/2010/wordprocessingShape">
                    <wps:wsp>
                      <wps:cNvSpPr txBox="1"/>
                      <wps:spPr>
                        <a:xfrm>
                          <a:off x="0" y="0"/>
                          <a:ext cx="774065" cy="274320"/>
                        </a:xfrm>
                        <a:prstGeom prst="rect">
                          <a:avLst/>
                        </a:prstGeom>
                        <a:noFill/>
                        <a:ln w="6350">
                          <a:noFill/>
                        </a:ln>
                      </wps:spPr>
                      <wps:txbx>
                        <w:txbxContent>
                          <w:p>
                            <w:pPr>
                              <w:rPr>
                                <w:b/>
                                <w:bCs/>
                              </w:rPr>
                            </w:pPr>
                            <w:r>
                              <w:rPr>
                                <w:rFonts w:hint="eastAsia"/>
                                <w:b/>
                                <w:bCs/>
                              </w:rPr>
                              <w:t>一期工程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235.4pt;margin-top:142.05pt;height:21.6pt;width:60.95pt;z-index:251662336;mso-width-relative:page;mso-height-relative:page;" filled="f" stroked="f" coordsize="21600,21600" o:gfxdata="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XCrKt0AAAALAQAADwAAAAAAAAABACAA&#10;AAAiAAAAZHJzL2Rvd25yZXYueG1sUEsBAhQAFAAAAAgAh07iQBUTZrRBAgAAbwQAAA4AAAAAAAAA&#10;AQAgAAAALAEAAGRycy9lMm9Eb2MueG1sUEsFBgAAAAAGAAYAWQEAAN8FAAAAAA==&#10;">
                <v:fill on="f" focussize="0,0"/>
                <v:stroke on="f" weight="0.5pt"/>
                <v:imagedata o:title=""/>
                <o:lock v:ext="edit" aspectratio="f"/>
                <v:textbox>
                  <w:txbxContent>
                    <w:p>
                      <w:pPr>
                        <w:rPr>
                          <w:b/>
                          <w:bCs/>
                        </w:rPr>
                      </w:pPr>
                      <w:r>
                        <w:rPr>
                          <w:rFonts w:hint="eastAsia"/>
                          <w:b/>
                          <w:bCs/>
                        </w:rPr>
                        <w:t>一期工程</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3023870</wp:posOffset>
                </wp:positionH>
                <wp:positionV relativeFrom="paragraph">
                  <wp:posOffset>1930400</wp:posOffset>
                </wp:positionV>
                <wp:extent cx="1635760" cy="92075"/>
                <wp:effectExtent l="0" t="76200" r="2540" b="22225"/>
                <wp:wrapNone/>
                <wp:docPr id="662890335" name="连接符: 肘形 7"/>
                <wp:cNvGraphicFramePr/>
                <a:graphic xmlns:a="http://schemas.openxmlformats.org/drawingml/2006/main">
                  <a:graphicData uri="http://schemas.microsoft.com/office/word/2010/wordprocessingShape">
                    <wps:wsp>
                      <wps:cNvCnPr/>
                      <wps:spPr>
                        <a:xfrm flipV="1">
                          <a:off x="0" y="0"/>
                          <a:ext cx="1635760" cy="92125"/>
                        </a:xfrm>
                        <a:prstGeom prst="bentConnector3">
                          <a:avLst>
                            <a:gd name="adj1" fmla="val 5031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连接符: 肘形 7" o:spid="_x0000_s1026" o:spt="34" type="#_x0000_t34" style="position:absolute;left:0pt;flip:y;margin-left:238.1pt;margin-top:152pt;height:7.25pt;width:128.8pt;z-index:251679744;mso-width-relative:page;mso-height-relative:page;" filled="f" stroked="t" coordsize="21600,21600" o:gfxdata="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G9ZDtcAAAALAQAADwAAAAAAAAABACAAAAAiAAAAZHJzL2Rvd25y&#10;ZXYueG1sUEsBAhQAFAAAAAgAh07iQHZM5DQ4AgAAPgQAAA4AAAAAAAAAAQAgAAAAJgEAAGRycy9l&#10;Mm9Eb2MueG1sUEsFBgAAAAAGAAYAWQEAANAFAAAAAA==&#10;" adj="10867">
                <v:fill on="f" focussize="0,0"/>
                <v:stroke color="#000000 [3200]" joinstyle="round" endarrow="block"/>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4772660</wp:posOffset>
                </wp:positionH>
                <wp:positionV relativeFrom="paragraph">
                  <wp:posOffset>1947545</wp:posOffset>
                </wp:positionV>
                <wp:extent cx="65405" cy="70485"/>
                <wp:effectExtent l="0" t="0" r="11430" b="24765"/>
                <wp:wrapNone/>
                <wp:docPr id="1583134670" name="椭圆 5"/>
                <wp:cNvGraphicFramePr/>
                <a:graphic xmlns:a="http://schemas.openxmlformats.org/drawingml/2006/main">
                  <a:graphicData uri="http://schemas.microsoft.com/office/word/2010/wordprocessingShape">
                    <wps:wsp>
                      <wps:cNvSpPr/>
                      <wps:spPr>
                        <a:xfrm>
                          <a:off x="0" y="0"/>
                          <a:ext cx="65405" cy="7048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5" o:spid="_x0000_s1026" o:spt="3" type="#_x0000_t3" style="position:absolute;left:0pt;margin-left:375.8pt;margin-top:153.35pt;height:5.55pt;width:5.15pt;z-index:251670528;v-text-anchor:middle;mso-width-relative:page;mso-height-relative:page;" filled="f" stroked="t" coordsize="21600,21600" o:gfxdata="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QLNCnaAAAACwEAAA8AAAAAAAAAAQAgAAAAIgAAAGRycy9kb3ducmV2LnhtbFBLAQIU&#10;ABQAAAAIAIdO4kB5w+BTYwIAAL0EAAAOAAAAAAAAAAEAIAAAACkBAABkcnMvZTJvRG9jLnhtbFBL&#10;BQYAAAAABgAGAFkBAAD+BQAAAAA=&#10;">
                <v:fill on="f" focussize="0,0"/>
                <v:stroke weight="2pt" color="#000000 [3213]" joinstyle="round"/>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4752975</wp:posOffset>
                </wp:positionH>
                <wp:positionV relativeFrom="paragraph">
                  <wp:posOffset>1878965</wp:posOffset>
                </wp:positionV>
                <wp:extent cx="69850" cy="59690"/>
                <wp:effectExtent l="38100" t="38100" r="25400" b="35560"/>
                <wp:wrapNone/>
                <wp:docPr id="1463509637" name="矩形 4"/>
                <wp:cNvGraphicFramePr/>
                <a:graphic xmlns:a="http://schemas.openxmlformats.org/drawingml/2006/main">
                  <a:graphicData uri="http://schemas.microsoft.com/office/word/2010/wordprocessingShape">
                    <wps:wsp>
                      <wps:cNvSpPr/>
                      <wps:spPr>
                        <a:xfrm rot="20522421">
                          <a:off x="0" y="0"/>
                          <a:ext cx="69888" cy="5991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74.25pt;margin-top:147.95pt;height:4.7pt;width:5.5pt;rotation:-1177004f;z-index:251674624;v-text-anchor:middle;mso-width-relative:page;mso-height-relative:page;" filled="f" stroked="t" coordsize="21600,21600" o:gfxdata="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fNULD1wAAAAsBAAAPAAAAAAAAAAEAIAAAACIA&#10;AABkcnMvZG93bnJldi54bWxQSwECFAAUAAAACACHTuJASLFY8nwCAADqBAAADgAAAAAAAAABACAA&#10;AAAmAQAAZHJzL2Uyb0RvYy54bWxQSwUGAAAAAAYABgBZAQAAFAYAAAAA&#10;">
                <v:fill on="f" focussize="0,0"/>
                <v:stroke weight="2pt" color="#1C334E [3204]" joinstyle="round"/>
                <v:imagedata o:title=""/>
                <o:lock v:ext="edit" aspectratio="f"/>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4477385</wp:posOffset>
                </wp:positionH>
                <wp:positionV relativeFrom="paragraph">
                  <wp:posOffset>1649095</wp:posOffset>
                </wp:positionV>
                <wp:extent cx="1070610" cy="429895"/>
                <wp:effectExtent l="57150" t="190500" r="53975" b="179705"/>
                <wp:wrapNone/>
                <wp:docPr id="1502955872" name="矩形 5"/>
                <wp:cNvGraphicFramePr/>
                <a:graphic xmlns:a="http://schemas.openxmlformats.org/drawingml/2006/main">
                  <a:graphicData uri="http://schemas.microsoft.com/office/word/2010/wordprocessingShape">
                    <wps:wsp>
                      <wps:cNvSpPr/>
                      <wps:spPr>
                        <a:xfrm rot="20466415">
                          <a:off x="0" y="0"/>
                          <a:ext cx="1070443" cy="42994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352.55pt;margin-top:129.85pt;height:33.85pt;width:84.3pt;rotation:-1238177f;z-index:251676672;v-text-anchor:middle;mso-width-relative:page;mso-height-relative:page;" filled="f" stroked="t" coordsize="21600,21600" o:gfxdata="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5IW6WNsAAAALAQAADwAAAAAAAAABACAAAAAiAAAAZHJzL2Rv&#10;d25yZXYueG1sUEsBAhQAFAAAAAgAh07iQE0JKVBwAgAAzAQAAA4AAAAAAAAAAQAgAAAAKgEAAGRy&#10;cy9lMm9Eb2MueG1sUEsFBgAAAAAGAAYAWQEAAAwGAAAAAA==&#10;">
                <v:fill on="f" focussize="0,0"/>
                <v:stroke weight="2pt" color="#FF0000 [3204]" joinstyle="round"/>
                <v:imagedata o:title=""/>
                <o:lock v:ext="edit" aspectratio="f"/>
              </v: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3942080</wp:posOffset>
                </wp:positionH>
                <wp:positionV relativeFrom="paragraph">
                  <wp:posOffset>1230630</wp:posOffset>
                </wp:positionV>
                <wp:extent cx="1159510" cy="333375"/>
                <wp:effectExtent l="0" t="152400" r="0" b="161925"/>
                <wp:wrapNone/>
                <wp:docPr id="1386064301" name="文本框 1"/>
                <wp:cNvGraphicFramePr/>
                <a:graphic xmlns:a="http://schemas.openxmlformats.org/drawingml/2006/main">
                  <a:graphicData uri="http://schemas.microsoft.com/office/word/2010/wordprocessingShape">
                    <wps:wsp>
                      <wps:cNvSpPr txBox="1"/>
                      <wps:spPr>
                        <a:xfrm rot="20439404">
                          <a:off x="0" y="0"/>
                          <a:ext cx="1159606" cy="333375"/>
                        </a:xfrm>
                        <a:prstGeom prst="rect">
                          <a:avLst/>
                        </a:prstGeom>
                        <a:noFill/>
                        <a:ln w="6350">
                          <a:noFill/>
                        </a:ln>
                      </wps:spPr>
                      <wps:txbx>
                        <w:txbxContent>
                          <w:p>
                            <w:pPr>
                              <w:rPr>
                                <w:sz w:val="15"/>
                                <w:szCs w:val="15"/>
                              </w:rPr>
                            </w:pPr>
                            <w:r>
                              <w:rPr>
                                <w:rFonts w:hint="eastAsia"/>
                                <w:sz w:val="15"/>
                                <w:szCs w:val="15"/>
                              </w:rPr>
                              <w:t>其他拟建设奶食品企业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10.4pt;margin-top:96.9pt;height:26.25pt;width:91.3pt;rotation:-1267680f;z-index:251675648;mso-width-relative:page;mso-height-relative:page;" filled="f" stroked="f" coordsize="21600,21600" o:gfxdata="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h3+wg2QAAAAsBAAAPAAAA&#10;AAAAAAEAIAAAACIAAABkcnMvZG93bnJldi54bWxQSwECFAAUAAAACACHTuJAZNdL800CAAB+BAAA&#10;DgAAAAAAAAABACAAAAAoAQAAZHJzL2Uyb0RvYy54bWxQSwUGAAAAAAYABgBZAQAA5wUAAAAA&#10;">
                <v:fill on="f" focussize="0,0"/>
                <v:stroke on="f" weight="0.5pt"/>
                <v:imagedata o:title=""/>
                <o:lock v:ext="edit" aspectratio="f"/>
                <v:textbox>
                  <w:txbxContent>
                    <w:p>
                      <w:pPr>
                        <w:rPr>
                          <w:sz w:val="15"/>
                          <w:szCs w:val="15"/>
                        </w:rPr>
                      </w:pPr>
                      <w:r>
                        <w:rPr>
                          <w:rFonts w:hint="eastAsia"/>
                          <w:sz w:val="15"/>
                          <w:szCs w:val="15"/>
                        </w:rPr>
                        <w:t>其他拟建设奶食品企业</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3870960</wp:posOffset>
                </wp:positionH>
                <wp:positionV relativeFrom="paragraph">
                  <wp:posOffset>2804160</wp:posOffset>
                </wp:positionV>
                <wp:extent cx="1726565" cy="333375"/>
                <wp:effectExtent l="0" t="0" r="0" b="0"/>
                <wp:wrapNone/>
                <wp:docPr id="817463897" name="文本框 1"/>
                <wp:cNvGraphicFramePr/>
                <a:graphic xmlns:a="http://schemas.openxmlformats.org/drawingml/2006/main">
                  <a:graphicData uri="http://schemas.microsoft.com/office/word/2010/wordprocessingShape">
                    <wps:wsp>
                      <wps:cNvSpPr txBox="1"/>
                      <wps:spPr>
                        <a:xfrm>
                          <a:off x="0" y="0"/>
                          <a:ext cx="1726565" cy="333375"/>
                        </a:xfrm>
                        <a:prstGeom prst="rect">
                          <a:avLst/>
                        </a:prstGeom>
                        <a:noFill/>
                        <a:ln w="6350">
                          <a:noFill/>
                        </a:ln>
                      </wps:spPr>
                      <wps:txbx>
                        <w:txbxContent>
                          <w:p>
                            <w:r>
                              <w:rPr>
                                <w:rFonts w:hint="eastAsia"/>
                              </w:rPr>
                              <w:t>其他拟建设奶制品企业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304.8pt;margin-top:220.8pt;height:26.25pt;width:135.95pt;z-index:251672576;mso-width-relative:page;mso-height-relative:page;" filled="f" stroked="f" coordsize="21600,21600" o:gfxdata="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i9cv2wAAAAsBAAAPAAAAAAAAAAEAIAAA&#10;ACIAAABkcnMvZG93bnJldi54bWxQSwECFAAUAAAACACHTuJA8L3QAEICAABuBAAADgAAAAAAAAAB&#10;ACAAAAAqAQAAZHJzL2Uyb0RvYy54bWxQSwUGAAAAAAYABgBZAQAA3gUAAAAA&#10;">
                <v:fill on="f" focussize="0,0"/>
                <v:stroke on="f" weight="0.5pt"/>
                <v:imagedata o:title=""/>
                <o:lock v:ext="edit" aspectratio="f"/>
                <v:textbox>
                  <w:txbxContent>
                    <w:p>
                      <w:r>
                        <w:rPr>
                          <w:rFonts w:hint="eastAsia"/>
                        </w:rPr>
                        <w:t>其他拟建设奶制品企业</w:t>
                      </w:r>
                    </w:p>
                  </w:txbxContent>
                </v:textbox>
              </v:shape>
            </w:pict>
          </mc:Fallback>
        </mc:AlternateContent>
      </w:r>
      <w:r>
        <w:drawing>
          <wp:inline distT="0" distB="0" distL="0" distR="0">
            <wp:extent cx="7517130" cy="5320030"/>
            <wp:effectExtent l="0" t="0" r="7620" b="0"/>
            <wp:docPr id="126946722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67228" name="图片 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523099" cy="5324166"/>
                    </a:xfrm>
                    <a:prstGeom prst="rect">
                      <a:avLst/>
                    </a:prstGeom>
                    <a:noFill/>
                    <a:ln>
                      <a:noFill/>
                    </a:ln>
                  </pic:spPr>
                </pic:pic>
              </a:graphicData>
            </a:graphic>
          </wp:inline>
        </w:drawing>
      </w:r>
      <w:r>
        <mc:AlternateContent>
          <mc:Choice Requires="wps">
            <w:drawing>
              <wp:anchor distT="0" distB="0" distL="114300" distR="114300" simplePos="0" relativeHeight="251665408" behindDoc="0" locked="0" layoutInCell="1" allowOverlap="1">
                <wp:simplePos x="0" y="0"/>
                <wp:positionH relativeFrom="column">
                  <wp:posOffset>4720590</wp:posOffset>
                </wp:positionH>
                <wp:positionV relativeFrom="paragraph">
                  <wp:posOffset>1739900</wp:posOffset>
                </wp:positionV>
                <wp:extent cx="59055" cy="59690"/>
                <wp:effectExtent l="38100" t="38100" r="36830" b="35560"/>
                <wp:wrapNone/>
                <wp:docPr id="98322277" name="矩形 1"/>
                <wp:cNvGraphicFramePr/>
                <a:graphic xmlns:a="http://schemas.openxmlformats.org/drawingml/2006/main">
                  <a:graphicData uri="http://schemas.microsoft.com/office/word/2010/wordprocessingShape">
                    <wps:wsp>
                      <wps:cNvSpPr/>
                      <wps:spPr>
                        <a:xfrm rot="20481353">
                          <a:off x="0" y="0"/>
                          <a:ext cx="58748" cy="5992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71.7pt;margin-top:137pt;height:4.7pt;width:4.65pt;rotation:-1221861f;z-index:251665408;v-text-anchor:middle;mso-width-relative:page;mso-height-relative:page;" filled="f" stroked="t" coordsize="21600,21600" o:gfxdata="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5EwbNoAAAALAQAADwAAAAAAAAABACAAAAAiAAAAZHJzL2Rvd25yZXYu&#10;eG1sUEsBAhQAFAAAAAgAh07iQLnGK3lrAgAAxwQAAA4AAAAAAAAAAQAgAAAAKQEAAGRycy9lMm9E&#10;b2MueG1sUEsFBgAAAAAGAAYAWQEAAAYGAAAAAA==&#10;">
                <v:fill on="f" focussize="0,0"/>
                <v:stroke weight="2pt" color="#000000 [3213]" joinstyle="round"/>
                <v:imagedata o:title=""/>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4830445</wp:posOffset>
                </wp:positionH>
                <wp:positionV relativeFrom="paragraph">
                  <wp:posOffset>2070100</wp:posOffset>
                </wp:positionV>
                <wp:extent cx="82550" cy="69215"/>
                <wp:effectExtent l="38100" t="38100" r="32385" b="26035"/>
                <wp:wrapNone/>
                <wp:docPr id="805582698" name="矩形 1"/>
                <wp:cNvGraphicFramePr/>
                <a:graphic xmlns:a="http://schemas.openxmlformats.org/drawingml/2006/main">
                  <a:graphicData uri="http://schemas.microsoft.com/office/word/2010/wordprocessingShape">
                    <wps:wsp>
                      <wps:cNvSpPr/>
                      <wps:spPr>
                        <a:xfrm rot="20481353">
                          <a:off x="0" y="0"/>
                          <a:ext cx="82339" cy="6933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380.35pt;margin-top:163pt;height:5.45pt;width:6.5pt;rotation:-1221861f;z-index:251666432;v-text-anchor:middle;mso-width-relative:page;mso-height-relative:page;" filled="f" stroked="t" coordsize="21600,21600" o:gfxdata="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IF2aLaAAAACwEAAA8AAAAAAAAAAQAgAAAAIgAAAGRycy9kb3ducmV2Lnht&#10;bFBLAQIUABQAAAAIAIdO4kA994PAaQIAAMgEAAAOAAAAAAAAAAEAIAAAACkBAABkcnMvZTJvRG9j&#10;LnhtbFBLBQYAAAAABgAGAFkBAAAEBgAAAAA=&#10;">
                <v:fill on="f" focussize="0,0"/>
                <v:stroke weight="2pt" color="#000000 [3213]" joinstyle="round"/>
                <v:imagedata o:title=""/>
                <o:lock v:ext="edit" aspectratio="f"/>
              </v:rect>
            </w:pict>
          </mc:Fallback>
        </mc:AlternateContent>
      </w:r>
    </w:p>
    <w:p>
      <w:pPr>
        <w:pStyle w:val="3"/>
        <w:jc w:val="center"/>
      </w:pPr>
      <w:r>
        <w:rPr>
          <w:rFonts w:hint="eastAsia"/>
          <w:b/>
          <w:bCs/>
          <w:sz w:val="28"/>
          <w:szCs w:val="28"/>
        </w:rPr>
        <w:t>附图2</w:t>
      </w:r>
      <w:r>
        <w:rPr>
          <w:b/>
          <w:bCs/>
          <w:sz w:val="28"/>
          <w:szCs w:val="28"/>
        </w:rPr>
        <w:t xml:space="preserve"> </w:t>
      </w:r>
      <w:r>
        <w:rPr>
          <w:rFonts w:hint="eastAsia"/>
          <w:b/>
          <w:bCs/>
          <w:sz w:val="28"/>
          <w:szCs w:val="28"/>
        </w:rPr>
        <w:t>总平面布置图</w:t>
      </w:r>
    </w:p>
    <w:p>
      <w:pPr>
        <w:tabs>
          <w:tab w:val="left" w:pos="2949"/>
        </w:tabs>
        <w:jc w:val="center"/>
      </w:pPr>
      <w:r>
        <w:drawing>
          <wp:anchor distT="0" distB="0" distL="114300" distR="114300" simplePos="0" relativeHeight="251673600" behindDoc="0" locked="0" layoutInCell="1" allowOverlap="1">
            <wp:simplePos x="0" y="0"/>
            <wp:positionH relativeFrom="column">
              <wp:posOffset>615950</wp:posOffset>
            </wp:positionH>
            <wp:positionV relativeFrom="page">
              <wp:posOffset>2306955</wp:posOffset>
            </wp:positionV>
            <wp:extent cx="1080770" cy="891540"/>
            <wp:effectExtent l="0" t="0" r="5080" b="3810"/>
            <wp:wrapNone/>
            <wp:docPr id="1753975504" name="图片 175397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75504" name="图片 1753975504"/>
                    <pic:cNvPicPr>
                      <a:picLocks noChangeAspect="1" noChangeArrowheads="1"/>
                    </pic:cNvPicPr>
                  </pic:nvPicPr>
                  <pic:blipFill>
                    <a:blip r:embed="rId31">
                      <a:extLst>
                        <a:ext uri="{28A0092B-C50C-407E-A947-70E740481C1C}">
                          <a14:useLocalDpi xmlns:a14="http://schemas.microsoft.com/office/drawing/2010/main" val="0"/>
                        </a:ext>
                      </a:extLst>
                    </a:blip>
                    <a:srcRect r="4744"/>
                    <a:stretch>
                      <a:fillRect/>
                    </a:stretch>
                  </pic:blipFill>
                  <pic:spPr>
                    <a:xfrm>
                      <a:off x="0" y="0"/>
                      <a:ext cx="1080770" cy="891540"/>
                    </a:xfrm>
                    <a:prstGeom prst="rect">
                      <a:avLst/>
                    </a:prstGeom>
                    <a:noFill/>
                    <a:ln>
                      <a:noFill/>
                    </a:ln>
                    <a:effectLst/>
                  </pic:spPr>
                </pic:pic>
              </a:graphicData>
            </a:graphic>
          </wp:anchor>
        </w:drawing>
      </w:r>
      <w:r>
        <w:drawing>
          <wp:inline distT="0" distB="0" distL="0" distR="0">
            <wp:extent cx="8063865" cy="5304155"/>
            <wp:effectExtent l="0" t="0" r="0" b="0"/>
            <wp:docPr id="1887425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25633" name="图片 1"/>
                    <pic:cNvPicPr>
                      <a:picLocks noChangeAspect="1"/>
                    </pic:cNvPicPr>
                  </pic:nvPicPr>
                  <pic:blipFill>
                    <a:blip r:embed="rId35"/>
                    <a:stretch>
                      <a:fillRect/>
                    </a:stretch>
                  </pic:blipFill>
                  <pic:spPr>
                    <a:xfrm>
                      <a:off x="0" y="0"/>
                      <a:ext cx="8069777" cy="5308448"/>
                    </a:xfrm>
                    <a:prstGeom prst="rect">
                      <a:avLst/>
                    </a:prstGeom>
                  </pic:spPr>
                </pic:pic>
              </a:graphicData>
            </a:graphic>
          </wp:inline>
        </w:drawing>
      </w:r>
    </w:p>
    <w:p>
      <w:pPr>
        <w:pStyle w:val="2"/>
      </w:pPr>
    </w:p>
    <w:p>
      <w:pPr>
        <w:pStyle w:val="3"/>
        <w:jc w:val="center"/>
        <w:rPr>
          <w:b/>
          <w:bCs/>
          <w:sz w:val="28"/>
          <w:szCs w:val="28"/>
        </w:rPr>
        <w:sectPr>
          <w:footerReference r:id="rId8" w:type="default"/>
          <w:footerReference r:id="rId9" w:type="even"/>
          <w:pgSz w:w="16838" w:h="11906" w:orient="landscape"/>
          <w:pgMar w:top="1418" w:right="1134" w:bottom="1418" w:left="1134" w:header="851" w:footer="992" w:gutter="0"/>
          <w:cols w:space="720" w:num="1"/>
          <w:docGrid w:linePitch="312" w:charSpace="0"/>
        </w:sectPr>
      </w:pPr>
      <w:r>
        <w:rPr>
          <w:rFonts w:hint="eastAsia"/>
          <w:b/>
          <w:bCs/>
          <w:sz w:val="28"/>
          <w:szCs w:val="28"/>
        </w:rPr>
        <w:t>附图4</w:t>
      </w:r>
      <w:r>
        <w:rPr>
          <w:b/>
          <w:bCs/>
          <w:sz w:val="28"/>
          <w:szCs w:val="28"/>
        </w:rPr>
        <w:t xml:space="preserve"> </w:t>
      </w:r>
      <w:r>
        <w:rPr>
          <w:rFonts w:hint="eastAsia"/>
          <w:b/>
          <w:bCs/>
          <w:sz w:val="28"/>
          <w:szCs w:val="28"/>
        </w:rPr>
        <w:t>二期工程平面布置示意图</w:t>
      </w:r>
    </w:p>
    <w:p>
      <w:pPr>
        <w:pStyle w:val="3"/>
        <w:ind w:left="0" w:leftChars="0" w:firstLine="0"/>
      </w:pPr>
      <w:r>
        <w:rPr>
          <w:highlight w:val="yellow"/>
        </w:rPr>
        <w:drawing>
          <wp:anchor distT="0" distB="0" distL="114300" distR="114300" simplePos="0" relativeHeight="251681792" behindDoc="0" locked="0" layoutInCell="1" allowOverlap="1">
            <wp:simplePos x="0" y="0"/>
            <wp:positionH relativeFrom="column">
              <wp:posOffset>919480</wp:posOffset>
            </wp:positionH>
            <wp:positionV relativeFrom="paragraph">
              <wp:posOffset>-128270</wp:posOffset>
            </wp:positionV>
            <wp:extent cx="7861300" cy="5557520"/>
            <wp:effectExtent l="0" t="0" r="6985" b="5080"/>
            <wp:wrapNone/>
            <wp:docPr id="1077555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55194"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861082" cy="5557652"/>
                    </a:xfrm>
                    <a:prstGeom prst="rect">
                      <a:avLst/>
                    </a:prstGeom>
                  </pic:spPr>
                </pic:pic>
              </a:graphicData>
            </a:graphic>
          </wp:anchor>
        </w:drawing>
      </w:r>
    </w:p>
    <w:p/>
    <w:p/>
    <w:p/>
    <w:p/>
    <w:p/>
    <w:p/>
    <w:p/>
    <w:p/>
    <w:p/>
    <w:p/>
    <w:p/>
    <w:p/>
    <w:p/>
    <w:p/>
    <w:p/>
    <w:p/>
    <w:p/>
    <w:p/>
    <w:p/>
    <w:p/>
    <w:p/>
    <w:p/>
    <w:p/>
    <w:p/>
    <w:p/>
    <w:p/>
    <w:p>
      <w:r>
        <mc:AlternateContent>
          <mc:Choice Requires="wps">
            <w:drawing>
              <wp:anchor distT="0" distB="0" distL="114300" distR="114300" simplePos="0" relativeHeight="251685888" behindDoc="0" locked="0" layoutInCell="1" allowOverlap="1">
                <wp:simplePos x="0" y="0"/>
                <wp:positionH relativeFrom="column">
                  <wp:posOffset>2230120</wp:posOffset>
                </wp:positionH>
                <wp:positionV relativeFrom="paragraph">
                  <wp:posOffset>132080</wp:posOffset>
                </wp:positionV>
                <wp:extent cx="767715" cy="249555"/>
                <wp:effectExtent l="0" t="0" r="0" b="0"/>
                <wp:wrapNone/>
                <wp:docPr id="692084332" name="文本框 3"/>
                <wp:cNvGraphicFramePr/>
                <a:graphic xmlns:a="http://schemas.openxmlformats.org/drawingml/2006/main">
                  <a:graphicData uri="http://schemas.microsoft.com/office/word/2010/wordprocessingShape">
                    <wps:wsp>
                      <wps:cNvSpPr txBox="1"/>
                      <wps:spPr>
                        <a:xfrm>
                          <a:off x="0" y="0"/>
                          <a:ext cx="767563" cy="249454"/>
                        </a:xfrm>
                        <a:prstGeom prst="rect">
                          <a:avLst/>
                        </a:prstGeom>
                        <a:noFill/>
                        <a:ln w="6350">
                          <a:noFill/>
                        </a:ln>
                      </wps:spPr>
                      <wps:txbx>
                        <w:txbxContent>
                          <w:p>
                            <w:pPr>
                              <w:rPr>
                                <w:color w:val="FF0000"/>
                              </w:rPr>
                            </w:pPr>
                            <w:r>
                              <w:rPr>
                                <w:rFonts w:hint="eastAsia"/>
                                <w:color w:val="FF0000"/>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75.6pt;margin-top:10.4pt;height:19.65pt;width:60.45pt;z-index:251685888;mso-width-relative:page;mso-height-relative:page;" filled="f" stroked="f" coordsize="21600,21600" o:gfxdata="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FmgENkAAAAJAQAADwAAAAAAAAABACAAAAAi&#10;AAAAZHJzL2Rvd25yZXYueG1sUEsBAhQAFAAAAAgAh07iQNp0u/hCAgAAbQQAAA4AAAAAAAAAAQAg&#10;AAAAKAEAAGRycy9lMm9Eb2MueG1sUEsFBgAAAAAGAAYAWQEAANwFAAAAAA==&#10;">
                <v:fill on="f" focussize="0,0"/>
                <v:stroke on="f" weight="0.5pt"/>
                <v:imagedata o:title=""/>
                <o:lock v:ext="edit" aspectratio="f"/>
                <v:textbox>
                  <w:txbxContent>
                    <w:p>
                      <w:pPr>
                        <w:rPr>
                          <w:color w:val="FF0000"/>
                        </w:rPr>
                      </w:pPr>
                      <w:r>
                        <w:rPr>
                          <w:rFonts w:hint="eastAsia"/>
                          <w:color w:val="FF0000"/>
                        </w:rPr>
                        <w:t>项目位置</w:t>
                      </w:r>
                    </w:p>
                  </w:txbxContent>
                </v:textbox>
              </v:shape>
            </w:pict>
          </mc:Fallback>
        </mc:AlternateContent>
      </w:r>
    </w:p>
    <w:p>
      <w:pPr>
        <w:rPr>
          <w:kern w:val="0"/>
          <w:sz w:val="24"/>
          <w:szCs w:val="20"/>
        </w:rPr>
      </w:pPr>
      <w:r>
        <mc:AlternateContent>
          <mc:Choice Requires="wps">
            <w:drawing>
              <wp:anchor distT="0" distB="0" distL="114300" distR="114300" simplePos="0" relativeHeight="251684864" behindDoc="0" locked="0" layoutInCell="1" allowOverlap="1">
                <wp:simplePos x="0" y="0"/>
                <wp:positionH relativeFrom="column">
                  <wp:posOffset>2491105</wp:posOffset>
                </wp:positionH>
                <wp:positionV relativeFrom="paragraph">
                  <wp:posOffset>81915</wp:posOffset>
                </wp:positionV>
                <wp:extent cx="754380" cy="134620"/>
                <wp:effectExtent l="0" t="76200" r="0" b="36830"/>
                <wp:wrapNone/>
                <wp:docPr id="1613969419" name="连接符: 肘形 2"/>
                <wp:cNvGraphicFramePr/>
                <a:graphic xmlns:a="http://schemas.openxmlformats.org/drawingml/2006/main">
                  <a:graphicData uri="http://schemas.microsoft.com/office/word/2010/wordprocessingShape">
                    <wps:wsp>
                      <wps:cNvCnPr/>
                      <wps:spPr>
                        <a:xfrm flipV="1">
                          <a:off x="0" y="0"/>
                          <a:ext cx="754395" cy="134803"/>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连接符: 肘形 2" o:spid="_x0000_s1026" o:spt="34" type="#_x0000_t34" style="position:absolute;left:0pt;flip:y;margin-left:196.15pt;margin-top:6.45pt;height:10.6pt;width:59.4pt;z-index:251684864;mso-width-relative:page;mso-height-relative:page;" filled="f" stroked="t" coordsize="21600,21600" o:gfxdata="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&#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8FW+1gAAAAkBAAAPAAAAAAAAAAEAIAAAACIAAABk&#10;cnMvZG93bnJldi54bWxQSwECFAAUAAAACACHTuJACSm9tQgCAADZAwAADgAAAAAAAAABACAAAAAl&#10;AQAAZHJzL2Uyb0RvYy54bWxQSwUGAAAAAAYABgBZAQAAnwUAAAAA&#10;" adj="10800">
                <v:fill on="f" focussize="0,0"/>
                <v:stroke color="#000000 [3213]" joinstyle="round" endarrow="block"/>
                <v:imagedata o:title=""/>
                <o:lock v:ext="edit" aspectratio="f"/>
              </v:shape>
            </w:pict>
          </mc:Fallback>
        </mc:AlternateContent>
      </w:r>
      <w:r>
        <w:rPr>
          <w:kern w:val="0"/>
          <w:sz w:val="24"/>
          <w:szCs w:val="20"/>
        </w:rPr>
        <mc:AlternateContent>
          <mc:Choice Requires="wps">
            <w:drawing>
              <wp:anchor distT="0" distB="0" distL="114300" distR="114300" simplePos="0" relativeHeight="251683840" behindDoc="0" locked="0" layoutInCell="1" allowOverlap="1">
                <wp:simplePos x="0" y="0"/>
                <wp:positionH relativeFrom="column">
                  <wp:posOffset>3245485</wp:posOffset>
                </wp:positionH>
                <wp:positionV relativeFrom="paragraph">
                  <wp:posOffset>36830</wp:posOffset>
                </wp:positionV>
                <wp:extent cx="45720" cy="45720"/>
                <wp:effectExtent l="0" t="0" r="12065" b="12065"/>
                <wp:wrapNone/>
                <wp:docPr id="524694986" name="矩形 1"/>
                <wp:cNvGraphicFramePr/>
                <a:graphic xmlns:a="http://schemas.openxmlformats.org/drawingml/2006/main">
                  <a:graphicData uri="http://schemas.microsoft.com/office/word/2010/wordprocessingShape">
                    <wps:wsp>
                      <wps:cNvSpPr/>
                      <wps:spPr>
                        <a:xfrm>
                          <a:off x="0" y="0"/>
                          <a:ext cx="45719" cy="4571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55.55pt;margin-top:2.9pt;height:3.6pt;width:3.6pt;z-index:251683840;v-text-anchor:middle;mso-width-relative:page;mso-height-relative:page;" filled="f" stroked="t" coordsize="21600,21600" o:gfxdata="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qND4zWAAAACAEAAA8AAAAAAAAAAQAgAAAAIgAAAGRycy9kb3ducmV2LnhtbFBLAQIUABQAAAAI&#10;AIdO4kB1Lt9FYQIAALkEAAAOAAAAAAAAAAEAIAAAACUBAABkcnMvZTJvRG9jLnhtbFBLBQYAAAAA&#10;BgAGAFkBAAD4BQAAAAA=&#10;">
                <v:fill on="f" focussize="0,0"/>
                <v:stroke weight="2pt" color="#FF0000 [3204]" joinstyle="round"/>
                <v:imagedata o:title=""/>
                <o:lock v:ext="edit" aspectratio="f"/>
              </v:rect>
            </w:pict>
          </mc:Fallback>
        </mc:AlternateContent>
      </w:r>
    </w:p>
    <w:p/>
    <w:p/>
    <w:p>
      <w:pPr>
        <w:rPr>
          <w:kern w:val="0"/>
          <w:sz w:val="24"/>
          <w:szCs w:val="20"/>
        </w:rPr>
      </w:pPr>
    </w:p>
    <w:p>
      <w:pPr>
        <w:pStyle w:val="2"/>
      </w:pPr>
    </w:p>
    <w:p>
      <w:pPr>
        <w:pStyle w:val="3"/>
      </w:pPr>
    </w:p>
    <w:p>
      <w:pPr>
        <w:pStyle w:val="3"/>
        <w:jc w:val="center"/>
        <w:rPr>
          <w:b/>
          <w:bCs/>
          <w:sz w:val="28"/>
          <w:szCs w:val="28"/>
        </w:rPr>
      </w:pPr>
      <w:r>
        <w:tab/>
      </w:r>
      <w:r>
        <w:rPr>
          <w:rFonts w:hint="eastAsia"/>
          <w:b/>
          <w:bCs/>
          <w:sz w:val="28"/>
          <w:szCs w:val="28"/>
        </w:rPr>
        <w:t>附图5</w:t>
      </w:r>
      <w:r>
        <w:rPr>
          <w:b/>
          <w:bCs/>
          <w:sz w:val="28"/>
          <w:szCs w:val="28"/>
        </w:rPr>
        <w:t xml:space="preserve"> </w:t>
      </w:r>
      <w:r>
        <w:rPr>
          <w:rFonts w:hint="eastAsia"/>
          <w:b/>
          <w:bCs/>
          <w:sz w:val="28"/>
          <w:szCs w:val="28"/>
        </w:rPr>
        <w:t>锡林郭勒盟生态保护红线图</w:t>
      </w:r>
    </w:p>
    <w:p>
      <w:r>
        <w:rPr>
          <w:sz w:val="24"/>
          <w:szCs w:val="21"/>
          <w:highlight w:val="yellow"/>
        </w:rPr>
        <w:drawing>
          <wp:anchor distT="0" distB="0" distL="114300" distR="114300" simplePos="0" relativeHeight="251682816" behindDoc="0" locked="0" layoutInCell="1" allowOverlap="1">
            <wp:simplePos x="0" y="0"/>
            <wp:positionH relativeFrom="column">
              <wp:posOffset>922020</wp:posOffset>
            </wp:positionH>
            <wp:positionV relativeFrom="paragraph">
              <wp:posOffset>1905</wp:posOffset>
            </wp:positionV>
            <wp:extent cx="7714615" cy="5450840"/>
            <wp:effectExtent l="0" t="0" r="1270" b="0"/>
            <wp:wrapNone/>
            <wp:docPr id="15354428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42864" name="图片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714497" cy="5450774"/>
                    </a:xfrm>
                    <a:prstGeom prst="rect">
                      <a:avLst/>
                    </a:prstGeom>
                    <a:noFill/>
                    <a:ln>
                      <a:noFill/>
                    </a:ln>
                  </pic:spPr>
                </pic:pic>
              </a:graphicData>
            </a:graphic>
          </wp:anchor>
        </w:drawing>
      </w:r>
    </w:p>
    <w:p/>
    <w:p/>
    <w:p/>
    <w:p/>
    <w:p/>
    <w:p/>
    <w:p/>
    <w:p/>
    <w:p/>
    <w:p/>
    <w:p/>
    <w:p/>
    <w:p/>
    <w:p/>
    <w:p/>
    <w:p/>
    <w:p/>
    <w:p/>
    <w:p/>
    <w:p/>
    <w:p/>
    <w:p/>
    <w:p/>
    <w:p/>
    <w:p/>
    <w:p>
      <w:r>
        <w:rPr>
          <w:rFonts w:hint="eastAsia"/>
        </w:rPr>
        <mc:AlternateContent>
          <mc:Choice Requires="wps">
            <w:drawing>
              <wp:anchor distT="0" distB="0" distL="114300" distR="114300" simplePos="0" relativeHeight="251688960" behindDoc="0" locked="0" layoutInCell="1" allowOverlap="1">
                <wp:simplePos x="0" y="0"/>
                <wp:positionH relativeFrom="column">
                  <wp:posOffset>2562860</wp:posOffset>
                </wp:positionH>
                <wp:positionV relativeFrom="paragraph">
                  <wp:posOffset>116205</wp:posOffset>
                </wp:positionV>
                <wp:extent cx="793750" cy="288925"/>
                <wp:effectExtent l="0" t="0" r="0" b="0"/>
                <wp:wrapNone/>
                <wp:docPr id="73995394" name="文本框 5"/>
                <wp:cNvGraphicFramePr/>
                <a:graphic xmlns:a="http://schemas.openxmlformats.org/drawingml/2006/main">
                  <a:graphicData uri="http://schemas.microsoft.com/office/word/2010/wordprocessingShape">
                    <wps:wsp>
                      <wps:cNvSpPr txBox="1"/>
                      <wps:spPr>
                        <a:xfrm>
                          <a:off x="0" y="0"/>
                          <a:ext cx="793750" cy="288773"/>
                        </a:xfrm>
                        <a:prstGeom prst="rect">
                          <a:avLst/>
                        </a:prstGeom>
                        <a:noFill/>
                        <a:ln w="6350">
                          <a:noFill/>
                        </a:ln>
                      </wps:spPr>
                      <wps:txbx>
                        <w:txbxContent>
                          <w:p>
                            <w:r>
                              <w:rPr>
                                <w:rFonts w:hint="eastAsia"/>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201.8pt;margin-top:9.15pt;height:22.75pt;width:62.5pt;z-index:251688960;mso-width-relative:page;mso-height-relative:page;" filled="f" stroked="f" coordsize="21600,21600" o:gfxdata="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KQIZrZAAAACQEAAA8AAAAAAAAAAQAgAAAAIgAA&#10;AGRycy9kb3ducmV2LnhtbFBLAQIUABQAAAAIAIdO4kD+8q/lQAIAAGwEAAAOAAAAAAAAAAEAIAAA&#10;ACgBAABkcnMvZTJvRG9jLnhtbFBLBQYAAAAABgAGAFkBAADaBQAAAAA=&#10;">
                <v:fill on="f" focussize="0,0"/>
                <v:stroke on="f" weight="0.5pt"/>
                <v:imagedata o:title=""/>
                <o:lock v:ext="edit" aspectratio="f"/>
                <v:textbox>
                  <w:txbxContent>
                    <w:p>
                      <w:r>
                        <w:rPr>
                          <w:rFonts w:hint="eastAsia"/>
                        </w:rPr>
                        <w:t>项目位置</w:t>
                      </w:r>
                    </w:p>
                  </w:txbxContent>
                </v:textbox>
              </v:shape>
            </w:pict>
          </mc:Fallback>
        </mc:AlternateContent>
      </w:r>
    </w:p>
    <w:p/>
    <w:p>
      <w:r>
        <w:rPr>
          <w:kern w:val="0"/>
          <w:sz w:val="24"/>
          <w:szCs w:val="20"/>
        </w:rPr>
        <mc:AlternateContent>
          <mc:Choice Requires="wps">
            <w:drawing>
              <wp:anchor distT="0" distB="0" distL="114300" distR="114300" simplePos="0" relativeHeight="251687936" behindDoc="0" locked="0" layoutInCell="1" allowOverlap="1">
                <wp:simplePos x="0" y="0"/>
                <wp:positionH relativeFrom="column">
                  <wp:posOffset>2673350</wp:posOffset>
                </wp:positionH>
                <wp:positionV relativeFrom="paragraph">
                  <wp:posOffset>28575</wp:posOffset>
                </wp:positionV>
                <wp:extent cx="527050" cy="142240"/>
                <wp:effectExtent l="0" t="0" r="83185" b="86360"/>
                <wp:wrapNone/>
                <wp:docPr id="253847959" name="连接符: 肘形 4"/>
                <wp:cNvGraphicFramePr/>
                <a:graphic xmlns:a="http://schemas.openxmlformats.org/drawingml/2006/main">
                  <a:graphicData uri="http://schemas.microsoft.com/office/word/2010/wordprocessingShape">
                    <wps:wsp>
                      <wps:cNvCnPr/>
                      <wps:spPr>
                        <a:xfrm>
                          <a:off x="0" y="0"/>
                          <a:ext cx="526956" cy="14255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连接符: 肘形 4" o:spid="_x0000_s1026" o:spt="34" type="#_x0000_t34" style="position:absolute;left:0pt;margin-left:210.5pt;margin-top:2.25pt;height:11.2pt;width:41.5pt;z-index:251687936;mso-width-relative:page;mso-height-relative:page;" filled="f" stroked="t" coordsize="21600,21600" o:gfxdata="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NHAT1gAAAAgBAAAPAAAAAAAAAAEAIAAAACIAAABkcnMvZG93&#10;bnJldi54bWxQSwECFAAUAAAACACHTuJADC+VQgICAADOAwAADgAAAAAAAAABACAAAAAlAQAAZHJz&#10;L2Uyb0RvYy54bWxQSwUGAAAAAAYABgBZAQAAmQUAAAAA&#10;" adj="10800">
                <v:fill on="f" focussize="0,0"/>
                <v:stroke color="#000000 [3213]" joinstyle="round" endarrow="block"/>
                <v:imagedata o:title=""/>
                <o:lock v:ext="edit" aspectratio="f"/>
              </v:shape>
            </w:pict>
          </mc:Fallback>
        </mc:AlternateContent>
      </w:r>
      <w:r>
        <w:rPr>
          <w:kern w:val="0"/>
          <w:sz w:val="24"/>
          <w:szCs w:val="20"/>
        </w:rPr>
        <mc:AlternateContent>
          <mc:Choice Requires="wps">
            <w:drawing>
              <wp:anchor distT="0" distB="0" distL="114300" distR="114300" simplePos="0" relativeHeight="251686912" behindDoc="0" locked="0" layoutInCell="1" allowOverlap="1">
                <wp:simplePos x="0" y="0"/>
                <wp:positionH relativeFrom="column">
                  <wp:posOffset>3221990</wp:posOffset>
                </wp:positionH>
                <wp:positionV relativeFrom="paragraph">
                  <wp:posOffset>146685</wp:posOffset>
                </wp:positionV>
                <wp:extent cx="45085" cy="45085"/>
                <wp:effectExtent l="0" t="0" r="12065" b="12065"/>
                <wp:wrapNone/>
                <wp:docPr id="1952606694" name="矩形 1"/>
                <wp:cNvGraphicFramePr/>
                <a:graphic xmlns:a="http://schemas.openxmlformats.org/drawingml/2006/main">
                  <a:graphicData uri="http://schemas.microsoft.com/office/word/2010/wordprocessingShape">
                    <wps:wsp>
                      <wps:cNvSpPr/>
                      <wps:spPr>
                        <a:xfrm>
                          <a:off x="0" y="0"/>
                          <a:ext cx="45085" cy="4508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253.7pt;margin-top:11.55pt;height:3.55pt;width:3.55pt;z-index:251686912;v-text-anchor:middle;mso-width-relative:page;mso-height-relative:page;" filled="f" stroked="t" coordsize="21600,21600" o:gfxdata="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WvP2/YAAAACQEAAA8AAAAAAAAAAQAgAAAAIgAAAGRycy9kb3ducmV2LnhtbFBLAQIUABQA&#10;AAAIAIdO4kAN4+QoYgIAALoEAAAOAAAAAAAAAAEAIAAAACcBAABkcnMvZTJvRG9jLnhtbFBLBQYA&#10;AAAABgAGAFkBAAD7BQAAAAA=&#10;">
                <v:fill on="f" focussize="0,0"/>
                <v:stroke weight="2pt" color="#FF0000 [3204]" joinstyle="round"/>
                <v:imagedata o:title=""/>
                <o:lock v:ext="edit" aspectratio="f"/>
              </v:rect>
            </w:pict>
          </mc:Fallback>
        </mc:AlternateContent>
      </w:r>
    </w:p>
    <w:p/>
    <w:p/>
    <w:p/>
    <w:p/>
    <w:p/>
    <w:p/>
    <w:p/>
    <w:p>
      <w:pPr>
        <w:jc w:val="center"/>
      </w:pPr>
      <w:r>
        <w:rPr>
          <w:rFonts w:hint="eastAsia"/>
          <w:b/>
          <w:bCs/>
          <w:sz w:val="28"/>
          <w:szCs w:val="28"/>
        </w:rPr>
        <w:t>附图</w:t>
      </w:r>
      <w:r>
        <w:rPr>
          <w:b/>
          <w:bCs/>
          <w:sz w:val="28"/>
          <w:szCs w:val="28"/>
        </w:rPr>
        <w:t>6</w:t>
      </w:r>
      <w:r>
        <w:rPr>
          <w:rFonts w:hint="eastAsia"/>
          <w:b/>
          <w:bCs/>
          <w:sz w:val="28"/>
          <w:szCs w:val="28"/>
        </w:rPr>
        <w:t>锡林郭勒盟环境管控单元图</w:t>
      </w:r>
    </w:p>
    <w:sectPr>
      <w:pgSz w:w="16838" w:h="11906" w:orient="landscape"/>
      <w:pgMar w:top="1418" w:right="1134" w:bottom="1418"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Cambria">
    <w:panose1 w:val="02040503050406030204"/>
    <w:charset w:val="00"/>
    <w:family w:val="roman"/>
    <w:pitch w:val="default"/>
    <w:sig w:usb0="A00002EF" w:usb1="4000004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decorative"/>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9975114"/>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374423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pStyle w:val="14"/>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560"/>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10</w:t>
    </w:r>
    <w:r>
      <w:rPr>
        <w:rStyle w:val="24"/>
        <w:rFonts w:ascii="宋体" w:hAnsi="宋体"/>
        <w:sz w:val="26"/>
        <w:szCs w:val="26"/>
      </w:rPr>
      <w:fldChar w:fldCharType="end"/>
    </w:r>
    <w:r>
      <w:rPr>
        <w:rStyle w:val="24"/>
        <w:rFonts w:hint="eastAsia" w:ascii="宋体" w:hAnsi="宋体"/>
        <w:sz w:val="20"/>
      </w:rPr>
      <w:t xml:space="preserve">  </w:t>
    </w:r>
    <w:r>
      <w:rPr>
        <w:rStyle w:val="24"/>
        <w:rFonts w:hint="eastAsia" w:ascii="宋体" w:hAnsi="宋体"/>
        <w:sz w:val="28"/>
        <w:szCs w:val="28"/>
      </w:rPr>
      <w:t>—</w:t>
    </w:r>
  </w:p>
  <w:p>
    <w:pPr>
      <w:pStyle w:val="1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1"/>
        <w:left w:val="none" w:color="auto" w:sz="0" w:space="4"/>
        <w:bottom w:val="none" w:color="auto" w:sz="0" w:space="1"/>
        <w:right w:val="none" w:color="auto" w:sz="0" w:space="4"/>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2C2FB"/>
    <w:multiLevelType w:val="singleLevel"/>
    <w:tmpl w:val="A542C2FB"/>
    <w:lvl w:ilvl="0" w:tentative="0">
      <w:start w:val="1"/>
      <w:numFmt w:val="decimal"/>
      <w:suff w:val="nothing"/>
      <w:lvlText w:val="%1、"/>
      <w:lvlJc w:val="left"/>
    </w:lvl>
  </w:abstractNum>
  <w:abstractNum w:abstractNumId="1">
    <w:nsid w:val="A6596C8C"/>
    <w:multiLevelType w:val="singleLevel"/>
    <w:tmpl w:val="A6596C8C"/>
    <w:lvl w:ilvl="0" w:tentative="0">
      <w:start w:val="2"/>
      <w:numFmt w:val="decimal"/>
      <w:suff w:val="nothing"/>
      <w:lvlText w:val="（%1）"/>
      <w:lvlJc w:val="left"/>
      <w:pPr>
        <w:ind w:left="-60"/>
      </w:pPr>
    </w:lvl>
  </w:abstractNum>
  <w:abstractNum w:abstractNumId="2">
    <w:nsid w:val="097E570D"/>
    <w:multiLevelType w:val="multilevel"/>
    <w:tmpl w:val="097E570D"/>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2CF73D0E"/>
    <w:multiLevelType w:val="multilevel"/>
    <w:tmpl w:val="2CF73D0E"/>
    <w:lvl w:ilvl="0" w:tentative="0">
      <w:start w:val="2"/>
      <w:numFmt w:val="decimal"/>
      <w:lvlText w:val="%1"/>
      <w:lvlJc w:val="left"/>
      <w:pPr>
        <w:ind w:left="360" w:hanging="360"/>
      </w:pPr>
      <w:rPr>
        <w:rFonts w:hint="default"/>
      </w:rPr>
    </w:lvl>
    <w:lvl w:ilvl="1" w:tentative="0">
      <w:start w:val="4"/>
      <w:numFmt w:val="decimal"/>
      <w:lvlText w:val="%1.%2"/>
      <w:lvlJc w:val="left"/>
      <w:pPr>
        <w:ind w:left="842" w:hanging="360"/>
      </w:pPr>
      <w:rPr>
        <w:rFonts w:hint="default"/>
      </w:rPr>
    </w:lvl>
    <w:lvl w:ilvl="2" w:tentative="0">
      <w:start w:val="1"/>
      <w:numFmt w:val="decimal"/>
      <w:lvlText w:val="%1.%2.%3"/>
      <w:lvlJc w:val="left"/>
      <w:pPr>
        <w:ind w:left="1684" w:hanging="720"/>
      </w:pPr>
      <w:rPr>
        <w:rFonts w:hint="default"/>
      </w:rPr>
    </w:lvl>
    <w:lvl w:ilvl="3" w:tentative="0">
      <w:start w:val="1"/>
      <w:numFmt w:val="decimal"/>
      <w:lvlText w:val="%1.%2.%3.%4"/>
      <w:lvlJc w:val="left"/>
      <w:pPr>
        <w:ind w:left="2166" w:hanging="720"/>
      </w:pPr>
      <w:rPr>
        <w:rFonts w:hint="default"/>
      </w:rPr>
    </w:lvl>
    <w:lvl w:ilvl="4" w:tentative="0">
      <w:start w:val="1"/>
      <w:numFmt w:val="decimal"/>
      <w:lvlText w:val="%1.%2.%3.%4.%5"/>
      <w:lvlJc w:val="left"/>
      <w:pPr>
        <w:ind w:left="3008" w:hanging="1080"/>
      </w:pPr>
      <w:rPr>
        <w:rFonts w:hint="default"/>
      </w:rPr>
    </w:lvl>
    <w:lvl w:ilvl="5" w:tentative="0">
      <w:start w:val="1"/>
      <w:numFmt w:val="decimal"/>
      <w:lvlText w:val="%1.%2.%3.%4.%5.%6"/>
      <w:lvlJc w:val="left"/>
      <w:pPr>
        <w:ind w:left="3490" w:hanging="1080"/>
      </w:pPr>
      <w:rPr>
        <w:rFonts w:hint="default"/>
      </w:rPr>
    </w:lvl>
    <w:lvl w:ilvl="6" w:tentative="0">
      <w:start w:val="1"/>
      <w:numFmt w:val="decimal"/>
      <w:lvlText w:val="%1.%2.%3.%4.%5.%6.%7"/>
      <w:lvlJc w:val="left"/>
      <w:pPr>
        <w:ind w:left="4332" w:hanging="1440"/>
      </w:pPr>
      <w:rPr>
        <w:rFonts w:hint="default"/>
      </w:rPr>
    </w:lvl>
    <w:lvl w:ilvl="7" w:tentative="0">
      <w:start w:val="1"/>
      <w:numFmt w:val="decimal"/>
      <w:lvlText w:val="%1.%2.%3.%4.%5.%6.%7.%8"/>
      <w:lvlJc w:val="left"/>
      <w:pPr>
        <w:ind w:left="4814" w:hanging="1440"/>
      </w:pPr>
      <w:rPr>
        <w:rFonts w:hint="default"/>
      </w:rPr>
    </w:lvl>
    <w:lvl w:ilvl="8" w:tentative="0">
      <w:start w:val="1"/>
      <w:numFmt w:val="decimal"/>
      <w:lvlText w:val="%1.%2.%3.%4.%5.%6.%7.%8.%9"/>
      <w:lvlJc w:val="left"/>
      <w:pPr>
        <w:ind w:left="5656" w:hanging="1800"/>
      </w:pPr>
      <w:rPr>
        <w:rFonts w:hint="default"/>
      </w:rPr>
    </w:lvl>
  </w:abstractNum>
  <w:abstractNum w:abstractNumId="4">
    <w:nsid w:val="43497DBB"/>
    <w:multiLevelType w:val="multilevel"/>
    <w:tmpl w:val="43497DBB"/>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4E7C3CB1"/>
    <w:multiLevelType w:val="multilevel"/>
    <w:tmpl w:val="4E7C3CB1"/>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
    <w:nsid w:val="5B4F2A6E"/>
    <w:multiLevelType w:val="multilevel"/>
    <w:tmpl w:val="5B4F2A6E"/>
    <w:lvl w:ilvl="0" w:tentative="0">
      <w:start w:val="2"/>
      <w:numFmt w:val="japaneseCounting"/>
      <w:lvlText w:val="%1、"/>
      <w:lvlJc w:val="left"/>
      <w:pPr>
        <w:ind w:left="870" w:hanging="51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7">
    <w:nsid w:val="658E48ED"/>
    <w:multiLevelType w:val="multilevel"/>
    <w:tmpl w:val="658E48ED"/>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65DB531D"/>
    <w:multiLevelType w:val="multilevel"/>
    <w:tmpl w:val="65DB531D"/>
    <w:lvl w:ilvl="0" w:tentative="0">
      <w:start w:val="1"/>
      <w:numFmt w:val="decimalEnclosedCircle"/>
      <w:lvlText w:val="%1"/>
      <w:lvlJc w:val="left"/>
      <w:pPr>
        <w:ind w:left="840" w:hanging="360"/>
      </w:pPr>
      <w:rPr>
        <w:rFonts w:hint="default" w:ascii="宋体" w:hAnsi="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9">
    <w:nsid w:val="74F99CBE"/>
    <w:multiLevelType w:val="singleLevel"/>
    <w:tmpl w:val="74F99CBE"/>
    <w:lvl w:ilvl="0" w:tentative="0">
      <w:start w:val="5"/>
      <w:numFmt w:val="chineseCounting"/>
      <w:suff w:val="nothing"/>
      <w:lvlText w:val="%1、"/>
      <w:lvlJc w:val="left"/>
      <w:pPr>
        <w:ind w:left="2322" w:firstLine="0"/>
      </w:pPr>
      <w:rPr>
        <w:rFonts w:hint="eastAsia"/>
      </w:rPr>
    </w:lvl>
  </w:abstractNum>
  <w:abstractNum w:abstractNumId="10">
    <w:nsid w:val="77485EA1"/>
    <w:multiLevelType w:val="multilevel"/>
    <w:tmpl w:val="77485EA1"/>
    <w:lvl w:ilvl="0" w:tentative="0">
      <w:start w:val="1"/>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0"/>
  </w:num>
  <w:num w:numId="2">
    <w:abstractNumId w:val="6"/>
  </w:num>
  <w:num w:numId="3">
    <w:abstractNumId w:val="3"/>
  </w:num>
  <w:num w:numId="4">
    <w:abstractNumId w:val="4"/>
  </w:num>
  <w:num w:numId="5">
    <w:abstractNumId w:val="7"/>
  </w:num>
  <w:num w:numId="6">
    <w:abstractNumId w:val="2"/>
  </w:num>
  <w:num w:numId="7">
    <w:abstractNumId w:val="1"/>
  </w:num>
  <w:num w:numId="8">
    <w:abstractNumId w:val="5"/>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evenAndOddHeaders w:val="1"/>
  <w:noPunctuationKerning w:val="1"/>
  <w:characterSpacingControl w:val="doNotCompress"/>
  <w:noLineBreaksAfter w:lang="zh-CN" w:val="([{·‘“〈《「『【〔〖（．［｛￡￥"/>
  <w:noLineBreaksBefore w:lang="zh-CN" w:val="!),.:;?]}¨·ˇˉ―‖’”…∶、。〃々〉》」』】〕〗！＂＇），．：；？］｀｜｝～￠"/>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xNjFkMjgwYmFlOWM0YzkyYWYxODY3NmM1NDcwYmIifQ=="/>
  </w:docVars>
  <w:rsids>
    <w:rsidRoot w:val="00A14947"/>
    <w:rsid w:val="00001C45"/>
    <w:rsid w:val="00001F35"/>
    <w:rsid w:val="00002DF7"/>
    <w:rsid w:val="00002F6C"/>
    <w:rsid w:val="000050A7"/>
    <w:rsid w:val="000060B3"/>
    <w:rsid w:val="00010D72"/>
    <w:rsid w:val="00017334"/>
    <w:rsid w:val="00017B5A"/>
    <w:rsid w:val="0002192D"/>
    <w:rsid w:val="000219F6"/>
    <w:rsid w:val="00023AB2"/>
    <w:rsid w:val="00024D9B"/>
    <w:rsid w:val="00025B99"/>
    <w:rsid w:val="0002744C"/>
    <w:rsid w:val="00027C01"/>
    <w:rsid w:val="000310F7"/>
    <w:rsid w:val="00035C03"/>
    <w:rsid w:val="00036DA3"/>
    <w:rsid w:val="0004364B"/>
    <w:rsid w:val="00046D3C"/>
    <w:rsid w:val="00047993"/>
    <w:rsid w:val="00050D9E"/>
    <w:rsid w:val="00051376"/>
    <w:rsid w:val="00053060"/>
    <w:rsid w:val="00060490"/>
    <w:rsid w:val="00060C74"/>
    <w:rsid w:val="00061B1F"/>
    <w:rsid w:val="000713C9"/>
    <w:rsid w:val="000733C4"/>
    <w:rsid w:val="00074783"/>
    <w:rsid w:val="0007549C"/>
    <w:rsid w:val="0007716A"/>
    <w:rsid w:val="0008003A"/>
    <w:rsid w:val="0008070B"/>
    <w:rsid w:val="000810AC"/>
    <w:rsid w:val="000815D9"/>
    <w:rsid w:val="000819CC"/>
    <w:rsid w:val="00081A02"/>
    <w:rsid w:val="00081D62"/>
    <w:rsid w:val="00082231"/>
    <w:rsid w:val="00091D03"/>
    <w:rsid w:val="00092D38"/>
    <w:rsid w:val="0009377B"/>
    <w:rsid w:val="00094143"/>
    <w:rsid w:val="00094661"/>
    <w:rsid w:val="00094F20"/>
    <w:rsid w:val="0009674C"/>
    <w:rsid w:val="000A20C9"/>
    <w:rsid w:val="000A275B"/>
    <w:rsid w:val="000A46F1"/>
    <w:rsid w:val="000B0458"/>
    <w:rsid w:val="000B058F"/>
    <w:rsid w:val="000B0EF3"/>
    <w:rsid w:val="000B3D0C"/>
    <w:rsid w:val="000B4467"/>
    <w:rsid w:val="000B4DB9"/>
    <w:rsid w:val="000C09AC"/>
    <w:rsid w:val="000C41A2"/>
    <w:rsid w:val="000C47E6"/>
    <w:rsid w:val="000C767F"/>
    <w:rsid w:val="000D148A"/>
    <w:rsid w:val="000D3167"/>
    <w:rsid w:val="000D4456"/>
    <w:rsid w:val="000D5A44"/>
    <w:rsid w:val="000E0011"/>
    <w:rsid w:val="000E32C7"/>
    <w:rsid w:val="000E3ED2"/>
    <w:rsid w:val="000E48DD"/>
    <w:rsid w:val="000E53FF"/>
    <w:rsid w:val="000E73E7"/>
    <w:rsid w:val="000F1875"/>
    <w:rsid w:val="000F4A0F"/>
    <w:rsid w:val="000F5DC8"/>
    <w:rsid w:val="000F6523"/>
    <w:rsid w:val="000F7362"/>
    <w:rsid w:val="00101C2E"/>
    <w:rsid w:val="00103029"/>
    <w:rsid w:val="0011105A"/>
    <w:rsid w:val="00112BC5"/>
    <w:rsid w:val="00113806"/>
    <w:rsid w:val="001203A2"/>
    <w:rsid w:val="00120BF8"/>
    <w:rsid w:val="001210DC"/>
    <w:rsid w:val="001215FF"/>
    <w:rsid w:val="00121AA1"/>
    <w:rsid w:val="00124A15"/>
    <w:rsid w:val="00124D81"/>
    <w:rsid w:val="00131B57"/>
    <w:rsid w:val="00131F42"/>
    <w:rsid w:val="00132E4C"/>
    <w:rsid w:val="00133068"/>
    <w:rsid w:val="00134EB6"/>
    <w:rsid w:val="001357F1"/>
    <w:rsid w:val="001362F9"/>
    <w:rsid w:val="00140FA8"/>
    <w:rsid w:val="00142FEB"/>
    <w:rsid w:val="00143697"/>
    <w:rsid w:val="00143A2D"/>
    <w:rsid w:val="00145A41"/>
    <w:rsid w:val="00146865"/>
    <w:rsid w:val="00147656"/>
    <w:rsid w:val="00151577"/>
    <w:rsid w:val="00151675"/>
    <w:rsid w:val="0015184D"/>
    <w:rsid w:val="001528FC"/>
    <w:rsid w:val="00154902"/>
    <w:rsid w:val="0015639A"/>
    <w:rsid w:val="00156DD8"/>
    <w:rsid w:val="00157435"/>
    <w:rsid w:val="001577BF"/>
    <w:rsid w:val="00157E44"/>
    <w:rsid w:val="0016098F"/>
    <w:rsid w:val="00164F77"/>
    <w:rsid w:val="00165C6B"/>
    <w:rsid w:val="00166497"/>
    <w:rsid w:val="00171F71"/>
    <w:rsid w:val="001722B3"/>
    <w:rsid w:val="0017504D"/>
    <w:rsid w:val="0017671A"/>
    <w:rsid w:val="00177422"/>
    <w:rsid w:val="001807C0"/>
    <w:rsid w:val="00180AEC"/>
    <w:rsid w:val="00180D0C"/>
    <w:rsid w:val="00182C4A"/>
    <w:rsid w:val="00184590"/>
    <w:rsid w:val="001870D1"/>
    <w:rsid w:val="0018781E"/>
    <w:rsid w:val="00190406"/>
    <w:rsid w:val="0019262D"/>
    <w:rsid w:val="0019304D"/>
    <w:rsid w:val="0019707D"/>
    <w:rsid w:val="001A01DC"/>
    <w:rsid w:val="001A1B35"/>
    <w:rsid w:val="001A3C69"/>
    <w:rsid w:val="001A48A2"/>
    <w:rsid w:val="001A5334"/>
    <w:rsid w:val="001A607D"/>
    <w:rsid w:val="001A6F61"/>
    <w:rsid w:val="001B0BF2"/>
    <w:rsid w:val="001B2E4C"/>
    <w:rsid w:val="001B3EA0"/>
    <w:rsid w:val="001B6176"/>
    <w:rsid w:val="001B6DFC"/>
    <w:rsid w:val="001B6FE0"/>
    <w:rsid w:val="001B72B8"/>
    <w:rsid w:val="001C368B"/>
    <w:rsid w:val="001C452E"/>
    <w:rsid w:val="001C4F23"/>
    <w:rsid w:val="001C62FE"/>
    <w:rsid w:val="001C69B3"/>
    <w:rsid w:val="001D0BB3"/>
    <w:rsid w:val="001D2535"/>
    <w:rsid w:val="001D3D5D"/>
    <w:rsid w:val="001D45A6"/>
    <w:rsid w:val="001D5595"/>
    <w:rsid w:val="001D5F7E"/>
    <w:rsid w:val="001D5FB4"/>
    <w:rsid w:val="001D74C5"/>
    <w:rsid w:val="001D7874"/>
    <w:rsid w:val="001D7F22"/>
    <w:rsid w:val="001E25D4"/>
    <w:rsid w:val="001E288A"/>
    <w:rsid w:val="001E5470"/>
    <w:rsid w:val="001E54DE"/>
    <w:rsid w:val="001F0F17"/>
    <w:rsid w:val="001F2C1D"/>
    <w:rsid w:val="001F3347"/>
    <w:rsid w:val="001F5BE3"/>
    <w:rsid w:val="001F69E4"/>
    <w:rsid w:val="001F77A3"/>
    <w:rsid w:val="00202A5C"/>
    <w:rsid w:val="00203E7F"/>
    <w:rsid w:val="00205D5C"/>
    <w:rsid w:val="0020635C"/>
    <w:rsid w:val="00211C9C"/>
    <w:rsid w:val="002125B4"/>
    <w:rsid w:val="002155B8"/>
    <w:rsid w:val="00224839"/>
    <w:rsid w:val="002249B2"/>
    <w:rsid w:val="0022537E"/>
    <w:rsid w:val="00225C0D"/>
    <w:rsid w:val="00226574"/>
    <w:rsid w:val="00226A12"/>
    <w:rsid w:val="00227851"/>
    <w:rsid w:val="002278EC"/>
    <w:rsid w:val="00230ED1"/>
    <w:rsid w:val="00231D2F"/>
    <w:rsid w:val="0023280E"/>
    <w:rsid w:val="0023778A"/>
    <w:rsid w:val="002377D1"/>
    <w:rsid w:val="002414BB"/>
    <w:rsid w:val="00241E06"/>
    <w:rsid w:val="0024308C"/>
    <w:rsid w:val="002448DA"/>
    <w:rsid w:val="00245BE4"/>
    <w:rsid w:val="00245C6C"/>
    <w:rsid w:val="00246703"/>
    <w:rsid w:val="0024770E"/>
    <w:rsid w:val="00247CD0"/>
    <w:rsid w:val="002502C2"/>
    <w:rsid w:val="002506BC"/>
    <w:rsid w:val="00251B78"/>
    <w:rsid w:val="00254345"/>
    <w:rsid w:val="002574C4"/>
    <w:rsid w:val="0026217F"/>
    <w:rsid w:val="00264557"/>
    <w:rsid w:val="002713AB"/>
    <w:rsid w:val="00271CD5"/>
    <w:rsid w:val="00272233"/>
    <w:rsid w:val="00273354"/>
    <w:rsid w:val="002765D4"/>
    <w:rsid w:val="002805AB"/>
    <w:rsid w:val="00281977"/>
    <w:rsid w:val="00284204"/>
    <w:rsid w:val="00287973"/>
    <w:rsid w:val="00290DA1"/>
    <w:rsid w:val="00291773"/>
    <w:rsid w:val="00291FE9"/>
    <w:rsid w:val="00292C73"/>
    <w:rsid w:val="00293573"/>
    <w:rsid w:val="002973ED"/>
    <w:rsid w:val="002A0992"/>
    <w:rsid w:val="002A0C58"/>
    <w:rsid w:val="002A168C"/>
    <w:rsid w:val="002A34E3"/>
    <w:rsid w:val="002A3DC7"/>
    <w:rsid w:val="002A47C1"/>
    <w:rsid w:val="002A69E4"/>
    <w:rsid w:val="002A7FE6"/>
    <w:rsid w:val="002B49E2"/>
    <w:rsid w:val="002B5A6D"/>
    <w:rsid w:val="002B79F1"/>
    <w:rsid w:val="002B7B00"/>
    <w:rsid w:val="002B7C44"/>
    <w:rsid w:val="002C2B02"/>
    <w:rsid w:val="002C2B17"/>
    <w:rsid w:val="002C3998"/>
    <w:rsid w:val="002C43DB"/>
    <w:rsid w:val="002C7D25"/>
    <w:rsid w:val="002C7E00"/>
    <w:rsid w:val="002D0EC8"/>
    <w:rsid w:val="002D1C76"/>
    <w:rsid w:val="002D24AD"/>
    <w:rsid w:val="002D3DD0"/>
    <w:rsid w:val="002D63AE"/>
    <w:rsid w:val="002D7108"/>
    <w:rsid w:val="002E1712"/>
    <w:rsid w:val="002E1F3A"/>
    <w:rsid w:val="002E298A"/>
    <w:rsid w:val="002E29EC"/>
    <w:rsid w:val="002E52FB"/>
    <w:rsid w:val="002F0414"/>
    <w:rsid w:val="002F2B33"/>
    <w:rsid w:val="002F3AED"/>
    <w:rsid w:val="002F42BE"/>
    <w:rsid w:val="002F5CB6"/>
    <w:rsid w:val="002F6881"/>
    <w:rsid w:val="002F7084"/>
    <w:rsid w:val="00301978"/>
    <w:rsid w:val="0030221A"/>
    <w:rsid w:val="00302AC4"/>
    <w:rsid w:val="0030332C"/>
    <w:rsid w:val="0030391A"/>
    <w:rsid w:val="00304187"/>
    <w:rsid w:val="00304904"/>
    <w:rsid w:val="003051C2"/>
    <w:rsid w:val="00305ACE"/>
    <w:rsid w:val="00311AD6"/>
    <w:rsid w:val="0031205B"/>
    <w:rsid w:val="0031209E"/>
    <w:rsid w:val="00312296"/>
    <w:rsid w:val="00314F0E"/>
    <w:rsid w:val="00315110"/>
    <w:rsid w:val="003153C8"/>
    <w:rsid w:val="003158D6"/>
    <w:rsid w:val="00316F2B"/>
    <w:rsid w:val="0032007B"/>
    <w:rsid w:val="003219D3"/>
    <w:rsid w:val="00321D8E"/>
    <w:rsid w:val="003220C7"/>
    <w:rsid w:val="00322738"/>
    <w:rsid w:val="00323227"/>
    <w:rsid w:val="00323E13"/>
    <w:rsid w:val="00325226"/>
    <w:rsid w:val="00325928"/>
    <w:rsid w:val="00326863"/>
    <w:rsid w:val="0032696D"/>
    <w:rsid w:val="00326F94"/>
    <w:rsid w:val="00327447"/>
    <w:rsid w:val="00332863"/>
    <w:rsid w:val="00332A5A"/>
    <w:rsid w:val="0033684D"/>
    <w:rsid w:val="003377D8"/>
    <w:rsid w:val="00337B42"/>
    <w:rsid w:val="00340BBF"/>
    <w:rsid w:val="0034117E"/>
    <w:rsid w:val="0034132A"/>
    <w:rsid w:val="00341B42"/>
    <w:rsid w:val="0034348F"/>
    <w:rsid w:val="00345F47"/>
    <w:rsid w:val="003509C9"/>
    <w:rsid w:val="00350E0C"/>
    <w:rsid w:val="0035291A"/>
    <w:rsid w:val="0035404F"/>
    <w:rsid w:val="0035518B"/>
    <w:rsid w:val="00356653"/>
    <w:rsid w:val="0035743F"/>
    <w:rsid w:val="00357BE2"/>
    <w:rsid w:val="0036170C"/>
    <w:rsid w:val="003641E4"/>
    <w:rsid w:val="00366526"/>
    <w:rsid w:val="00366E0F"/>
    <w:rsid w:val="00371155"/>
    <w:rsid w:val="00373E2D"/>
    <w:rsid w:val="00380A76"/>
    <w:rsid w:val="00381A72"/>
    <w:rsid w:val="00382DFD"/>
    <w:rsid w:val="00384676"/>
    <w:rsid w:val="00387B69"/>
    <w:rsid w:val="00387C38"/>
    <w:rsid w:val="00390857"/>
    <w:rsid w:val="00390977"/>
    <w:rsid w:val="0039126E"/>
    <w:rsid w:val="0039164D"/>
    <w:rsid w:val="00391EA4"/>
    <w:rsid w:val="00391FC3"/>
    <w:rsid w:val="00393517"/>
    <w:rsid w:val="003945AD"/>
    <w:rsid w:val="00395068"/>
    <w:rsid w:val="003A126F"/>
    <w:rsid w:val="003A2A77"/>
    <w:rsid w:val="003A4BF3"/>
    <w:rsid w:val="003B0392"/>
    <w:rsid w:val="003B0D0D"/>
    <w:rsid w:val="003B0E68"/>
    <w:rsid w:val="003B2860"/>
    <w:rsid w:val="003B38DD"/>
    <w:rsid w:val="003B420D"/>
    <w:rsid w:val="003B5DB6"/>
    <w:rsid w:val="003B5FD0"/>
    <w:rsid w:val="003B75E6"/>
    <w:rsid w:val="003C098D"/>
    <w:rsid w:val="003C0E65"/>
    <w:rsid w:val="003C477C"/>
    <w:rsid w:val="003C5C6C"/>
    <w:rsid w:val="003C60CF"/>
    <w:rsid w:val="003C6C16"/>
    <w:rsid w:val="003C76C8"/>
    <w:rsid w:val="003C784B"/>
    <w:rsid w:val="003D16AC"/>
    <w:rsid w:val="003D491B"/>
    <w:rsid w:val="003D6AE3"/>
    <w:rsid w:val="003D6C68"/>
    <w:rsid w:val="003D794D"/>
    <w:rsid w:val="003E2627"/>
    <w:rsid w:val="003E3058"/>
    <w:rsid w:val="003E76A9"/>
    <w:rsid w:val="003F0809"/>
    <w:rsid w:val="003F25C5"/>
    <w:rsid w:val="003F4A57"/>
    <w:rsid w:val="003F50B5"/>
    <w:rsid w:val="003F6A8C"/>
    <w:rsid w:val="003F755C"/>
    <w:rsid w:val="00403228"/>
    <w:rsid w:val="0040527D"/>
    <w:rsid w:val="0040550C"/>
    <w:rsid w:val="00406AB4"/>
    <w:rsid w:val="00406F01"/>
    <w:rsid w:val="00412D10"/>
    <w:rsid w:val="0041317A"/>
    <w:rsid w:val="00414EE1"/>
    <w:rsid w:val="0041547E"/>
    <w:rsid w:val="00415AEB"/>
    <w:rsid w:val="00416D50"/>
    <w:rsid w:val="00416FD5"/>
    <w:rsid w:val="00417772"/>
    <w:rsid w:val="00417A63"/>
    <w:rsid w:val="00420E6A"/>
    <w:rsid w:val="004230FC"/>
    <w:rsid w:val="00425A9E"/>
    <w:rsid w:val="00426D6B"/>
    <w:rsid w:val="00431E6C"/>
    <w:rsid w:val="00432AD6"/>
    <w:rsid w:val="00432C17"/>
    <w:rsid w:val="004337EF"/>
    <w:rsid w:val="00433CE7"/>
    <w:rsid w:val="00434C04"/>
    <w:rsid w:val="00441FE7"/>
    <w:rsid w:val="00442151"/>
    <w:rsid w:val="004465D4"/>
    <w:rsid w:val="00452738"/>
    <w:rsid w:val="00452ACA"/>
    <w:rsid w:val="00456091"/>
    <w:rsid w:val="00464D1A"/>
    <w:rsid w:val="00465BD8"/>
    <w:rsid w:val="00466321"/>
    <w:rsid w:val="00467E7F"/>
    <w:rsid w:val="00474DB8"/>
    <w:rsid w:val="00482C1E"/>
    <w:rsid w:val="00483A86"/>
    <w:rsid w:val="00484B9B"/>
    <w:rsid w:val="004855F6"/>
    <w:rsid w:val="00485674"/>
    <w:rsid w:val="004858DE"/>
    <w:rsid w:val="00485FE0"/>
    <w:rsid w:val="0048661E"/>
    <w:rsid w:val="00486991"/>
    <w:rsid w:val="00491608"/>
    <w:rsid w:val="00494670"/>
    <w:rsid w:val="0049651E"/>
    <w:rsid w:val="004A0B4D"/>
    <w:rsid w:val="004A1527"/>
    <w:rsid w:val="004A1C8F"/>
    <w:rsid w:val="004A3823"/>
    <w:rsid w:val="004A6BF6"/>
    <w:rsid w:val="004A7A3F"/>
    <w:rsid w:val="004B11FE"/>
    <w:rsid w:val="004B1B32"/>
    <w:rsid w:val="004B3D9A"/>
    <w:rsid w:val="004B485D"/>
    <w:rsid w:val="004B4E88"/>
    <w:rsid w:val="004C0873"/>
    <w:rsid w:val="004C49E1"/>
    <w:rsid w:val="004C6306"/>
    <w:rsid w:val="004C64D9"/>
    <w:rsid w:val="004C66AC"/>
    <w:rsid w:val="004C7A73"/>
    <w:rsid w:val="004D0BBD"/>
    <w:rsid w:val="004D31A8"/>
    <w:rsid w:val="004D39FD"/>
    <w:rsid w:val="004D444B"/>
    <w:rsid w:val="004D49BA"/>
    <w:rsid w:val="004D4EEA"/>
    <w:rsid w:val="004D5F6B"/>
    <w:rsid w:val="004E2101"/>
    <w:rsid w:val="004E26C7"/>
    <w:rsid w:val="004E3AF7"/>
    <w:rsid w:val="004E6946"/>
    <w:rsid w:val="004F1AD8"/>
    <w:rsid w:val="004F1B68"/>
    <w:rsid w:val="004F2F13"/>
    <w:rsid w:val="004F3D4F"/>
    <w:rsid w:val="004F5FDD"/>
    <w:rsid w:val="005039CB"/>
    <w:rsid w:val="0050558F"/>
    <w:rsid w:val="00505806"/>
    <w:rsid w:val="00506286"/>
    <w:rsid w:val="00506441"/>
    <w:rsid w:val="00510813"/>
    <w:rsid w:val="00511990"/>
    <w:rsid w:val="00511DE0"/>
    <w:rsid w:val="00512168"/>
    <w:rsid w:val="00512EDF"/>
    <w:rsid w:val="00514870"/>
    <w:rsid w:val="00514B9B"/>
    <w:rsid w:val="00517101"/>
    <w:rsid w:val="00517F02"/>
    <w:rsid w:val="00523804"/>
    <w:rsid w:val="00524244"/>
    <w:rsid w:val="00524303"/>
    <w:rsid w:val="005243A2"/>
    <w:rsid w:val="00524CE9"/>
    <w:rsid w:val="005258A2"/>
    <w:rsid w:val="00530B85"/>
    <w:rsid w:val="00531281"/>
    <w:rsid w:val="005334AB"/>
    <w:rsid w:val="00537E5F"/>
    <w:rsid w:val="005401AE"/>
    <w:rsid w:val="005414B4"/>
    <w:rsid w:val="00542E07"/>
    <w:rsid w:val="00543A2A"/>
    <w:rsid w:val="00545424"/>
    <w:rsid w:val="0054555B"/>
    <w:rsid w:val="00547598"/>
    <w:rsid w:val="00547D29"/>
    <w:rsid w:val="005501A7"/>
    <w:rsid w:val="00552BDC"/>
    <w:rsid w:val="00553E4F"/>
    <w:rsid w:val="00554A7B"/>
    <w:rsid w:val="00554AE8"/>
    <w:rsid w:val="0055572C"/>
    <w:rsid w:val="0056106A"/>
    <w:rsid w:val="005632CC"/>
    <w:rsid w:val="005642A8"/>
    <w:rsid w:val="00565ADF"/>
    <w:rsid w:val="005720AE"/>
    <w:rsid w:val="0057319C"/>
    <w:rsid w:val="00573FC3"/>
    <w:rsid w:val="0057480F"/>
    <w:rsid w:val="00575973"/>
    <w:rsid w:val="005778DE"/>
    <w:rsid w:val="00580DA0"/>
    <w:rsid w:val="005814E1"/>
    <w:rsid w:val="00584869"/>
    <w:rsid w:val="00592A76"/>
    <w:rsid w:val="00592AEE"/>
    <w:rsid w:val="00594D77"/>
    <w:rsid w:val="005969E4"/>
    <w:rsid w:val="00596AE2"/>
    <w:rsid w:val="00597361"/>
    <w:rsid w:val="005A06B7"/>
    <w:rsid w:val="005A1759"/>
    <w:rsid w:val="005A1B3F"/>
    <w:rsid w:val="005A2477"/>
    <w:rsid w:val="005A4C1C"/>
    <w:rsid w:val="005A4D65"/>
    <w:rsid w:val="005A53BC"/>
    <w:rsid w:val="005A56BA"/>
    <w:rsid w:val="005A68A7"/>
    <w:rsid w:val="005B0E0B"/>
    <w:rsid w:val="005B1B99"/>
    <w:rsid w:val="005B34C7"/>
    <w:rsid w:val="005B4120"/>
    <w:rsid w:val="005B51F7"/>
    <w:rsid w:val="005C15E8"/>
    <w:rsid w:val="005D06BA"/>
    <w:rsid w:val="005D36AB"/>
    <w:rsid w:val="005D4EFA"/>
    <w:rsid w:val="005D61B6"/>
    <w:rsid w:val="005D62C2"/>
    <w:rsid w:val="005D6AF2"/>
    <w:rsid w:val="005D7FC7"/>
    <w:rsid w:val="005E1BD0"/>
    <w:rsid w:val="005E2847"/>
    <w:rsid w:val="005E45B5"/>
    <w:rsid w:val="005F05A8"/>
    <w:rsid w:val="005F11F7"/>
    <w:rsid w:val="005F6BA2"/>
    <w:rsid w:val="00600B1A"/>
    <w:rsid w:val="00601C7F"/>
    <w:rsid w:val="00605262"/>
    <w:rsid w:val="006144E0"/>
    <w:rsid w:val="00616771"/>
    <w:rsid w:val="006170F0"/>
    <w:rsid w:val="0061765E"/>
    <w:rsid w:val="00617CC3"/>
    <w:rsid w:val="006203E8"/>
    <w:rsid w:val="0062078E"/>
    <w:rsid w:val="006207FD"/>
    <w:rsid w:val="006210DA"/>
    <w:rsid w:val="00622D72"/>
    <w:rsid w:val="00625E27"/>
    <w:rsid w:val="006270CE"/>
    <w:rsid w:val="00627C3C"/>
    <w:rsid w:val="006301A6"/>
    <w:rsid w:val="00630D0B"/>
    <w:rsid w:val="00633D9F"/>
    <w:rsid w:val="00633F66"/>
    <w:rsid w:val="006342F6"/>
    <w:rsid w:val="0063491D"/>
    <w:rsid w:val="006377A6"/>
    <w:rsid w:val="00637A3D"/>
    <w:rsid w:val="006409FC"/>
    <w:rsid w:val="006411EF"/>
    <w:rsid w:val="00641577"/>
    <w:rsid w:val="006424DE"/>
    <w:rsid w:val="00642872"/>
    <w:rsid w:val="00642943"/>
    <w:rsid w:val="0064361B"/>
    <w:rsid w:val="00646450"/>
    <w:rsid w:val="006474E1"/>
    <w:rsid w:val="00650F42"/>
    <w:rsid w:val="00652C57"/>
    <w:rsid w:val="00660B48"/>
    <w:rsid w:val="00661EBC"/>
    <w:rsid w:val="00662424"/>
    <w:rsid w:val="006629C9"/>
    <w:rsid w:val="00662B31"/>
    <w:rsid w:val="00665EB7"/>
    <w:rsid w:val="00670711"/>
    <w:rsid w:val="00670A1E"/>
    <w:rsid w:val="00671658"/>
    <w:rsid w:val="00672BBE"/>
    <w:rsid w:val="00673734"/>
    <w:rsid w:val="006748B8"/>
    <w:rsid w:val="00674B2E"/>
    <w:rsid w:val="00675D5E"/>
    <w:rsid w:val="006775C3"/>
    <w:rsid w:val="00685291"/>
    <w:rsid w:val="006868F7"/>
    <w:rsid w:val="0069290A"/>
    <w:rsid w:val="00692B21"/>
    <w:rsid w:val="00693AB5"/>
    <w:rsid w:val="00694F25"/>
    <w:rsid w:val="00695D72"/>
    <w:rsid w:val="00695F26"/>
    <w:rsid w:val="006967B6"/>
    <w:rsid w:val="00696E79"/>
    <w:rsid w:val="0069775A"/>
    <w:rsid w:val="00697813"/>
    <w:rsid w:val="006A2262"/>
    <w:rsid w:val="006A3B77"/>
    <w:rsid w:val="006A3EE8"/>
    <w:rsid w:val="006A4D0E"/>
    <w:rsid w:val="006A72BF"/>
    <w:rsid w:val="006A7497"/>
    <w:rsid w:val="006A773C"/>
    <w:rsid w:val="006A7E05"/>
    <w:rsid w:val="006B03F2"/>
    <w:rsid w:val="006B09D7"/>
    <w:rsid w:val="006B09E0"/>
    <w:rsid w:val="006B37DC"/>
    <w:rsid w:val="006B425A"/>
    <w:rsid w:val="006B4F68"/>
    <w:rsid w:val="006B51D6"/>
    <w:rsid w:val="006B57BD"/>
    <w:rsid w:val="006B6322"/>
    <w:rsid w:val="006B7D3F"/>
    <w:rsid w:val="006C0592"/>
    <w:rsid w:val="006C21E0"/>
    <w:rsid w:val="006C264A"/>
    <w:rsid w:val="006C272E"/>
    <w:rsid w:val="006C5479"/>
    <w:rsid w:val="006C7BB2"/>
    <w:rsid w:val="006D0C67"/>
    <w:rsid w:val="006D135A"/>
    <w:rsid w:val="006D13B5"/>
    <w:rsid w:val="006D5BEB"/>
    <w:rsid w:val="006D5D7C"/>
    <w:rsid w:val="006E12FF"/>
    <w:rsid w:val="006E37C6"/>
    <w:rsid w:val="006E51E3"/>
    <w:rsid w:val="006E607E"/>
    <w:rsid w:val="006E67BD"/>
    <w:rsid w:val="006E7F84"/>
    <w:rsid w:val="006F0C6D"/>
    <w:rsid w:val="006F210C"/>
    <w:rsid w:val="006F27B6"/>
    <w:rsid w:val="006F3096"/>
    <w:rsid w:val="006F78D6"/>
    <w:rsid w:val="006F7CAC"/>
    <w:rsid w:val="00703188"/>
    <w:rsid w:val="00703E3D"/>
    <w:rsid w:val="007044CC"/>
    <w:rsid w:val="00706105"/>
    <w:rsid w:val="00706993"/>
    <w:rsid w:val="00706C5D"/>
    <w:rsid w:val="00707D39"/>
    <w:rsid w:val="00715883"/>
    <w:rsid w:val="00717F22"/>
    <w:rsid w:val="00724EA5"/>
    <w:rsid w:val="0072567F"/>
    <w:rsid w:val="00725CA4"/>
    <w:rsid w:val="00731435"/>
    <w:rsid w:val="00731EE3"/>
    <w:rsid w:val="0073214B"/>
    <w:rsid w:val="00732922"/>
    <w:rsid w:val="0073292E"/>
    <w:rsid w:val="00734974"/>
    <w:rsid w:val="007353F3"/>
    <w:rsid w:val="00735EA7"/>
    <w:rsid w:val="007378B0"/>
    <w:rsid w:val="0074649D"/>
    <w:rsid w:val="00750214"/>
    <w:rsid w:val="0075162E"/>
    <w:rsid w:val="00753446"/>
    <w:rsid w:val="00754034"/>
    <w:rsid w:val="0075479E"/>
    <w:rsid w:val="007558E3"/>
    <w:rsid w:val="00756556"/>
    <w:rsid w:val="007605C7"/>
    <w:rsid w:val="007618C4"/>
    <w:rsid w:val="00764FE1"/>
    <w:rsid w:val="007658BB"/>
    <w:rsid w:val="00765BED"/>
    <w:rsid w:val="00766057"/>
    <w:rsid w:val="00767980"/>
    <w:rsid w:val="00767AAF"/>
    <w:rsid w:val="00770B19"/>
    <w:rsid w:val="00774516"/>
    <w:rsid w:val="0077463F"/>
    <w:rsid w:val="00775B8D"/>
    <w:rsid w:val="00777DD7"/>
    <w:rsid w:val="007804FE"/>
    <w:rsid w:val="007810BA"/>
    <w:rsid w:val="00781155"/>
    <w:rsid w:val="007836EA"/>
    <w:rsid w:val="00783981"/>
    <w:rsid w:val="00784CDA"/>
    <w:rsid w:val="00787102"/>
    <w:rsid w:val="007874DA"/>
    <w:rsid w:val="0078754A"/>
    <w:rsid w:val="007906C4"/>
    <w:rsid w:val="00790D18"/>
    <w:rsid w:val="00791E67"/>
    <w:rsid w:val="00791E8A"/>
    <w:rsid w:val="0079230E"/>
    <w:rsid w:val="007940EA"/>
    <w:rsid w:val="007943AC"/>
    <w:rsid w:val="00794608"/>
    <w:rsid w:val="007946C1"/>
    <w:rsid w:val="007967E8"/>
    <w:rsid w:val="007A0966"/>
    <w:rsid w:val="007A09AB"/>
    <w:rsid w:val="007A1285"/>
    <w:rsid w:val="007A1515"/>
    <w:rsid w:val="007A2170"/>
    <w:rsid w:val="007A22BF"/>
    <w:rsid w:val="007A3323"/>
    <w:rsid w:val="007A3BBE"/>
    <w:rsid w:val="007A3C9F"/>
    <w:rsid w:val="007A3DDB"/>
    <w:rsid w:val="007A764F"/>
    <w:rsid w:val="007B0CC3"/>
    <w:rsid w:val="007B72B8"/>
    <w:rsid w:val="007B7418"/>
    <w:rsid w:val="007B75CF"/>
    <w:rsid w:val="007B7A58"/>
    <w:rsid w:val="007C1C46"/>
    <w:rsid w:val="007C21B5"/>
    <w:rsid w:val="007C3CE8"/>
    <w:rsid w:val="007C4391"/>
    <w:rsid w:val="007C4C7F"/>
    <w:rsid w:val="007C6018"/>
    <w:rsid w:val="007C662D"/>
    <w:rsid w:val="007C6646"/>
    <w:rsid w:val="007C72D5"/>
    <w:rsid w:val="007D0E9D"/>
    <w:rsid w:val="007D3AB3"/>
    <w:rsid w:val="007D449D"/>
    <w:rsid w:val="007D4F07"/>
    <w:rsid w:val="007D53E6"/>
    <w:rsid w:val="007D7A39"/>
    <w:rsid w:val="007E0290"/>
    <w:rsid w:val="007E1CDC"/>
    <w:rsid w:val="007E38C0"/>
    <w:rsid w:val="007E3F66"/>
    <w:rsid w:val="007E4BD2"/>
    <w:rsid w:val="007E71A2"/>
    <w:rsid w:val="007E7C7C"/>
    <w:rsid w:val="007F24E5"/>
    <w:rsid w:val="007F761C"/>
    <w:rsid w:val="00801393"/>
    <w:rsid w:val="00802F88"/>
    <w:rsid w:val="00805143"/>
    <w:rsid w:val="008125C0"/>
    <w:rsid w:val="00812849"/>
    <w:rsid w:val="0081293E"/>
    <w:rsid w:val="0081346F"/>
    <w:rsid w:val="00815465"/>
    <w:rsid w:val="00817AB1"/>
    <w:rsid w:val="00817E9A"/>
    <w:rsid w:val="008209AA"/>
    <w:rsid w:val="008211A3"/>
    <w:rsid w:val="00823690"/>
    <w:rsid w:val="00824483"/>
    <w:rsid w:val="008246D9"/>
    <w:rsid w:val="008306BD"/>
    <w:rsid w:val="00831A80"/>
    <w:rsid w:val="00833743"/>
    <w:rsid w:val="00833C56"/>
    <w:rsid w:val="008340A4"/>
    <w:rsid w:val="00836E96"/>
    <w:rsid w:val="00840767"/>
    <w:rsid w:val="00840866"/>
    <w:rsid w:val="00840C85"/>
    <w:rsid w:val="00840D52"/>
    <w:rsid w:val="0084171F"/>
    <w:rsid w:val="00841F3E"/>
    <w:rsid w:val="008421F3"/>
    <w:rsid w:val="008445A0"/>
    <w:rsid w:val="008445EA"/>
    <w:rsid w:val="00852E03"/>
    <w:rsid w:val="00857B00"/>
    <w:rsid w:val="0086599A"/>
    <w:rsid w:val="008706F4"/>
    <w:rsid w:val="00870A9F"/>
    <w:rsid w:val="0087135F"/>
    <w:rsid w:val="008725C1"/>
    <w:rsid w:val="00872D94"/>
    <w:rsid w:val="00874B58"/>
    <w:rsid w:val="00875FE6"/>
    <w:rsid w:val="008766B5"/>
    <w:rsid w:val="00877AD9"/>
    <w:rsid w:val="00880364"/>
    <w:rsid w:val="0088045E"/>
    <w:rsid w:val="0088062D"/>
    <w:rsid w:val="0088226D"/>
    <w:rsid w:val="00884315"/>
    <w:rsid w:val="00886C8D"/>
    <w:rsid w:val="00886D38"/>
    <w:rsid w:val="00891592"/>
    <w:rsid w:val="00891E9E"/>
    <w:rsid w:val="00893F69"/>
    <w:rsid w:val="00896AF4"/>
    <w:rsid w:val="00896ECC"/>
    <w:rsid w:val="008A10F9"/>
    <w:rsid w:val="008A2F68"/>
    <w:rsid w:val="008A6226"/>
    <w:rsid w:val="008A68B2"/>
    <w:rsid w:val="008B03DE"/>
    <w:rsid w:val="008B0439"/>
    <w:rsid w:val="008B0DAA"/>
    <w:rsid w:val="008B142A"/>
    <w:rsid w:val="008B1D8E"/>
    <w:rsid w:val="008B4FA6"/>
    <w:rsid w:val="008B4FFC"/>
    <w:rsid w:val="008B5282"/>
    <w:rsid w:val="008B54FE"/>
    <w:rsid w:val="008B687D"/>
    <w:rsid w:val="008B7C17"/>
    <w:rsid w:val="008B7ECE"/>
    <w:rsid w:val="008C17BB"/>
    <w:rsid w:val="008C2D01"/>
    <w:rsid w:val="008C40E6"/>
    <w:rsid w:val="008C707E"/>
    <w:rsid w:val="008C7714"/>
    <w:rsid w:val="008C7DEE"/>
    <w:rsid w:val="008D0F7A"/>
    <w:rsid w:val="008D14AA"/>
    <w:rsid w:val="008D24F7"/>
    <w:rsid w:val="008D29D2"/>
    <w:rsid w:val="008D5712"/>
    <w:rsid w:val="008D68E4"/>
    <w:rsid w:val="008E0506"/>
    <w:rsid w:val="008E0CFF"/>
    <w:rsid w:val="008E1DFD"/>
    <w:rsid w:val="008E20A2"/>
    <w:rsid w:val="008E2F6F"/>
    <w:rsid w:val="008E5D6B"/>
    <w:rsid w:val="008E6C68"/>
    <w:rsid w:val="008E76F0"/>
    <w:rsid w:val="008F13A0"/>
    <w:rsid w:val="008F15FE"/>
    <w:rsid w:val="008F18AD"/>
    <w:rsid w:val="008F1E11"/>
    <w:rsid w:val="008F26DE"/>
    <w:rsid w:val="008F2D29"/>
    <w:rsid w:val="008F5187"/>
    <w:rsid w:val="008F60D8"/>
    <w:rsid w:val="008F6ADC"/>
    <w:rsid w:val="00902727"/>
    <w:rsid w:val="0090312B"/>
    <w:rsid w:val="00903A3A"/>
    <w:rsid w:val="00903B74"/>
    <w:rsid w:val="0090669B"/>
    <w:rsid w:val="00910DF9"/>
    <w:rsid w:val="009152E3"/>
    <w:rsid w:val="0091567F"/>
    <w:rsid w:val="00916161"/>
    <w:rsid w:val="0091736D"/>
    <w:rsid w:val="00923CDC"/>
    <w:rsid w:val="00925745"/>
    <w:rsid w:val="0093037A"/>
    <w:rsid w:val="00931B55"/>
    <w:rsid w:val="00934493"/>
    <w:rsid w:val="009347ED"/>
    <w:rsid w:val="0093594A"/>
    <w:rsid w:val="0094022D"/>
    <w:rsid w:val="0094154D"/>
    <w:rsid w:val="00941C39"/>
    <w:rsid w:val="00945344"/>
    <w:rsid w:val="00945B39"/>
    <w:rsid w:val="0095032B"/>
    <w:rsid w:val="00950E22"/>
    <w:rsid w:val="0095155F"/>
    <w:rsid w:val="00954429"/>
    <w:rsid w:val="009563CE"/>
    <w:rsid w:val="009608BB"/>
    <w:rsid w:val="009625D4"/>
    <w:rsid w:val="00962643"/>
    <w:rsid w:val="00963C70"/>
    <w:rsid w:val="0096402D"/>
    <w:rsid w:val="0096436E"/>
    <w:rsid w:val="009672C1"/>
    <w:rsid w:val="00970B25"/>
    <w:rsid w:val="00970E54"/>
    <w:rsid w:val="00974D41"/>
    <w:rsid w:val="00976328"/>
    <w:rsid w:val="0097680D"/>
    <w:rsid w:val="00980BA1"/>
    <w:rsid w:val="00981112"/>
    <w:rsid w:val="00981EDE"/>
    <w:rsid w:val="00982438"/>
    <w:rsid w:val="00982CAC"/>
    <w:rsid w:val="009834E3"/>
    <w:rsid w:val="00983814"/>
    <w:rsid w:val="0098404C"/>
    <w:rsid w:val="00985283"/>
    <w:rsid w:val="00985657"/>
    <w:rsid w:val="00986A13"/>
    <w:rsid w:val="0099016D"/>
    <w:rsid w:val="00993C2F"/>
    <w:rsid w:val="00995992"/>
    <w:rsid w:val="00996A64"/>
    <w:rsid w:val="009A03E5"/>
    <w:rsid w:val="009A0F3B"/>
    <w:rsid w:val="009A14CB"/>
    <w:rsid w:val="009A1BB4"/>
    <w:rsid w:val="009A2628"/>
    <w:rsid w:val="009A3200"/>
    <w:rsid w:val="009A4D0B"/>
    <w:rsid w:val="009A5A36"/>
    <w:rsid w:val="009A7C09"/>
    <w:rsid w:val="009B0897"/>
    <w:rsid w:val="009B2158"/>
    <w:rsid w:val="009B70A7"/>
    <w:rsid w:val="009B7BD9"/>
    <w:rsid w:val="009C2083"/>
    <w:rsid w:val="009C20E8"/>
    <w:rsid w:val="009C79AE"/>
    <w:rsid w:val="009C7DD5"/>
    <w:rsid w:val="009D2DF5"/>
    <w:rsid w:val="009D66CF"/>
    <w:rsid w:val="009E0E25"/>
    <w:rsid w:val="009E227D"/>
    <w:rsid w:val="009E2EE7"/>
    <w:rsid w:val="009E4173"/>
    <w:rsid w:val="009E5019"/>
    <w:rsid w:val="009E71DF"/>
    <w:rsid w:val="009E7A95"/>
    <w:rsid w:val="009F0FF0"/>
    <w:rsid w:val="009F39E2"/>
    <w:rsid w:val="009F7AFF"/>
    <w:rsid w:val="00A00620"/>
    <w:rsid w:val="00A00A9D"/>
    <w:rsid w:val="00A00F97"/>
    <w:rsid w:val="00A045D2"/>
    <w:rsid w:val="00A04F1B"/>
    <w:rsid w:val="00A0501B"/>
    <w:rsid w:val="00A05100"/>
    <w:rsid w:val="00A07324"/>
    <w:rsid w:val="00A11DD8"/>
    <w:rsid w:val="00A14947"/>
    <w:rsid w:val="00A14B26"/>
    <w:rsid w:val="00A1532C"/>
    <w:rsid w:val="00A16D79"/>
    <w:rsid w:val="00A174AB"/>
    <w:rsid w:val="00A2103C"/>
    <w:rsid w:val="00A22228"/>
    <w:rsid w:val="00A236F8"/>
    <w:rsid w:val="00A24614"/>
    <w:rsid w:val="00A2503E"/>
    <w:rsid w:val="00A2623F"/>
    <w:rsid w:val="00A3097A"/>
    <w:rsid w:val="00A30A77"/>
    <w:rsid w:val="00A32A83"/>
    <w:rsid w:val="00A35A8D"/>
    <w:rsid w:val="00A368DB"/>
    <w:rsid w:val="00A40197"/>
    <w:rsid w:val="00A403BE"/>
    <w:rsid w:val="00A41516"/>
    <w:rsid w:val="00A41AEE"/>
    <w:rsid w:val="00A423AA"/>
    <w:rsid w:val="00A43165"/>
    <w:rsid w:val="00A45C99"/>
    <w:rsid w:val="00A474BE"/>
    <w:rsid w:val="00A47B23"/>
    <w:rsid w:val="00A502F8"/>
    <w:rsid w:val="00A523FD"/>
    <w:rsid w:val="00A5260B"/>
    <w:rsid w:val="00A53EC6"/>
    <w:rsid w:val="00A543E4"/>
    <w:rsid w:val="00A544BA"/>
    <w:rsid w:val="00A55B6B"/>
    <w:rsid w:val="00A55C0F"/>
    <w:rsid w:val="00A5681B"/>
    <w:rsid w:val="00A571A8"/>
    <w:rsid w:val="00A631F9"/>
    <w:rsid w:val="00A656A9"/>
    <w:rsid w:val="00A663D6"/>
    <w:rsid w:val="00A67B9C"/>
    <w:rsid w:val="00A70764"/>
    <w:rsid w:val="00A72704"/>
    <w:rsid w:val="00A74266"/>
    <w:rsid w:val="00A74C2A"/>
    <w:rsid w:val="00A74D3B"/>
    <w:rsid w:val="00A75471"/>
    <w:rsid w:val="00A75B02"/>
    <w:rsid w:val="00A75F14"/>
    <w:rsid w:val="00A776E9"/>
    <w:rsid w:val="00A823DD"/>
    <w:rsid w:val="00A8285B"/>
    <w:rsid w:val="00A84C74"/>
    <w:rsid w:val="00A85377"/>
    <w:rsid w:val="00A8713F"/>
    <w:rsid w:val="00A87A8C"/>
    <w:rsid w:val="00A90A87"/>
    <w:rsid w:val="00A90BA1"/>
    <w:rsid w:val="00A919FD"/>
    <w:rsid w:val="00A93562"/>
    <w:rsid w:val="00A935AA"/>
    <w:rsid w:val="00A93FF9"/>
    <w:rsid w:val="00A96BCB"/>
    <w:rsid w:val="00A97A9A"/>
    <w:rsid w:val="00A97D5D"/>
    <w:rsid w:val="00AA0671"/>
    <w:rsid w:val="00AA2531"/>
    <w:rsid w:val="00AA3BAC"/>
    <w:rsid w:val="00AA555C"/>
    <w:rsid w:val="00AA5B45"/>
    <w:rsid w:val="00AA5E2C"/>
    <w:rsid w:val="00AA62FE"/>
    <w:rsid w:val="00AA6EBD"/>
    <w:rsid w:val="00AB0020"/>
    <w:rsid w:val="00AB1E09"/>
    <w:rsid w:val="00AB2A3F"/>
    <w:rsid w:val="00AB2E42"/>
    <w:rsid w:val="00AB5330"/>
    <w:rsid w:val="00AB54AD"/>
    <w:rsid w:val="00AB7656"/>
    <w:rsid w:val="00AB7747"/>
    <w:rsid w:val="00AC0D25"/>
    <w:rsid w:val="00AC14CE"/>
    <w:rsid w:val="00AC24C5"/>
    <w:rsid w:val="00AC2A56"/>
    <w:rsid w:val="00AC2D1C"/>
    <w:rsid w:val="00AC6E1F"/>
    <w:rsid w:val="00AD055E"/>
    <w:rsid w:val="00AD32F1"/>
    <w:rsid w:val="00AD3828"/>
    <w:rsid w:val="00AD38F5"/>
    <w:rsid w:val="00AD45A6"/>
    <w:rsid w:val="00AD47A7"/>
    <w:rsid w:val="00AD52E4"/>
    <w:rsid w:val="00AD5B36"/>
    <w:rsid w:val="00AD6165"/>
    <w:rsid w:val="00AD62E3"/>
    <w:rsid w:val="00AD7640"/>
    <w:rsid w:val="00AE12CE"/>
    <w:rsid w:val="00AF0741"/>
    <w:rsid w:val="00AF0C30"/>
    <w:rsid w:val="00AF0CBF"/>
    <w:rsid w:val="00AF257F"/>
    <w:rsid w:val="00AF3015"/>
    <w:rsid w:val="00AF33CF"/>
    <w:rsid w:val="00AF3563"/>
    <w:rsid w:val="00AF3E2D"/>
    <w:rsid w:val="00AF4D50"/>
    <w:rsid w:val="00AF4DD8"/>
    <w:rsid w:val="00AF5362"/>
    <w:rsid w:val="00AF6179"/>
    <w:rsid w:val="00AF7E99"/>
    <w:rsid w:val="00B01423"/>
    <w:rsid w:val="00B020E9"/>
    <w:rsid w:val="00B04EB3"/>
    <w:rsid w:val="00B0568F"/>
    <w:rsid w:val="00B06C36"/>
    <w:rsid w:val="00B11B4C"/>
    <w:rsid w:val="00B1284F"/>
    <w:rsid w:val="00B1295A"/>
    <w:rsid w:val="00B14C8F"/>
    <w:rsid w:val="00B154E3"/>
    <w:rsid w:val="00B155CD"/>
    <w:rsid w:val="00B15DE7"/>
    <w:rsid w:val="00B16A15"/>
    <w:rsid w:val="00B20A45"/>
    <w:rsid w:val="00B22C5C"/>
    <w:rsid w:val="00B22D87"/>
    <w:rsid w:val="00B24F30"/>
    <w:rsid w:val="00B31ABF"/>
    <w:rsid w:val="00B33BE3"/>
    <w:rsid w:val="00B33F67"/>
    <w:rsid w:val="00B343A9"/>
    <w:rsid w:val="00B344DD"/>
    <w:rsid w:val="00B34822"/>
    <w:rsid w:val="00B3603B"/>
    <w:rsid w:val="00B40FD4"/>
    <w:rsid w:val="00B43B81"/>
    <w:rsid w:val="00B46C78"/>
    <w:rsid w:val="00B479D0"/>
    <w:rsid w:val="00B5307E"/>
    <w:rsid w:val="00B5326E"/>
    <w:rsid w:val="00B53B5D"/>
    <w:rsid w:val="00B56D30"/>
    <w:rsid w:val="00B56D60"/>
    <w:rsid w:val="00B57601"/>
    <w:rsid w:val="00B6055E"/>
    <w:rsid w:val="00B6317D"/>
    <w:rsid w:val="00B63EDC"/>
    <w:rsid w:val="00B64806"/>
    <w:rsid w:val="00B66D4D"/>
    <w:rsid w:val="00B67305"/>
    <w:rsid w:val="00B70704"/>
    <w:rsid w:val="00B71272"/>
    <w:rsid w:val="00B7684A"/>
    <w:rsid w:val="00B76FB5"/>
    <w:rsid w:val="00B7723F"/>
    <w:rsid w:val="00B80534"/>
    <w:rsid w:val="00B8433C"/>
    <w:rsid w:val="00B84768"/>
    <w:rsid w:val="00B85486"/>
    <w:rsid w:val="00B85918"/>
    <w:rsid w:val="00B87491"/>
    <w:rsid w:val="00B92FF1"/>
    <w:rsid w:val="00B9386D"/>
    <w:rsid w:val="00B93EC2"/>
    <w:rsid w:val="00B95A63"/>
    <w:rsid w:val="00BA2985"/>
    <w:rsid w:val="00BA29E9"/>
    <w:rsid w:val="00BA416C"/>
    <w:rsid w:val="00BA4CE2"/>
    <w:rsid w:val="00BA4E13"/>
    <w:rsid w:val="00BA7142"/>
    <w:rsid w:val="00BA76E9"/>
    <w:rsid w:val="00BA7C36"/>
    <w:rsid w:val="00BB0C8F"/>
    <w:rsid w:val="00BB237C"/>
    <w:rsid w:val="00BB41A3"/>
    <w:rsid w:val="00BB4F28"/>
    <w:rsid w:val="00BB54DE"/>
    <w:rsid w:val="00BC0252"/>
    <w:rsid w:val="00BC0FD8"/>
    <w:rsid w:val="00BC191B"/>
    <w:rsid w:val="00BC2196"/>
    <w:rsid w:val="00BC2B33"/>
    <w:rsid w:val="00BC2DD9"/>
    <w:rsid w:val="00BC32DC"/>
    <w:rsid w:val="00BC35B6"/>
    <w:rsid w:val="00BC35E0"/>
    <w:rsid w:val="00BC4DFF"/>
    <w:rsid w:val="00BC4E05"/>
    <w:rsid w:val="00BC6E72"/>
    <w:rsid w:val="00BD1B51"/>
    <w:rsid w:val="00BD2D47"/>
    <w:rsid w:val="00BD4596"/>
    <w:rsid w:val="00BD501B"/>
    <w:rsid w:val="00BD59AF"/>
    <w:rsid w:val="00BD661C"/>
    <w:rsid w:val="00BE1405"/>
    <w:rsid w:val="00BE312D"/>
    <w:rsid w:val="00BF04B3"/>
    <w:rsid w:val="00BF1AE7"/>
    <w:rsid w:val="00BF1BE9"/>
    <w:rsid w:val="00BF1C20"/>
    <w:rsid w:val="00BF55F9"/>
    <w:rsid w:val="00BF79B0"/>
    <w:rsid w:val="00C04819"/>
    <w:rsid w:val="00C05659"/>
    <w:rsid w:val="00C07EB9"/>
    <w:rsid w:val="00C10578"/>
    <w:rsid w:val="00C1177D"/>
    <w:rsid w:val="00C11CCA"/>
    <w:rsid w:val="00C12211"/>
    <w:rsid w:val="00C135BC"/>
    <w:rsid w:val="00C14FF1"/>
    <w:rsid w:val="00C15C95"/>
    <w:rsid w:val="00C15CF2"/>
    <w:rsid w:val="00C170B7"/>
    <w:rsid w:val="00C176EF"/>
    <w:rsid w:val="00C22CD2"/>
    <w:rsid w:val="00C23798"/>
    <w:rsid w:val="00C2596A"/>
    <w:rsid w:val="00C26854"/>
    <w:rsid w:val="00C2716A"/>
    <w:rsid w:val="00C27537"/>
    <w:rsid w:val="00C31FA4"/>
    <w:rsid w:val="00C3244E"/>
    <w:rsid w:val="00C328FE"/>
    <w:rsid w:val="00C33507"/>
    <w:rsid w:val="00C361E9"/>
    <w:rsid w:val="00C41DA5"/>
    <w:rsid w:val="00C420A9"/>
    <w:rsid w:val="00C4380D"/>
    <w:rsid w:val="00C4409D"/>
    <w:rsid w:val="00C44D2E"/>
    <w:rsid w:val="00C44E72"/>
    <w:rsid w:val="00C45A06"/>
    <w:rsid w:val="00C46FDC"/>
    <w:rsid w:val="00C470CC"/>
    <w:rsid w:val="00C47E5B"/>
    <w:rsid w:val="00C53224"/>
    <w:rsid w:val="00C532AC"/>
    <w:rsid w:val="00C53E80"/>
    <w:rsid w:val="00C54DED"/>
    <w:rsid w:val="00C56268"/>
    <w:rsid w:val="00C61E4B"/>
    <w:rsid w:val="00C64BFF"/>
    <w:rsid w:val="00C65CA6"/>
    <w:rsid w:val="00C66E3A"/>
    <w:rsid w:val="00C704E9"/>
    <w:rsid w:val="00C747DB"/>
    <w:rsid w:val="00C763C9"/>
    <w:rsid w:val="00C77CC0"/>
    <w:rsid w:val="00C80057"/>
    <w:rsid w:val="00C810CE"/>
    <w:rsid w:val="00C82042"/>
    <w:rsid w:val="00C82232"/>
    <w:rsid w:val="00C82913"/>
    <w:rsid w:val="00C836E8"/>
    <w:rsid w:val="00C90A14"/>
    <w:rsid w:val="00C91DF9"/>
    <w:rsid w:val="00C926FD"/>
    <w:rsid w:val="00C940FF"/>
    <w:rsid w:val="00C9529A"/>
    <w:rsid w:val="00C965CE"/>
    <w:rsid w:val="00C972B1"/>
    <w:rsid w:val="00CA0E1E"/>
    <w:rsid w:val="00CA2CCE"/>
    <w:rsid w:val="00CA3B43"/>
    <w:rsid w:val="00CA43FD"/>
    <w:rsid w:val="00CA4B9C"/>
    <w:rsid w:val="00CA4BCC"/>
    <w:rsid w:val="00CA7EB5"/>
    <w:rsid w:val="00CA7EF8"/>
    <w:rsid w:val="00CB14C7"/>
    <w:rsid w:val="00CB2499"/>
    <w:rsid w:val="00CB252C"/>
    <w:rsid w:val="00CB40A4"/>
    <w:rsid w:val="00CB45D8"/>
    <w:rsid w:val="00CB4703"/>
    <w:rsid w:val="00CB71F3"/>
    <w:rsid w:val="00CC1EA8"/>
    <w:rsid w:val="00CC2AA3"/>
    <w:rsid w:val="00CC3185"/>
    <w:rsid w:val="00CC4617"/>
    <w:rsid w:val="00CC489B"/>
    <w:rsid w:val="00CC76BD"/>
    <w:rsid w:val="00CC77F4"/>
    <w:rsid w:val="00CD2BCD"/>
    <w:rsid w:val="00CD3A4C"/>
    <w:rsid w:val="00CD63DA"/>
    <w:rsid w:val="00CE0D4E"/>
    <w:rsid w:val="00CE10E9"/>
    <w:rsid w:val="00CE2910"/>
    <w:rsid w:val="00CE3B11"/>
    <w:rsid w:val="00CE5393"/>
    <w:rsid w:val="00CE5F71"/>
    <w:rsid w:val="00CF0879"/>
    <w:rsid w:val="00CF0F80"/>
    <w:rsid w:val="00CF36BE"/>
    <w:rsid w:val="00CF41B9"/>
    <w:rsid w:val="00CF5053"/>
    <w:rsid w:val="00CF5468"/>
    <w:rsid w:val="00CF6000"/>
    <w:rsid w:val="00D003F3"/>
    <w:rsid w:val="00D005FC"/>
    <w:rsid w:val="00D0121C"/>
    <w:rsid w:val="00D0364F"/>
    <w:rsid w:val="00D05668"/>
    <w:rsid w:val="00D06383"/>
    <w:rsid w:val="00D06834"/>
    <w:rsid w:val="00D069D4"/>
    <w:rsid w:val="00D106C9"/>
    <w:rsid w:val="00D113E1"/>
    <w:rsid w:val="00D129F1"/>
    <w:rsid w:val="00D14388"/>
    <w:rsid w:val="00D2035C"/>
    <w:rsid w:val="00D26AFA"/>
    <w:rsid w:val="00D308ED"/>
    <w:rsid w:val="00D31CC3"/>
    <w:rsid w:val="00D32680"/>
    <w:rsid w:val="00D32770"/>
    <w:rsid w:val="00D36279"/>
    <w:rsid w:val="00D36D86"/>
    <w:rsid w:val="00D40737"/>
    <w:rsid w:val="00D4130A"/>
    <w:rsid w:val="00D428AA"/>
    <w:rsid w:val="00D432FA"/>
    <w:rsid w:val="00D43C6D"/>
    <w:rsid w:val="00D4428E"/>
    <w:rsid w:val="00D502FC"/>
    <w:rsid w:val="00D50A34"/>
    <w:rsid w:val="00D50F49"/>
    <w:rsid w:val="00D51033"/>
    <w:rsid w:val="00D52B95"/>
    <w:rsid w:val="00D53EFA"/>
    <w:rsid w:val="00D65354"/>
    <w:rsid w:val="00D6585E"/>
    <w:rsid w:val="00D71089"/>
    <w:rsid w:val="00D71CDD"/>
    <w:rsid w:val="00D72418"/>
    <w:rsid w:val="00D7578D"/>
    <w:rsid w:val="00D77A6E"/>
    <w:rsid w:val="00D82683"/>
    <w:rsid w:val="00D8406F"/>
    <w:rsid w:val="00D851CC"/>
    <w:rsid w:val="00D8547A"/>
    <w:rsid w:val="00D863A7"/>
    <w:rsid w:val="00D871FA"/>
    <w:rsid w:val="00D91D2A"/>
    <w:rsid w:val="00D922AE"/>
    <w:rsid w:val="00D9360D"/>
    <w:rsid w:val="00D9400C"/>
    <w:rsid w:val="00D94A7C"/>
    <w:rsid w:val="00D95896"/>
    <w:rsid w:val="00DA4F59"/>
    <w:rsid w:val="00DA5032"/>
    <w:rsid w:val="00DB1425"/>
    <w:rsid w:val="00DB1C68"/>
    <w:rsid w:val="00DB2983"/>
    <w:rsid w:val="00DB41E4"/>
    <w:rsid w:val="00DC06E6"/>
    <w:rsid w:val="00DC1257"/>
    <w:rsid w:val="00DC23C1"/>
    <w:rsid w:val="00DC3DC0"/>
    <w:rsid w:val="00DC4119"/>
    <w:rsid w:val="00DC5B2B"/>
    <w:rsid w:val="00DD1163"/>
    <w:rsid w:val="00DD1927"/>
    <w:rsid w:val="00DD1F6A"/>
    <w:rsid w:val="00DD2780"/>
    <w:rsid w:val="00DD3093"/>
    <w:rsid w:val="00DD318D"/>
    <w:rsid w:val="00DD3EB9"/>
    <w:rsid w:val="00DD46B2"/>
    <w:rsid w:val="00DD669A"/>
    <w:rsid w:val="00DE0E87"/>
    <w:rsid w:val="00DE15EA"/>
    <w:rsid w:val="00DE1CBA"/>
    <w:rsid w:val="00DE5323"/>
    <w:rsid w:val="00DE609F"/>
    <w:rsid w:val="00DE692B"/>
    <w:rsid w:val="00DF00E4"/>
    <w:rsid w:val="00DF1883"/>
    <w:rsid w:val="00DF2E12"/>
    <w:rsid w:val="00DF514A"/>
    <w:rsid w:val="00DF59F7"/>
    <w:rsid w:val="00DF6690"/>
    <w:rsid w:val="00DF6804"/>
    <w:rsid w:val="00DF7119"/>
    <w:rsid w:val="00DF71B3"/>
    <w:rsid w:val="00DF7E94"/>
    <w:rsid w:val="00E003D2"/>
    <w:rsid w:val="00E013FB"/>
    <w:rsid w:val="00E01A78"/>
    <w:rsid w:val="00E0358D"/>
    <w:rsid w:val="00E04323"/>
    <w:rsid w:val="00E04B90"/>
    <w:rsid w:val="00E054D5"/>
    <w:rsid w:val="00E067FB"/>
    <w:rsid w:val="00E06F60"/>
    <w:rsid w:val="00E070A2"/>
    <w:rsid w:val="00E150E0"/>
    <w:rsid w:val="00E20202"/>
    <w:rsid w:val="00E2069B"/>
    <w:rsid w:val="00E21363"/>
    <w:rsid w:val="00E23C14"/>
    <w:rsid w:val="00E2656A"/>
    <w:rsid w:val="00E27093"/>
    <w:rsid w:val="00E30FAC"/>
    <w:rsid w:val="00E34CF6"/>
    <w:rsid w:val="00E372D9"/>
    <w:rsid w:val="00E37366"/>
    <w:rsid w:val="00E37E15"/>
    <w:rsid w:val="00E40AA4"/>
    <w:rsid w:val="00E412D0"/>
    <w:rsid w:val="00E41512"/>
    <w:rsid w:val="00E41C81"/>
    <w:rsid w:val="00E4351C"/>
    <w:rsid w:val="00E45704"/>
    <w:rsid w:val="00E46E6D"/>
    <w:rsid w:val="00E4701D"/>
    <w:rsid w:val="00E4747B"/>
    <w:rsid w:val="00E51626"/>
    <w:rsid w:val="00E52FF0"/>
    <w:rsid w:val="00E549C1"/>
    <w:rsid w:val="00E557E6"/>
    <w:rsid w:val="00E55C81"/>
    <w:rsid w:val="00E56322"/>
    <w:rsid w:val="00E607FD"/>
    <w:rsid w:val="00E60982"/>
    <w:rsid w:val="00E62C62"/>
    <w:rsid w:val="00E63C9D"/>
    <w:rsid w:val="00E654C1"/>
    <w:rsid w:val="00E65906"/>
    <w:rsid w:val="00E65D97"/>
    <w:rsid w:val="00E67D28"/>
    <w:rsid w:val="00E70F07"/>
    <w:rsid w:val="00E72A5A"/>
    <w:rsid w:val="00E73354"/>
    <w:rsid w:val="00E73B5E"/>
    <w:rsid w:val="00E75BD1"/>
    <w:rsid w:val="00E82174"/>
    <w:rsid w:val="00E82945"/>
    <w:rsid w:val="00E830C4"/>
    <w:rsid w:val="00E862EB"/>
    <w:rsid w:val="00E87DD6"/>
    <w:rsid w:val="00E91272"/>
    <w:rsid w:val="00E9242D"/>
    <w:rsid w:val="00E9327D"/>
    <w:rsid w:val="00E9382A"/>
    <w:rsid w:val="00E939AA"/>
    <w:rsid w:val="00E93ADE"/>
    <w:rsid w:val="00E94334"/>
    <w:rsid w:val="00E94852"/>
    <w:rsid w:val="00E95CAC"/>
    <w:rsid w:val="00E97ECB"/>
    <w:rsid w:val="00EA14EA"/>
    <w:rsid w:val="00EA1513"/>
    <w:rsid w:val="00EA2965"/>
    <w:rsid w:val="00EA7024"/>
    <w:rsid w:val="00EB07E2"/>
    <w:rsid w:val="00EB15A4"/>
    <w:rsid w:val="00EB298D"/>
    <w:rsid w:val="00EB5255"/>
    <w:rsid w:val="00EB5C47"/>
    <w:rsid w:val="00EC12DB"/>
    <w:rsid w:val="00EC2FB9"/>
    <w:rsid w:val="00EC3BB9"/>
    <w:rsid w:val="00ED0639"/>
    <w:rsid w:val="00ED0665"/>
    <w:rsid w:val="00ED1A85"/>
    <w:rsid w:val="00ED1E29"/>
    <w:rsid w:val="00ED4076"/>
    <w:rsid w:val="00ED5F9F"/>
    <w:rsid w:val="00ED68E9"/>
    <w:rsid w:val="00EE0C68"/>
    <w:rsid w:val="00EE1AB0"/>
    <w:rsid w:val="00EE209E"/>
    <w:rsid w:val="00EE27AE"/>
    <w:rsid w:val="00EE7401"/>
    <w:rsid w:val="00EF09B7"/>
    <w:rsid w:val="00EF1297"/>
    <w:rsid w:val="00EF2872"/>
    <w:rsid w:val="00EF3C62"/>
    <w:rsid w:val="00EF41ED"/>
    <w:rsid w:val="00EF4279"/>
    <w:rsid w:val="00EF4755"/>
    <w:rsid w:val="00EF4F57"/>
    <w:rsid w:val="00EF7135"/>
    <w:rsid w:val="00EF7E35"/>
    <w:rsid w:val="00F0006A"/>
    <w:rsid w:val="00F00D99"/>
    <w:rsid w:val="00F027DB"/>
    <w:rsid w:val="00F02842"/>
    <w:rsid w:val="00F03A28"/>
    <w:rsid w:val="00F0474D"/>
    <w:rsid w:val="00F14284"/>
    <w:rsid w:val="00F14A7A"/>
    <w:rsid w:val="00F15903"/>
    <w:rsid w:val="00F22985"/>
    <w:rsid w:val="00F22C99"/>
    <w:rsid w:val="00F317C3"/>
    <w:rsid w:val="00F329DD"/>
    <w:rsid w:val="00F3383E"/>
    <w:rsid w:val="00F348A5"/>
    <w:rsid w:val="00F3770C"/>
    <w:rsid w:val="00F4068C"/>
    <w:rsid w:val="00F42A23"/>
    <w:rsid w:val="00F42F12"/>
    <w:rsid w:val="00F4585E"/>
    <w:rsid w:val="00F459F9"/>
    <w:rsid w:val="00F465A7"/>
    <w:rsid w:val="00F47A1A"/>
    <w:rsid w:val="00F502B2"/>
    <w:rsid w:val="00F5058C"/>
    <w:rsid w:val="00F50B7C"/>
    <w:rsid w:val="00F51A30"/>
    <w:rsid w:val="00F550E6"/>
    <w:rsid w:val="00F55849"/>
    <w:rsid w:val="00F60F39"/>
    <w:rsid w:val="00F610AA"/>
    <w:rsid w:val="00F620FD"/>
    <w:rsid w:val="00F627A0"/>
    <w:rsid w:val="00F70479"/>
    <w:rsid w:val="00F7180A"/>
    <w:rsid w:val="00F7219A"/>
    <w:rsid w:val="00F74345"/>
    <w:rsid w:val="00F74EBA"/>
    <w:rsid w:val="00F75A3C"/>
    <w:rsid w:val="00F75C19"/>
    <w:rsid w:val="00F7601D"/>
    <w:rsid w:val="00F80A0A"/>
    <w:rsid w:val="00F82109"/>
    <w:rsid w:val="00F82B19"/>
    <w:rsid w:val="00F86FF7"/>
    <w:rsid w:val="00F91147"/>
    <w:rsid w:val="00F9212D"/>
    <w:rsid w:val="00F9335C"/>
    <w:rsid w:val="00F938B1"/>
    <w:rsid w:val="00F93980"/>
    <w:rsid w:val="00F958A6"/>
    <w:rsid w:val="00F965DA"/>
    <w:rsid w:val="00FA278A"/>
    <w:rsid w:val="00FA2DD8"/>
    <w:rsid w:val="00FA3F89"/>
    <w:rsid w:val="00FA406A"/>
    <w:rsid w:val="00FA7100"/>
    <w:rsid w:val="00FA7F0D"/>
    <w:rsid w:val="00FB39B3"/>
    <w:rsid w:val="00FB503A"/>
    <w:rsid w:val="00FB516C"/>
    <w:rsid w:val="00FB66F6"/>
    <w:rsid w:val="00FB6D89"/>
    <w:rsid w:val="00FB7053"/>
    <w:rsid w:val="00FB770D"/>
    <w:rsid w:val="00FC1248"/>
    <w:rsid w:val="00FC5D5B"/>
    <w:rsid w:val="00FC6C82"/>
    <w:rsid w:val="00FC7887"/>
    <w:rsid w:val="00FD0236"/>
    <w:rsid w:val="00FD0F13"/>
    <w:rsid w:val="00FD18F4"/>
    <w:rsid w:val="00FD2ADA"/>
    <w:rsid w:val="00FD54DB"/>
    <w:rsid w:val="00FD619F"/>
    <w:rsid w:val="00FD6362"/>
    <w:rsid w:val="00FE0853"/>
    <w:rsid w:val="00FE2853"/>
    <w:rsid w:val="00FE44C3"/>
    <w:rsid w:val="00FE4890"/>
    <w:rsid w:val="00FE6D9B"/>
    <w:rsid w:val="00FE70DD"/>
    <w:rsid w:val="00FE7D6D"/>
    <w:rsid w:val="00FF01F3"/>
    <w:rsid w:val="00FF0B3A"/>
    <w:rsid w:val="00FF19D3"/>
    <w:rsid w:val="00FF5823"/>
    <w:rsid w:val="00FF7029"/>
    <w:rsid w:val="00FF78A9"/>
    <w:rsid w:val="00FF78E1"/>
    <w:rsid w:val="01014225"/>
    <w:rsid w:val="01284C10"/>
    <w:rsid w:val="01290F7E"/>
    <w:rsid w:val="015D1E09"/>
    <w:rsid w:val="01C8748F"/>
    <w:rsid w:val="01CE7164"/>
    <w:rsid w:val="024F3AFA"/>
    <w:rsid w:val="02693733"/>
    <w:rsid w:val="02697903"/>
    <w:rsid w:val="02F96569"/>
    <w:rsid w:val="03090592"/>
    <w:rsid w:val="031C69F7"/>
    <w:rsid w:val="03257C03"/>
    <w:rsid w:val="0330475A"/>
    <w:rsid w:val="0337485A"/>
    <w:rsid w:val="038F0BFB"/>
    <w:rsid w:val="03EA7B21"/>
    <w:rsid w:val="03F064D6"/>
    <w:rsid w:val="04AD4B6B"/>
    <w:rsid w:val="05127BD7"/>
    <w:rsid w:val="053E0EA6"/>
    <w:rsid w:val="05A80601"/>
    <w:rsid w:val="05BD6C76"/>
    <w:rsid w:val="05EF3F4F"/>
    <w:rsid w:val="05F83EAE"/>
    <w:rsid w:val="0613690D"/>
    <w:rsid w:val="063E7D85"/>
    <w:rsid w:val="06593243"/>
    <w:rsid w:val="065A3ABE"/>
    <w:rsid w:val="06C84671"/>
    <w:rsid w:val="06C92E89"/>
    <w:rsid w:val="06C9523C"/>
    <w:rsid w:val="071167C2"/>
    <w:rsid w:val="07293586"/>
    <w:rsid w:val="07295285"/>
    <w:rsid w:val="07636392"/>
    <w:rsid w:val="07770C56"/>
    <w:rsid w:val="07812B40"/>
    <w:rsid w:val="07997FDF"/>
    <w:rsid w:val="08057C7B"/>
    <w:rsid w:val="08365E65"/>
    <w:rsid w:val="08661733"/>
    <w:rsid w:val="08677C44"/>
    <w:rsid w:val="086C7AD9"/>
    <w:rsid w:val="08D67545"/>
    <w:rsid w:val="08DD6AC1"/>
    <w:rsid w:val="08E049BC"/>
    <w:rsid w:val="08F814C2"/>
    <w:rsid w:val="092217DD"/>
    <w:rsid w:val="093A7294"/>
    <w:rsid w:val="09CB0A63"/>
    <w:rsid w:val="09FE5DEE"/>
    <w:rsid w:val="0A263993"/>
    <w:rsid w:val="0A2D3AC2"/>
    <w:rsid w:val="0A307731"/>
    <w:rsid w:val="0A5F5061"/>
    <w:rsid w:val="0AA755DF"/>
    <w:rsid w:val="0AC95AE5"/>
    <w:rsid w:val="0AD02F74"/>
    <w:rsid w:val="0AD634DB"/>
    <w:rsid w:val="0B00275A"/>
    <w:rsid w:val="0B120D44"/>
    <w:rsid w:val="0B171211"/>
    <w:rsid w:val="0B1F52D6"/>
    <w:rsid w:val="0B8E3D77"/>
    <w:rsid w:val="0BB621FB"/>
    <w:rsid w:val="0BD27BF6"/>
    <w:rsid w:val="0BE91C78"/>
    <w:rsid w:val="0C3B3C7D"/>
    <w:rsid w:val="0C3C403F"/>
    <w:rsid w:val="0C472BEB"/>
    <w:rsid w:val="0C9615C8"/>
    <w:rsid w:val="0CAB2EAE"/>
    <w:rsid w:val="0D4D5E0E"/>
    <w:rsid w:val="0D561779"/>
    <w:rsid w:val="0D621C7D"/>
    <w:rsid w:val="0DB5782C"/>
    <w:rsid w:val="0E303356"/>
    <w:rsid w:val="0E535265"/>
    <w:rsid w:val="0E545F03"/>
    <w:rsid w:val="0E5C6CC3"/>
    <w:rsid w:val="0E73034D"/>
    <w:rsid w:val="0E8854B9"/>
    <w:rsid w:val="0F13775A"/>
    <w:rsid w:val="0F3871E9"/>
    <w:rsid w:val="0F5F45FE"/>
    <w:rsid w:val="0F8C3917"/>
    <w:rsid w:val="0F9A112B"/>
    <w:rsid w:val="0FB200C2"/>
    <w:rsid w:val="0FBA08B7"/>
    <w:rsid w:val="104C11F1"/>
    <w:rsid w:val="106D2F64"/>
    <w:rsid w:val="10AE0A90"/>
    <w:rsid w:val="10B63710"/>
    <w:rsid w:val="10DE3DB4"/>
    <w:rsid w:val="10EF574B"/>
    <w:rsid w:val="10F10820"/>
    <w:rsid w:val="10F126CE"/>
    <w:rsid w:val="111C2F7A"/>
    <w:rsid w:val="115D4462"/>
    <w:rsid w:val="11665CA1"/>
    <w:rsid w:val="11C15146"/>
    <w:rsid w:val="11D00824"/>
    <w:rsid w:val="125C5201"/>
    <w:rsid w:val="12946323"/>
    <w:rsid w:val="12F31522"/>
    <w:rsid w:val="130D2F59"/>
    <w:rsid w:val="133B07D3"/>
    <w:rsid w:val="13682102"/>
    <w:rsid w:val="136C3C90"/>
    <w:rsid w:val="13901B31"/>
    <w:rsid w:val="13951726"/>
    <w:rsid w:val="139A199E"/>
    <w:rsid w:val="13B332D0"/>
    <w:rsid w:val="13E653D4"/>
    <w:rsid w:val="14396509"/>
    <w:rsid w:val="14BA7E1E"/>
    <w:rsid w:val="14DD2C3C"/>
    <w:rsid w:val="155C2C83"/>
    <w:rsid w:val="158865EB"/>
    <w:rsid w:val="15AD2A0B"/>
    <w:rsid w:val="15C70A44"/>
    <w:rsid w:val="15CC73F8"/>
    <w:rsid w:val="16087E1D"/>
    <w:rsid w:val="16354533"/>
    <w:rsid w:val="169F01E2"/>
    <w:rsid w:val="16F34E46"/>
    <w:rsid w:val="17076F6F"/>
    <w:rsid w:val="17701D14"/>
    <w:rsid w:val="17735226"/>
    <w:rsid w:val="179E7583"/>
    <w:rsid w:val="188E5849"/>
    <w:rsid w:val="189F624C"/>
    <w:rsid w:val="18B17AF5"/>
    <w:rsid w:val="18BF0E6D"/>
    <w:rsid w:val="19082CD8"/>
    <w:rsid w:val="190873AA"/>
    <w:rsid w:val="19B1359D"/>
    <w:rsid w:val="19E60247"/>
    <w:rsid w:val="19E619AA"/>
    <w:rsid w:val="19FB2A6A"/>
    <w:rsid w:val="1A1C66C0"/>
    <w:rsid w:val="1A3D547C"/>
    <w:rsid w:val="1A42393B"/>
    <w:rsid w:val="1A497C7A"/>
    <w:rsid w:val="1A856D43"/>
    <w:rsid w:val="1AAD45DE"/>
    <w:rsid w:val="1ADD7EF6"/>
    <w:rsid w:val="1AF04599"/>
    <w:rsid w:val="1B046F80"/>
    <w:rsid w:val="1B3267B5"/>
    <w:rsid w:val="1B40161D"/>
    <w:rsid w:val="1B441859"/>
    <w:rsid w:val="1B6606B1"/>
    <w:rsid w:val="1B710367"/>
    <w:rsid w:val="1BC04C62"/>
    <w:rsid w:val="1BED5708"/>
    <w:rsid w:val="1C072099"/>
    <w:rsid w:val="1C4C3A51"/>
    <w:rsid w:val="1C5E7925"/>
    <w:rsid w:val="1C8A4E72"/>
    <w:rsid w:val="1C9378D2"/>
    <w:rsid w:val="1CFD070F"/>
    <w:rsid w:val="1D174309"/>
    <w:rsid w:val="1D1A3B4F"/>
    <w:rsid w:val="1D3223CE"/>
    <w:rsid w:val="1D5F6196"/>
    <w:rsid w:val="1D6132A5"/>
    <w:rsid w:val="1D6753D6"/>
    <w:rsid w:val="1D84721B"/>
    <w:rsid w:val="1D8E56D5"/>
    <w:rsid w:val="1D984854"/>
    <w:rsid w:val="1E7A43DA"/>
    <w:rsid w:val="1EA4523D"/>
    <w:rsid w:val="1F0E39A2"/>
    <w:rsid w:val="1F187CEB"/>
    <w:rsid w:val="1F426A39"/>
    <w:rsid w:val="1F5732AA"/>
    <w:rsid w:val="1F5F1CED"/>
    <w:rsid w:val="1F6E614C"/>
    <w:rsid w:val="1F8B4F18"/>
    <w:rsid w:val="1FA536B4"/>
    <w:rsid w:val="1FE7539E"/>
    <w:rsid w:val="20032679"/>
    <w:rsid w:val="20671BE0"/>
    <w:rsid w:val="206F7D0E"/>
    <w:rsid w:val="20963CB8"/>
    <w:rsid w:val="20A81A1B"/>
    <w:rsid w:val="20B07FB6"/>
    <w:rsid w:val="20B646FB"/>
    <w:rsid w:val="2128517F"/>
    <w:rsid w:val="213B74B1"/>
    <w:rsid w:val="215A2310"/>
    <w:rsid w:val="217355DC"/>
    <w:rsid w:val="21DE318A"/>
    <w:rsid w:val="21EF5B80"/>
    <w:rsid w:val="21FB36D0"/>
    <w:rsid w:val="2237530F"/>
    <w:rsid w:val="22576990"/>
    <w:rsid w:val="22E41CD8"/>
    <w:rsid w:val="22F06E95"/>
    <w:rsid w:val="22F47480"/>
    <w:rsid w:val="231E77CA"/>
    <w:rsid w:val="232272BA"/>
    <w:rsid w:val="23621907"/>
    <w:rsid w:val="237A70F6"/>
    <w:rsid w:val="23B1063E"/>
    <w:rsid w:val="23DE1C48"/>
    <w:rsid w:val="23EB3B50"/>
    <w:rsid w:val="23FF1472"/>
    <w:rsid w:val="240210CD"/>
    <w:rsid w:val="2421300F"/>
    <w:rsid w:val="24264B88"/>
    <w:rsid w:val="24B30B11"/>
    <w:rsid w:val="24B57BD1"/>
    <w:rsid w:val="24BF09F7"/>
    <w:rsid w:val="24D26ABE"/>
    <w:rsid w:val="24DD5F1A"/>
    <w:rsid w:val="25191F56"/>
    <w:rsid w:val="252D53FE"/>
    <w:rsid w:val="255D3469"/>
    <w:rsid w:val="257303C5"/>
    <w:rsid w:val="25E21E90"/>
    <w:rsid w:val="25EC2D81"/>
    <w:rsid w:val="263133EF"/>
    <w:rsid w:val="2650082B"/>
    <w:rsid w:val="2668214E"/>
    <w:rsid w:val="26E24792"/>
    <w:rsid w:val="271C2DC1"/>
    <w:rsid w:val="274E68CF"/>
    <w:rsid w:val="277057A2"/>
    <w:rsid w:val="27C6017E"/>
    <w:rsid w:val="27D112AE"/>
    <w:rsid w:val="27E032CB"/>
    <w:rsid w:val="289A0FFA"/>
    <w:rsid w:val="28D2566C"/>
    <w:rsid w:val="28D65AC2"/>
    <w:rsid w:val="29206EB8"/>
    <w:rsid w:val="29595666"/>
    <w:rsid w:val="29777120"/>
    <w:rsid w:val="29874881"/>
    <w:rsid w:val="29920858"/>
    <w:rsid w:val="29E325E0"/>
    <w:rsid w:val="2A07545B"/>
    <w:rsid w:val="2A0B1FE5"/>
    <w:rsid w:val="2A452503"/>
    <w:rsid w:val="2A895AEE"/>
    <w:rsid w:val="2AB52686"/>
    <w:rsid w:val="2AC10B16"/>
    <w:rsid w:val="2AC96FE9"/>
    <w:rsid w:val="2B1F3CFE"/>
    <w:rsid w:val="2B281E38"/>
    <w:rsid w:val="2BA936A8"/>
    <w:rsid w:val="2BAB52C0"/>
    <w:rsid w:val="2C264D3A"/>
    <w:rsid w:val="2C315A5A"/>
    <w:rsid w:val="2C4B1C25"/>
    <w:rsid w:val="2C5E6EE4"/>
    <w:rsid w:val="2CD301E1"/>
    <w:rsid w:val="2D7F36CF"/>
    <w:rsid w:val="2D9E56F5"/>
    <w:rsid w:val="2DAC25A2"/>
    <w:rsid w:val="2E162111"/>
    <w:rsid w:val="2E667F96"/>
    <w:rsid w:val="2E8226AB"/>
    <w:rsid w:val="2ECF496E"/>
    <w:rsid w:val="2F053019"/>
    <w:rsid w:val="2F063F34"/>
    <w:rsid w:val="2F2B5306"/>
    <w:rsid w:val="2F567365"/>
    <w:rsid w:val="2FA15790"/>
    <w:rsid w:val="2FB861AC"/>
    <w:rsid w:val="2FD065E6"/>
    <w:rsid w:val="2FD96870"/>
    <w:rsid w:val="2FF95846"/>
    <w:rsid w:val="2FFB336C"/>
    <w:rsid w:val="30580BC9"/>
    <w:rsid w:val="307F3816"/>
    <w:rsid w:val="309D1F14"/>
    <w:rsid w:val="30A65F29"/>
    <w:rsid w:val="30E03A94"/>
    <w:rsid w:val="311E2ED7"/>
    <w:rsid w:val="315619EE"/>
    <w:rsid w:val="315C449C"/>
    <w:rsid w:val="31B82709"/>
    <w:rsid w:val="31C96481"/>
    <w:rsid w:val="31CD0D39"/>
    <w:rsid w:val="31D05482"/>
    <w:rsid w:val="32216E07"/>
    <w:rsid w:val="32400B34"/>
    <w:rsid w:val="325B0F8B"/>
    <w:rsid w:val="326E6078"/>
    <w:rsid w:val="328A7ECF"/>
    <w:rsid w:val="329E6876"/>
    <w:rsid w:val="331A7B98"/>
    <w:rsid w:val="331B2C13"/>
    <w:rsid w:val="333015F2"/>
    <w:rsid w:val="33491B2B"/>
    <w:rsid w:val="334B6320"/>
    <w:rsid w:val="336D711E"/>
    <w:rsid w:val="33945FB2"/>
    <w:rsid w:val="33D934D4"/>
    <w:rsid w:val="33FE2F6A"/>
    <w:rsid w:val="340D2ACF"/>
    <w:rsid w:val="340E07E5"/>
    <w:rsid w:val="34235BF7"/>
    <w:rsid w:val="34423DB9"/>
    <w:rsid w:val="34684B71"/>
    <w:rsid w:val="346B1D07"/>
    <w:rsid w:val="349A13A6"/>
    <w:rsid w:val="349F7EB0"/>
    <w:rsid w:val="34A44BE9"/>
    <w:rsid w:val="34B55692"/>
    <w:rsid w:val="34EE505C"/>
    <w:rsid w:val="353F6E5D"/>
    <w:rsid w:val="358C5FA8"/>
    <w:rsid w:val="35C15DF1"/>
    <w:rsid w:val="35F044CE"/>
    <w:rsid w:val="35F72758"/>
    <w:rsid w:val="36074A7F"/>
    <w:rsid w:val="3643781B"/>
    <w:rsid w:val="36923549"/>
    <w:rsid w:val="36AE738B"/>
    <w:rsid w:val="36B75FBF"/>
    <w:rsid w:val="36BD0C45"/>
    <w:rsid w:val="36D51A17"/>
    <w:rsid w:val="3720190B"/>
    <w:rsid w:val="3725688B"/>
    <w:rsid w:val="376F4CE4"/>
    <w:rsid w:val="377A16F8"/>
    <w:rsid w:val="377F6742"/>
    <w:rsid w:val="37DA41AF"/>
    <w:rsid w:val="37E00298"/>
    <w:rsid w:val="37E93816"/>
    <w:rsid w:val="38306940"/>
    <w:rsid w:val="386A5533"/>
    <w:rsid w:val="38997BC6"/>
    <w:rsid w:val="38B302F9"/>
    <w:rsid w:val="38B44A00"/>
    <w:rsid w:val="38F12CD3"/>
    <w:rsid w:val="38F94775"/>
    <w:rsid w:val="390532B6"/>
    <w:rsid w:val="392971ED"/>
    <w:rsid w:val="39325651"/>
    <w:rsid w:val="396716E9"/>
    <w:rsid w:val="399C50BA"/>
    <w:rsid w:val="39F33F0F"/>
    <w:rsid w:val="3A872856"/>
    <w:rsid w:val="3ADC1AE4"/>
    <w:rsid w:val="3AE00EB5"/>
    <w:rsid w:val="3AE55345"/>
    <w:rsid w:val="3AF65B0F"/>
    <w:rsid w:val="3B156DC5"/>
    <w:rsid w:val="3B3763D1"/>
    <w:rsid w:val="3B6170FC"/>
    <w:rsid w:val="3B7A5A8D"/>
    <w:rsid w:val="3C2A646D"/>
    <w:rsid w:val="3C2F6E1E"/>
    <w:rsid w:val="3C4F64BA"/>
    <w:rsid w:val="3CCA1036"/>
    <w:rsid w:val="3CDA245A"/>
    <w:rsid w:val="3D1E06B7"/>
    <w:rsid w:val="3DD31359"/>
    <w:rsid w:val="3E41478A"/>
    <w:rsid w:val="3EA86F72"/>
    <w:rsid w:val="3EC076BB"/>
    <w:rsid w:val="3EC3562F"/>
    <w:rsid w:val="3EDA0523"/>
    <w:rsid w:val="3EE9093C"/>
    <w:rsid w:val="3F4B7825"/>
    <w:rsid w:val="3F5D2D83"/>
    <w:rsid w:val="3F710F55"/>
    <w:rsid w:val="3F795447"/>
    <w:rsid w:val="3FD37E62"/>
    <w:rsid w:val="3FD67B69"/>
    <w:rsid w:val="40657255"/>
    <w:rsid w:val="407A6407"/>
    <w:rsid w:val="4081341A"/>
    <w:rsid w:val="40A60CFB"/>
    <w:rsid w:val="40B73041"/>
    <w:rsid w:val="41032081"/>
    <w:rsid w:val="41943621"/>
    <w:rsid w:val="41946F1E"/>
    <w:rsid w:val="41AF4143"/>
    <w:rsid w:val="41C34655"/>
    <w:rsid w:val="4200449D"/>
    <w:rsid w:val="422C0F9F"/>
    <w:rsid w:val="42354070"/>
    <w:rsid w:val="423A3BCC"/>
    <w:rsid w:val="424850CB"/>
    <w:rsid w:val="424E385A"/>
    <w:rsid w:val="424E57D2"/>
    <w:rsid w:val="42B26C49"/>
    <w:rsid w:val="42CB6BCE"/>
    <w:rsid w:val="43074AEC"/>
    <w:rsid w:val="433A6FE6"/>
    <w:rsid w:val="43480868"/>
    <w:rsid w:val="4350713C"/>
    <w:rsid w:val="435E3EE6"/>
    <w:rsid w:val="43633C60"/>
    <w:rsid w:val="436653E0"/>
    <w:rsid w:val="438F69A5"/>
    <w:rsid w:val="43C4431A"/>
    <w:rsid w:val="43F154A3"/>
    <w:rsid w:val="442F4441"/>
    <w:rsid w:val="443D1743"/>
    <w:rsid w:val="444C16AB"/>
    <w:rsid w:val="44B951CC"/>
    <w:rsid w:val="44CD14E0"/>
    <w:rsid w:val="44E62C7C"/>
    <w:rsid w:val="44F20B0B"/>
    <w:rsid w:val="450D0499"/>
    <w:rsid w:val="45181E73"/>
    <w:rsid w:val="452E5F4C"/>
    <w:rsid w:val="453C4B8F"/>
    <w:rsid w:val="45433FFD"/>
    <w:rsid w:val="454C1AD0"/>
    <w:rsid w:val="45583729"/>
    <w:rsid w:val="45612018"/>
    <w:rsid w:val="45893A41"/>
    <w:rsid w:val="458946E9"/>
    <w:rsid w:val="45A47C0E"/>
    <w:rsid w:val="45BB1547"/>
    <w:rsid w:val="46190EFB"/>
    <w:rsid w:val="46577FD6"/>
    <w:rsid w:val="46C0492C"/>
    <w:rsid w:val="46D955A7"/>
    <w:rsid w:val="47133957"/>
    <w:rsid w:val="472558F0"/>
    <w:rsid w:val="472D305D"/>
    <w:rsid w:val="4731317F"/>
    <w:rsid w:val="474A276A"/>
    <w:rsid w:val="477B5F32"/>
    <w:rsid w:val="47A07E0C"/>
    <w:rsid w:val="48052B82"/>
    <w:rsid w:val="48164D90"/>
    <w:rsid w:val="482243DB"/>
    <w:rsid w:val="485B13ED"/>
    <w:rsid w:val="4860600B"/>
    <w:rsid w:val="4870272E"/>
    <w:rsid w:val="48911E09"/>
    <w:rsid w:val="489C4D6F"/>
    <w:rsid w:val="48D71258"/>
    <w:rsid w:val="48DE5C95"/>
    <w:rsid w:val="48E85964"/>
    <w:rsid w:val="48F252C4"/>
    <w:rsid w:val="49382AE4"/>
    <w:rsid w:val="496833C9"/>
    <w:rsid w:val="49725FF6"/>
    <w:rsid w:val="49DC7715"/>
    <w:rsid w:val="49F5193A"/>
    <w:rsid w:val="4A023139"/>
    <w:rsid w:val="4A393C6A"/>
    <w:rsid w:val="4A435FE3"/>
    <w:rsid w:val="4A646F15"/>
    <w:rsid w:val="4A767D68"/>
    <w:rsid w:val="4A7B576F"/>
    <w:rsid w:val="4AF561A9"/>
    <w:rsid w:val="4BBA44C1"/>
    <w:rsid w:val="4BDE110A"/>
    <w:rsid w:val="4C185304"/>
    <w:rsid w:val="4C2B6930"/>
    <w:rsid w:val="4C4A0649"/>
    <w:rsid w:val="4C7E5ECA"/>
    <w:rsid w:val="4C876AA5"/>
    <w:rsid w:val="4C8F5111"/>
    <w:rsid w:val="4CDD5E7C"/>
    <w:rsid w:val="4D0E00FB"/>
    <w:rsid w:val="4D176606"/>
    <w:rsid w:val="4D3112E7"/>
    <w:rsid w:val="4D4165C2"/>
    <w:rsid w:val="4D4F75FA"/>
    <w:rsid w:val="4D992C09"/>
    <w:rsid w:val="4DEC4FB0"/>
    <w:rsid w:val="4E075D8A"/>
    <w:rsid w:val="4E1402A5"/>
    <w:rsid w:val="4E3E6C72"/>
    <w:rsid w:val="4E494874"/>
    <w:rsid w:val="4E8E6D92"/>
    <w:rsid w:val="4E934700"/>
    <w:rsid w:val="4E996AC0"/>
    <w:rsid w:val="4EBA1C55"/>
    <w:rsid w:val="4EC00FAD"/>
    <w:rsid w:val="4EFB1545"/>
    <w:rsid w:val="4F053468"/>
    <w:rsid w:val="4F2A06BF"/>
    <w:rsid w:val="4F485868"/>
    <w:rsid w:val="4F9843DC"/>
    <w:rsid w:val="4FC62A8C"/>
    <w:rsid w:val="4FE20F0D"/>
    <w:rsid w:val="4FE51552"/>
    <w:rsid w:val="4FF9121F"/>
    <w:rsid w:val="50504C4B"/>
    <w:rsid w:val="50522F23"/>
    <w:rsid w:val="509C6E7C"/>
    <w:rsid w:val="50A342E5"/>
    <w:rsid w:val="51140BE1"/>
    <w:rsid w:val="5162104E"/>
    <w:rsid w:val="51644FBE"/>
    <w:rsid w:val="518014CC"/>
    <w:rsid w:val="51986094"/>
    <w:rsid w:val="51D6733E"/>
    <w:rsid w:val="51E11F6A"/>
    <w:rsid w:val="51ED6C94"/>
    <w:rsid w:val="522D3402"/>
    <w:rsid w:val="52413E86"/>
    <w:rsid w:val="52A85DE4"/>
    <w:rsid w:val="52AC5FC1"/>
    <w:rsid w:val="52EA1CAE"/>
    <w:rsid w:val="530C79D9"/>
    <w:rsid w:val="537806AC"/>
    <w:rsid w:val="538374E5"/>
    <w:rsid w:val="53A039CC"/>
    <w:rsid w:val="53A1505A"/>
    <w:rsid w:val="53A84D79"/>
    <w:rsid w:val="54063E08"/>
    <w:rsid w:val="541C1F80"/>
    <w:rsid w:val="542A4E27"/>
    <w:rsid w:val="543437E8"/>
    <w:rsid w:val="5462224C"/>
    <w:rsid w:val="5490519D"/>
    <w:rsid w:val="54C5430B"/>
    <w:rsid w:val="54D65A2E"/>
    <w:rsid w:val="54F73313"/>
    <w:rsid w:val="54F80955"/>
    <w:rsid w:val="555170A7"/>
    <w:rsid w:val="5587536D"/>
    <w:rsid w:val="559B174B"/>
    <w:rsid w:val="55B85348"/>
    <w:rsid w:val="55CE0CF4"/>
    <w:rsid w:val="55EA24B3"/>
    <w:rsid w:val="5618599A"/>
    <w:rsid w:val="563023B1"/>
    <w:rsid w:val="56352695"/>
    <w:rsid w:val="56373C3F"/>
    <w:rsid w:val="563B6F13"/>
    <w:rsid w:val="564108A9"/>
    <w:rsid w:val="564F1D64"/>
    <w:rsid w:val="5658469F"/>
    <w:rsid w:val="56B22A9C"/>
    <w:rsid w:val="56E936FE"/>
    <w:rsid w:val="575C2093"/>
    <w:rsid w:val="577E607C"/>
    <w:rsid w:val="57AF6667"/>
    <w:rsid w:val="57B72A76"/>
    <w:rsid w:val="57C3426C"/>
    <w:rsid w:val="57CE1F93"/>
    <w:rsid w:val="57E502DB"/>
    <w:rsid w:val="58223786"/>
    <w:rsid w:val="588743D1"/>
    <w:rsid w:val="5887701A"/>
    <w:rsid w:val="58900246"/>
    <w:rsid w:val="58C413F6"/>
    <w:rsid w:val="58D35188"/>
    <w:rsid w:val="58E10D60"/>
    <w:rsid w:val="58FD62BE"/>
    <w:rsid w:val="598D0C2A"/>
    <w:rsid w:val="599213B7"/>
    <w:rsid w:val="59C0439F"/>
    <w:rsid w:val="59D619EE"/>
    <w:rsid w:val="5A6B3F42"/>
    <w:rsid w:val="5AB7748D"/>
    <w:rsid w:val="5ABE2233"/>
    <w:rsid w:val="5AF461A9"/>
    <w:rsid w:val="5B1C7DE5"/>
    <w:rsid w:val="5B3D4DB2"/>
    <w:rsid w:val="5B435A44"/>
    <w:rsid w:val="5B8E767F"/>
    <w:rsid w:val="5BBC7815"/>
    <w:rsid w:val="5BBF0DFE"/>
    <w:rsid w:val="5BDF5D95"/>
    <w:rsid w:val="5BFE7528"/>
    <w:rsid w:val="5C0C5724"/>
    <w:rsid w:val="5C402BE9"/>
    <w:rsid w:val="5C7A426B"/>
    <w:rsid w:val="5C8B76A2"/>
    <w:rsid w:val="5CCE3A33"/>
    <w:rsid w:val="5D604BC7"/>
    <w:rsid w:val="5D683CBC"/>
    <w:rsid w:val="5DC17777"/>
    <w:rsid w:val="5DE03A1E"/>
    <w:rsid w:val="5DE54540"/>
    <w:rsid w:val="5E2467F1"/>
    <w:rsid w:val="5EC34DD2"/>
    <w:rsid w:val="5F044890"/>
    <w:rsid w:val="5F1A2B43"/>
    <w:rsid w:val="5F294E44"/>
    <w:rsid w:val="5F645F89"/>
    <w:rsid w:val="5F6D308F"/>
    <w:rsid w:val="5FB837BB"/>
    <w:rsid w:val="608F5287"/>
    <w:rsid w:val="60C151F1"/>
    <w:rsid w:val="60C970E4"/>
    <w:rsid w:val="60CC405A"/>
    <w:rsid w:val="617453EE"/>
    <w:rsid w:val="61C7711A"/>
    <w:rsid w:val="61E215D8"/>
    <w:rsid w:val="61F061FA"/>
    <w:rsid w:val="621B3775"/>
    <w:rsid w:val="621C7F14"/>
    <w:rsid w:val="62246DCF"/>
    <w:rsid w:val="62364782"/>
    <w:rsid w:val="6298421A"/>
    <w:rsid w:val="62DD4608"/>
    <w:rsid w:val="631A352E"/>
    <w:rsid w:val="6321104F"/>
    <w:rsid w:val="63341F75"/>
    <w:rsid w:val="63382911"/>
    <w:rsid w:val="6394356A"/>
    <w:rsid w:val="63C61B2C"/>
    <w:rsid w:val="63CB475B"/>
    <w:rsid w:val="63D40BE9"/>
    <w:rsid w:val="63FC4110"/>
    <w:rsid w:val="64102431"/>
    <w:rsid w:val="64270903"/>
    <w:rsid w:val="64A5243A"/>
    <w:rsid w:val="64F531DE"/>
    <w:rsid w:val="65010DCF"/>
    <w:rsid w:val="650469C1"/>
    <w:rsid w:val="65240694"/>
    <w:rsid w:val="65373578"/>
    <w:rsid w:val="6546486E"/>
    <w:rsid w:val="655B1BDC"/>
    <w:rsid w:val="655F19BB"/>
    <w:rsid w:val="65730159"/>
    <w:rsid w:val="65965D09"/>
    <w:rsid w:val="659E001A"/>
    <w:rsid w:val="668654B8"/>
    <w:rsid w:val="66B33247"/>
    <w:rsid w:val="66CE1224"/>
    <w:rsid w:val="66DC70F4"/>
    <w:rsid w:val="671F124A"/>
    <w:rsid w:val="676F6B21"/>
    <w:rsid w:val="677A33C6"/>
    <w:rsid w:val="677D333A"/>
    <w:rsid w:val="679845BD"/>
    <w:rsid w:val="67C16E94"/>
    <w:rsid w:val="67C5288C"/>
    <w:rsid w:val="67DD6A0E"/>
    <w:rsid w:val="681D1549"/>
    <w:rsid w:val="681F6961"/>
    <w:rsid w:val="682D5F56"/>
    <w:rsid w:val="683F2B96"/>
    <w:rsid w:val="68610A2F"/>
    <w:rsid w:val="68805514"/>
    <w:rsid w:val="68C006D4"/>
    <w:rsid w:val="68CB1128"/>
    <w:rsid w:val="68F664B4"/>
    <w:rsid w:val="69224EEB"/>
    <w:rsid w:val="69316E2F"/>
    <w:rsid w:val="694E2071"/>
    <w:rsid w:val="69766163"/>
    <w:rsid w:val="697A3B33"/>
    <w:rsid w:val="69886E2B"/>
    <w:rsid w:val="69C2047C"/>
    <w:rsid w:val="69C75A92"/>
    <w:rsid w:val="69D44760"/>
    <w:rsid w:val="69D76986"/>
    <w:rsid w:val="69FF322C"/>
    <w:rsid w:val="6A11203B"/>
    <w:rsid w:val="6A326A99"/>
    <w:rsid w:val="6A433645"/>
    <w:rsid w:val="6A520EC7"/>
    <w:rsid w:val="6A731776"/>
    <w:rsid w:val="6A787BEC"/>
    <w:rsid w:val="6A8676FB"/>
    <w:rsid w:val="6AC33506"/>
    <w:rsid w:val="6AF53A93"/>
    <w:rsid w:val="6AF87E20"/>
    <w:rsid w:val="6B322639"/>
    <w:rsid w:val="6B3F6C95"/>
    <w:rsid w:val="6B834038"/>
    <w:rsid w:val="6BAF67DE"/>
    <w:rsid w:val="6BC4672D"/>
    <w:rsid w:val="6BD4663A"/>
    <w:rsid w:val="6BE37DF9"/>
    <w:rsid w:val="6BED6160"/>
    <w:rsid w:val="6C4463B3"/>
    <w:rsid w:val="6C636C38"/>
    <w:rsid w:val="6D064DF1"/>
    <w:rsid w:val="6D255513"/>
    <w:rsid w:val="6D26088C"/>
    <w:rsid w:val="6D8E6FF3"/>
    <w:rsid w:val="6DB34098"/>
    <w:rsid w:val="6DB545B6"/>
    <w:rsid w:val="6DE02FB4"/>
    <w:rsid w:val="6E0E15D5"/>
    <w:rsid w:val="6E154C11"/>
    <w:rsid w:val="6E514CED"/>
    <w:rsid w:val="6EB563D5"/>
    <w:rsid w:val="6ED92677"/>
    <w:rsid w:val="6EEC3BFB"/>
    <w:rsid w:val="6F0F7318"/>
    <w:rsid w:val="6F225983"/>
    <w:rsid w:val="6F3707CD"/>
    <w:rsid w:val="6FFC5590"/>
    <w:rsid w:val="70092BE1"/>
    <w:rsid w:val="701B08E6"/>
    <w:rsid w:val="706D1DD0"/>
    <w:rsid w:val="707029DF"/>
    <w:rsid w:val="70856B87"/>
    <w:rsid w:val="70D02F00"/>
    <w:rsid w:val="70D527EE"/>
    <w:rsid w:val="70E57AD8"/>
    <w:rsid w:val="71274845"/>
    <w:rsid w:val="715B5300"/>
    <w:rsid w:val="719B1CDE"/>
    <w:rsid w:val="71B7463E"/>
    <w:rsid w:val="71D21251"/>
    <w:rsid w:val="71D2538F"/>
    <w:rsid w:val="71D27F8A"/>
    <w:rsid w:val="721970A7"/>
    <w:rsid w:val="72406161"/>
    <w:rsid w:val="72553024"/>
    <w:rsid w:val="72B77577"/>
    <w:rsid w:val="72DB2B69"/>
    <w:rsid w:val="73122968"/>
    <w:rsid w:val="7315659A"/>
    <w:rsid w:val="731F5D5E"/>
    <w:rsid w:val="7334739B"/>
    <w:rsid w:val="73775F65"/>
    <w:rsid w:val="73A73AC2"/>
    <w:rsid w:val="73C51AD5"/>
    <w:rsid w:val="73CD639B"/>
    <w:rsid w:val="73D250A8"/>
    <w:rsid w:val="741E793C"/>
    <w:rsid w:val="745E3944"/>
    <w:rsid w:val="746B04D2"/>
    <w:rsid w:val="74945A63"/>
    <w:rsid w:val="74D80B53"/>
    <w:rsid w:val="74F33BDF"/>
    <w:rsid w:val="753F04EC"/>
    <w:rsid w:val="758B0AD0"/>
    <w:rsid w:val="758B3E18"/>
    <w:rsid w:val="75A85EF7"/>
    <w:rsid w:val="75D73501"/>
    <w:rsid w:val="75FE74CD"/>
    <w:rsid w:val="7635099D"/>
    <w:rsid w:val="7661371E"/>
    <w:rsid w:val="766410B6"/>
    <w:rsid w:val="768D3BBF"/>
    <w:rsid w:val="772F4926"/>
    <w:rsid w:val="77635705"/>
    <w:rsid w:val="77762421"/>
    <w:rsid w:val="77B56B1F"/>
    <w:rsid w:val="77BC7811"/>
    <w:rsid w:val="780F09F4"/>
    <w:rsid w:val="784B542F"/>
    <w:rsid w:val="78767C03"/>
    <w:rsid w:val="78986F77"/>
    <w:rsid w:val="78A717AC"/>
    <w:rsid w:val="78A90480"/>
    <w:rsid w:val="78C614A0"/>
    <w:rsid w:val="78C93AB1"/>
    <w:rsid w:val="78ED1875"/>
    <w:rsid w:val="79002C5E"/>
    <w:rsid w:val="79B75D49"/>
    <w:rsid w:val="79D833A4"/>
    <w:rsid w:val="7A364017"/>
    <w:rsid w:val="7A8265E1"/>
    <w:rsid w:val="7AA00365"/>
    <w:rsid w:val="7AB94F83"/>
    <w:rsid w:val="7B661508"/>
    <w:rsid w:val="7B686D42"/>
    <w:rsid w:val="7B740B97"/>
    <w:rsid w:val="7B841746"/>
    <w:rsid w:val="7B923288"/>
    <w:rsid w:val="7BFB7686"/>
    <w:rsid w:val="7C3E1810"/>
    <w:rsid w:val="7C5A513D"/>
    <w:rsid w:val="7C686C61"/>
    <w:rsid w:val="7C6C5AC7"/>
    <w:rsid w:val="7C7F09A4"/>
    <w:rsid w:val="7CB71554"/>
    <w:rsid w:val="7CC6544B"/>
    <w:rsid w:val="7CE90820"/>
    <w:rsid w:val="7CFD6D05"/>
    <w:rsid w:val="7D0239FF"/>
    <w:rsid w:val="7D3D36B9"/>
    <w:rsid w:val="7D4274B2"/>
    <w:rsid w:val="7D4D0397"/>
    <w:rsid w:val="7D5141D8"/>
    <w:rsid w:val="7D5E40CD"/>
    <w:rsid w:val="7D851A94"/>
    <w:rsid w:val="7DCD56F2"/>
    <w:rsid w:val="7DD24CD9"/>
    <w:rsid w:val="7E1C214E"/>
    <w:rsid w:val="7E346D7D"/>
    <w:rsid w:val="7E407BE8"/>
    <w:rsid w:val="7E491EC6"/>
    <w:rsid w:val="7E5576B9"/>
    <w:rsid w:val="7E636915"/>
    <w:rsid w:val="7E7E276B"/>
    <w:rsid w:val="7E9F26E2"/>
    <w:rsid w:val="7EC66F4F"/>
    <w:rsid w:val="7F001CE7"/>
    <w:rsid w:val="7F223267"/>
    <w:rsid w:val="7F242116"/>
    <w:rsid w:val="7F262747"/>
    <w:rsid w:val="7F435763"/>
    <w:rsid w:val="7F4E65DD"/>
    <w:rsid w:val="7F5140F2"/>
    <w:rsid w:val="7F6A2CF0"/>
    <w:rsid w:val="7FAD010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iPriority="0" w:semiHidden="0" w:name="Body Text Indent 3" w:locked="1"/>
    <w:lsdException w:unhideWhenUsed="0" w:uiPriority="0" w:semiHidden="0" w:name="Block Text" w:locked="1"/>
    <w:lsdException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link w:val="83"/>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85"/>
    <w:autoRedefine/>
    <w:unhideWhenUsed/>
    <w:qFormat/>
    <w:locked/>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86"/>
    <w:autoRedefine/>
    <w:qFormat/>
    <w:locked/>
    <w:uiPriority w:val="0"/>
    <w:pPr>
      <w:ind w:firstLine="420" w:firstLineChars="200"/>
    </w:pPr>
  </w:style>
  <w:style w:type="paragraph" w:styleId="3">
    <w:name w:val="Body Text First Indent 2"/>
    <w:basedOn w:val="4"/>
    <w:next w:val="1"/>
    <w:link w:val="75"/>
    <w:autoRedefine/>
    <w:unhideWhenUsed/>
    <w:qFormat/>
    <w:locked/>
    <w:uiPriority w:val="99"/>
    <w:pPr>
      <w:ind w:firstLine="420"/>
    </w:pPr>
  </w:style>
  <w:style w:type="paragraph" w:styleId="4">
    <w:name w:val="Body Text Indent"/>
    <w:basedOn w:val="1"/>
    <w:next w:val="1"/>
    <w:link w:val="45"/>
    <w:qFormat/>
    <w:uiPriority w:val="99"/>
    <w:pPr>
      <w:spacing w:after="120"/>
      <w:ind w:left="420" w:leftChars="200"/>
    </w:pPr>
    <w:rPr>
      <w:kern w:val="0"/>
      <w:sz w:val="24"/>
      <w:szCs w:val="20"/>
    </w:rPr>
  </w:style>
  <w:style w:type="paragraph" w:styleId="8">
    <w:name w:val="annotation text"/>
    <w:basedOn w:val="1"/>
    <w:link w:val="46"/>
    <w:autoRedefine/>
    <w:semiHidden/>
    <w:qFormat/>
    <w:uiPriority w:val="0"/>
    <w:pPr>
      <w:jc w:val="left"/>
    </w:pPr>
    <w:rPr>
      <w:kern w:val="0"/>
      <w:sz w:val="24"/>
      <w:szCs w:val="20"/>
    </w:rPr>
  </w:style>
  <w:style w:type="paragraph" w:styleId="9">
    <w:name w:val="Body Text"/>
    <w:basedOn w:val="1"/>
    <w:link w:val="47"/>
    <w:autoRedefine/>
    <w:qFormat/>
    <w:uiPriority w:val="0"/>
    <w:pPr>
      <w:widowControl/>
      <w:snapToGrid w:val="0"/>
      <w:spacing w:before="60" w:after="160" w:line="259" w:lineRule="auto"/>
      <w:ind w:right="113"/>
    </w:pPr>
    <w:rPr>
      <w:kern w:val="0"/>
      <w:sz w:val="18"/>
      <w:szCs w:val="20"/>
    </w:rPr>
  </w:style>
  <w:style w:type="paragraph" w:styleId="10">
    <w:name w:val="Plain Text"/>
    <w:basedOn w:val="1"/>
    <w:link w:val="48"/>
    <w:autoRedefine/>
    <w:qFormat/>
    <w:locked/>
    <w:uiPriority w:val="0"/>
    <w:rPr>
      <w:rFonts w:ascii="宋体" w:hAnsi="Courier New"/>
      <w:color w:val="000000"/>
      <w:kern w:val="0"/>
      <w:szCs w:val="21"/>
    </w:rPr>
  </w:style>
  <w:style w:type="paragraph" w:styleId="11">
    <w:name w:val="Date"/>
    <w:basedOn w:val="1"/>
    <w:next w:val="1"/>
    <w:link w:val="49"/>
    <w:qFormat/>
    <w:uiPriority w:val="0"/>
    <w:pPr>
      <w:ind w:left="100" w:leftChars="2500"/>
    </w:pPr>
    <w:rPr>
      <w:kern w:val="0"/>
      <w:sz w:val="24"/>
      <w:szCs w:val="20"/>
    </w:rPr>
  </w:style>
  <w:style w:type="paragraph" w:styleId="12">
    <w:name w:val="Body Text Indent 2"/>
    <w:basedOn w:val="1"/>
    <w:next w:val="1"/>
    <w:autoRedefine/>
    <w:qFormat/>
    <w:locked/>
    <w:uiPriority w:val="0"/>
    <w:pPr>
      <w:adjustRightInd w:val="0"/>
      <w:spacing w:after="120" w:line="480" w:lineRule="auto"/>
      <w:ind w:left="420" w:leftChars="200"/>
      <w:textAlignment w:val="baseline"/>
    </w:pPr>
    <w:rPr>
      <w:szCs w:val="20"/>
    </w:rPr>
  </w:style>
  <w:style w:type="paragraph" w:styleId="13">
    <w:name w:val="Balloon Text"/>
    <w:basedOn w:val="1"/>
    <w:link w:val="50"/>
    <w:autoRedefine/>
    <w:semiHidden/>
    <w:qFormat/>
    <w:uiPriority w:val="0"/>
    <w:rPr>
      <w:kern w:val="0"/>
      <w:sz w:val="18"/>
      <w:szCs w:val="20"/>
    </w:rPr>
  </w:style>
  <w:style w:type="paragraph" w:styleId="14">
    <w:name w:val="footer"/>
    <w:basedOn w:val="1"/>
    <w:link w:val="51"/>
    <w:qFormat/>
    <w:uiPriority w:val="99"/>
    <w:pPr>
      <w:tabs>
        <w:tab w:val="center" w:pos="4153"/>
        <w:tab w:val="right" w:pos="8306"/>
      </w:tabs>
      <w:snapToGrid w:val="0"/>
      <w:jc w:val="left"/>
    </w:pPr>
    <w:rPr>
      <w:kern w:val="0"/>
      <w:sz w:val="18"/>
      <w:szCs w:val="20"/>
    </w:rPr>
  </w:style>
  <w:style w:type="paragraph" w:styleId="15">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unhideWhenUsed/>
    <w:qFormat/>
    <w:locked/>
    <w:uiPriority w:val="39"/>
    <w:rPr>
      <w:szCs w:val="21"/>
    </w:rPr>
  </w:style>
  <w:style w:type="paragraph" w:styleId="17">
    <w:name w:val="List"/>
    <w:basedOn w:val="1"/>
    <w:autoRedefine/>
    <w:qFormat/>
    <w:locked/>
    <w:uiPriority w:val="99"/>
    <w:pPr>
      <w:spacing w:line="320" w:lineRule="exact"/>
      <w:ind w:left="-120" w:right="-120" w:firstLine="90"/>
      <w:jc w:val="center"/>
    </w:pPr>
    <w:rPr>
      <w:rFonts w:ascii="仿宋_GB2312" w:eastAsia="仿宋_GB2312"/>
      <w:sz w:val="24"/>
      <w:szCs w:val="20"/>
    </w:rPr>
  </w:style>
  <w:style w:type="paragraph" w:styleId="18">
    <w:name w:val="Body Text Indent 3"/>
    <w:basedOn w:val="1"/>
    <w:autoRedefine/>
    <w:unhideWhenUsed/>
    <w:qFormat/>
    <w:locked/>
    <w:uiPriority w:val="0"/>
    <w:pPr>
      <w:ind w:firstLine="425"/>
    </w:pPr>
    <w:rPr>
      <w:sz w:val="24"/>
    </w:rPr>
  </w:style>
  <w:style w:type="paragraph" w:styleId="19">
    <w:name w:val="Normal (Web)"/>
    <w:basedOn w:val="1"/>
    <w:link w:val="53"/>
    <w:qFormat/>
    <w:uiPriority w:val="99"/>
    <w:pPr>
      <w:widowControl/>
      <w:spacing w:before="100" w:beforeAutospacing="1" w:after="100" w:afterAutospacing="1"/>
      <w:jc w:val="left"/>
    </w:pPr>
    <w:rPr>
      <w:rFonts w:ascii="宋体" w:hAnsi="宋体"/>
      <w:kern w:val="0"/>
      <w:sz w:val="24"/>
      <w:szCs w:val="20"/>
    </w:rPr>
  </w:style>
  <w:style w:type="paragraph" w:styleId="20">
    <w:name w:val="annotation subject"/>
    <w:basedOn w:val="8"/>
    <w:next w:val="8"/>
    <w:link w:val="54"/>
    <w:semiHidden/>
    <w:qFormat/>
    <w:uiPriority w:val="0"/>
    <w:rPr>
      <w:b/>
    </w:rPr>
  </w:style>
  <w:style w:type="table" w:styleId="22">
    <w:name w:val="Table Grid"/>
    <w:basedOn w:val="2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locked/>
    <w:uiPriority w:val="0"/>
  </w:style>
  <w:style w:type="character" w:styleId="25">
    <w:name w:val="Hyperlink"/>
    <w:basedOn w:val="23"/>
    <w:unhideWhenUsed/>
    <w:locked/>
    <w:uiPriority w:val="99"/>
    <w:rPr>
      <w:color w:val="0000FF"/>
      <w:u w:val="single"/>
    </w:rPr>
  </w:style>
  <w:style w:type="character" w:styleId="26">
    <w:name w:val="annotation reference"/>
    <w:semiHidden/>
    <w:qFormat/>
    <w:uiPriority w:val="0"/>
    <w:rPr>
      <w:sz w:val="21"/>
    </w:rPr>
  </w:style>
  <w:style w:type="paragraph" w:customStyle="1" w:styleId="2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paragraph" w:customStyle="1" w:styleId="28">
    <w:name w:val="Default"/>
    <w:link w:val="57"/>
    <w:autoRedefine/>
    <w:qFormat/>
    <w:uiPriority w:val="99"/>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29">
    <w:name w:val="表格内容"/>
    <w:basedOn w:val="2"/>
    <w:link w:val="58"/>
    <w:autoRedefine/>
    <w:qFormat/>
    <w:uiPriority w:val="0"/>
    <w:pPr>
      <w:spacing w:line="312" w:lineRule="auto"/>
      <w:ind w:firstLine="0" w:firstLineChars="0"/>
      <w:jc w:val="center"/>
    </w:pPr>
    <w:rPr>
      <w:szCs w:val="20"/>
      <w:lang w:eastAsia="en-US"/>
    </w:rPr>
  </w:style>
  <w:style w:type="paragraph" w:customStyle="1" w:styleId="30">
    <w:name w:val="样式3"/>
    <w:basedOn w:val="14"/>
    <w:link w:val="61"/>
    <w:autoRedefine/>
    <w:qFormat/>
    <w:uiPriority w:val="0"/>
    <w:pPr>
      <w:jc w:val="center"/>
    </w:pPr>
    <w:rPr>
      <w:rFonts w:ascii="黑体" w:eastAsia="黑体"/>
      <w:kern w:val="2"/>
      <w:sz w:val="21"/>
    </w:rPr>
  </w:style>
  <w:style w:type="paragraph" w:customStyle="1" w:styleId="31">
    <w:name w:val="付正文"/>
    <w:basedOn w:val="1"/>
    <w:link w:val="62"/>
    <w:autoRedefine/>
    <w:semiHidden/>
    <w:qFormat/>
    <w:uiPriority w:val="0"/>
    <w:pPr>
      <w:widowControl/>
      <w:spacing w:line="360" w:lineRule="auto"/>
      <w:ind w:firstLine="200" w:firstLineChars="200"/>
      <w:jc w:val="left"/>
    </w:pPr>
    <w:rPr>
      <w:rFonts w:ascii="宋体"/>
      <w:color w:val="000000"/>
      <w:kern w:val="0"/>
      <w:sz w:val="20"/>
      <w:szCs w:val="21"/>
    </w:rPr>
  </w:style>
  <w:style w:type="paragraph" w:customStyle="1" w:styleId="32">
    <w:name w:val="Ay正文"/>
    <w:basedOn w:val="1"/>
    <w:autoRedefine/>
    <w:qFormat/>
    <w:uiPriority w:val="0"/>
    <w:pPr>
      <w:adjustRightInd w:val="0"/>
      <w:snapToGrid w:val="0"/>
      <w:spacing w:line="360" w:lineRule="auto"/>
      <w:ind w:firstLine="200" w:firstLineChars="200"/>
    </w:pPr>
    <w:rPr>
      <w:sz w:val="24"/>
      <w:szCs w:val="20"/>
    </w:rPr>
  </w:style>
  <w:style w:type="paragraph" w:customStyle="1" w:styleId="33">
    <w:name w:val="Table Paragraph"/>
    <w:basedOn w:val="1"/>
    <w:autoRedefine/>
    <w:qFormat/>
    <w:uiPriority w:val="1"/>
    <w:rPr>
      <w:rFonts w:ascii="宋体" w:hAnsi="宋体" w:cs="宋体"/>
      <w:lang w:val="zh-CN" w:bidi="zh-CN"/>
    </w:rPr>
  </w:style>
  <w:style w:type="paragraph" w:customStyle="1" w:styleId="34">
    <w:name w:val="p0"/>
    <w:basedOn w:val="1"/>
    <w:autoRedefine/>
    <w:qFormat/>
    <w:uiPriority w:val="0"/>
    <w:pPr>
      <w:widowControl/>
    </w:pPr>
    <w:rPr>
      <w:rFonts w:ascii="Calibri" w:hAnsi="Calibri" w:cs="宋体"/>
      <w:kern w:val="0"/>
      <w:szCs w:val="21"/>
    </w:rPr>
  </w:style>
  <w:style w:type="paragraph" w:customStyle="1" w:styleId="3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
    <w:name w:val="Char Char Char Char Char Char"/>
    <w:basedOn w:val="1"/>
    <w:autoRedefine/>
    <w:qFormat/>
    <w:uiPriority w:val="0"/>
    <w:pPr>
      <w:widowControl/>
      <w:spacing w:after="160" w:line="240" w:lineRule="exact"/>
      <w:jc w:val="left"/>
    </w:pPr>
    <w:rPr>
      <w:rFonts w:ascii="Verdana" w:hAnsi="Verdana" w:eastAsia="仿宋_GB2312"/>
      <w:b/>
      <w:kern w:val="0"/>
      <w:sz w:val="28"/>
      <w:szCs w:val="30"/>
      <w:lang w:eastAsia="en-US"/>
    </w:rPr>
  </w:style>
  <w:style w:type="paragraph" w:customStyle="1" w:styleId="37">
    <w:name w:val="0正文"/>
    <w:basedOn w:val="4"/>
    <w:autoRedefine/>
    <w:qFormat/>
    <w:uiPriority w:val="99"/>
    <w:pPr>
      <w:spacing w:after="0" w:line="360" w:lineRule="auto"/>
      <w:ind w:left="0" w:leftChars="0" w:firstLine="720" w:firstLineChars="200"/>
    </w:pPr>
    <w:rPr>
      <w:rFonts w:eastAsia="仿宋_GB2312"/>
      <w:kern w:val="2"/>
      <w:szCs w:val="22"/>
    </w:rPr>
  </w:style>
  <w:style w:type="paragraph" w:customStyle="1" w:styleId="38">
    <w:name w:val="A样式 小四 行距: 1.5 倍行距 首行缩进:  2 字符"/>
    <w:basedOn w:val="1"/>
    <w:autoRedefine/>
    <w:qFormat/>
    <w:uiPriority w:val="0"/>
    <w:pPr>
      <w:spacing w:line="360" w:lineRule="auto"/>
      <w:ind w:firstLine="480" w:firstLineChars="200"/>
    </w:pPr>
    <w:rPr>
      <w:rFonts w:ascii="Calibri" w:hAnsi="Calibri" w:eastAsia="仿宋" w:cs="宋体"/>
      <w:sz w:val="28"/>
    </w:rPr>
  </w:style>
  <w:style w:type="paragraph" w:customStyle="1" w:styleId="39">
    <w:name w:val="列出段落1"/>
    <w:basedOn w:val="1"/>
    <w:autoRedefine/>
    <w:qFormat/>
    <w:uiPriority w:val="0"/>
    <w:pPr>
      <w:ind w:firstLine="420" w:firstLineChars="200"/>
    </w:pPr>
  </w:style>
  <w:style w:type="paragraph" w:customStyle="1" w:styleId="4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1">
    <w:name w:val="1"/>
    <w:basedOn w:val="1"/>
    <w:next w:val="18"/>
    <w:autoRedefine/>
    <w:qFormat/>
    <w:uiPriority w:val="0"/>
    <w:pPr>
      <w:spacing w:line="400" w:lineRule="exact"/>
      <w:ind w:firstLine="567"/>
    </w:pPr>
    <w:rPr>
      <w:szCs w:val="20"/>
    </w:rPr>
  </w:style>
  <w:style w:type="paragraph" w:customStyle="1" w:styleId="42">
    <w:name w:val="标题2"/>
    <w:basedOn w:val="43"/>
    <w:autoRedefine/>
    <w:qFormat/>
    <w:uiPriority w:val="0"/>
    <w:rPr>
      <w:b/>
    </w:rPr>
  </w:style>
  <w:style w:type="paragraph" w:customStyle="1" w:styleId="43">
    <w:name w:val="正文一"/>
    <w:basedOn w:val="1"/>
    <w:autoRedefine/>
    <w:qFormat/>
    <w:uiPriority w:val="0"/>
  </w:style>
  <w:style w:type="paragraph" w:customStyle="1" w:styleId="44">
    <w:name w:val="ky-表内文字"/>
    <w:basedOn w:val="1"/>
    <w:next w:val="1"/>
    <w:autoRedefine/>
    <w:qFormat/>
    <w:uiPriority w:val="0"/>
    <w:pPr>
      <w:spacing w:line="240" w:lineRule="atLeast"/>
      <w:jc w:val="center"/>
    </w:pPr>
    <w:rPr>
      <w:sz w:val="18"/>
      <w:szCs w:val="20"/>
    </w:rPr>
  </w:style>
  <w:style w:type="character" w:customStyle="1" w:styleId="45">
    <w:name w:val="正文文本缩进 字符"/>
    <w:link w:val="4"/>
    <w:autoRedefine/>
    <w:semiHidden/>
    <w:qFormat/>
    <w:locked/>
    <w:uiPriority w:val="99"/>
    <w:rPr>
      <w:rFonts w:ascii="Times New Roman" w:hAnsi="Times New Roman" w:eastAsia="宋体"/>
      <w:sz w:val="24"/>
    </w:rPr>
  </w:style>
  <w:style w:type="character" w:customStyle="1" w:styleId="46">
    <w:name w:val="批注文字 字符"/>
    <w:link w:val="8"/>
    <w:autoRedefine/>
    <w:qFormat/>
    <w:locked/>
    <w:uiPriority w:val="0"/>
    <w:rPr>
      <w:rFonts w:ascii="Times New Roman" w:hAnsi="Times New Roman" w:eastAsia="宋体"/>
      <w:sz w:val="24"/>
    </w:rPr>
  </w:style>
  <w:style w:type="character" w:customStyle="1" w:styleId="47">
    <w:name w:val="正文文本 字符"/>
    <w:link w:val="9"/>
    <w:autoRedefine/>
    <w:qFormat/>
    <w:locked/>
    <w:uiPriority w:val="0"/>
    <w:rPr>
      <w:sz w:val="18"/>
    </w:rPr>
  </w:style>
  <w:style w:type="character" w:customStyle="1" w:styleId="48">
    <w:name w:val="纯文本 字符"/>
    <w:link w:val="10"/>
    <w:autoRedefine/>
    <w:qFormat/>
    <w:uiPriority w:val="0"/>
    <w:rPr>
      <w:rFonts w:ascii="宋体" w:hAnsi="Courier New"/>
      <w:color w:val="000000"/>
      <w:sz w:val="21"/>
      <w:szCs w:val="21"/>
    </w:rPr>
  </w:style>
  <w:style w:type="character" w:customStyle="1" w:styleId="49">
    <w:name w:val="日期 字符1"/>
    <w:link w:val="11"/>
    <w:autoRedefine/>
    <w:qFormat/>
    <w:locked/>
    <w:uiPriority w:val="0"/>
    <w:rPr>
      <w:rFonts w:ascii="Times New Roman" w:hAnsi="Times New Roman" w:eastAsia="宋体"/>
      <w:sz w:val="24"/>
    </w:rPr>
  </w:style>
  <w:style w:type="character" w:customStyle="1" w:styleId="50">
    <w:name w:val="批注框文本 字符"/>
    <w:link w:val="13"/>
    <w:autoRedefine/>
    <w:semiHidden/>
    <w:qFormat/>
    <w:locked/>
    <w:uiPriority w:val="0"/>
    <w:rPr>
      <w:rFonts w:ascii="Times New Roman" w:hAnsi="Times New Roman" w:eastAsia="宋体"/>
      <w:sz w:val="18"/>
    </w:rPr>
  </w:style>
  <w:style w:type="character" w:customStyle="1" w:styleId="51">
    <w:name w:val="页脚 字符1"/>
    <w:link w:val="14"/>
    <w:autoRedefine/>
    <w:qFormat/>
    <w:locked/>
    <w:uiPriority w:val="99"/>
    <w:rPr>
      <w:sz w:val="18"/>
    </w:rPr>
  </w:style>
  <w:style w:type="character" w:customStyle="1" w:styleId="52">
    <w:name w:val="页眉 字符"/>
    <w:link w:val="15"/>
    <w:autoRedefine/>
    <w:qFormat/>
    <w:locked/>
    <w:uiPriority w:val="99"/>
    <w:rPr>
      <w:sz w:val="18"/>
    </w:rPr>
  </w:style>
  <w:style w:type="character" w:customStyle="1" w:styleId="53">
    <w:name w:val="普通(网站) 字符"/>
    <w:link w:val="19"/>
    <w:autoRedefine/>
    <w:qFormat/>
    <w:locked/>
    <w:uiPriority w:val="0"/>
    <w:rPr>
      <w:rFonts w:ascii="宋体" w:hAnsi="宋体" w:eastAsia="宋体"/>
      <w:sz w:val="24"/>
    </w:rPr>
  </w:style>
  <w:style w:type="character" w:customStyle="1" w:styleId="54">
    <w:name w:val="批注主题 字符"/>
    <w:link w:val="20"/>
    <w:autoRedefine/>
    <w:semiHidden/>
    <w:qFormat/>
    <w:locked/>
    <w:uiPriority w:val="0"/>
    <w:rPr>
      <w:rFonts w:ascii="Times New Roman" w:hAnsi="Times New Roman" w:eastAsia="宋体"/>
      <w:b/>
      <w:kern w:val="2"/>
      <w:sz w:val="24"/>
    </w:rPr>
  </w:style>
  <w:style w:type="character" w:customStyle="1" w:styleId="55">
    <w:name w:val="批注文字 字符1"/>
    <w:autoRedefine/>
    <w:semiHidden/>
    <w:qFormat/>
    <w:uiPriority w:val="0"/>
    <w:rPr>
      <w:rFonts w:ascii="Times New Roman" w:hAnsi="Times New Roman" w:eastAsia="宋体"/>
      <w:sz w:val="24"/>
    </w:rPr>
  </w:style>
  <w:style w:type="character" w:customStyle="1" w:styleId="56">
    <w:name w:val="表格 Char"/>
    <w:link w:val="27"/>
    <w:autoRedefine/>
    <w:qFormat/>
    <w:locked/>
    <w:uiPriority w:val="0"/>
    <w:rPr>
      <w:rFonts w:ascii="宋体"/>
      <w:sz w:val="21"/>
    </w:rPr>
  </w:style>
  <w:style w:type="character" w:customStyle="1" w:styleId="57">
    <w:name w:val="Default Char Char"/>
    <w:link w:val="28"/>
    <w:autoRedefine/>
    <w:qFormat/>
    <w:uiPriority w:val="0"/>
    <w:rPr>
      <w:rFonts w:ascii="宋体" w:cs="宋体"/>
      <w:color w:val="000000"/>
      <w:sz w:val="24"/>
      <w:szCs w:val="24"/>
    </w:rPr>
  </w:style>
  <w:style w:type="character" w:customStyle="1" w:styleId="58">
    <w:name w:val="表格内容 Char Char"/>
    <w:link w:val="29"/>
    <w:autoRedefine/>
    <w:qFormat/>
    <w:uiPriority w:val="0"/>
    <w:rPr>
      <w:kern w:val="2"/>
      <w:sz w:val="21"/>
      <w:lang w:eastAsia="en-US"/>
    </w:rPr>
  </w:style>
  <w:style w:type="character" w:customStyle="1" w:styleId="59">
    <w:name w:val="纯文本 字符1"/>
    <w:autoRedefine/>
    <w:qFormat/>
    <w:uiPriority w:val="0"/>
    <w:rPr>
      <w:rFonts w:ascii="宋体" w:hAnsi="Courier New" w:cs="Courier New"/>
      <w:kern w:val="2"/>
      <w:sz w:val="21"/>
      <w:szCs w:val="21"/>
    </w:rPr>
  </w:style>
  <w:style w:type="character" w:customStyle="1" w:styleId="60">
    <w:name w:val="日期 字符"/>
    <w:autoRedefine/>
    <w:semiHidden/>
    <w:qFormat/>
    <w:uiPriority w:val="0"/>
    <w:rPr>
      <w:rFonts w:ascii="Times New Roman" w:hAnsi="Times New Roman" w:eastAsia="宋体"/>
      <w:sz w:val="24"/>
    </w:rPr>
  </w:style>
  <w:style w:type="character" w:customStyle="1" w:styleId="61">
    <w:name w:val="样式3 Char Char"/>
    <w:link w:val="30"/>
    <w:autoRedefine/>
    <w:qFormat/>
    <w:uiPriority w:val="0"/>
    <w:rPr>
      <w:rFonts w:ascii="黑体" w:eastAsia="黑体"/>
      <w:kern w:val="2"/>
      <w:sz w:val="21"/>
    </w:rPr>
  </w:style>
  <w:style w:type="character" w:customStyle="1" w:styleId="62">
    <w:name w:val="付正文 Char Char"/>
    <w:link w:val="31"/>
    <w:autoRedefine/>
    <w:semiHidden/>
    <w:qFormat/>
    <w:uiPriority w:val="0"/>
    <w:rPr>
      <w:rFonts w:ascii="宋体"/>
      <w:color w:val="000000"/>
      <w:szCs w:val="21"/>
    </w:rPr>
  </w:style>
  <w:style w:type="character" w:customStyle="1" w:styleId="63">
    <w:name w:val="正文文本 字符1"/>
    <w:autoRedefine/>
    <w:semiHidden/>
    <w:qFormat/>
    <w:uiPriority w:val="0"/>
    <w:rPr>
      <w:rFonts w:ascii="Times New Roman" w:hAnsi="Times New Roman" w:eastAsia="宋体"/>
      <w:sz w:val="24"/>
    </w:rPr>
  </w:style>
  <w:style w:type="character" w:customStyle="1" w:styleId="64">
    <w:name w:val="页脚 字符"/>
    <w:basedOn w:val="23"/>
    <w:autoRedefine/>
    <w:qFormat/>
    <w:uiPriority w:val="99"/>
  </w:style>
  <w:style w:type="character" w:customStyle="1" w:styleId="65">
    <w:name w:val="文章正文 Char Char"/>
    <w:autoRedefine/>
    <w:qFormat/>
    <w:uiPriority w:val="0"/>
    <w:rPr>
      <w:rFonts w:ascii="Times New Roman"/>
      <w:kern w:val="0"/>
      <w:sz w:val="24"/>
      <w:szCs w:val="20"/>
    </w:rPr>
  </w:style>
  <w:style w:type="paragraph" w:customStyle="1" w:styleId="66">
    <w:name w:val="文章正文"/>
    <w:basedOn w:val="1"/>
    <w:link w:val="79"/>
    <w:autoRedefine/>
    <w:qFormat/>
    <w:uiPriority w:val="0"/>
    <w:pPr>
      <w:spacing w:line="440" w:lineRule="exact"/>
      <w:ind w:firstLine="600" w:firstLineChars="200"/>
    </w:pPr>
    <w:rPr>
      <w:kern w:val="0"/>
      <w:sz w:val="24"/>
      <w:szCs w:val="20"/>
    </w:rPr>
  </w:style>
  <w:style w:type="paragraph" w:customStyle="1" w:styleId="67">
    <w:name w:val="【表中文字】"/>
    <w:basedOn w:val="1"/>
    <w:autoRedefine/>
    <w:qFormat/>
    <w:uiPriority w:val="0"/>
    <w:pPr>
      <w:jc w:val="center"/>
    </w:pPr>
    <w:rPr>
      <w:szCs w:val="20"/>
    </w:rPr>
  </w:style>
  <w:style w:type="paragraph" w:customStyle="1" w:styleId="68">
    <w:name w:val="Ay表头"/>
    <w:basedOn w:val="1"/>
    <w:autoRedefine/>
    <w:qFormat/>
    <w:uiPriority w:val="0"/>
    <w:pPr>
      <w:jc w:val="center"/>
    </w:pPr>
    <w:rPr>
      <w:b/>
      <w:szCs w:val="20"/>
    </w:rPr>
  </w:style>
  <w:style w:type="paragraph" w:customStyle="1" w:styleId="69">
    <w:name w:val="Ay表内文字"/>
    <w:basedOn w:val="1"/>
    <w:autoRedefine/>
    <w:qFormat/>
    <w:uiPriority w:val="0"/>
    <w:pPr>
      <w:widowControl/>
      <w:spacing w:line="240" w:lineRule="atLeast"/>
      <w:jc w:val="center"/>
    </w:pPr>
    <w:rPr>
      <w:kern w:val="18"/>
      <w:szCs w:val="20"/>
      <w:lang w:eastAsia="en-US" w:bidi="en-US"/>
    </w:rPr>
  </w:style>
  <w:style w:type="paragraph" w:customStyle="1" w:styleId="70">
    <w:name w:val="表中"/>
    <w:autoRedefine/>
    <w:qFormat/>
    <w:uiPriority w:val="0"/>
    <w:pPr>
      <w:spacing w:line="300" w:lineRule="exact"/>
      <w:jc w:val="both"/>
    </w:pPr>
    <w:rPr>
      <w:rFonts w:ascii="宋体" w:hAnsi="宋体" w:eastAsia="宋体" w:cs="Times New Roman"/>
      <w:kern w:val="44"/>
      <w:sz w:val="21"/>
      <w:szCs w:val="21"/>
      <w:lang w:val="en-US" w:eastAsia="zh-CN" w:bidi="ar-SA"/>
    </w:rPr>
  </w:style>
  <w:style w:type="paragraph" w:customStyle="1" w:styleId="71">
    <w:name w:val="报告正文"/>
    <w:basedOn w:val="1"/>
    <w:autoRedefine/>
    <w:qFormat/>
    <w:uiPriority w:val="0"/>
    <w:pPr>
      <w:adjustRightInd w:val="0"/>
      <w:snapToGrid w:val="0"/>
      <w:spacing w:line="360" w:lineRule="auto"/>
      <w:ind w:firstLine="480" w:firstLineChars="200"/>
    </w:pPr>
    <w:rPr>
      <w:rFonts w:hAnsi="宋体"/>
      <w:sz w:val="24"/>
    </w:rPr>
  </w:style>
  <w:style w:type="paragraph" w:styleId="72">
    <w:name w:val="List Paragraph"/>
    <w:basedOn w:val="1"/>
    <w:autoRedefine/>
    <w:qFormat/>
    <w:uiPriority w:val="34"/>
    <w:pPr>
      <w:ind w:firstLine="420" w:firstLineChars="200"/>
    </w:pPr>
  </w:style>
  <w:style w:type="paragraph" w:customStyle="1" w:styleId="73">
    <w:name w:val="样式5"/>
    <w:basedOn w:val="1"/>
    <w:autoRedefine/>
    <w:qFormat/>
    <w:uiPriority w:val="0"/>
    <w:pPr>
      <w:snapToGrid w:val="0"/>
      <w:spacing w:line="360" w:lineRule="auto"/>
      <w:ind w:firstLine="510"/>
    </w:pPr>
    <w:rPr>
      <w:sz w:val="24"/>
    </w:rPr>
  </w:style>
  <w:style w:type="paragraph" w:customStyle="1" w:styleId="74">
    <w:name w:val="列出段落11"/>
    <w:basedOn w:val="1"/>
    <w:autoRedefine/>
    <w:qFormat/>
    <w:uiPriority w:val="0"/>
    <w:pPr>
      <w:ind w:firstLine="420" w:firstLineChars="200"/>
    </w:pPr>
    <w:rPr>
      <w:rFonts w:ascii="宋体"/>
      <w:sz w:val="28"/>
    </w:rPr>
  </w:style>
  <w:style w:type="character" w:customStyle="1" w:styleId="75">
    <w:name w:val="正文文本首行缩进 2 字符"/>
    <w:basedOn w:val="45"/>
    <w:link w:val="3"/>
    <w:autoRedefine/>
    <w:qFormat/>
    <w:uiPriority w:val="99"/>
    <w:rPr>
      <w:rFonts w:ascii="Times New Roman" w:hAnsi="Times New Roman" w:eastAsia="宋体"/>
      <w:sz w:val="24"/>
    </w:rPr>
  </w:style>
  <w:style w:type="paragraph" w:customStyle="1" w:styleId="76">
    <w:name w:val="正文首行缩进 21"/>
    <w:basedOn w:val="4"/>
    <w:autoRedefine/>
    <w:qFormat/>
    <w:uiPriority w:val="0"/>
    <w:pPr>
      <w:spacing w:before="100" w:beforeAutospacing="1"/>
      <w:ind w:firstLine="420"/>
    </w:pPr>
    <w:rPr>
      <w:szCs w:val="24"/>
    </w:rPr>
  </w:style>
  <w:style w:type="paragraph" w:customStyle="1" w:styleId="77">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正文文本缩进-1"/>
    <w:basedOn w:val="4"/>
    <w:autoRedefine/>
    <w:qFormat/>
    <w:uiPriority w:val="0"/>
    <w:pPr>
      <w:widowControl/>
      <w:adjustRightInd w:val="0"/>
      <w:snapToGrid w:val="0"/>
      <w:spacing w:line="560" w:lineRule="exact"/>
      <w:ind w:firstLine="480"/>
    </w:pPr>
    <w:rPr>
      <w:szCs w:val="24"/>
    </w:rPr>
  </w:style>
  <w:style w:type="character" w:customStyle="1" w:styleId="79">
    <w:name w:val="文章正文 Char"/>
    <w:link w:val="66"/>
    <w:autoRedefine/>
    <w:qFormat/>
    <w:uiPriority w:val="0"/>
    <w:rPr>
      <w:sz w:val="24"/>
    </w:rPr>
  </w:style>
  <w:style w:type="paragraph" w:customStyle="1" w:styleId="80">
    <w:name w:val="YYH表格"/>
    <w:basedOn w:val="1"/>
    <w:autoRedefine/>
    <w:qFormat/>
    <w:uiPriority w:val="0"/>
    <w:pPr>
      <w:jc w:val="center"/>
    </w:pPr>
    <w:rPr>
      <w:color w:val="000000"/>
      <w:szCs w:val="21"/>
    </w:rPr>
  </w:style>
  <w:style w:type="paragraph" w:customStyle="1" w:styleId="81">
    <w:name w:val="表内容"/>
    <w:basedOn w:val="1"/>
    <w:next w:val="1"/>
    <w:autoRedefine/>
    <w:qFormat/>
    <w:uiPriority w:val="0"/>
    <w:pPr>
      <w:spacing w:line="240" w:lineRule="atLeast"/>
      <w:jc w:val="center"/>
    </w:pPr>
    <w:rPr>
      <w:szCs w:val="21"/>
    </w:rPr>
  </w:style>
  <w:style w:type="paragraph" w:customStyle="1" w:styleId="82">
    <w:name w:val="我的表格"/>
    <w:basedOn w:val="1"/>
    <w:autoRedefine/>
    <w:qFormat/>
    <w:uiPriority w:val="0"/>
    <w:pPr>
      <w:autoSpaceDE w:val="0"/>
      <w:autoSpaceDN w:val="0"/>
      <w:adjustRightInd w:val="0"/>
      <w:spacing w:line="340" w:lineRule="exact"/>
      <w:jc w:val="center"/>
    </w:pPr>
    <w:rPr>
      <w:rFonts w:ascii="Calibri" w:hAnsi="宋体"/>
      <w:szCs w:val="21"/>
    </w:rPr>
  </w:style>
  <w:style w:type="character" w:customStyle="1" w:styleId="83">
    <w:name w:val="标题 2 字符"/>
    <w:basedOn w:val="23"/>
    <w:link w:val="6"/>
    <w:autoRedefine/>
    <w:semiHidden/>
    <w:qFormat/>
    <w:uiPriority w:val="0"/>
    <w:rPr>
      <w:rFonts w:asciiTheme="majorHAnsi" w:hAnsiTheme="majorHAnsi" w:eastAsiaTheme="majorEastAsia" w:cstheme="majorBidi"/>
      <w:b/>
      <w:bCs/>
      <w:kern w:val="2"/>
      <w:sz w:val="32"/>
      <w:szCs w:val="32"/>
    </w:rPr>
  </w:style>
  <w:style w:type="paragraph" w:customStyle="1" w:styleId="84">
    <w:name w:val="正文五号"/>
    <w:link w:val="88"/>
    <w:autoRedefine/>
    <w:qFormat/>
    <w:uiPriority w:val="0"/>
    <w:pPr>
      <w:widowControl w:val="0"/>
      <w:spacing w:line="480" w:lineRule="exact"/>
      <w:ind w:firstLine="200" w:firstLineChars="200"/>
      <w:jc w:val="both"/>
      <w:textAlignment w:val="center"/>
    </w:pPr>
    <w:rPr>
      <w:rFonts w:ascii="Times New Roman" w:hAnsi="Times New Roman" w:eastAsia="宋体" w:cs="Times New Roman"/>
      <w:kern w:val="2"/>
      <w:sz w:val="21"/>
      <w:szCs w:val="24"/>
      <w:lang w:val="en-US" w:eastAsia="zh-CN" w:bidi="ar-SA"/>
    </w:rPr>
  </w:style>
  <w:style w:type="character" w:customStyle="1" w:styleId="85">
    <w:name w:val="标题 3 字符"/>
    <w:basedOn w:val="23"/>
    <w:link w:val="7"/>
    <w:autoRedefine/>
    <w:semiHidden/>
    <w:qFormat/>
    <w:uiPriority w:val="0"/>
    <w:rPr>
      <w:b/>
      <w:bCs/>
      <w:kern w:val="2"/>
      <w:sz w:val="32"/>
      <w:szCs w:val="32"/>
    </w:rPr>
  </w:style>
  <w:style w:type="character" w:customStyle="1" w:styleId="86">
    <w:name w:val="正文缩进 字符"/>
    <w:link w:val="2"/>
    <w:autoRedefine/>
    <w:qFormat/>
    <w:uiPriority w:val="0"/>
    <w:rPr>
      <w:kern w:val="2"/>
      <w:sz w:val="21"/>
      <w:szCs w:val="24"/>
    </w:rPr>
  </w:style>
  <w:style w:type="paragraph" w:customStyle="1" w:styleId="87">
    <w:name w:val="4刘群正文*"/>
    <w:basedOn w:val="1"/>
    <w:autoRedefine/>
    <w:qFormat/>
    <w:uiPriority w:val="0"/>
    <w:pPr>
      <w:spacing w:line="520" w:lineRule="exact"/>
      <w:ind w:firstLine="480" w:firstLineChars="200"/>
    </w:pPr>
    <w:rPr>
      <w:spacing w:val="5"/>
      <w:sz w:val="24"/>
      <w:lang w:val="zh-CN"/>
    </w:rPr>
  </w:style>
  <w:style w:type="character" w:customStyle="1" w:styleId="88">
    <w:name w:val="正文五号 字符"/>
    <w:basedOn w:val="23"/>
    <w:link w:val="84"/>
    <w:autoRedefine/>
    <w:qFormat/>
    <w:uiPriority w:val="0"/>
    <w:rPr>
      <w:kern w:val="2"/>
      <w:sz w:val="21"/>
      <w:szCs w:val="24"/>
    </w:rPr>
  </w:style>
  <w:style w:type="paragraph" w:customStyle="1" w:styleId="89">
    <w:name w:val="表格内容居中"/>
    <w:autoRedefine/>
    <w:qFormat/>
    <w:uiPriority w:val="0"/>
    <w:pPr>
      <w:adjustRightInd w:val="0"/>
      <w:snapToGrid w:val="0"/>
      <w:jc w:val="center"/>
    </w:pPr>
    <w:rPr>
      <w:rFonts w:ascii="Calibri" w:hAnsi="Calibri" w:eastAsia="宋体" w:cs="Times New Roman"/>
      <w:snapToGrid w:val="0"/>
      <w:sz w:val="21"/>
      <w:lang w:val="en-US" w:eastAsia="zh-CN" w:bidi="ar-SA"/>
    </w:rPr>
  </w:style>
  <w:style w:type="paragraph" w:customStyle="1" w:styleId="90">
    <w:name w:val="1正文"/>
    <w:basedOn w:val="1"/>
    <w:autoRedefine/>
    <w:qFormat/>
    <w:uiPriority w:val="0"/>
    <w:pPr>
      <w:widowControl/>
      <w:adjustRightInd w:val="0"/>
      <w:spacing w:line="360" w:lineRule="auto"/>
      <w:ind w:firstLine="200" w:firstLineChars="200"/>
      <w:jc w:val="left"/>
    </w:pPr>
    <w:rPr>
      <w:rFonts w:ascii="宋体" w:hAnsi="宋体" w:cs="宋体"/>
      <w:kern w:val="0"/>
      <w:sz w:val="24"/>
      <w:szCs w:val="28"/>
    </w:rPr>
  </w:style>
  <w:style w:type="character" w:customStyle="1" w:styleId="91">
    <w:name w:val="表格五号 Char"/>
    <w:link w:val="92"/>
    <w:autoRedefine/>
    <w:qFormat/>
    <w:locked/>
    <w:uiPriority w:val="0"/>
    <w:rPr>
      <w:snapToGrid w:val="0"/>
      <w:sz w:val="21"/>
    </w:rPr>
  </w:style>
  <w:style w:type="paragraph" w:customStyle="1" w:styleId="92">
    <w:name w:val="表格五号"/>
    <w:link w:val="91"/>
    <w:autoRedefine/>
    <w:qFormat/>
    <w:uiPriority w:val="0"/>
    <w:pPr>
      <w:snapToGrid w:val="0"/>
      <w:jc w:val="center"/>
    </w:pPr>
    <w:rPr>
      <w:rFonts w:ascii="Times New Roman" w:hAnsi="Times New Roman" w:eastAsia="宋体" w:cs="Times New Roman"/>
      <w:snapToGrid w:val="0"/>
      <w:sz w:val="21"/>
      <w:lang w:val="en-US" w:eastAsia="zh-CN" w:bidi="ar-SA"/>
    </w:rPr>
  </w:style>
  <w:style w:type="paragraph" w:customStyle="1" w:styleId="93">
    <w:name w:val="表格内五号"/>
    <w:link w:val="94"/>
    <w:autoRedefine/>
    <w:qFormat/>
    <w:uiPriority w:val="0"/>
    <w:pPr>
      <w:spacing w:line="0" w:lineRule="atLeast"/>
      <w:jc w:val="center"/>
    </w:pPr>
    <w:rPr>
      <w:rFonts w:ascii="Times New Roman" w:hAnsi="Times New Roman" w:eastAsia="宋体" w:cs="Times New Roman"/>
      <w:sz w:val="21"/>
      <w:lang w:val="en-US" w:eastAsia="zh-CN" w:bidi="ar-SA"/>
    </w:rPr>
  </w:style>
  <w:style w:type="character" w:customStyle="1" w:styleId="94">
    <w:name w:val="表格内五号 Char"/>
    <w:link w:val="93"/>
    <w:autoRedefine/>
    <w:qFormat/>
    <w:uiPriority w:val="0"/>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emf"/><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oleObject" Target="embeddings/oleObject1.bin"/><Relationship Id="rId22" Type="http://schemas.openxmlformats.org/officeDocument/2006/relationships/image" Target="media/image12.emf"/><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BFEF9F-D185-47AE-8839-8AC0CEE903A0}">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72</Pages>
  <Words>6139</Words>
  <Characters>34996</Characters>
  <Lines>291</Lines>
  <Paragraphs>82</Paragraphs>
  <TotalTime>55</TotalTime>
  <ScaleCrop>false</ScaleCrop>
  <LinksUpToDate>false</LinksUpToDate>
  <CharactersWithSpaces>41053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2023-12-16T09:47:00Z</dcterms:created>
  <dc:creator>colour</dc:creator>
  <cp:lastModifiedBy>найраг</cp:lastModifiedBy>
  <cp:lastPrinted>2024-01-09T05:44:00Z</cp:lastPrinted>
  <dcterms:modified xsi:type="dcterms:W3CDTF">2024-02-28T02:19:40Z</dcterms:modified>
  <dc:title>附件2</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1ABFCBA44B6F4F94B1B8E3D492D5C345_13</vt:lpwstr>
  </property>
</Properties>
</file>