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bookmarkStart w:id="0" w:name="_GoBack"/>
      <w:bookmarkEnd w:id="0"/>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default" w:ascii="方正小标宋简体" w:hAnsi="方正小标宋简体" w:eastAsia="方正小标宋简体" w:cs="方正小标宋简体"/>
          <w:spacing w:val="-11"/>
          <w:sz w:val="44"/>
          <w:szCs w:val="44"/>
          <w:lang w:val="en-US" w:eastAsia="zh-CN"/>
        </w:rPr>
        <w:t>内蒙古锡林郭勒盟西乌珠穆沁旗巴彦乌拉机场至王盖敖包（X504）段公路改建工程项目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西乌珠穆沁旗巴彦乌拉机场至王盖敖包（X504）段公路改建工程项目</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锡环投评估表〔2024〕9号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pStyle w:val="28"/>
        <w:keepNext w:val="0"/>
        <w:keepLines w:val="0"/>
        <w:widowControl/>
        <w:suppressLineNumbers w:val="0"/>
        <w:bidi w:val="0"/>
        <w:spacing w:before="0" w:beforeAutospacing="0" w:after="0" w:afterAutospacing="0"/>
        <w:ind w:left="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本改建项目全线位于锡林郭勒盟西乌珠穆沁旗巴拉嘎尔高勒镇和浩勒图高勒镇境内，</w:t>
      </w:r>
      <w:r>
        <w:rPr>
          <w:rFonts w:hint="default" w:ascii="仿宋_GB2312" w:hAnsi="仿宋_GB2312" w:eastAsia="仿宋_GB2312" w:cs="仿宋_GB2312"/>
          <w:color w:val="auto"/>
          <w:sz w:val="32"/>
          <w:szCs w:val="32"/>
          <w:lang w:val="en-US" w:eastAsia="zh-CN"/>
        </w:rPr>
        <w:t>起点接</w:t>
      </w:r>
      <w:r>
        <w:rPr>
          <w:rFonts w:hint="eastAsia" w:ascii="仿宋_GB2312" w:hAnsi="仿宋_GB2312" w:eastAsia="仿宋_GB2312" w:cs="仿宋_GB2312"/>
          <w:color w:val="auto"/>
          <w:sz w:val="32"/>
          <w:szCs w:val="32"/>
          <w:lang w:val="en-US" w:eastAsia="zh-CN"/>
        </w:rPr>
        <w:t>新建环岛（连接机场进场路、机场连接线和本项目公路的三出口环岛交叉）</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终点接X504线现有平角路口，</w:t>
      </w:r>
      <w:r>
        <w:rPr>
          <w:rFonts w:hint="default" w:ascii="仿宋_GB2312" w:hAnsi="仿宋_GB2312" w:eastAsia="仿宋_GB2312" w:cs="仿宋_GB2312"/>
          <w:color w:val="auto"/>
          <w:sz w:val="32"/>
          <w:szCs w:val="32"/>
          <w:lang w:val="en-US" w:eastAsia="zh-CN"/>
        </w:rPr>
        <w:t>路线全长</w:t>
      </w:r>
      <w:r>
        <w:rPr>
          <w:rFonts w:hint="eastAsia" w:ascii="仿宋_GB2312" w:hAnsi="仿宋_GB2312" w:eastAsia="仿宋_GB2312" w:cs="仿宋_GB2312"/>
          <w:color w:val="auto"/>
          <w:sz w:val="32"/>
          <w:szCs w:val="32"/>
          <w:lang w:val="en-US" w:eastAsia="zh-CN"/>
        </w:rPr>
        <w:t>18.524</w:t>
      </w:r>
      <w:r>
        <w:rPr>
          <w:rFonts w:hint="default" w:ascii="仿宋_GB2312" w:hAnsi="仿宋_GB2312" w:eastAsia="仿宋_GB2312" w:cs="仿宋_GB2312"/>
          <w:color w:val="auto"/>
          <w:sz w:val="32"/>
          <w:szCs w:val="32"/>
          <w:lang w:val="en-US" w:eastAsia="zh-CN"/>
        </w:rPr>
        <w:t>公里</w:t>
      </w:r>
      <w:r>
        <w:rPr>
          <w:rFonts w:hint="eastAsia" w:ascii="仿宋_GB2312" w:hAnsi="仿宋_GB2312" w:eastAsia="仿宋_GB2312" w:cs="仿宋_GB2312"/>
          <w:color w:val="auto"/>
          <w:sz w:val="32"/>
          <w:szCs w:val="32"/>
          <w:lang w:val="en-US" w:eastAsia="zh-CN"/>
        </w:rPr>
        <w:t>，其中K0+000-K0+140段为X504向西南连接</w:t>
      </w:r>
      <w:r>
        <w:rPr>
          <w:rFonts w:hint="eastAsia" w:ascii="仿宋_GB2312" w:hAnsi="仿宋_GB2312" w:eastAsia="仿宋_GB2312" w:cs="仿宋_GB2312"/>
          <w:b w:val="0"/>
          <w:bCs w:val="0"/>
          <w:color w:val="auto"/>
          <w:sz w:val="32"/>
          <w:szCs w:val="32"/>
          <w:highlight w:val="none"/>
          <w:lang w:val="en-US" w:eastAsia="zh-CN"/>
        </w:rPr>
        <w:t>新建机场路段，现状为砂石土路。K0+140-K18+523.55沿既有旧路布线，拆除旧路水泥混凝土路面新建沥青混凝土路面，无利旧路段，项目</w:t>
      </w:r>
      <w:r>
        <w:rPr>
          <w:rFonts w:hint="eastAsia" w:ascii="仿宋_GB2312" w:hAnsi="仿宋_GB2312" w:eastAsia="仿宋_GB2312" w:cs="仿宋_GB2312"/>
          <w:color w:val="auto"/>
          <w:sz w:val="32"/>
          <w:szCs w:val="32"/>
          <w:lang w:val="en-US" w:eastAsia="zh-CN"/>
        </w:rPr>
        <w:t>利用现有水泥路改建升级为三级公路，</w:t>
      </w:r>
      <w:r>
        <w:rPr>
          <w:rFonts w:hint="eastAsia" w:ascii="仿宋_GB2312" w:hAnsi="仿宋_GB2312" w:eastAsia="仿宋_GB2312" w:cs="仿宋_GB2312"/>
          <w:b w:val="0"/>
          <w:bCs w:val="0"/>
          <w:color w:val="auto"/>
          <w:sz w:val="32"/>
          <w:szCs w:val="32"/>
          <w:highlight w:val="none"/>
          <w:lang w:val="en-US" w:eastAsia="zh-CN"/>
        </w:rPr>
        <w:t>路基宽8.0米（车行道宽3.25×2米+路肩硬化0.25×2米+土路肩宽0.5×2米），</w:t>
      </w:r>
      <w:r>
        <w:rPr>
          <w:rFonts w:hint="eastAsia" w:ascii="仿宋_GB2312" w:hAnsi="仿宋_GB2312" w:eastAsia="仿宋_GB2312" w:cs="仿宋_GB2312"/>
          <w:color w:val="auto"/>
          <w:sz w:val="32"/>
          <w:szCs w:val="32"/>
          <w:lang w:val="en-US" w:eastAsia="zh-CN"/>
        </w:rPr>
        <w:t>路面宽6.5米。项目总占地面积为211975m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，临时占地为19958m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lang w:val="en-US" w:eastAsia="zh-CN"/>
        </w:rPr>
        <w:t>主要占地为天然牧草地且主要为基本草原。</w:t>
      </w:r>
      <w:r>
        <w:rPr>
          <w:rFonts w:hint="default"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b w:val="0"/>
          <w:bCs w:val="0"/>
          <w:color w:val="auto"/>
          <w:sz w:val="32"/>
          <w:szCs w:val="32"/>
          <w:highlight w:val="none"/>
          <w:lang w:val="en-US" w:eastAsia="zh-CN"/>
        </w:rPr>
        <w:t>设取土场1处，位于K9+980左侧直线距离1.7公里处，占用草地1.9958公顷，不设置拌合站，施工所需面层混合料沥青混凝土、基层混合料水泥稳定土均由市场购买。</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4757.00</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0.52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项目</w:t>
      </w:r>
      <w:r>
        <w:rPr>
          <w:rFonts w:hint="default" w:ascii="仿宋_GB2312" w:hAnsi="仿宋_GB2312" w:eastAsia="仿宋_GB2312" w:cs="仿宋_GB2312"/>
          <w:b w:val="0"/>
          <w:bCs w:val="0"/>
          <w:color w:val="auto"/>
          <w:sz w:val="32"/>
          <w:szCs w:val="32"/>
          <w:lang w:val="en-US" w:eastAsia="zh-CN"/>
        </w:rPr>
        <w:t>占地范围及周边不涉及名胜古迹、风景名胜区、自然保护区、饮用水源保护区</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GB" w:eastAsia="zh-CN"/>
        </w:rPr>
        <w:t>根据西乌珠穆沁旗自然资源局《关于</w:t>
      </w:r>
      <w:r>
        <w:rPr>
          <w:rFonts w:hint="default" w:ascii="仿宋_GB2312" w:hAnsi="仿宋_GB2312" w:eastAsia="仿宋_GB2312" w:cs="仿宋_GB2312"/>
          <w:b w:val="0"/>
          <w:bCs w:val="0"/>
          <w:color w:val="auto"/>
          <w:sz w:val="32"/>
          <w:szCs w:val="32"/>
          <w:lang w:val="en-US" w:eastAsia="zh-CN"/>
        </w:rPr>
        <w:t>2022年农村牧区公路建设项目建设用地范围是否位于生态保护红线范围内的复函</w:t>
      </w:r>
      <w:r>
        <w:rPr>
          <w:rFonts w:hint="default" w:ascii="仿宋_GB2312" w:hAnsi="仿宋_GB2312" w:eastAsia="仿宋_GB2312" w:cs="仿宋_GB2312"/>
          <w:b w:val="0"/>
          <w:bCs w:val="0"/>
          <w:color w:val="auto"/>
          <w:sz w:val="32"/>
          <w:szCs w:val="32"/>
          <w:lang w:val="en-GB" w:eastAsia="zh-CN"/>
        </w:rPr>
        <w:t>》</w:t>
      </w:r>
      <w:r>
        <w:rPr>
          <w:rFonts w:hint="eastAsia" w:ascii="仿宋_GB2312" w:hAnsi="仿宋_GB2312" w:eastAsia="仿宋_GB2312" w:cs="仿宋_GB2312"/>
          <w:b w:val="0"/>
          <w:bCs w:val="0"/>
          <w:color w:val="auto"/>
          <w:sz w:val="32"/>
          <w:szCs w:val="32"/>
          <w:lang w:val="en-GB" w:eastAsia="zh-CN"/>
        </w:rPr>
        <w:t>，项目</w:t>
      </w:r>
      <w:r>
        <w:rPr>
          <w:rFonts w:hint="eastAsia" w:ascii="仿宋_GB2312" w:hAnsi="仿宋_GB2312" w:eastAsia="仿宋_GB2312" w:cs="仿宋_GB2312"/>
          <w:color w:val="auto"/>
          <w:sz w:val="32"/>
          <w:szCs w:val="32"/>
          <w:lang w:val="en-US" w:eastAsia="zh-CN"/>
        </w:rPr>
        <w:t>在西乌珠穆沁旗拟定的生态红线范围内。</w:t>
      </w:r>
      <w:r>
        <w:rPr>
          <w:rFonts w:hint="eastAsia" w:ascii="仿宋_GB2312" w:hAnsi="仿宋_GB2312" w:eastAsia="仿宋_GB2312" w:cs="仿宋_GB2312"/>
          <w:b w:val="0"/>
          <w:bCs w:val="0"/>
          <w:color w:val="auto"/>
          <w:sz w:val="32"/>
          <w:szCs w:val="32"/>
          <w:lang w:val="en-US" w:eastAsia="zh-CN"/>
        </w:rPr>
        <w:t>根据中共中央办公厅国务院办公厅印发《关于国土空间规划中统筹划定落实三条控制线的指导意见》的通知要求，必须且无法避让、符合县级以上国土空间规划的线性基础设施建设、防洪和供水设施建设与运行维护项目不需避让生态红线。</w:t>
      </w:r>
      <w:r>
        <w:rPr>
          <w:rFonts w:hint="default" w:ascii="仿宋_GB2312" w:hAnsi="仿宋_GB2312" w:eastAsia="仿宋_GB2312" w:cs="仿宋_GB2312"/>
          <w:b w:val="0"/>
          <w:bCs w:val="0"/>
          <w:color w:val="auto"/>
          <w:sz w:val="32"/>
          <w:szCs w:val="32"/>
          <w:lang w:val="en-US" w:eastAsia="zh-CN"/>
        </w:rPr>
        <w:t>本项目为</w:t>
      </w:r>
      <w:r>
        <w:rPr>
          <w:rFonts w:hint="eastAsia" w:ascii="仿宋_GB2312" w:hAnsi="仿宋_GB2312" w:eastAsia="仿宋_GB2312" w:cs="仿宋_GB2312"/>
          <w:b w:val="0"/>
          <w:bCs w:val="0"/>
          <w:color w:val="auto"/>
          <w:sz w:val="32"/>
          <w:szCs w:val="32"/>
          <w:lang w:val="en-US" w:eastAsia="zh-CN"/>
        </w:rPr>
        <w:t>改建线性工程</w:t>
      </w:r>
      <w:r>
        <w:rPr>
          <w:rFonts w:hint="default" w:ascii="仿宋_GB2312" w:hAnsi="仿宋_GB2312" w:eastAsia="仿宋_GB2312" w:cs="仿宋_GB2312"/>
          <w:b w:val="0"/>
          <w:bCs w:val="0"/>
          <w:color w:val="auto"/>
          <w:sz w:val="32"/>
          <w:szCs w:val="32"/>
          <w:lang w:val="en-US" w:eastAsia="zh-CN"/>
        </w:rPr>
        <w:t>，利用现有水泥路改建升级为三级公路，不涉及自然保护地，必须且无法避让</w:t>
      </w:r>
      <w:r>
        <w:rPr>
          <w:rFonts w:hint="eastAsia" w:ascii="仿宋_GB2312" w:hAnsi="仿宋_GB2312" w:eastAsia="仿宋_GB2312" w:cs="仿宋_GB2312"/>
          <w:b w:val="0"/>
          <w:bCs w:val="0"/>
          <w:color w:val="auto"/>
          <w:sz w:val="32"/>
          <w:szCs w:val="32"/>
          <w:lang w:val="en-US" w:eastAsia="zh-CN"/>
        </w:rPr>
        <w:t>生态红线，符合此项规定。</w:t>
      </w:r>
      <w:r>
        <w:rPr>
          <w:rFonts w:hint="eastAsia" w:ascii="仿宋_GB2312" w:hAnsi="仿宋_GB2312" w:eastAsia="仿宋_GB2312" w:cs="仿宋_GB2312"/>
          <w:color w:val="auto"/>
          <w:sz w:val="32"/>
          <w:szCs w:val="32"/>
          <w:lang w:val="en-US" w:eastAsia="zh-CN"/>
        </w:rPr>
        <w:t>依据《锡林郭勒盟生态环境准入清单》（2023年版）中“锡林郭勒盟西乌珠穆沁旗生态环境准入清单”，项目共涉及3个管控单元，分别为西乌珠穆沁旗-生物多样性维护生态功能重要区（ZH15252610006）、西乌珠穆沁旗一般生态空间-防风固沙生态功能重要区（ZH15252610014）、西乌珠穆沁旗一般管控单元（ZH15252630001），符合该环境管控单元空间布局约束、污染物排放管控、环境风险防控、资源利用效率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1、大气污染防治方面。施工期废气主要为</w:t>
      </w:r>
      <w:r>
        <w:rPr>
          <w:rFonts w:hint="eastAsia" w:ascii="仿宋_GB2312" w:hAnsi="仿宋_GB2312" w:eastAsia="仿宋_GB2312" w:cs="仿宋_GB2312"/>
          <w:color w:val="auto"/>
          <w:sz w:val="32"/>
          <w:szCs w:val="32"/>
          <w:lang w:val="en-US" w:eastAsia="zh-CN"/>
        </w:rPr>
        <w:t>施工作业扬尘、路面摊铺沥青烟、机械、车辆废气。</w:t>
      </w:r>
      <w:r>
        <w:rPr>
          <w:rFonts w:hint="eastAsia" w:ascii="仿宋_GB2312" w:hAnsi="仿宋_GB2312" w:eastAsia="仿宋_GB2312" w:cs="仿宋_GB2312"/>
          <w:color w:val="auto"/>
          <w:kern w:val="0"/>
          <w:sz w:val="32"/>
          <w:szCs w:val="32"/>
          <w:lang w:val="en-US" w:eastAsia="zh-CN" w:bidi="ar"/>
        </w:rPr>
        <w:t>施工单位在施工期间必须加强运输散体物质车辆管理，对运输车辆采取蓬布苫盖、路面洒水等防护措施；在经过牧户等敏感点的线路区域沥青混凝土摊铺时应优化施工时序，选择合理的时间和天气条件，避开风吹向环境敏感点的时段。运营期产生的大气污染物主要是汽车尾气、</w:t>
      </w:r>
      <w:r>
        <w:rPr>
          <w:rFonts w:hint="eastAsia" w:ascii="仿宋_GB2312" w:hAnsi="仿宋_GB2312" w:eastAsia="仿宋_GB2312" w:cs="仿宋_GB2312"/>
          <w:color w:val="000000" w:themeColor="text1"/>
          <w:sz w:val="32"/>
          <w:szCs w:val="32"/>
          <w14:textFill>
            <w14:solidFill>
              <w14:schemeClr w14:val="tx1"/>
            </w14:solidFill>
          </w14:textFill>
        </w:rPr>
        <w:t>过往车辆产生的道路扬尘</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建设单位应对过往车辆产生的扬尘</w:t>
      </w:r>
      <w:r>
        <w:rPr>
          <w:rFonts w:hint="eastAsia" w:ascii="仿宋_GB2312" w:hAnsi="仿宋_GB2312" w:eastAsia="仿宋_GB2312" w:cs="仿宋_GB2312"/>
          <w:color w:val="000000" w:themeColor="text1"/>
          <w:sz w:val="32"/>
          <w:szCs w:val="32"/>
          <w14:textFill>
            <w14:solidFill>
              <w14:schemeClr w14:val="tx1"/>
            </w14:solidFill>
          </w14:textFill>
        </w:rPr>
        <w:t>采取扬尘污染防治和减缓措施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道路</w:t>
      </w:r>
      <w:r>
        <w:rPr>
          <w:rFonts w:hint="eastAsia" w:ascii="仿宋_GB2312" w:hAnsi="仿宋_GB2312" w:eastAsia="仿宋_GB2312" w:cs="仿宋_GB2312"/>
          <w:color w:val="000000" w:themeColor="text1"/>
          <w:sz w:val="32"/>
          <w:szCs w:val="32"/>
          <w14:textFill>
            <w14:solidFill>
              <w14:schemeClr w14:val="tx1"/>
            </w14:solidFill>
          </w14:textFill>
        </w:rPr>
        <w:t>两旁种草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充分利用绿色植物交换空气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降尘的作用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;来往车辆限制车速，安装限速标识;</w:t>
      </w:r>
      <w:r>
        <w:rPr>
          <w:rFonts w:hint="eastAsia" w:ascii="仿宋_GB2312" w:hAnsi="仿宋_GB2312" w:eastAsia="仿宋_GB2312" w:cs="仿宋_GB2312"/>
          <w:color w:val="000000" w:themeColor="text1"/>
          <w:sz w:val="32"/>
          <w:szCs w:val="32"/>
          <w14:textFill>
            <w14:solidFill>
              <w14:schemeClr w14:val="tx1"/>
            </w14:solidFill>
          </w14:textFill>
        </w:rPr>
        <w:t>对汽车排放进行抽查，对运输散体物质的车辆必须严加管理。</w:t>
      </w:r>
    </w:p>
    <w:p>
      <w:pPr>
        <w:keepNext w:val="0"/>
        <w:keepLines w:val="0"/>
        <w:pageBreakBefore w:val="0"/>
        <w:suppressLineNumbers w:val="0"/>
        <w:kinsoku/>
        <w:wordWrap/>
        <w:overflowPunct/>
        <w:topLinePunct w:val="0"/>
        <w:autoSpaceDE/>
        <w:autoSpaceDN/>
        <w:bidi w:val="0"/>
        <w:adjustRightInd/>
        <w:snapToGrid/>
        <w:spacing w:beforeAutospacing="0" w:afterAutospacing="0" w:line="50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2、水污染防治措施。</w:t>
      </w:r>
      <w:r>
        <w:rPr>
          <w:rFonts w:hint="eastAsia" w:ascii="仿宋_GB2312" w:hAnsi="仿宋_GB2312" w:eastAsia="仿宋_GB2312" w:cs="仿宋_GB2312"/>
          <w:color w:val="auto"/>
          <w:sz w:val="32"/>
          <w:szCs w:val="32"/>
          <w:lang w:val="en-US" w:eastAsia="zh-CN"/>
        </w:rPr>
        <w:t>施工期废水主要为生活污水、</w:t>
      </w:r>
      <w:r>
        <w:rPr>
          <w:rFonts w:hint="eastAsia" w:ascii="仿宋_GB2312" w:hAnsi="仿宋_GB2312" w:eastAsia="仿宋_GB2312" w:cs="仿宋_GB2312"/>
          <w:color w:val="auto"/>
          <w:kern w:val="0"/>
          <w:sz w:val="32"/>
          <w:szCs w:val="32"/>
          <w:lang w:val="en-US" w:eastAsia="zh-CN" w:bidi="ar"/>
        </w:rPr>
        <w:t>施工机械冲洗废水、</w:t>
      </w:r>
      <w:r>
        <w:rPr>
          <w:rFonts w:hint="eastAsia" w:ascii="仿宋_GB2312" w:hAnsi="仿宋_GB2312" w:eastAsia="仿宋_GB2312" w:cs="仿宋_GB2312"/>
          <w:color w:val="auto"/>
          <w:sz w:val="32"/>
          <w:szCs w:val="32"/>
          <w:lang w:val="en-US" w:eastAsia="zh-CN"/>
        </w:rPr>
        <w:t>施工期降雨和地表径流。</w:t>
      </w:r>
      <w:r>
        <w:rPr>
          <w:rFonts w:hint="eastAsia" w:ascii="仿宋_GB2312" w:hAnsi="仿宋_GB2312" w:eastAsia="仿宋_GB2312" w:cs="仿宋_GB2312"/>
          <w:color w:val="000000"/>
          <w:kern w:val="0"/>
          <w:sz w:val="32"/>
          <w:szCs w:val="32"/>
          <w:lang w:val="en-US" w:eastAsia="zh-CN" w:bidi="ar"/>
        </w:rPr>
        <w:t>生活污水依托现有生活设施，不外排；</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施工机械冲洗废水经沉淀池沉淀后用于道路洒水降尘，不外排；施工过程中筑路材料、填方（如碎石等）尽可能远离地表水堆放，并遮挡布。</w:t>
      </w:r>
      <w:r>
        <w:rPr>
          <w:rFonts w:hint="eastAsia" w:ascii="仿宋_GB2312" w:hAnsi="仿宋_GB2312" w:eastAsia="仿宋_GB2312" w:cs="仿宋_GB2312"/>
          <w:b w:val="0"/>
          <w:bCs w:val="0"/>
          <w:color w:val="auto"/>
          <w:sz w:val="32"/>
          <w:szCs w:val="32"/>
        </w:rPr>
        <w:t>项目沿线不建设收费站、服务区、养护工区等，运营期无废水产生。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3、固废污染防治措施。</w:t>
      </w:r>
      <w:r>
        <w:rPr>
          <w:rFonts w:hint="eastAsia" w:ascii="仿宋_GB2312" w:hAnsi="仿宋_GB2312" w:eastAsia="仿宋_GB2312" w:cs="仿宋_GB2312"/>
          <w:color w:val="auto"/>
          <w:sz w:val="32"/>
          <w:szCs w:val="32"/>
          <w:lang w:val="en-US" w:eastAsia="zh-CN"/>
        </w:rPr>
        <w:t>固体废物主要有施工人员生活垃圾、施工废料、路面摊铺废沥青渣以及沉淀池沉渣等。施工现场</w:t>
      </w:r>
      <w:r>
        <w:rPr>
          <w:rFonts w:hint="eastAsia" w:ascii="仿宋_GB2312" w:hAnsi="仿宋_GB2312" w:eastAsia="仿宋_GB2312" w:cs="仿宋_GB2312"/>
          <w:color w:val="auto"/>
          <w:sz w:val="32"/>
          <w:szCs w:val="32"/>
        </w:rPr>
        <w:t>产生的生活垃圾</w:t>
      </w:r>
      <w:r>
        <w:rPr>
          <w:rFonts w:hint="eastAsia" w:ascii="仿宋_GB2312" w:hAnsi="仿宋_GB2312" w:eastAsia="仿宋_GB2312" w:cs="仿宋_GB2312"/>
          <w:color w:val="auto"/>
          <w:sz w:val="32"/>
          <w:szCs w:val="32"/>
          <w:lang w:eastAsia="zh-CN"/>
        </w:rPr>
        <w:t>经垃圾收集桶收集后集中</w:t>
      </w:r>
      <w:r>
        <w:rPr>
          <w:rFonts w:hint="eastAsia" w:ascii="仿宋_GB2312" w:hAnsi="仿宋_GB2312" w:eastAsia="仿宋_GB2312" w:cs="仿宋_GB2312"/>
          <w:color w:val="auto"/>
          <w:sz w:val="32"/>
          <w:szCs w:val="32"/>
          <w:lang w:val="en-US" w:eastAsia="zh-CN"/>
        </w:rPr>
        <w:t>交由环卫部门处置；路面基层施工时破除的旧路面水泥混凝土结构面层水泥块直接用于路基填筑；项目拆迁建筑物收集后交由相关单位回收处理，工程余料收集再利用，工程废料建筑垃圾运送指定建筑垃圾填埋场；施工单位在公路施工期间应加强施工管理，按需供料，剩余材料及时清运；车辆机械冲洗沉淀池产生的少量沉淀废渣定期拉运至环卫部门指定地点处置。</w:t>
      </w:r>
      <w:r>
        <w:rPr>
          <w:rFonts w:hint="eastAsia" w:ascii="仿宋_GB2312" w:hAnsi="仿宋_GB2312" w:eastAsia="仿宋_GB2312" w:cs="仿宋_GB2312"/>
          <w:color w:val="000000" w:themeColor="text1"/>
          <w:sz w:val="32"/>
          <w:szCs w:val="32"/>
          <w14:textFill>
            <w14:solidFill>
              <w14:schemeClr w14:val="tx1"/>
            </w14:solidFill>
          </w14:textFill>
        </w:rPr>
        <w:t>运营期产生的固体废物主要为过往车辆及过路人员产生的生活垃圾。</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建设单位在</w:t>
      </w:r>
      <w:r>
        <w:rPr>
          <w:rFonts w:hint="eastAsia" w:ascii="仿宋_GB2312" w:hAnsi="仿宋_GB2312" w:eastAsia="仿宋_GB2312" w:cs="仿宋_GB2312"/>
          <w:color w:val="000000" w:themeColor="text1"/>
          <w:sz w:val="32"/>
          <w:szCs w:val="32"/>
          <w14:textFill>
            <w14:solidFill>
              <w14:schemeClr w14:val="tx1"/>
            </w14:solidFill>
          </w14:textFill>
        </w:rPr>
        <w:t>拟建道路建成通车后，妥善处理过往司乘人员产生的废纸、废塑料袋、烟蒂等生活垃圾，以及汽车装载货物的撒落物等，由当地环卫部门定期清理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Lines w:val="0"/>
        <w:pageBreakBefore w:val="0"/>
        <w:widowControl w:val="0"/>
        <w:kinsoku/>
        <w:wordWrap/>
        <w:overflowPunct/>
        <w:topLinePunct w:val="0"/>
        <w:autoSpaceDE/>
        <w:autoSpaceDN/>
        <w:bidi w:val="0"/>
        <w:spacing w:line="5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highlight w:val="none"/>
          <w:lang w:val="en-US" w:eastAsia="zh-CN" w:bidi="ar-SA"/>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昼间施工时，临近声环境保护目标一侧要求设置临时声屏障进行降噪，禁止多种施工机械同时作业，限制车速，禁止鸣笛和夜间进行取土的运输。运营期建设单位应</w:t>
      </w:r>
      <w:r>
        <w:rPr>
          <w:rFonts w:hint="eastAsia" w:ascii="仿宋_GB2312" w:hAnsi="仿宋_GB2312" w:eastAsia="仿宋_GB2312" w:cs="仿宋_GB2312"/>
          <w:color w:val="auto"/>
          <w:sz w:val="32"/>
          <w:szCs w:val="32"/>
        </w:rPr>
        <w:t>加强公路交通管理，在</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附近路段设置禁鸣、限速标志、减速带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w:t>
      </w:r>
      <w:r>
        <w:rPr>
          <w:rFonts w:hint="eastAsia" w:ascii="仿宋_GB2312" w:hAnsi="仿宋_GB2312" w:eastAsia="仿宋_GB2312" w:cs="仿宋_GB2312"/>
          <w:color w:val="auto"/>
          <w:sz w:val="32"/>
          <w:szCs w:val="32"/>
          <w:lang w:val="en-US" w:eastAsia="zh-CN"/>
        </w:rPr>
        <w:t>对破损路面及时维修，</w:t>
      </w:r>
      <w:r>
        <w:rPr>
          <w:rFonts w:hint="eastAsia" w:ascii="仿宋_GB2312" w:hAnsi="仿宋_GB2312" w:eastAsia="仿宋_GB2312" w:cs="仿宋_GB2312"/>
          <w:color w:val="auto"/>
          <w:sz w:val="32"/>
          <w:szCs w:val="32"/>
        </w:rPr>
        <w:t>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针对道路敏感点居民</w:t>
      </w:r>
      <w:r>
        <w:rPr>
          <w:rFonts w:hint="eastAsia" w:ascii="仿宋_GB2312" w:hAnsi="仿宋_GB2312" w:eastAsia="仿宋_GB2312" w:cs="仿宋_GB2312"/>
          <w:color w:val="auto"/>
          <w:sz w:val="32"/>
          <w:szCs w:val="32"/>
        </w:rPr>
        <w:t>建议加强项目公路</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附近声环境质量的监测工作，对可能受到较严重污染的</w:t>
      </w:r>
      <w:r>
        <w:rPr>
          <w:rFonts w:hint="eastAsia" w:ascii="仿宋_GB2312" w:hAnsi="仿宋_GB2312" w:eastAsia="仿宋_GB2312" w:cs="仿宋_GB2312"/>
          <w:color w:val="auto"/>
          <w:sz w:val="32"/>
          <w:szCs w:val="32"/>
          <w:lang w:val="en-US" w:eastAsia="zh-CN"/>
        </w:rPr>
        <w:t>声环境保护目标</w:t>
      </w:r>
      <w:r>
        <w:rPr>
          <w:rFonts w:hint="eastAsia" w:ascii="仿宋_GB2312" w:hAnsi="仿宋_GB2312" w:eastAsia="仿宋_GB2312" w:cs="仿宋_GB2312"/>
          <w:color w:val="auto"/>
          <w:sz w:val="32"/>
          <w:szCs w:val="32"/>
        </w:rPr>
        <w:t>实行环境噪声定期监测制度，每季度开展一次监测，必要时可采取随机抽查</w:t>
      </w:r>
      <w:r>
        <w:rPr>
          <w:rFonts w:hint="eastAsia" w:ascii="仿宋_GB2312" w:hAnsi="仿宋_GB2312" w:eastAsia="仿宋_GB2312" w:cs="仿宋_GB2312"/>
          <w:color w:val="auto"/>
          <w:sz w:val="32"/>
          <w:szCs w:val="32"/>
          <w:lang w:val="en-US" w:eastAsia="zh-CN"/>
        </w:rPr>
        <w:t>。</w:t>
      </w:r>
    </w:p>
    <w:p>
      <w:pPr>
        <w:keepNext w:val="0"/>
        <w:keepLines w:val="0"/>
        <w:pageBreakBefore w:val="0"/>
        <w:suppressLineNumbers w:val="0"/>
        <w:kinsoku/>
        <w:wordWrap/>
        <w:overflowPunct/>
        <w:topLinePunct w:val="0"/>
        <w:autoSpaceDE/>
        <w:autoSpaceDN/>
        <w:bidi w:val="0"/>
        <w:adjustRightInd/>
        <w:snapToGrid/>
        <w:spacing w:beforeAutospacing="0" w:afterAutospacing="0" w:line="50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5、生态环境保护措施。施工单位应</w:t>
      </w:r>
      <w:r>
        <w:rPr>
          <w:rFonts w:hint="eastAsia" w:ascii="仿宋_GB2312" w:hAnsi="仿宋_GB2312" w:eastAsia="仿宋_GB2312" w:cs="仿宋_GB2312"/>
          <w:color w:val="000000"/>
          <w:kern w:val="0"/>
          <w:sz w:val="32"/>
          <w:szCs w:val="32"/>
          <w:lang w:val="en-US" w:eastAsia="zh-CN" w:bidi="ar"/>
        </w:rPr>
        <w:t>制定详细的施工计划，</w:t>
      </w:r>
      <w:r>
        <w:rPr>
          <w:rFonts w:hint="eastAsia" w:ascii="仿宋_GB2312" w:hAnsi="仿宋_GB2312" w:eastAsia="仿宋_GB2312" w:cs="仿宋_GB2312"/>
          <w:color w:val="auto"/>
          <w:sz w:val="32"/>
          <w:szCs w:val="32"/>
          <w:lang w:val="en-US" w:eastAsia="zh-CN"/>
        </w:rPr>
        <w:t>加强施工管理，严格控制施工作业范围，禁止越界施工，对生态保护红线影响降到最小；</w:t>
      </w:r>
      <w:r>
        <w:rPr>
          <w:rFonts w:hint="eastAsia" w:ascii="仿宋_GB2312" w:hAnsi="仿宋_GB2312" w:eastAsia="仿宋_GB2312" w:cs="仿宋_GB2312"/>
          <w:sz w:val="32"/>
          <w:szCs w:val="32"/>
        </w:rPr>
        <w:t>尽量避开大风和雨天施工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auto"/>
          <w:sz w:val="32"/>
          <w:szCs w:val="32"/>
          <w:lang w:val="en-US" w:eastAsia="zh-CN"/>
        </w:rPr>
        <w:t>在施工期</w:t>
      </w:r>
      <w:r>
        <w:rPr>
          <w:rFonts w:hint="eastAsia" w:ascii="仿宋_GB2312" w:hAnsi="仿宋_GB2312" w:eastAsia="仿宋_GB2312" w:cs="仿宋_GB2312"/>
          <w:sz w:val="32"/>
          <w:szCs w:val="32"/>
          <w:lang w:val="en-US" w:eastAsia="zh-CN"/>
        </w:rPr>
        <w:t>减少地表开挖，加强表土及未及时回填土的防护，减少水土流失；</w:t>
      </w:r>
      <w:r>
        <w:rPr>
          <w:rFonts w:hint="eastAsia" w:ascii="仿宋_GB2312" w:hAnsi="仿宋_GB2312" w:eastAsia="仿宋_GB2312" w:cs="仿宋_GB2312"/>
          <w:sz w:val="32"/>
          <w:szCs w:val="32"/>
        </w:rPr>
        <w:t>施工期结束后，对</w:t>
      </w:r>
      <w:r>
        <w:rPr>
          <w:rFonts w:hint="eastAsia" w:ascii="仿宋_GB2312" w:hAnsi="仿宋_GB2312" w:eastAsia="仿宋_GB2312" w:cs="仿宋_GB2312"/>
          <w:sz w:val="32"/>
          <w:szCs w:val="32"/>
          <w:lang w:val="en-US" w:eastAsia="zh-CN"/>
        </w:rPr>
        <w:t>公路路基两侧、取土场地表扰动区域</w:t>
      </w:r>
      <w:r>
        <w:rPr>
          <w:rFonts w:hint="eastAsia" w:ascii="仿宋_GB2312" w:hAnsi="仿宋_GB2312" w:eastAsia="仿宋_GB2312" w:cs="仿宋_GB2312"/>
          <w:sz w:val="32"/>
          <w:szCs w:val="32"/>
        </w:rPr>
        <w:t>进行土地平整、</w:t>
      </w:r>
      <w:r>
        <w:rPr>
          <w:rFonts w:hint="eastAsia" w:ascii="仿宋_GB2312" w:hAnsi="仿宋_GB2312" w:eastAsia="仿宋_GB2312" w:cs="仿宋_GB2312"/>
          <w:sz w:val="32"/>
          <w:szCs w:val="32"/>
          <w:lang w:val="en-US" w:eastAsia="zh-CN"/>
        </w:rPr>
        <w:t>恢复植被</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bidi="ar"/>
        </w:rPr>
        <w:t>在相应区段施工中设置醒目的标语牌。</w:t>
      </w:r>
      <w:r>
        <w:rPr>
          <w:rFonts w:hint="eastAsia" w:ascii="仿宋_GB2312" w:hAnsi="仿宋_GB2312" w:eastAsia="仿宋_GB2312" w:cs="仿宋_GB2312"/>
          <w:snapToGrid w:val="0"/>
          <w:color w:val="auto"/>
          <w:kern w:val="2"/>
          <w:sz w:val="32"/>
          <w:szCs w:val="32"/>
          <w:lang w:val="en-US" w:eastAsia="zh-CN" w:bidi="ar-SA"/>
        </w:rPr>
        <w:t>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snapToGrid/>
        <w:spacing w:beforeLines="25" w:line="598"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bidi="ar-SA"/>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2024年3月25日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25</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MmM5ZWViZDE5OGI0MjM4NzczOTJkMWU3N2M1YTEifQ=="/>
  </w:docVars>
  <w:rsids>
    <w:rsidRoot w:val="5EC66ED4"/>
    <w:rsid w:val="002338E7"/>
    <w:rsid w:val="002649C7"/>
    <w:rsid w:val="00485B84"/>
    <w:rsid w:val="008063C5"/>
    <w:rsid w:val="00A041AA"/>
    <w:rsid w:val="00A368D6"/>
    <w:rsid w:val="00A8256E"/>
    <w:rsid w:val="00B41233"/>
    <w:rsid w:val="00B57562"/>
    <w:rsid w:val="00BB67CA"/>
    <w:rsid w:val="00C014C7"/>
    <w:rsid w:val="00F24233"/>
    <w:rsid w:val="00FB66AF"/>
    <w:rsid w:val="017F5C19"/>
    <w:rsid w:val="018E255D"/>
    <w:rsid w:val="079D0356"/>
    <w:rsid w:val="09665DE7"/>
    <w:rsid w:val="0A302749"/>
    <w:rsid w:val="0A6D250B"/>
    <w:rsid w:val="0AF55F71"/>
    <w:rsid w:val="0E746B5A"/>
    <w:rsid w:val="11A82DA9"/>
    <w:rsid w:val="150500C9"/>
    <w:rsid w:val="16DC5174"/>
    <w:rsid w:val="17F03DBE"/>
    <w:rsid w:val="1F0942A1"/>
    <w:rsid w:val="1FEF0AB1"/>
    <w:rsid w:val="22775781"/>
    <w:rsid w:val="24747CCA"/>
    <w:rsid w:val="24C91014"/>
    <w:rsid w:val="26721809"/>
    <w:rsid w:val="28847071"/>
    <w:rsid w:val="2E2C61C7"/>
    <w:rsid w:val="33362498"/>
    <w:rsid w:val="389E30FE"/>
    <w:rsid w:val="3B0C28D2"/>
    <w:rsid w:val="3B0C2E58"/>
    <w:rsid w:val="3C63045A"/>
    <w:rsid w:val="49893DAA"/>
    <w:rsid w:val="4CA913C7"/>
    <w:rsid w:val="4FCC07B9"/>
    <w:rsid w:val="509757B4"/>
    <w:rsid w:val="50FB2104"/>
    <w:rsid w:val="522241C5"/>
    <w:rsid w:val="52DE02D1"/>
    <w:rsid w:val="536856F0"/>
    <w:rsid w:val="53A148BE"/>
    <w:rsid w:val="543D7097"/>
    <w:rsid w:val="550D3A9F"/>
    <w:rsid w:val="595E4131"/>
    <w:rsid w:val="5A6673EF"/>
    <w:rsid w:val="5A962B6A"/>
    <w:rsid w:val="5CCF1D9B"/>
    <w:rsid w:val="5EC66ED4"/>
    <w:rsid w:val="5EF25A14"/>
    <w:rsid w:val="5F0423F2"/>
    <w:rsid w:val="5F2B096A"/>
    <w:rsid w:val="62976515"/>
    <w:rsid w:val="68FD394B"/>
    <w:rsid w:val="69B56FF0"/>
    <w:rsid w:val="6A8A6014"/>
    <w:rsid w:val="716A177A"/>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5">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1"/>
    <w:autoRedefine/>
    <w:qFormat/>
    <w:uiPriority w:val="0"/>
    <w:pPr>
      <w:spacing w:line="500" w:lineRule="exact"/>
      <w:ind w:firstLine="454"/>
    </w:pPr>
    <w:rPr>
      <w:rFonts w:ascii="楷体_GB2312" w:eastAsia="楷体_GB2312"/>
      <w:bCs/>
      <w:sz w:val="24"/>
    </w:rPr>
  </w:style>
  <w:style w:type="paragraph" w:styleId="6">
    <w:name w:val="E-mail Signature"/>
    <w:basedOn w:val="1"/>
    <w:next w:val="7"/>
    <w:autoRedefine/>
    <w:qFormat/>
    <w:uiPriority w:val="0"/>
    <w:pPr>
      <w:spacing w:line="460" w:lineRule="exact"/>
      <w:ind w:firstLine="200"/>
    </w:pPr>
    <w:rPr>
      <w:sz w:val="24"/>
    </w:rPr>
  </w:style>
  <w:style w:type="paragraph" w:customStyle="1" w:styleId="7">
    <w:name w:val="文章"/>
    <w:basedOn w:val="3"/>
    <w:next w:val="8"/>
    <w:autoRedefine/>
    <w:qFormat/>
    <w:uiPriority w:val="0"/>
    <w:pPr>
      <w:widowControl/>
      <w:jc w:val="center"/>
    </w:pPr>
    <w:rPr>
      <w:sz w:val="26"/>
    </w:rPr>
  </w:style>
  <w:style w:type="paragraph" w:styleId="8">
    <w:name w:val="List"/>
    <w:basedOn w:val="1"/>
    <w:next w:val="9"/>
    <w:autoRedefine/>
    <w:qFormat/>
    <w:uiPriority w:val="0"/>
    <w:pPr>
      <w:jc w:val="center"/>
    </w:pPr>
  </w:style>
  <w:style w:type="paragraph" w:styleId="9">
    <w:name w:val="List Bullet 2"/>
    <w:basedOn w:val="1"/>
    <w:next w:val="10"/>
    <w:autoRedefine/>
    <w:qFormat/>
    <w:uiPriority w:val="0"/>
    <w:pPr>
      <w:numPr>
        <w:ilvl w:val="0"/>
        <w:numId w:val="1"/>
      </w:numPr>
    </w:pPr>
  </w:style>
  <w:style w:type="paragraph" w:customStyle="1" w:styleId="10">
    <w:name w:val="xl70"/>
    <w:basedOn w:val="1"/>
    <w:next w:val="11"/>
    <w:autoRedefine/>
    <w:qFormat/>
    <w:uiPriority w:val="0"/>
    <w:pPr>
      <w:widowControl/>
      <w:spacing w:before="280" w:after="280"/>
    </w:pPr>
    <w:rPr>
      <w:rFonts w:ascii="宋体"/>
    </w:rPr>
  </w:style>
  <w:style w:type="paragraph" w:customStyle="1" w:styleId="11">
    <w:name w:val="正文缩进1"/>
    <w:basedOn w:val="1"/>
    <w:next w:val="12"/>
    <w:autoRedefine/>
    <w:qFormat/>
    <w:uiPriority w:val="0"/>
    <w:pPr>
      <w:ind w:firstLine="420"/>
    </w:pPr>
    <w:rPr>
      <w:szCs w:val="20"/>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next w:val="2"/>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6"/>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6</TotalTime>
  <ScaleCrop>false</ScaleCrop>
  <LinksUpToDate>false</LinksUpToDate>
  <CharactersWithSpaces>1429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演示人</cp:lastModifiedBy>
  <cp:lastPrinted>2020-03-17T06:55:00Z</cp:lastPrinted>
  <dcterms:modified xsi:type="dcterms:W3CDTF">2024-04-03T01:22:06Z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12F56E3BC5AE4089B2B323E2D2CB79B8_13</vt:lpwstr>
  </property>
</Properties>
</file>