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sz w:val="36"/>
          <w:szCs w:val="36"/>
        </w:rPr>
      </w:pPr>
      <w:bookmarkStart w:id="0" w:name="_Hlk57883707"/>
    </w:p>
    <w:p>
      <w:pPr>
        <w:rPr>
          <w:color w:val="auto"/>
          <w:sz w:val="36"/>
          <w:szCs w:val="36"/>
        </w:rPr>
      </w:pPr>
    </w:p>
    <w:p>
      <w:pPr>
        <w:rPr>
          <w:color w:val="auto"/>
          <w:sz w:val="36"/>
          <w:szCs w:val="36"/>
        </w:rPr>
      </w:pPr>
    </w:p>
    <w:p>
      <w:pPr>
        <w:rPr>
          <w:color w:val="auto"/>
          <w:sz w:val="36"/>
          <w:szCs w:val="36"/>
        </w:rPr>
      </w:pPr>
    </w:p>
    <w:p>
      <w:pPr>
        <w:pStyle w:val="38"/>
        <w:ind w:firstLine="0" w:firstLineChars="0"/>
        <w:rPr>
          <w:rFonts w:cs="Times New Roman"/>
          <w:color w:val="auto"/>
        </w:rPr>
      </w:pPr>
    </w:p>
    <w:bookmarkEnd w:id="0"/>
    <w:p>
      <w:pPr>
        <w:adjustRightInd w:val="0"/>
        <w:snapToGrid w:val="0"/>
        <w:spacing w:before="192" w:beforeLines="80"/>
        <w:jc w:val="center"/>
        <w:rPr>
          <w:b/>
          <w:bCs w:val="0"/>
          <w:color w:val="auto"/>
          <w:sz w:val="72"/>
          <w:szCs w:val="72"/>
        </w:rPr>
      </w:pPr>
      <w:r>
        <w:rPr>
          <w:b/>
          <w:bCs w:val="0"/>
          <w:color w:val="auto"/>
          <w:sz w:val="72"/>
          <w:szCs w:val="72"/>
        </w:rPr>
        <w:t>建设项目环境</w:t>
      </w:r>
      <w:r>
        <w:rPr>
          <w:rFonts w:hint="eastAsia"/>
          <w:b/>
          <w:bCs w:val="0"/>
          <w:color w:val="auto"/>
          <w:sz w:val="72"/>
          <w:szCs w:val="72"/>
        </w:rPr>
        <w:t>影响</w:t>
      </w:r>
      <w:r>
        <w:rPr>
          <w:b/>
          <w:bCs w:val="0"/>
          <w:color w:val="auto"/>
          <w:sz w:val="72"/>
          <w:szCs w:val="72"/>
        </w:rPr>
        <w:t>报告</w:t>
      </w:r>
      <w:r>
        <w:rPr>
          <w:rFonts w:hint="eastAsia"/>
          <w:b/>
          <w:bCs w:val="0"/>
          <w:color w:val="auto"/>
          <w:sz w:val="72"/>
          <w:szCs w:val="72"/>
        </w:rPr>
        <w:t>表</w:t>
      </w:r>
    </w:p>
    <w:p>
      <w:pPr>
        <w:adjustRightInd w:val="0"/>
        <w:snapToGrid w:val="0"/>
        <w:spacing w:before="192" w:beforeLines="80"/>
        <w:jc w:val="center"/>
        <w:rPr>
          <w:bCs/>
          <w:color w:val="auto"/>
          <w:sz w:val="52"/>
          <w:szCs w:val="52"/>
        </w:rPr>
      </w:pPr>
      <w:r>
        <w:rPr>
          <w:b/>
          <w:bCs w:val="0"/>
          <w:color w:val="auto"/>
          <w:sz w:val="52"/>
          <w:szCs w:val="52"/>
        </w:rPr>
        <w:t>（</w:t>
      </w:r>
      <w:r>
        <w:rPr>
          <w:rFonts w:hint="eastAsia"/>
          <w:b/>
          <w:bCs w:val="0"/>
          <w:color w:val="auto"/>
          <w:sz w:val="52"/>
          <w:szCs w:val="52"/>
        </w:rPr>
        <w:t>污染</w:t>
      </w:r>
      <w:r>
        <w:rPr>
          <w:b/>
          <w:bCs w:val="0"/>
          <w:color w:val="auto"/>
          <w:sz w:val="52"/>
          <w:szCs w:val="52"/>
        </w:rPr>
        <w:t>影响类）</w:t>
      </w:r>
    </w:p>
    <w:p>
      <w:pPr>
        <w:rPr>
          <w:color w:val="auto"/>
        </w:rPr>
      </w:pPr>
      <w:bookmarkStart w:id="1" w:name="_Hlk57883728"/>
    </w:p>
    <w:p>
      <w:pPr>
        <w:rPr>
          <w:color w:val="auto"/>
          <w:sz w:val="52"/>
          <w:szCs w:val="52"/>
        </w:rPr>
      </w:pPr>
    </w:p>
    <w:p>
      <w:pPr>
        <w:rPr>
          <w:color w:val="auto"/>
          <w:sz w:val="44"/>
          <w:szCs w:val="44"/>
        </w:rPr>
      </w:pPr>
    </w:p>
    <w:p>
      <w:pPr>
        <w:rPr>
          <w:color w:val="auto"/>
          <w:sz w:val="44"/>
          <w:szCs w:val="44"/>
        </w:rPr>
      </w:pPr>
    </w:p>
    <w:p>
      <w:pPr>
        <w:pStyle w:val="38"/>
        <w:ind w:firstLine="0" w:firstLineChars="0"/>
        <w:rPr>
          <w:rFonts w:cs="Times New Roman"/>
          <w:color w:val="auto"/>
          <w:sz w:val="44"/>
          <w:szCs w:val="44"/>
        </w:rPr>
      </w:pPr>
    </w:p>
    <w:p>
      <w:pPr>
        <w:rPr>
          <w:color w:val="auto"/>
          <w:sz w:val="44"/>
          <w:szCs w:val="44"/>
        </w:rPr>
      </w:pPr>
    </w:p>
    <w:p>
      <w:pPr>
        <w:pStyle w:val="43"/>
        <w:ind w:firstLine="0" w:firstLineChars="0"/>
        <w:rPr>
          <w:color w:val="auto"/>
          <w:sz w:val="44"/>
          <w:szCs w:val="44"/>
        </w:rPr>
      </w:pPr>
    </w:p>
    <w:p>
      <w:pPr>
        <w:pStyle w:val="38"/>
        <w:ind w:firstLine="0" w:firstLineChars="0"/>
        <w:rPr>
          <w:rFonts w:cs="Times New Roman"/>
          <w:color w:val="auto"/>
        </w:rPr>
      </w:pPr>
    </w:p>
    <w:bookmarkEnd w:id="1"/>
    <w:p>
      <w:pPr>
        <w:adjustRightInd w:val="0"/>
        <w:snapToGrid w:val="0"/>
        <w:spacing w:line="480" w:lineRule="auto"/>
        <w:ind w:left="1506" w:hanging="1506" w:hangingChars="500"/>
        <w:rPr>
          <w:rFonts w:hint="default" w:eastAsia="宋体"/>
          <w:b/>
          <w:bCs/>
          <w:color w:val="auto"/>
          <w:sz w:val="30"/>
          <w:szCs w:val="30"/>
          <w:u w:val="single"/>
          <w:lang w:val="en-US" w:eastAsia="zh-CN"/>
        </w:rPr>
      </w:pPr>
      <w:r>
        <w:rPr>
          <w:b/>
          <w:bCs/>
          <w:color w:val="auto"/>
          <w:sz w:val="30"/>
          <w:szCs w:val="30"/>
        </w:rPr>
        <w:t>项目名称：</w:t>
      </w:r>
      <w:r>
        <w:rPr>
          <w:rFonts w:hint="eastAsia"/>
          <w:b/>
          <w:bCs/>
          <w:color w:val="auto"/>
          <w:sz w:val="30"/>
          <w:szCs w:val="30"/>
          <w:u w:val="single"/>
        </w:rPr>
        <w:t>锡林浩特市宝力根街道办事处社区卫生服务中心</w:t>
      </w:r>
      <w:r>
        <w:rPr>
          <w:b/>
          <w:bCs/>
          <w:color w:val="auto"/>
          <w:sz w:val="30"/>
          <w:szCs w:val="30"/>
          <w:u w:val="single"/>
        </w:rPr>
        <w:t>医疗废物暂存间建设项目</w:t>
      </w:r>
      <w:r>
        <w:rPr>
          <w:rFonts w:hint="eastAsia"/>
          <w:b/>
          <w:bCs/>
          <w:color w:val="auto"/>
          <w:sz w:val="30"/>
          <w:szCs w:val="30"/>
          <w:u w:val="single"/>
          <w:lang w:val="en-US" w:eastAsia="zh-CN"/>
        </w:rPr>
        <w:t xml:space="preserve">                                         </w:t>
      </w:r>
    </w:p>
    <w:p>
      <w:pPr>
        <w:adjustRightInd w:val="0"/>
        <w:snapToGrid w:val="0"/>
        <w:spacing w:line="480" w:lineRule="auto"/>
        <w:rPr>
          <w:color w:val="auto"/>
          <w:sz w:val="30"/>
          <w:szCs w:val="30"/>
          <w:u w:val="single"/>
        </w:rPr>
      </w:pPr>
      <w:r>
        <w:rPr>
          <w:b/>
          <w:bCs/>
          <w:color w:val="auto"/>
          <w:sz w:val="30"/>
          <w:szCs w:val="30"/>
        </w:rPr>
        <w:t>建设单位（盖章）：</w:t>
      </w:r>
      <w:r>
        <w:rPr>
          <w:rFonts w:hint="eastAsia"/>
          <w:b/>
          <w:bCs/>
          <w:color w:val="auto"/>
          <w:sz w:val="30"/>
          <w:szCs w:val="30"/>
          <w:u w:val="single"/>
        </w:rPr>
        <w:t>锡林浩特市宝力根街道办事处社区卫生服务中心</w:t>
      </w:r>
      <w:r>
        <w:rPr>
          <w:b/>
          <w:bCs/>
          <w:color w:val="auto"/>
          <w:sz w:val="30"/>
          <w:szCs w:val="30"/>
          <w:u w:val="single"/>
        </w:rPr>
        <w:t xml:space="preserve"> </w:t>
      </w:r>
      <w:r>
        <w:rPr>
          <w:color w:val="auto"/>
          <w:sz w:val="30"/>
          <w:szCs w:val="30"/>
          <w:u w:val="single"/>
        </w:rPr>
        <w:t xml:space="preserve">     </w:t>
      </w:r>
    </w:p>
    <w:p>
      <w:pPr>
        <w:adjustRightInd w:val="0"/>
        <w:snapToGrid w:val="0"/>
        <w:spacing w:line="480" w:lineRule="auto"/>
        <w:rPr>
          <w:color w:val="auto"/>
          <w:sz w:val="30"/>
          <w:szCs w:val="30"/>
          <w:u w:val="single"/>
        </w:rPr>
      </w:pPr>
      <w:r>
        <w:rPr>
          <w:b/>
          <w:bCs/>
          <w:color w:val="auto"/>
          <w:sz w:val="30"/>
          <w:szCs w:val="30"/>
        </w:rPr>
        <w:t>编制日期：</w:t>
      </w:r>
      <w:r>
        <w:rPr>
          <w:color w:val="auto"/>
          <w:sz w:val="30"/>
          <w:szCs w:val="30"/>
          <w:u w:val="single"/>
        </w:rPr>
        <w:t xml:space="preserve">         </w:t>
      </w:r>
      <w:r>
        <w:rPr>
          <w:b/>
          <w:bCs/>
          <w:color w:val="auto"/>
          <w:sz w:val="30"/>
          <w:szCs w:val="30"/>
          <w:u w:val="single"/>
        </w:rPr>
        <w:t xml:space="preserve">        202</w:t>
      </w:r>
      <w:r>
        <w:rPr>
          <w:rFonts w:hint="eastAsia"/>
          <w:b/>
          <w:bCs/>
          <w:color w:val="auto"/>
          <w:sz w:val="30"/>
          <w:szCs w:val="30"/>
          <w:u w:val="single"/>
          <w:lang w:val="en-US" w:eastAsia="zh-CN"/>
        </w:rPr>
        <w:t>4</w:t>
      </w:r>
      <w:r>
        <w:rPr>
          <w:b/>
          <w:bCs/>
          <w:color w:val="auto"/>
          <w:sz w:val="30"/>
          <w:szCs w:val="30"/>
          <w:u w:val="single"/>
        </w:rPr>
        <w:t>年</w:t>
      </w:r>
      <w:r>
        <w:rPr>
          <w:rFonts w:hint="eastAsia"/>
          <w:b/>
          <w:bCs/>
          <w:color w:val="auto"/>
          <w:sz w:val="30"/>
          <w:szCs w:val="30"/>
          <w:u w:val="single"/>
          <w:lang w:val="en-US" w:eastAsia="zh-CN"/>
        </w:rPr>
        <w:t>3</w:t>
      </w:r>
      <w:r>
        <w:rPr>
          <w:b/>
          <w:bCs/>
          <w:color w:val="auto"/>
          <w:sz w:val="30"/>
          <w:szCs w:val="30"/>
          <w:u w:val="single"/>
        </w:rPr>
        <w:t xml:space="preserve">月 </w:t>
      </w:r>
      <w:r>
        <w:rPr>
          <w:color w:val="auto"/>
          <w:sz w:val="30"/>
          <w:szCs w:val="30"/>
          <w:u w:val="single"/>
        </w:rPr>
        <w:t xml:space="preserve">                         </w:t>
      </w:r>
    </w:p>
    <w:p>
      <w:pPr>
        <w:adjustRightInd w:val="0"/>
        <w:snapToGrid w:val="0"/>
        <w:spacing w:line="288" w:lineRule="auto"/>
        <w:ind w:firstLine="1040"/>
        <w:rPr>
          <w:color w:val="auto"/>
          <w:sz w:val="36"/>
          <w:szCs w:val="36"/>
          <w:u w:val="single"/>
        </w:rPr>
      </w:pPr>
    </w:p>
    <w:p>
      <w:pPr>
        <w:pStyle w:val="38"/>
        <w:ind w:firstLine="720"/>
        <w:rPr>
          <w:rFonts w:cs="Times New Roman"/>
          <w:color w:val="auto"/>
          <w:sz w:val="36"/>
          <w:szCs w:val="36"/>
        </w:rPr>
      </w:pPr>
    </w:p>
    <w:p>
      <w:pPr>
        <w:adjustRightInd w:val="0"/>
        <w:snapToGrid w:val="0"/>
        <w:spacing w:line="288" w:lineRule="auto"/>
        <w:rPr>
          <w:color w:val="auto"/>
          <w:sz w:val="36"/>
          <w:szCs w:val="36"/>
        </w:rPr>
      </w:pPr>
    </w:p>
    <w:p>
      <w:pPr>
        <w:adjustRightInd w:val="0"/>
        <w:snapToGrid w:val="0"/>
        <w:spacing w:line="288" w:lineRule="auto"/>
        <w:jc w:val="center"/>
        <w:rPr>
          <w:color w:val="auto"/>
          <w:sz w:val="36"/>
          <w:szCs w:val="36"/>
        </w:rPr>
      </w:pPr>
      <w:r>
        <w:rPr>
          <w:b/>
          <w:bCs/>
          <w:color w:val="auto"/>
          <w:sz w:val="36"/>
          <w:szCs w:val="36"/>
        </w:rPr>
        <w:t>中华人民共和国生态环境部制</w:t>
      </w:r>
    </w:p>
    <w:p>
      <w:pPr>
        <w:adjustRightInd w:val="0"/>
        <w:snapToGrid w:val="0"/>
        <w:spacing w:line="288" w:lineRule="auto"/>
        <w:rPr>
          <w:color w:val="auto"/>
          <w:sz w:val="36"/>
          <w:szCs w:val="36"/>
        </w:rPr>
        <w:sectPr>
          <w:footerReference r:id="rId3" w:type="even"/>
          <w:pgSz w:w="11906" w:h="16838"/>
          <w:pgMar w:top="1440" w:right="1519" w:bottom="1440" w:left="1463" w:header="851" w:footer="1077" w:gutter="0"/>
          <w:pgBorders>
            <w:top w:val="none" w:sz="0" w:space="0"/>
            <w:left w:val="none" w:sz="0" w:space="0"/>
            <w:bottom w:val="none" w:sz="0" w:space="0"/>
            <w:right w:val="none" w:sz="0" w:space="0"/>
          </w:pgBorders>
          <w:pgNumType w:start="1"/>
          <w:cols w:space="720" w:num="1"/>
          <w:docGrid w:linePitch="312" w:charSpace="0"/>
        </w:sectPr>
      </w:pPr>
    </w:p>
    <w:p>
      <w:pPr>
        <w:tabs>
          <w:tab w:val="left" w:pos="0"/>
        </w:tabs>
        <w:snapToGrid w:val="0"/>
        <w:jc w:val="center"/>
        <w:outlineLvl w:val="0"/>
        <w:rPr>
          <w:color w:val="auto"/>
        </w:rPr>
      </w:pPr>
      <w:r>
        <w:rPr>
          <w:rFonts w:hint="eastAsia"/>
          <w:b/>
          <w:color w:val="auto"/>
          <w:sz w:val="32"/>
          <w:lang w:val="en-US" w:eastAsia="zh-CN"/>
        </w:rPr>
        <w:t>一、</w:t>
      </w:r>
      <w:r>
        <w:rPr>
          <w:b/>
          <w:color w:val="auto"/>
          <w:sz w:val="32"/>
        </w:rPr>
        <w:t>建设项目基本情况</w:t>
      </w:r>
    </w:p>
    <w:tbl>
      <w:tblPr>
        <w:tblStyle w:val="30"/>
        <w:tblW w:w="908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889"/>
        <w:gridCol w:w="1933"/>
        <w:gridCol w:w="2249"/>
        <w:gridCol w:w="30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45"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建设项目名称</w:t>
            </w:r>
          </w:p>
        </w:tc>
        <w:tc>
          <w:tcPr>
            <w:tcW w:w="7192" w:type="dxa"/>
            <w:gridSpan w:val="3"/>
            <w:vAlign w:val="center"/>
          </w:tcPr>
          <w:p>
            <w:pPr>
              <w:adjustRightInd w:val="0"/>
              <w:snapToGrid w:val="0"/>
              <w:jc w:val="center"/>
              <w:rPr>
                <w:color w:val="auto"/>
                <w:sz w:val="24"/>
                <w:highlight w:val="none"/>
              </w:rPr>
            </w:pPr>
            <w:r>
              <w:rPr>
                <w:rFonts w:hint="eastAsia"/>
                <w:color w:val="auto"/>
                <w:sz w:val="24"/>
                <w:highlight w:val="none"/>
              </w:rPr>
              <w:t>锡林浩特市宝力根街道办事处社区卫生服务中心</w:t>
            </w:r>
            <w:r>
              <w:rPr>
                <w:color w:val="auto"/>
                <w:sz w:val="24"/>
                <w:highlight w:val="none"/>
              </w:rPr>
              <w:t>医疗废物暂存间建设项目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项目代码</w:t>
            </w:r>
          </w:p>
        </w:tc>
        <w:tc>
          <w:tcPr>
            <w:tcW w:w="7192" w:type="dxa"/>
            <w:gridSpan w:val="3"/>
            <w:vAlign w:val="center"/>
          </w:tcPr>
          <w:p>
            <w:pPr>
              <w:adjustRightInd w:val="0"/>
              <w:snapToGrid w:val="0"/>
              <w:jc w:val="center"/>
              <w:rPr>
                <w:color w:val="auto"/>
                <w:sz w:val="24"/>
                <w:highlight w:val="none"/>
              </w:rPr>
            </w:pPr>
            <w:r>
              <w:rPr>
                <w:color w:val="auto"/>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88"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建设单位联系人</w:t>
            </w:r>
          </w:p>
        </w:tc>
        <w:tc>
          <w:tcPr>
            <w:tcW w:w="1933" w:type="dxa"/>
            <w:vAlign w:val="center"/>
          </w:tcPr>
          <w:p>
            <w:pPr>
              <w:adjustRightInd w:val="0"/>
              <w:snapToGrid w:val="0"/>
              <w:jc w:val="center"/>
              <w:rPr>
                <w:color w:val="auto"/>
                <w:sz w:val="24"/>
                <w:highlight w:val="none"/>
              </w:rPr>
            </w:pPr>
            <w:r>
              <w:rPr>
                <w:rFonts w:hint="eastAsia"/>
                <w:color w:val="auto"/>
                <w:sz w:val="24"/>
                <w:highlight w:val="none"/>
              </w:rPr>
              <w:t>周雅利</w:t>
            </w:r>
          </w:p>
        </w:tc>
        <w:tc>
          <w:tcPr>
            <w:tcW w:w="2249" w:type="dxa"/>
            <w:vAlign w:val="center"/>
          </w:tcPr>
          <w:p>
            <w:pPr>
              <w:adjustRightInd w:val="0"/>
              <w:snapToGrid w:val="0"/>
              <w:jc w:val="center"/>
              <w:rPr>
                <w:color w:val="auto"/>
                <w:sz w:val="24"/>
                <w:highlight w:val="none"/>
              </w:rPr>
            </w:pPr>
            <w:r>
              <w:rPr>
                <w:color w:val="auto"/>
                <w:sz w:val="24"/>
                <w:highlight w:val="none"/>
              </w:rPr>
              <w:t>联系方式</w:t>
            </w:r>
          </w:p>
        </w:tc>
        <w:tc>
          <w:tcPr>
            <w:tcW w:w="3010" w:type="dxa"/>
            <w:vAlign w:val="center"/>
          </w:tcPr>
          <w:p>
            <w:pPr>
              <w:adjustRightInd w:val="0"/>
              <w:snapToGrid w:val="0"/>
              <w:jc w:val="center"/>
              <w:rPr>
                <w:color w:val="auto"/>
                <w:sz w:val="24"/>
                <w:highlight w:val="none"/>
              </w:rPr>
            </w:pPr>
            <w:r>
              <w:rPr>
                <w:rFonts w:hint="eastAsia"/>
                <w:color w:val="auto"/>
                <w:sz w:val="24"/>
                <w:highlight w:val="none"/>
              </w:rPr>
              <w:t>13947917333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建设地点</w:t>
            </w:r>
          </w:p>
        </w:tc>
        <w:tc>
          <w:tcPr>
            <w:tcW w:w="7192" w:type="dxa"/>
            <w:gridSpan w:val="3"/>
            <w:vAlign w:val="center"/>
          </w:tcPr>
          <w:p>
            <w:pPr>
              <w:adjustRightInd w:val="0"/>
              <w:snapToGrid w:val="0"/>
              <w:jc w:val="center"/>
              <w:rPr>
                <w:color w:val="auto"/>
                <w:highlight w:val="none"/>
              </w:rPr>
            </w:pPr>
            <w:r>
              <w:rPr>
                <w:rFonts w:ascii="Times New Roman" w:hAnsi="Times New Roman" w:cs="Times New Roman"/>
                <w:color w:val="auto"/>
                <w:sz w:val="24"/>
                <w:highlight w:val="none"/>
                <w:lang w:val="en-US" w:eastAsia="zh-CN"/>
              </w:rPr>
              <w:t>内蒙古自治区锡林郭勒盟</w:t>
            </w:r>
            <w:r>
              <w:rPr>
                <w:rFonts w:hint="eastAsia" w:ascii="Times New Roman" w:hAnsi="Times New Roman" w:cs="Times New Roman"/>
                <w:color w:val="auto"/>
                <w:sz w:val="24"/>
                <w:highlight w:val="none"/>
                <w:lang w:val="en-US" w:eastAsia="zh-CN"/>
              </w:rPr>
              <w:t>锡林浩特市贝子庙街359号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20"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地理坐标</w:t>
            </w:r>
          </w:p>
        </w:tc>
        <w:tc>
          <w:tcPr>
            <w:tcW w:w="7192" w:type="dxa"/>
            <w:gridSpan w:val="3"/>
            <w:vAlign w:val="center"/>
          </w:tcPr>
          <w:p>
            <w:pPr>
              <w:adjustRightInd w:val="0"/>
              <w:snapToGrid w:val="0"/>
              <w:jc w:val="center"/>
              <w:rPr>
                <w:color w:val="auto"/>
                <w:highlight w:val="none"/>
              </w:rPr>
            </w:pPr>
            <w:r>
              <w:rPr>
                <w:rFonts w:hint="default" w:ascii="Times New Roman" w:hAnsi="Times New Roman" w:cs="Times New Roman"/>
                <w:bCs/>
                <w:color w:val="auto"/>
                <w:sz w:val="24"/>
                <w:highlight w:val="none"/>
                <w:lang w:val="zh-CN"/>
              </w:rPr>
              <w:t>116°4′2.709″，43°56′55.455″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620"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国民经济</w:t>
            </w:r>
          </w:p>
          <w:p>
            <w:pPr>
              <w:adjustRightInd w:val="0"/>
              <w:snapToGrid w:val="0"/>
              <w:jc w:val="center"/>
              <w:rPr>
                <w:color w:val="auto"/>
                <w:sz w:val="24"/>
                <w:highlight w:val="none"/>
              </w:rPr>
            </w:pPr>
            <w:r>
              <w:rPr>
                <w:color w:val="auto"/>
                <w:sz w:val="24"/>
                <w:highlight w:val="none"/>
              </w:rPr>
              <w:t>行业类别</w:t>
            </w:r>
          </w:p>
        </w:tc>
        <w:tc>
          <w:tcPr>
            <w:tcW w:w="1933" w:type="dxa"/>
            <w:vAlign w:val="center"/>
          </w:tcPr>
          <w:p>
            <w:pPr>
              <w:adjustRightInd w:val="0"/>
              <w:snapToGrid w:val="0"/>
              <w:jc w:val="center"/>
              <w:rPr>
                <w:color w:val="auto"/>
                <w:sz w:val="24"/>
                <w:highlight w:val="none"/>
              </w:rPr>
            </w:pPr>
            <w:r>
              <w:rPr>
                <w:color w:val="auto"/>
                <w:sz w:val="24"/>
                <w:highlight w:val="none"/>
              </w:rPr>
              <w:t>N7724</w:t>
            </w:r>
          </w:p>
          <w:p>
            <w:pPr>
              <w:adjustRightInd w:val="0"/>
              <w:snapToGrid w:val="0"/>
              <w:jc w:val="center"/>
              <w:rPr>
                <w:color w:val="auto"/>
                <w:sz w:val="24"/>
                <w:highlight w:val="none"/>
              </w:rPr>
            </w:pPr>
            <w:r>
              <w:rPr>
                <w:color w:val="auto"/>
                <w:sz w:val="24"/>
                <w:highlight w:val="none"/>
              </w:rPr>
              <w:t>危险废物治理</w:t>
            </w:r>
          </w:p>
        </w:tc>
        <w:tc>
          <w:tcPr>
            <w:tcW w:w="2249" w:type="dxa"/>
            <w:vAlign w:val="center"/>
          </w:tcPr>
          <w:p>
            <w:pPr>
              <w:adjustRightInd w:val="0"/>
              <w:snapToGrid w:val="0"/>
              <w:jc w:val="center"/>
              <w:rPr>
                <w:color w:val="auto"/>
                <w:sz w:val="24"/>
                <w:highlight w:val="none"/>
              </w:rPr>
            </w:pPr>
            <w:bookmarkStart w:id="2" w:name="_Hlk49843745"/>
            <w:r>
              <w:rPr>
                <w:color w:val="auto"/>
                <w:sz w:val="24"/>
                <w:highlight w:val="none"/>
              </w:rPr>
              <w:t>建设项目</w:t>
            </w:r>
          </w:p>
          <w:p>
            <w:pPr>
              <w:adjustRightInd w:val="0"/>
              <w:snapToGrid w:val="0"/>
              <w:jc w:val="center"/>
              <w:rPr>
                <w:color w:val="auto"/>
                <w:sz w:val="24"/>
                <w:highlight w:val="none"/>
              </w:rPr>
            </w:pPr>
            <w:r>
              <w:rPr>
                <w:color w:val="auto"/>
                <w:sz w:val="24"/>
                <w:highlight w:val="none"/>
              </w:rPr>
              <w:t>行业类别</w:t>
            </w:r>
            <w:bookmarkEnd w:id="2"/>
          </w:p>
        </w:tc>
        <w:tc>
          <w:tcPr>
            <w:tcW w:w="3010" w:type="dxa"/>
            <w:vAlign w:val="center"/>
          </w:tcPr>
          <w:p>
            <w:pPr>
              <w:adjustRightInd w:val="0"/>
              <w:snapToGrid w:val="0"/>
              <w:jc w:val="center"/>
              <w:rPr>
                <w:color w:val="auto"/>
                <w:sz w:val="24"/>
                <w:highlight w:val="none"/>
              </w:rPr>
            </w:pPr>
            <w:r>
              <w:rPr>
                <w:rFonts w:ascii="宋体" w:hAnsi="宋体" w:eastAsia="宋体" w:cs="宋体"/>
                <w:color w:val="auto"/>
                <w:sz w:val="24"/>
                <w:szCs w:val="24"/>
              </w:rPr>
              <w:t>“四十七、生态保护和环境治理业”</w:t>
            </w:r>
            <w:r>
              <w:rPr>
                <w:rFonts w:hint="eastAsia" w:ascii="宋体" w:hAnsi="宋体" w:eastAsia="宋体" w:cs="宋体"/>
                <w:color w:val="auto"/>
                <w:sz w:val="24"/>
                <w:szCs w:val="24"/>
                <w:lang w:val="en-US" w:eastAsia="zh-CN"/>
              </w:rPr>
              <w:t>—</w:t>
            </w:r>
            <w:r>
              <w:rPr>
                <w:rFonts w:ascii="宋体" w:hAnsi="宋体" w:eastAsia="宋体" w:cs="宋体"/>
                <w:color w:val="auto"/>
                <w:sz w:val="24"/>
                <w:szCs w:val="24"/>
              </w:rPr>
              <w:t>“102医疗废物处置、病死及病害动物无害化处理”</w:t>
            </w:r>
            <w:r>
              <w:rPr>
                <w:rFonts w:hint="eastAsia" w:ascii="宋体" w:hAnsi="宋体" w:eastAsia="宋体" w:cs="宋体"/>
                <w:color w:val="auto"/>
                <w:sz w:val="24"/>
                <w:szCs w:val="24"/>
                <w:lang w:val="en-US" w:eastAsia="zh-CN"/>
              </w:rPr>
              <w:t>—</w:t>
            </w:r>
            <w:r>
              <w:rPr>
                <w:rFonts w:ascii="宋体" w:hAnsi="宋体" w:eastAsia="宋体" w:cs="宋体"/>
                <w:color w:val="auto"/>
                <w:sz w:val="24"/>
                <w:szCs w:val="24"/>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建设性质</w:t>
            </w:r>
          </w:p>
        </w:tc>
        <w:tc>
          <w:tcPr>
            <w:tcW w:w="1933" w:type="dxa"/>
            <w:vAlign w:val="center"/>
          </w:tcPr>
          <w:p>
            <w:pPr>
              <w:jc w:val="left"/>
              <w:rPr>
                <w:color w:val="auto"/>
                <w:sz w:val="24"/>
                <w:highlight w:val="none"/>
              </w:rPr>
            </w:pPr>
            <w:r>
              <w:rPr>
                <w:rFonts w:hint="eastAsia"/>
                <w:color w:val="auto"/>
                <w:sz w:val="24"/>
                <w:highlight w:val="none"/>
              </w:rPr>
              <w:t>☑</w:t>
            </w:r>
            <w:r>
              <w:rPr>
                <w:color w:val="auto"/>
                <w:sz w:val="24"/>
                <w:highlight w:val="none"/>
              </w:rPr>
              <w:t>新建（迁建）</w:t>
            </w:r>
          </w:p>
          <w:p>
            <w:pPr>
              <w:jc w:val="left"/>
              <w:rPr>
                <w:color w:val="auto"/>
                <w:sz w:val="24"/>
                <w:highlight w:val="none"/>
              </w:rPr>
            </w:pPr>
            <w:r>
              <w:rPr>
                <w:rFonts w:hint="eastAsia"/>
                <w:color w:val="auto"/>
                <w:sz w:val="24"/>
                <w:highlight w:val="none"/>
              </w:rPr>
              <w:t>□</w:t>
            </w:r>
            <w:r>
              <w:rPr>
                <w:color w:val="auto"/>
                <w:sz w:val="24"/>
                <w:highlight w:val="none"/>
              </w:rPr>
              <w:t>改建</w:t>
            </w:r>
          </w:p>
          <w:p>
            <w:pPr>
              <w:jc w:val="left"/>
              <w:rPr>
                <w:color w:val="auto"/>
                <w:sz w:val="24"/>
                <w:highlight w:val="none"/>
              </w:rPr>
            </w:pPr>
            <w:r>
              <w:rPr>
                <w:rFonts w:hint="eastAsia"/>
                <w:color w:val="auto"/>
                <w:sz w:val="24"/>
                <w:highlight w:val="none"/>
              </w:rPr>
              <w:t>□</w:t>
            </w:r>
            <w:r>
              <w:rPr>
                <w:color w:val="auto"/>
                <w:sz w:val="24"/>
                <w:highlight w:val="none"/>
              </w:rPr>
              <w:t>扩建</w:t>
            </w:r>
          </w:p>
          <w:p>
            <w:pPr>
              <w:jc w:val="left"/>
              <w:rPr>
                <w:color w:val="auto"/>
                <w:sz w:val="24"/>
                <w:highlight w:val="none"/>
              </w:rPr>
            </w:pPr>
            <w:r>
              <w:rPr>
                <w:rFonts w:hint="eastAsia"/>
                <w:color w:val="auto"/>
                <w:sz w:val="24"/>
                <w:highlight w:val="none"/>
              </w:rPr>
              <w:t>□</w:t>
            </w:r>
            <w:r>
              <w:rPr>
                <w:color w:val="auto"/>
                <w:sz w:val="24"/>
                <w:highlight w:val="none"/>
              </w:rPr>
              <w:t>技术改造</w:t>
            </w:r>
          </w:p>
        </w:tc>
        <w:tc>
          <w:tcPr>
            <w:tcW w:w="2249" w:type="dxa"/>
            <w:vAlign w:val="center"/>
          </w:tcPr>
          <w:p>
            <w:pPr>
              <w:adjustRightInd w:val="0"/>
              <w:snapToGrid w:val="0"/>
              <w:jc w:val="center"/>
              <w:rPr>
                <w:color w:val="auto"/>
                <w:sz w:val="24"/>
                <w:highlight w:val="none"/>
              </w:rPr>
            </w:pPr>
            <w:r>
              <w:rPr>
                <w:color w:val="auto"/>
                <w:sz w:val="24"/>
                <w:highlight w:val="none"/>
              </w:rPr>
              <w:t>建设项目</w:t>
            </w:r>
          </w:p>
          <w:p>
            <w:pPr>
              <w:adjustRightInd w:val="0"/>
              <w:snapToGrid w:val="0"/>
              <w:jc w:val="center"/>
              <w:rPr>
                <w:color w:val="auto"/>
                <w:sz w:val="24"/>
                <w:highlight w:val="none"/>
              </w:rPr>
            </w:pPr>
            <w:r>
              <w:rPr>
                <w:color w:val="auto"/>
                <w:sz w:val="24"/>
                <w:highlight w:val="none"/>
              </w:rPr>
              <w:t>申报情形</w:t>
            </w:r>
          </w:p>
        </w:tc>
        <w:tc>
          <w:tcPr>
            <w:tcW w:w="3010" w:type="dxa"/>
            <w:vAlign w:val="center"/>
          </w:tcPr>
          <w:p>
            <w:pPr>
              <w:jc w:val="left"/>
              <w:rPr>
                <w:color w:val="auto"/>
                <w:sz w:val="24"/>
                <w:highlight w:val="none"/>
              </w:rPr>
            </w:pPr>
            <w:r>
              <w:rPr>
                <w:rFonts w:hint="eastAsia"/>
                <w:color w:val="auto"/>
                <w:sz w:val="24"/>
                <w:highlight w:val="none"/>
              </w:rPr>
              <w:t>☑</w:t>
            </w:r>
            <w:r>
              <w:rPr>
                <w:color w:val="auto"/>
                <w:sz w:val="24"/>
                <w:highlight w:val="none"/>
              </w:rPr>
              <w:t xml:space="preserve">首次申报项目             </w:t>
            </w:r>
          </w:p>
          <w:p>
            <w:pPr>
              <w:jc w:val="left"/>
              <w:rPr>
                <w:color w:val="auto"/>
                <w:sz w:val="24"/>
                <w:highlight w:val="none"/>
              </w:rPr>
            </w:pPr>
            <w:r>
              <w:rPr>
                <w:rFonts w:hint="eastAsia"/>
                <w:color w:val="auto"/>
                <w:sz w:val="24"/>
                <w:highlight w:val="none"/>
              </w:rPr>
              <w:t>□</w:t>
            </w:r>
            <w:r>
              <w:rPr>
                <w:color w:val="auto"/>
                <w:sz w:val="24"/>
                <w:highlight w:val="none"/>
              </w:rPr>
              <w:t>不予批准后再次申报项目</w:t>
            </w:r>
          </w:p>
          <w:p>
            <w:pPr>
              <w:jc w:val="left"/>
              <w:rPr>
                <w:color w:val="auto"/>
                <w:sz w:val="24"/>
                <w:highlight w:val="none"/>
              </w:rPr>
            </w:pPr>
            <w:r>
              <w:rPr>
                <w:rFonts w:hint="eastAsia"/>
                <w:color w:val="auto"/>
                <w:sz w:val="24"/>
                <w:highlight w:val="none"/>
              </w:rPr>
              <w:t>□</w:t>
            </w:r>
            <w:r>
              <w:rPr>
                <w:color w:val="auto"/>
                <w:sz w:val="24"/>
                <w:highlight w:val="none"/>
              </w:rPr>
              <w:t xml:space="preserve">超五年重新审核项目     </w:t>
            </w:r>
          </w:p>
          <w:p>
            <w:pPr>
              <w:jc w:val="left"/>
              <w:rPr>
                <w:color w:val="auto"/>
                <w:sz w:val="24"/>
                <w:highlight w:val="none"/>
              </w:rPr>
            </w:pPr>
            <w:r>
              <w:rPr>
                <w:rFonts w:hint="eastAsia"/>
                <w:color w:val="auto"/>
                <w:sz w:val="24"/>
                <w:highlight w:val="none"/>
              </w:rPr>
              <w:t>□</w:t>
            </w:r>
            <w:r>
              <w:rPr>
                <w:color w:val="auto"/>
                <w:sz w:val="24"/>
                <w:highlight w:val="none"/>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4"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项目审批（核准/</w:t>
            </w:r>
          </w:p>
          <w:p>
            <w:pPr>
              <w:adjustRightInd w:val="0"/>
              <w:snapToGrid w:val="0"/>
              <w:jc w:val="center"/>
              <w:rPr>
                <w:color w:val="auto"/>
                <w:sz w:val="24"/>
                <w:highlight w:val="none"/>
              </w:rPr>
            </w:pPr>
            <w:r>
              <w:rPr>
                <w:color w:val="auto"/>
                <w:sz w:val="24"/>
                <w:highlight w:val="none"/>
              </w:rPr>
              <w:t>备案）部门（选填）</w:t>
            </w:r>
          </w:p>
        </w:tc>
        <w:tc>
          <w:tcPr>
            <w:tcW w:w="1933" w:type="dxa"/>
            <w:vAlign w:val="center"/>
          </w:tcPr>
          <w:p>
            <w:pPr>
              <w:adjustRightInd w:val="0"/>
              <w:snapToGrid w:val="0"/>
              <w:jc w:val="center"/>
              <w:rPr>
                <w:color w:val="auto"/>
                <w:sz w:val="24"/>
                <w:highlight w:val="none"/>
              </w:rPr>
            </w:pPr>
            <w:r>
              <w:rPr>
                <w:color w:val="auto"/>
                <w:sz w:val="24"/>
                <w:highlight w:val="none"/>
              </w:rPr>
              <w:t>/</w:t>
            </w:r>
          </w:p>
        </w:tc>
        <w:tc>
          <w:tcPr>
            <w:tcW w:w="2249" w:type="dxa"/>
            <w:vAlign w:val="center"/>
          </w:tcPr>
          <w:p>
            <w:pPr>
              <w:adjustRightInd w:val="0"/>
              <w:snapToGrid w:val="0"/>
              <w:jc w:val="center"/>
              <w:rPr>
                <w:color w:val="auto"/>
                <w:sz w:val="24"/>
                <w:highlight w:val="none"/>
              </w:rPr>
            </w:pPr>
            <w:r>
              <w:rPr>
                <w:color w:val="auto"/>
                <w:sz w:val="24"/>
                <w:highlight w:val="none"/>
              </w:rPr>
              <w:t>项目审批（核准/</w:t>
            </w:r>
          </w:p>
          <w:p>
            <w:pPr>
              <w:adjustRightInd w:val="0"/>
              <w:snapToGrid w:val="0"/>
              <w:jc w:val="center"/>
              <w:rPr>
                <w:color w:val="auto"/>
                <w:sz w:val="24"/>
                <w:highlight w:val="none"/>
              </w:rPr>
            </w:pPr>
            <w:r>
              <w:rPr>
                <w:color w:val="auto"/>
                <w:sz w:val="24"/>
                <w:highlight w:val="none"/>
              </w:rPr>
              <w:t>备案）文号（选填）</w:t>
            </w:r>
          </w:p>
        </w:tc>
        <w:tc>
          <w:tcPr>
            <w:tcW w:w="3010" w:type="dxa"/>
            <w:vAlign w:val="center"/>
          </w:tcPr>
          <w:p>
            <w:pPr>
              <w:adjustRightInd w:val="0"/>
              <w:snapToGrid w:val="0"/>
              <w:jc w:val="center"/>
              <w:rPr>
                <w:color w:val="auto"/>
                <w:sz w:val="24"/>
                <w:highlight w:val="none"/>
              </w:rPr>
            </w:pPr>
            <w:r>
              <w:rPr>
                <w:color w:val="auto"/>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总投资（万元）</w:t>
            </w:r>
          </w:p>
        </w:tc>
        <w:tc>
          <w:tcPr>
            <w:tcW w:w="1933" w:type="dxa"/>
            <w:vAlign w:val="center"/>
          </w:tcPr>
          <w:p>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w:t>
            </w:r>
          </w:p>
        </w:tc>
        <w:tc>
          <w:tcPr>
            <w:tcW w:w="224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环保投资（万元）</w:t>
            </w:r>
          </w:p>
        </w:tc>
        <w:tc>
          <w:tcPr>
            <w:tcW w:w="3010" w:type="dxa"/>
            <w:vAlign w:val="center"/>
          </w:tcPr>
          <w:p>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2"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环保投资占比（%）</w:t>
            </w:r>
          </w:p>
        </w:tc>
        <w:tc>
          <w:tcPr>
            <w:tcW w:w="1933" w:type="dxa"/>
            <w:vAlign w:val="center"/>
          </w:tcPr>
          <w:p>
            <w:pPr>
              <w:adjustRightInd w:val="0"/>
              <w:snapToGrid w:val="0"/>
              <w:jc w:val="center"/>
              <w:rPr>
                <w:color w:val="auto"/>
                <w:sz w:val="24"/>
                <w:highlight w:val="none"/>
              </w:rPr>
            </w:pPr>
            <w:r>
              <w:rPr>
                <w:rFonts w:hint="eastAsia"/>
                <w:color w:val="auto"/>
                <w:sz w:val="24"/>
                <w:highlight w:val="none"/>
              </w:rPr>
              <w:t>100</w:t>
            </w:r>
          </w:p>
        </w:tc>
        <w:tc>
          <w:tcPr>
            <w:tcW w:w="224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施工工期</w:t>
            </w:r>
          </w:p>
        </w:tc>
        <w:tc>
          <w:tcPr>
            <w:tcW w:w="3010" w:type="dxa"/>
            <w:vAlign w:val="center"/>
          </w:tcPr>
          <w:p>
            <w:pPr>
              <w:adjustRightInd w:val="0"/>
              <w:snapToGrid w:val="0"/>
              <w:jc w:val="center"/>
              <w:rPr>
                <w:rFonts w:hint="eastAsia" w:eastAsia="宋体"/>
                <w:color w:val="auto"/>
                <w:sz w:val="24"/>
                <w:highlight w:val="none"/>
                <w:lang w:eastAsia="zh-CN"/>
              </w:rPr>
            </w:pPr>
            <w:r>
              <w:rPr>
                <w:rFonts w:hint="eastAsia"/>
                <w:color w:val="auto"/>
                <w:kern w:val="0"/>
                <w:sz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1889" w:type="dxa"/>
            <w:tcMar>
              <w:top w:w="16" w:type="dxa"/>
              <w:left w:w="16" w:type="dxa"/>
              <w:right w:w="16" w:type="dxa"/>
            </w:tcMar>
            <w:vAlign w:val="center"/>
          </w:tcPr>
          <w:p>
            <w:pPr>
              <w:adjustRightInd w:val="0"/>
              <w:snapToGrid w:val="0"/>
              <w:jc w:val="center"/>
              <w:rPr>
                <w:color w:val="auto"/>
                <w:sz w:val="24"/>
                <w:highlight w:val="none"/>
              </w:rPr>
            </w:pPr>
            <w:r>
              <w:rPr>
                <w:color w:val="auto"/>
                <w:sz w:val="24"/>
                <w:highlight w:val="none"/>
              </w:rPr>
              <w:t>是否开工建设</w:t>
            </w:r>
          </w:p>
        </w:tc>
        <w:tc>
          <w:tcPr>
            <w:tcW w:w="1933" w:type="dxa"/>
            <w:vAlign w:val="center"/>
          </w:tcPr>
          <w:p>
            <w:pPr>
              <w:jc w:val="left"/>
              <w:rPr>
                <w:color w:val="auto"/>
                <w:sz w:val="24"/>
                <w:highlight w:val="none"/>
              </w:rPr>
            </w:pPr>
            <w:r>
              <w:rPr>
                <w:rFonts w:hint="eastAsia"/>
                <w:color w:val="auto"/>
                <w:sz w:val="24"/>
                <w:highlight w:val="none"/>
                <w:lang w:eastAsia="zh-CN"/>
              </w:rPr>
              <w:t>□</w:t>
            </w:r>
            <w:r>
              <w:rPr>
                <w:color w:val="auto"/>
                <w:sz w:val="24"/>
                <w:highlight w:val="none"/>
              </w:rPr>
              <w:t>否</w:t>
            </w:r>
          </w:p>
          <w:p>
            <w:pPr>
              <w:jc w:val="left"/>
              <w:rPr>
                <w:color w:val="auto"/>
                <w:sz w:val="24"/>
                <w:highlight w:val="none"/>
              </w:rPr>
            </w:pPr>
            <w:r>
              <w:rPr>
                <w:rFonts w:hint="eastAsia"/>
                <w:color w:val="auto"/>
                <w:sz w:val="24"/>
                <w:highlight w:val="none"/>
                <w:lang w:eastAsia="zh-CN"/>
              </w:rPr>
              <w:t>☑</w:t>
            </w:r>
            <w:r>
              <w:rPr>
                <w:color w:val="auto"/>
                <w:sz w:val="24"/>
                <w:highlight w:val="none"/>
              </w:rPr>
              <w:t>是：</w:t>
            </w:r>
            <w:r>
              <w:rPr>
                <w:rFonts w:hint="eastAsia"/>
                <w:color w:val="auto"/>
                <w:sz w:val="24"/>
                <w:highlight w:val="none"/>
                <w:u w:val="single"/>
                <w:lang w:val="en-US" w:eastAsia="zh-CN"/>
              </w:rPr>
              <w:t>根据锡林郭勒盟生态环境综合行政执法支队2024年2月1日出具的《锡林郭勒盟生态环境综合行政执法支队关于锡林浩特市部分建设项目未批先建违法行为处理意见》中，本项目依据《中华人民共和国行政处罚法》第三十六条：违法行为在二年内未被发现的，不再给予行政处罚。</w:t>
            </w:r>
          </w:p>
        </w:tc>
        <w:tc>
          <w:tcPr>
            <w:tcW w:w="2249" w:type="dxa"/>
            <w:tcMar>
              <w:top w:w="16" w:type="dxa"/>
              <w:left w:w="16" w:type="dxa"/>
              <w:right w:w="16" w:type="dxa"/>
            </w:tcMar>
            <w:vAlign w:val="center"/>
          </w:tcPr>
          <w:p>
            <w:pPr>
              <w:adjustRightInd w:val="0"/>
              <w:snapToGrid w:val="0"/>
              <w:jc w:val="center"/>
              <w:rPr>
                <w:color w:val="auto"/>
                <w:spacing w:val="-6"/>
                <w:sz w:val="24"/>
                <w:highlight w:val="none"/>
              </w:rPr>
            </w:pPr>
            <w:r>
              <w:rPr>
                <w:color w:val="auto"/>
                <w:spacing w:val="-6"/>
                <w:sz w:val="24"/>
                <w:highlight w:val="none"/>
              </w:rPr>
              <w:t>用地（用海）</w:t>
            </w:r>
          </w:p>
          <w:p>
            <w:pPr>
              <w:adjustRightInd w:val="0"/>
              <w:snapToGrid w:val="0"/>
              <w:jc w:val="center"/>
              <w:rPr>
                <w:color w:val="auto"/>
                <w:sz w:val="24"/>
                <w:highlight w:val="none"/>
              </w:rPr>
            </w:pPr>
            <w:r>
              <w:rPr>
                <w:color w:val="auto"/>
                <w:spacing w:val="-6"/>
                <w:sz w:val="24"/>
                <w:highlight w:val="none"/>
              </w:rPr>
              <w:t>面积（m</w:t>
            </w:r>
            <w:r>
              <w:rPr>
                <w:color w:val="auto"/>
                <w:spacing w:val="-6"/>
                <w:sz w:val="24"/>
                <w:highlight w:val="none"/>
                <w:vertAlign w:val="superscript"/>
              </w:rPr>
              <w:t>2</w:t>
            </w:r>
            <w:r>
              <w:rPr>
                <w:color w:val="auto"/>
                <w:spacing w:val="-6"/>
                <w:sz w:val="24"/>
                <w:highlight w:val="none"/>
              </w:rPr>
              <w:t>）</w:t>
            </w:r>
          </w:p>
        </w:tc>
        <w:tc>
          <w:tcPr>
            <w:tcW w:w="3010" w:type="dxa"/>
            <w:vAlign w:val="center"/>
          </w:tcPr>
          <w:p>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889" w:type="dxa"/>
            <w:vAlign w:val="center"/>
          </w:tcPr>
          <w:p>
            <w:pPr>
              <w:autoSpaceDE w:val="0"/>
              <w:autoSpaceDN w:val="0"/>
              <w:adjustRightInd w:val="0"/>
              <w:snapToGrid w:val="0"/>
              <w:jc w:val="center"/>
              <w:rPr>
                <w:color w:val="auto"/>
                <w:kern w:val="0"/>
                <w:sz w:val="24"/>
                <w:highlight w:val="none"/>
              </w:rPr>
            </w:pPr>
            <w:r>
              <w:rPr>
                <w:color w:val="auto"/>
                <w:kern w:val="0"/>
                <w:sz w:val="24"/>
                <w:highlight w:val="none"/>
              </w:rPr>
              <w:t>专项评价设置情况</w:t>
            </w:r>
          </w:p>
        </w:tc>
        <w:tc>
          <w:tcPr>
            <w:tcW w:w="7192" w:type="dxa"/>
            <w:gridSpan w:val="3"/>
            <w:vAlign w:val="center"/>
          </w:tcPr>
          <w:p>
            <w:pPr>
              <w:autoSpaceDE w:val="0"/>
              <w:autoSpaceDN w:val="0"/>
              <w:adjustRightInd w:val="0"/>
              <w:snapToGrid w:val="0"/>
              <w:jc w:val="center"/>
              <w:rPr>
                <w:color w:val="auto"/>
                <w:kern w:val="0"/>
                <w:sz w:val="24"/>
                <w:highlight w:val="none"/>
              </w:rPr>
            </w:pPr>
            <w:r>
              <w:rPr>
                <w:rFonts w:hint="eastAsia"/>
                <w:color w:val="auto"/>
                <w:kern w:val="0"/>
                <w:sz w:val="24"/>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889" w:type="dxa"/>
            <w:vAlign w:val="center"/>
          </w:tcPr>
          <w:p>
            <w:pPr>
              <w:autoSpaceDE w:val="0"/>
              <w:autoSpaceDN w:val="0"/>
              <w:adjustRightInd w:val="0"/>
              <w:snapToGrid w:val="0"/>
              <w:jc w:val="center"/>
              <w:rPr>
                <w:color w:val="auto"/>
                <w:kern w:val="0"/>
                <w:sz w:val="24"/>
                <w:highlight w:val="none"/>
              </w:rPr>
            </w:pPr>
            <w:r>
              <w:rPr>
                <w:color w:val="auto"/>
                <w:sz w:val="24"/>
                <w:highlight w:val="none"/>
              </w:rPr>
              <w:t>规划情况</w:t>
            </w:r>
          </w:p>
        </w:tc>
        <w:tc>
          <w:tcPr>
            <w:tcW w:w="7192" w:type="dxa"/>
            <w:gridSpan w:val="3"/>
            <w:vAlign w:val="center"/>
          </w:tcPr>
          <w:p>
            <w:pPr>
              <w:autoSpaceDE w:val="0"/>
              <w:autoSpaceDN w:val="0"/>
              <w:snapToGrid w:val="0"/>
              <w:jc w:val="center"/>
              <w:rPr>
                <w:color w:val="auto"/>
                <w:kern w:val="0"/>
                <w:sz w:val="24"/>
                <w:highlight w:val="none"/>
              </w:rPr>
            </w:pPr>
            <w:r>
              <w:rPr>
                <w:color w:val="auto"/>
                <w:kern w:val="0"/>
                <w:sz w:val="24"/>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889" w:type="dxa"/>
            <w:vAlign w:val="center"/>
          </w:tcPr>
          <w:p>
            <w:pPr>
              <w:adjustRightInd w:val="0"/>
              <w:snapToGrid w:val="0"/>
              <w:jc w:val="center"/>
              <w:rPr>
                <w:color w:val="auto"/>
                <w:sz w:val="24"/>
                <w:highlight w:val="none"/>
              </w:rPr>
            </w:pPr>
            <w:r>
              <w:rPr>
                <w:color w:val="auto"/>
                <w:sz w:val="24"/>
                <w:highlight w:val="none"/>
              </w:rPr>
              <w:t>规划环境影响</w:t>
            </w:r>
          </w:p>
          <w:p>
            <w:pPr>
              <w:adjustRightInd w:val="0"/>
              <w:snapToGrid w:val="0"/>
              <w:jc w:val="center"/>
              <w:rPr>
                <w:color w:val="auto"/>
                <w:kern w:val="0"/>
                <w:sz w:val="24"/>
                <w:highlight w:val="none"/>
              </w:rPr>
            </w:pPr>
            <w:r>
              <w:rPr>
                <w:color w:val="auto"/>
                <w:sz w:val="24"/>
                <w:highlight w:val="none"/>
              </w:rPr>
              <w:t>评价情况</w:t>
            </w:r>
          </w:p>
        </w:tc>
        <w:tc>
          <w:tcPr>
            <w:tcW w:w="7192" w:type="dxa"/>
            <w:gridSpan w:val="3"/>
            <w:vAlign w:val="center"/>
          </w:tcPr>
          <w:p>
            <w:pPr>
              <w:autoSpaceDE w:val="0"/>
              <w:autoSpaceDN w:val="0"/>
              <w:snapToGrid w:val="0"/>
              <w:jc w:val="center"/>
              <w:rPr>
                <w:color w:val="auto"/>
                <w:sz w:val="24"/>
                <w:highlight w:val="none"/>
              </w:rPr>
            </w:pPr>
            <w:r>
              <w:rPr>
                <w:color w:val="auto"/>
                <w:kern w:val="0"/>
                <w:sz w:val="24"/>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9" w:type="dxa"/>
            <w:vAlign w:val="center"/>
          </w:tcPr>
          <w:p>
            <w:pPr>
              <w:autoSpaceDE w:val="0"/>
              <w:autoSpaceDN w:val="0"/>
              <w:adjustRightInd w:val="0"/>
              <w:snapToGrid w:val="0"/>
              <w:jc w:val="center"/>
              <w:rPr>
                <w:color w:val="auto"/>
                <w:kern w:val="0"/>
                <w:sz w:val="24"/>
                <w:highlight w:val="none"/>
              </w:rPr>
            </w:pPr>
            <w:r>
              <w:rPr>
                <w:color w:val="auto"/>
                <w:kern w:val="0"/>
                <w:sz w:val="24"/>
                <w:highlight w:val="none"/>
              </w:rPr>
              <w:t>规划及规划环境影响评价符合性分析</w:t>
            </w:r>
          </w:p>
        </w:tc>
        <w:tc>
          <w:tcPr>
            <w:tcW w:w="7192"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color w:val="auto"/>
                <w:kern w:val="0"/>
                <w:sz w:val="24"/>
                <w:highlight w:val="none"/>
              </w:rPr>
            </w:pPr>
            <w:r>
              <w:rPr>
                <w:rFonts w:ascii="Times New Roman" w:hAnsi="Times New Roman" w:cs="Times New Roman"/>
                <w:color w:val="auto"/>
                <w:sz w:val="24"/>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9" w:type="dxa"/>
            <w:vAlign w:val="center"/>
          </w:tcPr>
          <w:p>
            <w:pPr>
              <w:autoSpaceDE w:val="0"/>
              <w:autoSpaceDN w:val="0"/>
              <w:adjustRightInd w:val="0"/>
              <w:snapToGrid w:val="0"/>
              <w:jc w:val="center"/>
              <w:rPr>
                <w:color w:val="auto"/>
                <w:kern w:val="0"/>
                <w:sz w:val="24"/>
                <w:highlight w:val="none"/>
              </w:rPr>
            </w:pPr>
            <w:r>
              <w:rPr>
                <w:color w:val="auto"/>
                <w:kern w:val="0"/>
                <w:sz w:val="24"/>
                <w:highlight w:val="none"/>
              </w:rPr>
              <w:t>其他符合性</w:t>
            </w:r>
          </w:p>
          <w:p>
            <w:pPr>
              <w:autoSpaceDE w:val="0"/>
              <w:autoSpaceDN w:val="0"/>
              <w:adjustRightInd w:val="0"/>
              <w:snapToGrid w:val="0"/>
              <w:jc w:val="center"/>
              <w:rPr>
                <w:color w:val="auto"/>
                <w:kern w:val="0"/>
                <w:sz w:val="24"/>
                <w:highlight w:val="none"/>
              </w:rPr>
            </w:pPr>
            <w:r>
              <w:rPr>
                <w:color w:val="auto"/>
                <w:kern w:val="0"/>
                <w:sz w:val="24"/>
                <w:highlight w:val="none"/>
              </w:rPr>
              <w:t>分析</w:t>
            </w:r>
          </w:p>
        </w:tc>
        <w:tc>
          <w:tcPr>
            <w:tcW w:w="7192" w:type="dxa"/>
            <w:gridSpan w:val="3"/>
            <w:vAlign w:val="center"/>
          </w:tcPr>
          <w:p>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color w:val="auto"/>
                <w:sz w:val="24"/>
                <w:highlight w:val="none"/>
              </w:rPr>
            </w:pPr>
            <w:r>
              <w:rPr>
                <w:b/>
                <w:bCs/>
                <w:color w:val="auto"/>
                <w:sz w:val="24"/>
                <w:highlight w:val="none"/>
              </w:rPr>
              <w:t>1</w:t>
            </w:r>
            <w:r>
              <w:rPr>
                <w:rFonts w:hint="eastAsia"/>
                <w:b/>
                <w:bCs/>
                <w:color w:val="auto"/>
                <w:sz w:val="24"/>
                <w:highlight w:val="none"/>
              </w:rPr>
              <w:t>.</w:t>
            </w:r>
            <w:r>
              <w:rPr>
                <w:b/>
                <w:bCs/>
                <w:color w:val="auto"/>
                <w:sz w:val="24"/>
                <w:highlight w:val="none"/>
              </w:rPr>
              <w:t>产业政策的符合性</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color w:val="auto"/>
                <w:sz w:val="24"/>
                <w:highlight w:val="none"/>
                <w:lang w:val="zh-CN"/>
              </w:rPr>
            </w:pPr>
            <w:r>
              <w:rPr>
                <w:color w:val="auto"/>
                <w:sz w:val="24"/>
                <w:highlight w:val="none"/>
                <w:lang w:val="zh-CN"/>
              </w:rPr>
              <w:t>根据《产业结构调整指导目录（</w:t>
            </w:r>
            <w:r>
              <w:rPr>
                <w:rFonts w:hint="eastAsia"/>
                <w:color w:val="auto"/>
                <w:sz w:val="24"/>
                <w:highlight w:val="none"/>
                <w:lang w:val="en-US" w:eastAsia="zh-CN"/>
              </w:rPr>
              <w:t>2024</w:t>
            </w:r>
            <w:r>
              <w:rPr>
                <w:color w:val="auto"/>
                <w:sz w:val="24"/>
                <w:highlight w:val="none"/>
                <w:lang w:val="zh-CN"/>
              </w:rPr>
              <w:t>年本）》，本项目未列入</w:t>
            </w:r>
            <w:r>
              <w:rPr>
                <w:rFonts w:hint="eastAsia"/>
                <w:color w:val="auto"/>
                <w:sz w:val="24"/>
                <w:highlight w:val="none"/>
                <w:lang w:val="zh-CN"/>
              </w:rPr>
              <w:t>鼓励类、</w:t>
            </w:r>
            <w:r>
              <w:rPr>
                <w:color w:val="auto"/>
                <w:sz w:val="24"/>
                <w:highlight w:val="none"/>
                <w:lang w:val="zh-CN"/>
              </w:rPr>
              <w:t>限制类和淘汰类目录，属于允许类项目，符合国家产业政策的要求。</w:t>
            </w:r>
          </w:p>
          <w:p>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color w:val="auto"/>
                <w:sz w:val="24"/>
                <w:highlight w:val="none"/>
              </w:rPr>
            </w:pPr>
            <w:r>
              <w:rPr>
                <w:b/>
                <w:bCs/>
                <w:color w:val="auto"/>
                <w:sz w:val="24"/>
                <w:highlight w:val="none"/>
              </w:rPr>
              <w:t>2</w:t>
            </w:r>
            <w:r>
              <w:rPr>
                <w:rFonts w:hint="eastAsia"/>
                <w:b/>
                <w:bCs/>
                <w:color w:val="auto"/>
                <w:sz w:val="24"/>
                <w:highlight w:val="none"/>
              </w:rPr>
              <w:t>.</w:t>
            </w:r>
            <w:r>
              <w:rPr>
                <w:b/>
                <w:bCs/>
                <w:color w:val="auto"/>
                <w:sz w:val="24"/>
                <w:highlight w:val="none"/>
              </w:rPr>
              <w:t>选址合理性分析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color w:val="auto"/>
                <w:kern w:val="0"/>
                <w:sz w:val="24"/>
                <w:highlight w:val="none"/>
              </w:rPr>
            </w:pPr>
            <w:r>
              <w:rPr>
                <w:color w:val="auto"/>
                <w:kern w:val="0"/>
                <w:sz w:val="24"/>
                <w:highlight w:val="none"/>
              </w:rPr>
              <w:t>项目位于</w:t>
            </w:r>
            <w:r>
              <w:rPr>
                <w:rFonts w:ascii="Times New Roman" w:hAnsi="Times New Roman" w:cs="Times New Roman"/>
                <w:color w:val="auto"/>
                <w:sz w:val="24"/>
                <w:highlight w:val="none"/>
                <w:lang w:val="en-US" w:eastAsia="zh-CN"/>
              </w:rPr>
              <w:t>内蒙古自治区锡林郭勒盟</w:t>
            </w:r>
            <w:r>
              <w:rPr>
                <w:rFonts w:hint="eastAsia" w:ascii="Times New Roman" w:hAnsi="Times New Roman" w:cs="Times New Roman"/>
                <w:color w:val="auto"/>
                <w:sz w:val="24"/>
                <w:highlight w:val="none"/>
                <w:lang w:val="en-US" w:eastAsia="zh-CN"/>
              </w:rPr>
              <w:t>锡林浩特市贝子庙街359号</w:t>
            </w:r>
            <w:r>
              <w:rPr>
                <w:color w:val="auto"/>
                <w:kern w:val="0"/>
                <w:sz w:val="24"/>
                <w:highlight w:val="none"/>
              </w:rPr>
              <w:t>，项目</w:t>
            </w:r>
            <w:r>
              <w:rPr>
                <w:rFonts w:hint="eastAsia"/>
                <w:color w:val="auto"/>
                <w:kern w:val="0"/>
                <w:sz w:val="24"/>
                <w:highlight w:val="none"/>
              </w:rPr>
              <w:t>周边</w:t>
            </w:r>
            <w:r>
              <w:rPr>
                <w:color w:val="auto"/>
                <w:kern w:val="0"/>
                <w:sz w:val="24"/>
                <w:highlight w:val="none"/>
              </w:rPr>
              <w:t>无重点保护野生动植物分布，也不涉及风景名胜区、自然保护区、基本农田、文物保护单位、饮用水水源地等敏感区域。满足《医疗废物处理处置污染控制标准》</w:t>
            </w:r>
            <w:r>
              <w:rPr>
                <w:rFonts w:hint="eastAsia"/>
                <w:color w:val="auto"/>
                <w:kern w:val="0"/>
                <w:sz w:val="24"/>
                <w:highlight w:val="none"/>
              </w:rPr>
              <w:t>（GB39707—2020）</w:t>
            </w:r>
            <w:r>
              <w:rPr>
                <w:color w:val="auto"/>
                <w:kern w:val="0"/>
                <w:sz w:val="24"/>
                <w:highlight w:val="none"/>
              </w:rPr>
              <w:t>的选址要求。项目所在地交通便利，水、电、通讯等各项城市基础配套完善，能够满足本项目的需求，项目经过采取措施后，</w:t>
            </w:r>
            <w:r>
              <w:rPr>
                <w:rFonts w:hint="eastAsia"/>
                <w:color w:val="auto"/>
                <w:kern w:val="0"/>
                <w:sz w:val="24"/>
                <w:highlight w:val="none"/>
              </w:rPr>
              <w:t>废水</w:t>
            </w:r>
            <w:r>
              <w:rPr>
                <w:color w:val="auto"/>
                <w:kern w:val="0"/>
                <w:sz w:val="24"/>
                <w:highlight w:val="none"/>
              </w:rPr>
              <w:t>、噪声、固体废物满足排放标准要求。因此，从环保角度分析选址合理可行。</w:t>
            </w:r>
          </w:p>
          <w:p>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color w:val="auto"/>
                <w:sz w:val="24"/>
                <w:highlight w:val="none"/>
              </w:rPr>
            </w:pPr>
            <w:r>
              <w:rPr>
                <w:rFonts w:hint="eastAsia"/>
                <w:b/>
                <w:bCs/>
                <w:color w:val="auto"/>
                <w:sz w:val="24"/>
                <w:highlight w:val="none"/>
                <w:lang w:val="en-US" w:eastAsia="zh-CN"/>
              </w:rPr>
              <w:t>3</w:t>
            </w:r>
            <w:r>
              <w:rPr>
                <w:rFonts w:hint="eastAsia"/>
                <w:b/>
                <w:bCs/>
                <w:color w:val="auto"/>
                <w:sz w:val="24"/>
                <w:highlight w:val="none"/>
              </w:rPr>
              <w:t>.与相关政策的符合性分析</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color w:val="auto"/>
                <w:sz w:val="24"/>
                <w:szCs w:val="32"/>
              </w:rPr>
            </w:pPr>
            <w:r>
              <w:rPr>
                <w:color w:val="auto"/>
                <w:sz w:val="24"/>
                <w:szCs w:val="32"/>
              </w:rPr>
              <w:t>本项目</w:t>
            </w:r>
            <w:r>
              <w:rPr>
                <w:rFonts w:hint="eastAsia"/>
                <w:color w:val="auto"/>
                <w:sz w:val="24"/>
                <w:szCs w:val="32"/>
              </w:rPr>
              <w:t>与</w:t>
            </w:r>
            <w:r>
              <w:rPr>
                <w:color w:val="auto"/>
                <w:sz w:val="24"/>
                <w:szCs w:val="32"/>
              </w:rPr>
              <w:t>相关政策符合性分析内容见表1-1。</w:t>
            </w:r>
          </w:p>
          <w:p>
            <w:pPr>
              <w:keepNext w:val="0"/>
              <w:keepLines w:val="0"/>
              <w:pageBreakBefore w:val="0"/>
              <w:widowControl w:val="0"/>
              <w:kinsoku/>
              <w:wordWrap/>
              <w:overflowPunct/>
              <w:topLinePunct w:val="0"/>
              <w:bidi w:val="0"/>
              <w:adjustRightInd w:val="0"/>
              <w:snapToGrid w:val="0"/>
              <w:spacing w:line="240" w:lineRule="auto"/>
              <w:jc w:val="center"/>
              <w:textAlignment w:val="auto"/>
              <w:rPr>
                <w:b/>
                <w:bCs/>
                <w:color w:val="auto"/>
                <w:sz w:val="24"/>
                <w:szCs w:val="32"/>
              </w:rPr>
            </w:pPr>
            <w:r>
              <w:rPr>
                <w:b/>
                <w:bCs/>
                <w:color w:val="auto"/>
                <w:sz w:val="24"/>
                <w:szCs w:val="32"/>
              </w:rPr>
              <w:t>表1-1  项目与相关环保政策的符合性分析</w:t>
            </w:r>
          </w:p>
          <w:tbl>
            <w:tblPr>
              <w:tblStyle w:val="30"/>
              <w:tblW w:w="693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2824"/>
              <w:gridCol w:w="2022"/>
              <w:gridCol w:w="10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74" w:type="dxa"/>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文件名称</w:t>
                  </w:r>
                </w:p>
              </w:tc>
              <w:tc>
                <w:tcPr>
                  <w:tcW w:w="2824" w:type="dxa"/>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内容</w:t>
                  </w:r>
                </w:p>
              </w:tc>
              <w:tc>
                <w:tcPr>
                  <w:tcW w:w="2022" w:type="dxa"/>
                  <w:noWrap w:val="0"/>
                  <w:vAlign w:val="center"/>
                </w:tcPr>
                <w:p>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1017" w:type="dxa"/>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7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国务院《全国危险废物和医疗废物处置设施建设规划》</w:t>
                  </w:r>
                </w:p>
              </w:tc>
              <w:tc>
                <w:tcPr>
                  <w:tcW w:w="282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五章，医疗废物处置具有极强的公益性和紧迫性，各级人民政府应当筹集资金组织建设危险废物和医疗废物集中处置设施。各级人民政府，特别是城市人民政府要以对人民高度负责的精神，结合公共卫生体系建设，加强危险废物、医疗废物管理和处置，加大对危险废物和医疗废物处置设施建设的投入。</w:t>
                  </w:r>
                </w:p>
              </w:tc>
              <w:tc>
                <w:tcPr>
                  <w:tcW w:w="2022"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highlight w:val="none"/>
                    </w:rPr>
                    <w:t>新建</w:t>
                  </w:r>
                  <w:r>
                    <w:rPr>
                      <w:rFonts w:hint="default" w:ascii="Times New Roman" w:hAnsi="Times New Roman" w:eastAsia="宋体" w:cs="Times New Roman"/>
                      <w:color w:val="auto"/>
                      <w:sz w:val="21"/>
                      <w:szCs w:val="21"/>
                    </w:rPr>
                    <w:t>医疗废物暂存间，属于</w:t>
                  </w:r>
                  <w:r>
                    <w:rPr>
                      <w:rFonts w:hint="default" w:ascii="Times New Roman" w:hAnsi="Times New Roman" w:eastAsia="宋体" w:cs="Times New Roman"/>
                      <w:color w:val="auto"/>
                      <w:sz w:val="21"/>
                      <w:szCs w:val="21"/>
                      <w:lang w:eastAsia="zh-CN"/>
                    </w:rPr>
                    <w:t>公共卫生体系建设项目</w:t>
                  </w:r>
                  <w:r>
                    <w:rPr>
                      <w:rFonts w:hint="default" w:ascii="Times New Roman" w:hAnsi="Times New Roman" w:eastAsia="宋体" w:cs="Times New Roman"/>
                      <w:color w:val="auto"/>
                      <w:sz w:val="21"/>
                      <w:szCs w:val="21"/>
                    </w:rPr>
                    <w:t>。</w:t>
                  </w:r>
                </w:p>
              </w:tc>
              <w:tc>
                <w:tcPr>
                  <w:tcW w:w="1017"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74" w:type="dxa"/>
                  <w:vMerge w:val="restart"/>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《医疗废物集中处置设施能力建设实施方案》</w:t>
                  </w:r>
                </w:p>
              </w:tc>
              <w:tc>
                <w:tcPr>
                  <w:tcW w:w="282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健全医疗废物收集转运处置体系，推动现有处置能力扩能提质，补齐处置能力缺口。每个县（市）都建成医疗废物收集转运处置体系，实现县级以上医疗废物全收集、全处理，并逐步覆盖到建制镇，争取农村地区医疗废物得到规范处置。</w:t>
                  </w:r>
                </w:p>
              </w:tc>
              <w:tc>
                <w:tcPr>
                  <w:tcW w:w="2022" w:type="dxa"/>
                  <w:vMerge w:val="restart"/>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本项目主要服务锡林浩特市宝力根街道办事处社区卫生服务中心</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暂存锡林浩特市宝力根街道办事处社区卫生服务中心</w:t>
                  </w:r>
                  <w:r>
                    <w:rPr>
                      <w:rFonts w:hint="default" w:ascii="Times New Roman" w:hAnsi="Times New Roman" w:eastAsia="宋体" w:cs="Times New Roman"/>
                      <w:color w:val="auto"/>
                      <w:sz w:val="21"/>
                      <w:szCs w:val="21"/>
                    </w:rPr>
                    <w:t>产生的医疗废物，</w:t>
                  </w:r>
                  <w:r>
                    <w:rPr>
                      <w:rFonts w:hint="default" w:ascii="Times New Roman" w:hAnsi="Times New Roman" w:eastAsia="宋体" w:cs="Times New Roman"/>
                      <w:color w:val="auto"/>
                      <w:sz w:val="21"/>
                      <w:szCs w:val="21"/>
                      <w:highlight w:val="none"/>
                    </w:rPr>
                    <w:t>完善了市、县（区）、镇医疗废物收集转运处置体系。</w:t>
                  </w:r>
                </w:p>
              </w:tc>
              <w:tc>
                <w:tcPr>
                  <w:tcW w:w="1017"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74" w:type="dxa"/>
                  <w:vMerge w:val="continue"/>
                  <w:noWrap w:val="0"/>
                  <w:vAlign w:val="center"/>
                </w:tcPr>
                <w:p>
                  <w:pPr>
                    <w:rPr>
                      <w:rFonts w:hint="default" w:ascii="Times New Roman" w:hAnsi="Times New Roman" w:eastAsia="宋体" w:cs="Times New Roman"/>
                      <w:color w:val="auto"/>
                      <w:sz w:val="21"/>
                      <w:szCs w:val="21"/>
                    </w:rPr>
                  </w:pPr>
                </w:p>
              </w:tc>
              <w:tc>
                <w:tcPr>
                  <w:tcW w:w="282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健全医疗废物收集转运处置体系。加快补齐县级医疗废物收集转运短板。依托跨区域医疗废物集中处置设施的县（区），要加快健全医疗废物收集转运处置体系。收集处置能力不足的偏远区县要新建收集处置设施。</w:t>
                  </w:r>
                </w:p>
              </w:tc>
              <w:tc>
                <w:tcPr>
                  <w:tcW w:w="2022" w:type="dxa"/>
                  <w:vMerge w:val="continue"/>
                  <w:noWrap w:val="0"/>
                  <w:vAlign w:val="center"/>
                </w:tcPr>
                <w:p>
                  <w:pPr>
                    <w:rPr>
                      <w:rFonts w:hint="default" w:ascii="Times New Roman" w:hAnsi="Times New Roman" w:eastAsia="宋体" w:cs="Times New Roman"/>
                      <w:color w:val="auto"/>
                      <w:sz w:val="21"/>
                      <w:szCs w:val="21"/>
                    </w:rPr>
                  </w:pPr>
                </w:p>
              </w:tc>
              <w:tc>
                <w:tcPr>
                  <w:tcW w:w="1017"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07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《医疗废物管理条例》</w:t>
                  </w:r>
                </w:p>
              </w:tc>
              <w:tc>
                <w:tcPr>
                  <w:tcW w:w="2824"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疗卫生机构应当及时收集本单位产生的医疗废物，并按照类别分置于防渗漏、防锐器穿透的专用包装物或者密闭的容器内医疗废物专用包装物、容器，应当有明显的警示标识和警示说明。医疗废物专用包装物、容器的标准和警示标识的规定，由国务院卫生行政主管部门和环境保护行政主管部门共同制定。</w:t>
                  </w:r>
                </w:p>
              </w:tc>
              <w:tc>
                <w:tcPr>
                  <w:tcW w:w="2022" w:type="dxa"/>
                  <w:noWrap w:val="0"/>
                  <w:vAlign w:val="center"/>
                </w:tcPr>
                <w:p>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本项目主要服务锡林浩特市宝力根街道办事处社区卫生服务中心</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暂存锡林浩特市宝力根街道办事处社区卫生服务中心</w:t>
                  </w:r>
                  <w:r>
                    <w:rPr>
                      <w:rFonts w:hint="default" w:ascii="Times New Roman" w:hAnsi="Times New Roman" w:eastAsia="宋体" w:cs="Times New Roman"/>
                      <w:color w:val="auto"/>
                      <w:sz w:val="21"/>
                      <w:szCs w:val="21"/>
                    </w:rPr>
                    <w:t>产生的医疗废物，</w:t>
                  </w:r>
                  <w:r>
                    <w:rPr>
                      <w:rFonts w:hint="default" w:ascii="Times New Roman" w:hAnsi="Times New Roman" w:eastAsia="宋体" w:cs="Times New Roman"/>
                      <w:color w:val="auto"/>
                      <w:sz w:val="21"/>
                      <w:szCs w:val="21"/>
                      <w:highlight w:val="none"/>
                    </w:rPr>
                    <w:t>医疗废物采用专用</w:t>
                  </w:r>
                  <w:r>
                    <w:rPr>
                      <w:rFonts w:hint="eastAsia" w:ascii="Times New Roman" w:hAnsi="Times New Roman" w:eastAsia="宋体" w:cs="Times New Roman"/>
                      <w:color w:val="auto"/>
                      <w:sz w:val="21"/>
                      <w:szCs w:val="21"/>
                      <w:highlight w:val="none"/>
                      <w:lang w:val="en-US" w:eastAsia="zh-CN"/>
                    </w:rPr>
                    <w:t>医疗废物收集箱</w:t>
                  </w:r>
                  <w:r>
                    <w:rPr>
                      <w:rFonts w:hint="default" w:ascii="Times New Roman" w:hAnsi="Times New Roman" w:eastAsia="宋体" w:cs="Times New Roman"/>
                      <w:color w:val="auto"/>
                      <w:sz w:val="21"/>
                      <w:szCs w:val="21"/>
                      <w:highlight w:val="none"/>
                    </w:rPr>
                    <w:t>收集，</w:t>
                  </w:r>
                  <w:r>
                    <w:rPr>
                      <w:rFonts w:hint="eastAsia" w:ascii="Times New Roman" w:hAnsi="Times New Roman" w:eastAsia="宋体" w:cs="Times New Roman"/>
                      <w:color w:val="auto"/>
                      <w:sz w:val="21"/>
                      <w:szCs w:val="21"/>
                      <w:highlight w:val="none"/>
                      <w:lang w:val="en-US" w:eastAsia="zh-CN"/>
                    </w:rPr>
                    <w:t>收集箱</w:t>
                  </w:r>
                  <w:r>
                    <w:rPr>
                      <w:rFonts w:hint="default" w:ascii="Times New Roman" w:hAnsi="Times New Roman" w:eastAsia="宋体" w:cs="Times New Roman"/>
                      <w:color w:val="auto"/>
                      <w:sz w:val="21"/>
                      <w:szCs w:val="21"/>
                      <w:highlight w:val="none"/>
                    </w:rPr>
                    <w:t>上有明显警示标示，警示标示按照国家规定制定。</w:t>
                  </w:r>
                </w:p>
              </w:tc>
              <w:tc>
                <w:tcPr>
                  <w:tcW w:w="1017"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pPr>
              <w:widowControl/>
              <w:snapToGrid w:val="0"/>
              <w:spacing w:line="360" w:lineRule="auto"/>
              <w:ind w:firstLine="482" w:firstLineChars="200"/>
              <w:rPr>
                <w:rFonts w:hint="default"/>
                <w:b/>
                <w:bCs/>
                <w:color w:val="auto"/>
                <w:sz w:val="24"/>
                <w:highlight w:val="none"/>
                <w:lang w:val="en-US" w:eastAsia="zh-CN"/>
              </w:rPr>
            </w:pPr>
            <w:r>
              <w:rPr>
                <w:rFonts w:hint="eastAsia"/>
                <w:b/>
                <w:bCs/>
                <w:color w:val="auto"/>
                <w:sz w:val="24"/>
                <w:highlight w:val="none"/>
                <w:lang w:val="en-US" w:eastAsia="zh-CN"/>
              </w:rPr>
              <w:t>4.《“十四五”优质高效医疗卫生服务体系建设实施方案》符合性分析</w:t>
            </w:r>
          </w:p>
          <w:p>
            <w:pPr>
              <w:pStyle w:val="68"/>
              <w:snapToGrid w:val="0"/>
              <w:spacing w:line="360" w:lineRule="auto"/>
              <w:ind w:firstLine="480" w:firstLineChars="200"/>
              <w:rPr>
                <w:rFonts w:hint="eastAsia"/>
                <w:color w:val="auto"/>
                <w:kern w:val="0"/>
                <w:highlight w:val="none"/>
                <w:lang w:val="en-US" w:eastAsia="zh-CN"/>
              </w:rPr>
            </w:pPr>
            <w:r>
              <w:rPr>
                <w:rFonts w:hint="eastAsia"/>
                <w:color w:val="auto"/>
                <w:kern w:val="0"/>
                <w:highlight w:val="none"/>
                <w:lang w:val="en-US" w:eastAsia="zh-CN"/>
              </w:rPr>
              <w:t>根据内蒙古自治区发展和改革委员会卫生健康委员会关于转发《</w:t>
            </w:r>
            <w:r>
              <w:rPr>
                <w:rFonts w:hint="default"/>
                <w:color w:val="auto"/>
                <w:kern w:val="0"/>
                <w:highlight w:val="none"/>
                <w:lang w:val="en-US" w:eastAsia="zh-CN"/>
              </w:rPr>
              <w:t>“</w:t>
            </w:r>
            <w:r>
              <w:rPr>
                <w:rFonts w:hint="eastAsia"/>
                <w:color w:val="auto"/>
                <w:kern w:val="0"/>
                <w:highlight w:val="none"/>
                <w:lang w:val="en-US" w:eastAsia="zh-CN"/>
              </w:rPr>
              <w:t>十四五</w:t>
            </w:r>
            <w:r>
              <w:rPr>
                <w:rFonts w:hint="default"/>
                <w:color w:val="auto"/>
                <w:kern w:val="0"/>
                <w:highlight w:val="none"/>
                <w:lang w:val="en-US" w:eastAsia="zh-CN"/>
              </w:rPr>
              <w:t>”</w:t>
            </w:r>
            <w:r>
              <w:rPr>
                <w:rFonts w:hint="eastAsia"/>
                <w:color w:val="auto"/>
                <w:kern w:val="0"/>
                <w:highlight w:val="none"/>
                <w:lang w:val="en-US" w:eastAsia="zh-CN"/>
              </w:rPr>
              <w:t>优质高效医疗卫生服务体系建设实施方案》的通知，“二、公共卫生防控救治能力提升工程：中央预算内投资重点支持疾病预防控制体系、国家重大传染病防治基地和国家紧急医学救援基地建设，推动地方加强本地疾病预防控制机构能力、医疗机构公共卫生能力、基层公共卫生体系和卫生监督体系建设，健全以疾控机构和各类专科疾病防治机构为骨干、综合性医疗机构为依托、基层医疗卫生机构为网底、防治结合的强大公共卫生体系。”</w:t>
            </w:r>
          </w:p>
          <w:p>
            <w:pPr>
              <w:pStyle w:val="68"/>
              <w:snapToGrid w:val="0"/>
              <w:spacing w:line="360" w:lineRule="auto"/>
              <w:ind w:firstLine="480" w:firstLineChars="200"/>
              <w:rPr>
                <w:color w:val="auto"/>
                <w:kern w:val="0"/>
                <w:highlight w:val="none"/>
              </w:rPr>
            </w:pPr>
            <w:r>
              <w:rPr>
                <w:rFonts w:hint="eastAsia"/>
                <w:color w:val="auto"/>
                <w:kern w:val="0"/>
                <w:highlight w:val="none"/>
                <w:lang w:val="en-US" w:eastAsia="zh-CN"/>
              </w:rPr>
              <w:t>本项目属于</w:t>
            </w:r>
            <w:r>
              <w:rPr>
                <w:rFonts w:hint="eastAsia"/>
                <w:color w:val="auto"/>
                <w:sz w:val="24"/>
                <w:highlight w:val="none"/>
              </w:rPr>
              <w:t>社区卫生服务中心</w:t>
            </w:r>
            <w:r>
              <w:rPr>
                <w:rFonts w:hint="eastAsia"/>
                <w:color w:val="auto"/>
                <w:kern w:val="0"/>
                <w:highlight w:val="none"/>
                <w:lang w:val="en-US" w:eastAsia="zh-CN"/>
              </w:rPr>
              <w:t>的</w:t>
            </w:r>
            <w:r>
              <w:rPr>
                <w:rFonts w:hint="eastAsia" w:ascii="Times New Roman" w:hAnsi="Times New Roman" w:cs="Times New Roman"/>
                <w:b w:val="0"/>
                <w:bCs/>
                <w:color w:val="auto"/>
                <w:sz w:val="24"/>
                <w:szCs w:val="24"/>
                <w:lang w:val="en-US" w:eastAsia="zh-CN"/>
              </w:rPr>
              <w:t>配套设施的建设</w:t>
            </w:r>
            <w:r>
              <w:rPr>
                <w:rFonts w:hint="eastAsia" w:cs="Times New Roman"/>
                <w:b w:val="0"/>
                <w:bCs/>
                <w:color w:val="auto"/>
                <w:sz w:val="24"/>
                <w:szCs w:val="24"/>
                <w:lang w:val="en-US" w:eastAsia="zh-CN"/>
              </w:rPr>
              <w:t>项目</w:t>
            </w:r>
            <w:r>
              <w:rPr>
                <w:rFonts w:hint="eastAsia"/>
                <w:color w:val="auto"/>
                <w:kern w:val="0"/>
                <w:highlight w:val="none"/>
                <w:lang w:val="en-US" w:eastAsia="zh-CN"/>
              </w:rPr>
              <w:t>，属于基层医疗卫生机构</w:t>
            </w:r>
            <w:r>
              <w:rPr>
                <w:rFonts w:hint="eastAsia" w:ascii="Times New Roman" w:hAnsi="Times New Roman" w:cs="Times New Roman"/>
                <w:b w:val="0"/>
                <w:bCs/>
                <w:color w:val="auto"/>
                <w:sz w:val="24"/>
                <w:szCs w:val="24"/>
                <w:lang w:val="en-US" w:eastAsia="zh-CN"/>
              </w:rPr>
              <w:t>配套设施的建设</w:t>
            </w:r>
            <w:r>
              <w:rPr>
                <w:rFonts w:hint="eastAsia" w:cs="Times New Roman"/>
                <w:b w:val="0"/>
                <w:bCs/>
                <w:color w:val="auto"/>
                <w:sz w:val="24"/>
                <w:szCs w:val="24"/>
                <w:lang w:val="en-US" w:eastAsia="zh-CN"/>
              </w:rPr>
              <w:t>项目</w:t>
            </w:r>
            <w:r>
              <w:rPr>
                <w:rFonts w:hint="eastAsia"/>
                <w:color w:val="auto"/>
                <w:kern w:val="0"/>
                <w:highlight w:val="none"/>
                <w:lang w:val="en-US" w:eastAsia="zh-CN"/>
              </w:rPr>
              <w:t>。因此，本项目符合《“十四五”优质高效医疗卫生服务体系建设实施方案》。</w:t>
            </w:r>
          </w:p>
          <w:p>
            <w:pPr>
              <w:pStyle w:val="68"/>
              <w:snapToGrid w:val="0"/>
              <w:spacing w:line="360" w:lineRule="auto"/>
              <w:ind w:firstLine="482" w:firstLineChars="200"/>
              <w:rPr>
                <w:rFonts w:hint="default" w:ascii="Times New Roman" w:hAnsi="Times New Roman" w:eastAsia="宋体" w:cs="Times New Roman"/>
                <w:b/>
                <w:bCs/>
                <w:color w:val="auto"/>
                <w:kern w:val="0"/>
                <w:highlight w:val="none"/>
                <w:lang w:val="en-US" w:eastAsia="zh-CN"/>
              </w:rPr>
            </w:pPr>
            <w:r>
              <w:rPr>
                <w:rFonts w:hint="eastAsia" w:eastAsia="宋体" w:cs="Times New Roman"/>
                <w:b/>
                <w:bCs/>
                <w:color w:val="auto"/>
                <w:kern w:val="0"/>
                <w:highlight w:val="none"/>
                <w:lang w:val="en-US" w:eastAsia="zh-CN"/>
              </w:rPr>
              <w:t>5</w:t>
            </w:r>
            <w:r>
              <w:rPr>
                <w:rFonts w:hint="eastAsia" w:ascii="Times New Roman" w:hAnsi="Times New Roman" w:eastAsia="宋体" w:cs="Times New Roman"/>
                <w:b/>
                <w:bCs/>
                <w:color w:val="auto"/>
                <w:kern w:val="0"/>
                <w:highlight w:val="none"/>
                <w:lang w:val="en-US" w:eastAsia="zh-CN"/>
              </w:rPr>
              <w:t>.《锡林浩特市城市总体规划（2018-2035年）》符合性分析</w:t>
            </w:r>
          </w:p>
          <w:p>
            <w:pPr>
              <w:widowControl/>
              <w:snapToGrid w:val="0"/>
              <w:spacing w:line="360" w:lineRule="auto"/>
              <w:ind w:firstLine="480" w:firstLineChars="200"/>
              <w:rPr>
                <w:rFonts w:hint="default"/>
                <w:b/>
                <w:bCs/>
                <w:color w:val="auto"/>
                <w:sz w:val="24"/>
                <w:highlight w:val="none"/>
                <w:lang w:val="en-US" w:eastAsia="zh-CN"/>
              </w:rPr>
            </w:pPr>
            <w:r>
              <w:rPr>
                <w:rFonts w:hint="eastAsia" w:ascii="Times New Roman" w:hAnsi="Times New Roman" w:cs="Times New Roman"/>
                <w:b w:val="0"/>
                <w:bCs/>
                <w:color w:val="auto"/>
                <w:sz w:val="24"/>
                <w:szCs w:val="24"/>
                <w:lang w:val="en-US" w:eastAsia="zh-CN"/>
              </w:rPr>
              <w:t>根据《锡林浩特市城市总体规划（2018-2035年）》：第三章市域空间格局与管控—第四节 市域公共服务设施规划—第28条  完善市域医疗机构层级体系，加强配套设施的建设：规划每个苏木镇场设置一所卫生院，并完善其设备配套，以初级卫生保健为主要目标，从事包括计划免疫、妇幼保健、健康教育、常见病、多发病的防治工作。</w:t>
            </w:r>
          </w:p>
          <w:p>
            <w:pPr>
              <w:widowControl/>
              <w:snapToGrid w:val="0"/>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本项目属于社区卫生服务中心的配套设施的建设项目，属于基层医疗卫生机构配套设施的建设项目。因此，本项目符合《锡林浩特市城市总体规划（2018-2035年）》。</w:t>
            </w:r>
          </w:p>
          <w:p>
            <w:pPr>
              <w:pStyle w:val="38"/>
              <w:rPr>
                <w:rFonts w:hint="default" w:eastAsia="宋体"/>
                <w:b/>
                <w:bCs/>
                <w:color w:val="auto"/>
                <w:sz w:val="24"/>
                <w:highlight w:val="none"/>
                <w:lang w:val="en-US" w:eastAsia="zh-CN"/>
              </w:rPr>
            </w:pPr>
            <w:r>
              <w:rPr>
                <w:rFonts w:hint="eastAsia"/>
                <w:b/>
                <w:bCs/>
                <w:color w:val="auto"/>
                <w:sz w:val="24"/>
                <w:highlight w:val="none"/>
                <w:lang w:val="en-US" w:eastAsia="zh-CN"/>
              </w:rPr>
              <w:t>6.与《</w:t>
            </w:r>
            <w:r>
              <w:rPr>
                <w:rFonts w:hint="eastAsia"/>
                <w:b/>
                <w:bCs/>
                <w:color w:val="auto"/>
                <w:sz w:val="24"/>
                <w:highlight w:val="none"/>
                <w:lang w:val="en-US" w:eastAsia="zh-CN"/>
              </w:rPr>
              <w:fldChar w:fldCharType="begin"/>
            </w:r>
            <w:r>
              <w:rPr>
                <w:rFonts w:hint="eastAsia"/>
                <w:b/>
                <w:bCs/>
                <w:color w:val="auto"/>
                <w:sz w:val="24"/>
                <w:highlight w:val="none"/>
                <w:lang w:val="en-US" w:eastAsia="zh-CN"/>
              </w:rPr>
              <w:instrText xml:space="preserve"> HYPERLINK "http://www.xlgl.gov.cn/xmxxgk/xsbgt/xxgkml/202107/P020211115597899871111.pdf" \t "http://www.xlgl.gov.cn/xmxxgk/xsbgt/xxgkml/202107/_blank" </w:instrText>
            </w:r>
            <w:r>
              <w:rPr>
                <w:rFonts w:hint="eastAsia"/>
                <w:b/>
                <w:bCs/>
                <w:color w:val="auto"/>
                <w:sz w:val="24"/>
                <w:highlight w:val="none"/>
                <w:lang w:val="en-US" w:eastAsia="zh-CN"/>
              </w:rPr>
              <w:fldChar w:fldCharType="separate"/>
            </w:r>
            <w:r>
              <w:rPr>
                <w:rFonts w:hint="eastAsia"/>
                <w:b/>
                <w:bCs/>
                <w:color w:val="auto"/>
                <w:sz w:val="24"/>
                <w:highlight w:val="none"/>
                <w:lang w:val="en-US" w:eastAsia="zh-CN"/>
              </w:rPr>
              <w:t>锡林郭勒盟国民经济和社会发展第十四个五年规划和2035年远景目标纲要</w:t>
            </w:r>
            <w:r>
              <w:rPr>
                <w:rFonts w:hint="eastAsia"/>
                <w:b/>
                <w:bCs/>
                <w:color w:val="auto"/>
                <w:sz w:val="24"/>
                <w:highlight w:val="none"/>
                <w:lang w:val="en-US" w:eastAsia="zh-CN"/>
              </w:rPr>
              <w:fldChar w:fldCharType="end"/>
            </w:r>
            <w:r>
              <w:rPr>
                <w:rFonts w:hint="eastAsia"/>
                <w:b/>
                <w:bCs/>
                <w:color w:val="auto"/>
                <w:sz w:val="24"/>
                <w:highlight w:val="none"/>
                <w:lang w:val="en-US" w:eastAsia="zh-CN"/>
              </w:rPr>
              <w:t>》符合性分析</w:t>
            </w:r>
          </w:p>
          <w:p>
            <w:pPr>
              <w:pStyle w:val="38"/>
              <w:rPr>
                <w:rFonts w:hint="eastAsia"/>
                <w:color w:val="auto"/>
                <w:sz w:val="24"/>
                <w:highlight w:val="none"/>
                <w:lang w:val="en-US" w:eastAsia="zh-CN"/>
              </w:rPr>
            </w:pPr>
            <w:r>
              <w:rPr>
                <w:rFonts w:hint="eastAsia"/>
                <w:color w:val="auto"/>
                <w:sz w:val="24"/>
                <w:highlight w:val="none"/>
                <w:lang w:val="en-US" w:eastAsia="zh-CN"/>
              </w:rPr>
              <w:t>根据锡林郭勒盟行政公署2021年6月16日发布的《</w:t>
            </w:r>
            <w:r>
              <w:rPr>
                <w:rFonts w:hint="eastAsia"/>
                <w:color w:val="auto"/>
                <w:sz w:val="24"/>
                <w:highlight w:val="none"/>
                <w:lang w:val="en-US" w:eastAsia="zh-CN"/>
              </w:rPr>
              <w:fldChar w:fldCharType="begin"/>
            </w:r>
            <w:r>
              <w:rPr>
                <w:rFonts w:hint="eastAsia"/>
                <w:color w:val="auto"/>
                <w:sz w:val="24"/>
                <w:highlight w:val="none"/>
                <w:lang w:val="en-US" w:eastAsia="zh-CN"/>
              </w:rPr>
              <w:instrText xml:space="preserve"> HYPERLINK "http://www.xlgl.gov.cn/xmxxgk/xsbgt/xxgkml/202107/P020211115597899871111.pdf" \t "http://www.xlgl.gov.cn/xmxxgk/xsbgt/xxgkml/202107/_blank" </w:instrText>
            </w:r>
            <w:r>
              <w:rPr>
                <w:rFonts w:hint="eastAsia"/>
                <w:color w:val="auto"/>
                <w:sz w:val="24"/>
                <w:highlight w:val="none"/>
                <w:lang w:val="en-US" w:eastAsia="zh-CN"/>
              </w:rPr>
              <w:fldChar w:fldCharType="separate"/>
            </w:r>
            <w:r>
              <w:rPr>
                <w:rFonts w:hint="eastAsia"/>
                <w:color w:val="auto"/>
                <w:sz w:val="24"/>
                <w:highlight w:val="none"/>
                <w:lang w:val="en-US" w:eastAsia="zh-CN"/>
              </w:rPr>
              <w:t>锡林郭勒盟国民经济和社会发展第十四个五年规划和2035年远景目标纲要</w:t>
            </w:r>
            <w:r>
              <w:rPr>
                <w:rFonts w:hint="eastAsia"/>
                <w:color w:val="auto"/>
                <w:sz w:val="24"/>
                <w:highlight w:val="none"/>
                <w:lang w:val="en-US" w:eastAsia="zh-CN"/>
              </w:rPr>
              <w:fldChar w:fldCharType="end"/>
            </w:r>
            <w:r>
              <w:rPr>
                <w:rFonts w:hint="eastAsia"/>
                <w:color w:val="auto"/>
                <w:sz w:val="24"/>
                <w:highlight w:val="none"/>
                <w:lang w:val="en-US" w:eastAsia="zh-CN"/>
              </w:rPr>
              <w:t>》中</w:t>
            </w:r>
            <w:r>
              <w:rPr>
                <w:rFonts w:hint="eastAsia"/>
                <w:color w:val="auto"/>
                <w:sz w:val="24"/>
                <w:highlight w:val="none"/>
              </w:rPr>
              <w:t>第三</w:t>
            </w:r>
            <w:r>
              <w:rPr>
                <w:rFonts w:hint="eastAsia"/>
                <w:color w:val="auto"/>
                <w:sz w:val="24"/>
                <w:highlight w:val="none"/>
                <w:lang w:val="en-US" w:eastAsia="zh-CN"/>
              </w:rPr>
              <w:t>十二</w:t>
            </w:r>
            <w:r>
              <w:rPr>
                <w:rFonts w:hint="eastAsia"/>
                <w:color w:val="auto"/>
                <w:sz w:val="24"/>
                <w:highlight w:val="none"/>
              </w:rPr>
              <w:t>章</w:t>
            </w:r>
            <w:r>
              <w:rPr>
                <w:rFonts w:hint="eastAsia"/>
                <w:color w:val="auto"/>
                <w:sz w:val="24"/>
                <w:highlight w:val="none"/>
                <w:lang w:val="en-US" w:eastAsia="zh-CN"/>
              </w:rPr>
              <w:t>“</w:t>
            </w:r>
            <w:r>
              <w:rPr>
                <w:rFonts w:hint="eastAsia"/>
                <w:color w:val="auto"/>
                <w:sz w:val="24"/>
                <w:highlight w:val="none"/>
              </w:rPr>
              <w:t>推进健康锡林郭勒建设</w:t>
            </w:r>
            <w:r>
              <w:rPr>
                <w:rFonts w:hint="eastAsia"/>
                <w:color w:val="auto"/>
                <w:sz w:val="24"/>
                <w:highlight w:val="none"/>
                <w:lang w:eastAsia="zh-CN"/>
              </w:rPr>
              <w:t>，</w:t>
            </w:r>
            <w:r>
              <w:rPr>
                <w:rFonts w:hint="eastAsia"/>
                <w:color w:val="auto"/>
                <w:sz w:val="24"/>
                <w:highlight w:val="none"/>
              </w:rPr>
              <w:t>第</w:t>
            </w:r>
            <w:r>
              <w:rPr>
                <w:rFonts w:hint="eastAsia"/>
                <w:color w:val="auto"/>
                <w:sz w:val="24"/>
                <w:highlight w:val="none"/>
                <w:lang w:val="en-US" w:eastAsia="zh-CN"/>
              </w:rPr>
              <w:t>二</w:t>
            </w:r>
            <w:r>
              <w:rPr>
                <w:rFonts w:hint="eastAsia"/>
                <w:color w:val="auto"/>
                <w:sz w:val="24"/>
                <w:highlight w:val="none"/>
              </w:rPr>
              <w:t>节 促进医疗服务</w:t>
            </w:r>
            <w:r>
              <w:rPr>
                <w:rFonts w:hint="eastAsia"/>
                <w:color w:val="auto"/>
                <w:sz w:val="24"/>
                <w:highlight w:val="none"/>
                <w:lang w:val="en-US" w:eastAsia="zh-CN"/>
              </w:rPr>
              <w:t>高</w:t>
            </w:r>
            <w:r>
              <w:rPr>
                <w:rFonts w:hint="eastAsia"/>
                <w:color w:val="auto"/>
                <w:sz w:val="24"/>
                <w:highlight w:val="none"/>
              </w:rPr>
              <w:t>质量发展</w:t>
            </w:r>
            <w:r>
              <w:rPr>
                <w:rFonts w:hint="eastAsia"/>
                <w:color w:val="auto"/>
                <w:sz w:val="24"/>
                <w:highlight w:val="none"/>
                <w:lang w:val="en-US" w:eastAsia="zh-CN"/>
              </w:rPr>
              <w:t>”中</w:t>
            </w:r>
            <w:r>
              <w:rPr>
                <w:rFonts w:hint="eastAsia"/>
                <w:color w:val="auto"/>
                <w:sz w:val="24"/>
                <w:highlight w:val="none"/>
              </w:rPr>
              <w:t>第</w:t>
            </w:r>
            <w:r>
              <w:rPr>
                <w:rFonts w:hint="eastAsia"/>
                <w:color w:val="auto"/>
                <w:sz w:val="24"/>
                <w:highlight w:val="none"/>
                <w:lang w:val="en-US" w:eastAsia="zh-CN"/>
              </w:rPr>
              <w:t>二</w:t>
            </w:r>
            <w:r>
              <w:rPr>
                <w:rFonts w:hint="eastAsia"/>
                <w:color w:val="auto"/>
                <w:sz w:val="24"/>
                <w:highlight w:val="none"/>
              </w:rPr>
              <w:t>节</w:t>
            </w:r>
            <w:r>
              <w:rPr>
                <w:rFonts w:hint="eastAsia"/>
                <w:color w:val="auto"/>
                <w:sz w:val="24"/>
                <w:highlight w:val="none"/>
                <w:lang w:val="en-US" w:eastAsia="zh-CN"/>
              </w:rPr>
              <w:t>“</w:t>
            </w:r>
            <w:r>
              <w:rPr>
                <w:rFonts w:hint="eastAsia"/>
                <w:color w:val="auto"/>
                <w:sz w:val="24"/>
                <w:highlight w:val="none"/>
              </w:rPr>
              <w:t>促进医疗服务</w:t>
            </w:r>
            <w:r>
              <w:rPr>
                <w:rFonts w:hint="eastAsia"/>
                <w:color w:val="auto"/>
                <w:sz w:val="24"/>
                <w:highlight w:val="none"/>
                <w:lang w:val="en-US" w:eastAsia="zh-CN"/>
              </w:rPr>
              <w:t>高</w:t>
            </w:r>
            <w:r>
              <w:rPr>
                <w:rFonts w:hint="eastAsia"/>
                <w:color w:val="auto"/>
                <w:sz w:val="24"/>
                <w:highlight w:val="none"/>
              </w:rPr>
              <w:t>质量发展</w:t>
            </w:r>
            <w:r>
              <w:rPr>
                <w:rFonts w:hint="eastAsia"/>
                <w:color w:val="auto"/>
                <w:sz w:val="24"/>
                <w:highlight w:val="none"/>
                <w:lang w:val="en-US" w:eastAsia="zh-CN"/>
              </w:rPr>
              <w:t>”：</w:t>
            </w:r>
          </w:p>
          <w:p>
            <w:pPr>
              <w:pStyle w:val="38"/>
              <w:rPr>
                <w:rFonts w:hint="eastAsia"/>
                <w:color w:val="auto"/>
                <w:sz w:val="24"/>
                <w:highlight w:val="none"/>
                <w:lang w:val="en-US" w:eastAsia="zh-CN"/>
              </w:rPr>
            </w:pPr>
            <w:r>
              <w:rPr>
                <w:rFonts w:hint="eastAsia"/>
                <w:color w:val="auto"/>
                <w:sz w:val="24"/>
                <w:highlight w:val="none"/>
                <w:lang w:val="en-US" w:eastAsia="zh-CN"/>
              </w:rPr>
              <w:t>建立健全医疗卫生服务体系，加快信息化建设，推进“互联网+医疗”，实现盟内外医疗资源优势互补，持续提升医疗机构综合服务能力和管理水平。推进盟区域医疗中心建设、自治区级及盟级点专科建设，推动盟中心医院、多伦县人民医院建成三级甲等医院，加强各旗县市（区）医院能力建设，增强基层医疗服务能力，提高盟内就诊率；改善院前医疗急救服务，加强采供血服务能力建设，全面提升盟、旗两级紧急医学现场救援处置能力。鼓励社会资本举办医疗机构，形成多元办医格局。</w:t>
            </w:r>
          </w:p>
          <w:p>
            <w:pPr>
              <w:pStyle w:val="38"/>
              <w:rPr>
                <w:rFonts w:hint="eastAsia"/>
                <w:color w:val="auto"/>
                <w:sz w:val="24"/>
                <w:highlight w:val="none"/>
                <w:lang w:eastAsia="zh-CN"/>
              </w:rPr>
            </w:pPr>
            <w:r>
              <w:rPr>
                <w:rFonts w:hint="eastAsia"/>
                <w:color w:val="auto"/>
                <w:kern w:val="0"/>
                <w:highlight w:val="none"/>
                <w:lang w:val="en-US" w:eastAsia="zh-CN"/>
              </w:rPr>
              <w:t>本项目属于</w:t>
            </w:r>
            <w:r>
              <w:rPr>
                <w:rFonts w:hint="eastAsia"/>
                <w:color w:val="auto"/>
                <w:sz w:val="24"/>
                <w:highlight w:val="none"/>
              </w:rPr>
              <w:t>社区卫生服务中心</w:t>
            </w:r>
            <w:r>
              <w:rPr>
                <w:rFonts w:hint="eastAsia"/>
                <w:color w:val="auto"/>
                <w:kern w:val="0"/>
                <w:highlight w:val="none"/>
                <w:lang w:val="en-US" w:eastAsia="zh-CN"/>
              </w:rPr>
              <w:t>的</w:t>
            </w:r>
            <w:r>
              <w:rPr>
                <w:rFonts w:hint="eastAsia" w:ascii="Times New Roman" w:hAnsi="Times New Roman" w:cs="Times New Roman"/>
                <w:b w:val="0"/>
                <w:bCs/>
                <w:color w:val="auto"/>
                <w:sz w:val="24"/>
                <w:szCs w:val="24"/>
                <w:lang w:val="en-US" w:eastAsia="zh-CN"/>
              </w:rPr>
              <w:t>配套设施的建设</w:t>
            </w:r>
            <w:r>
              <w:rPr>
                <w:rFonts w:hint="eastAsia" w:cs="Times New Roman"/>
                <w:b w:val="0"/>
                <w:bCs/>
                <w:color w:val="auto"/>
                <w:sz w:val="24"/>
                <w:szCs w:val="24"/>
                <w:lang w:val="en-US" w:eastAsia="zh-CN"/>
              </w:rPr>
              <w:t>项目</w:t>
            </w:r>
            <w:r>
              <w:rPr>
                <w:rFonts w:hint="eastAsia"/>
                <w:color w:val="auto"/>
                <w:kern w:val="0"/>
                <w:highlight w:val="none"/>
                <w:lang w:val="en-US" w:eastAsia="zh-CN"/>
              </w:rPr>
              <w:t>，属于基层医疗卫生机构</w:t>
            </w:r>
            <w:r>
              <w:rPr>
                <w:rFonts w:hint="eastAsia" w:ascii="Times New Roman" w:hAnsi="Times New Roman" w:cs="Times New Roman"/>
                <w:b w:val="0"/>
                <w:bCs/>
                <w:color w:val="auto"/>
                <w:sz w:val="24"/>
                <w:szCs w:val="24"/>
                <w:lang w:val="en-US" w:eastAsia="zh-CN"/>
              </w:rPr>
              <w:t>配套设施的建设</w:t>
            </w:r>
            <w:r>
              <w:rPr>
                <w:rFonts w:hint="eastAsia" w:cs="Times New Roman"/>
                <w:b w:val="0"/>
                <w:bCs/>
                <w:color w:val="auto"/>
                <w:sz w:val="24"/>
                <w:szCs w:val="24"/>
                <w:lang w:val="en-US" w:eastAsia="zh-CN"/>
              </w:rPr>
              <w:t>项目</w:t>
            </w:r>
            <w:r>
              <w:rPr>
                <w:rFonts w:hint="eastAsia"/>
                <w:color w:val="auto"/>
                <w:kern w:val="0"/>
                <w:highlight w:val="none"/>
                <w:lang w:val="en-US" w:eastAsia="zh-CN"/>
              </w:rPr>
              <w:t>。</w:t>
            </w:r>
          </w:p>
          <w:p>
            <w:pPr>
              <w:widowControl/>
              <w:snapToGrid w:val="0"/>
              <w:spacing w:line="360" w:lineRule="auto"/>
              <w:ind w:firstLine="480" w:firstLineChars="200"/>
              <w:rPr>
                <w:rFonts w:hint="eastAsia"/>
                <w:color w:val="auto"/>
                <w:sz w:val="24"/>
                <w:highlight w:val="none"/>
              </w:rPr>
            </w:pPr>
            <w:r>
              <w:rPr>
                <w:rFonts w:hint="eastAsia"/>
                <w:color w:val="auto"/>
                <w:sz w:val="24"/>
                <w:highlight w:val="none"/>
                <w:lang w:val="en-US" w:eastAsia="zh-CN"/>
              </w:rPr>
              <w:t>因此，本项目符合《</w:t>
            </w:r>
            <w:r>
              <w:rPr>
                <w:rFonts w:hint="eastAsia"/>
                <w:color w:val="auto"/>
                <w:sz w:val="24"/>
                <w:highlight w:val="none"/>
                <w:lang w:val="en-US" w:eastAsia="zh-CN"/>
              </w:rPr>
              <w:fldChar w:fldCharType="begin"/>
            </w:r>
            <w:r>
              <w:rPr>
                <w:rFonts w:hint="eastAsia"/>
                <w:color w:val="auto"/>
                <w:sz w:val="24"/>
                <w:highlight w:val="none"/>
                <w:lang w:val="en-US" w:eastAsia="zh-CN"/>
              </w:rPr>
              <w:instrText xml:space="preserve"> HYPERLINK "http://www.xlgl.gov.cn/xmxxgk/xsbgt/xxgkml/202107/P020211115597899871111.pdf" \t "http://www.xlgl.gov.cn/xmxxgk/xsbgt/xxgkml/202107/_blank" </w:instrText>
            </w:r>
            <w:r>
              <w:rPr>
                <w:rFonts w:hint="eastAsia"/>
                <w:color w:val="auto"/>
                <w:sz w:val="24"/>
                <w:highlight w:val="none"/>
                <w:lang w:val="en-US" w:eastAsia="zh-CN"/>
              </w:rPr>
              <w:fldChar w:fldCharType="separate"/>
            </w:r>
            <w:r>
              <w:rPr>
                <w:rFonts w:hint="eastAsia"/>
                <w:color w:val="auto"/>
                <w:sz w:val="24"/>
                <w:highlight w:val="none"/>
                <w:lang w:val="en-US" w:eastAsia="zh-CN"/>
              </w:rPr>
              <w:t>锡林郭勒盟国民经济和社会发展第十四个五年规划和2035年远景目标纲要</w:t>
            </w:r>
            <w:r>
              <w:rPr>
                <w:rFonts w:hint="eastAsia"/>
                <w:color w:val="auto"/>
                <w:sz w:val="24"/>
                <w:highlight w:val="none"/>
                <w:lang w:val="en-US" w:eastAsia="zh-CN"/>
              </w:rPr>
              <w:fldChar w:fldCharType="end"/>
            </w:r>
            <w:r>
              <w:rPr>
                <w:rFonts w:hint="eastAsia"/>
                <w:color w:val="auto"/>
                <w:sz w:val="24"/>
                <w:highlight w:val="none"/>
                <w:lang w:val="en-US" w:eastAsia="zh-CN"/>
              </w:rPr>
              <w:t>》</w:t>
            </w:r>
            <w:r>
              <w:rPr>
                <w:rFonts w:hint="eastAsia"/>
                <w:color w:val="auto"/>
                <w:sz w:val="24"/>
                <w:highlight w:val="none"/>
              </w:rPr>
              <w:t>。</w:t>
            </w:r>
          </w:p>
          <w:p>
            <w:pPr>
              <w:widowControl/>
              <w:snapToGrid w:val="0"/>
              <w:spacing w:line="360" w:lineRule="auto"/>
              <w:ind w:firstLine="482" w:firstLineChars="200"/>
              <w:rPr>
                <w:b/>
                <w:bCs/>
                <w:color w:val="auto"/>
                <w:sz w:val="24"/>
                <w:highlight w:val="none"/>
              </w:rPr>
            </w:pPr>
            <w:r>
              <w:rPr>
                <w:rFonts w:hint="eastAsia"/>
                <w:b/>
                <w:bCs/>
                <w:color w:val="auto"/>
                <w:sz w:val="24"/>
                <w:highlight w:val="none"/>
                <w:lang w:val="en-US" w:eastAsia="zh-CN"/>
              </w:rPr>
              <w:t>7</w:t>
            </w:r>
            <w:r>
              <w:rPr>
                <w:rFonts w:hint="eastAsia"/>
                <w:b/>
                <w:bCs/>
                <w:color w:val="auto"/>
                <w:sz w:val="24"/>
                <w:highlight w:val="none"/>
              </w:rPr>
              <w:t>.</w:t>
            </w:r>
            <w:r>
              <w:rPr>
                <w:b/>
                <w:bCs/>
                <w:color w:val="auto"/>
                <w:sz w:val="24"/>
                <w:highlight w:val="none"/>
              </w:rPr>
              <w:t>“三线一单”符合性分析</w:t>
            </w:r>
          </w:p>
          <w:p>
            <w:pPr>
              <w:pStyle w:val="129"/>
              <w:ind w:firstLine="480"/>
              <w:rPr>
                <w:rFonts w:ascii="Times New Roman" w:hAnsi="Times New Roman" w:cs="Times New Roman"/>
                <w:color w:val="auto"/>
                <w:szCs w:val="24"/>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生态保护红线：</w:t>
            </w:r>
            <w:r>
              <w:rPr>
                <w:rFonts w:ascii="Times New Roman" w:hAnsi="Times New Roman" w:cs="Times New Roman"/>
                <w:color w:val="auto"/>
                <w:szCs w:val="24"/>
              </w:rPr>
              <w:t>根据</w:t>
            </w:r>
            <w:r>
              <w:rPr>
                <w:rFonts w:ascii="Times New Roman" w:hAnsi="Times New Roman" w:cs="Times New Roman"/>
                <w:color w:val="auto"/>
                <w:szCs w:val="24"/>
                <w:lang w:val="en-US" w:eastAsia="zh-CN"/>
              </w:rPr>
              <w:t>《锡林郭勒盟生态环境保护委员会</w:t>
            </w:r>
            <w:r>
              <w:rPr>
                <w:rFonts w:hint="default" w:ascii="Times New Roman" w:hAnsi="Times New Roman" w:cs="Times New Roman"/>
                <w:color w:val="auto"/>
                <w:szCs w:val="24"/>
                <w:lang w:val="en-US" w:eastAsia="zh-CN"/>
              </w:rPr>
              <w:t>关于实施“三线一单”生态环境分区管控的意见》修改单（2023年版）</w:t>
            </w:r>
            <w:r>
              <w:rPr>
                <w:rFonts w:ascii="Times New Roman" w:hAnsi="Times New Roman" w:cs="Times New Roman"/>
                <w:color w:val="auto"/>
                <w:szCs w:val="24"/>
              </w:rPr>
              <w:t>。全市共划定环境管控单元</w:t>
            </w:r>
            <w:r>
              <w:rPr>
                <w:rFonts w:hint="eastAsia" w:ascii="Times New Roman" w:hAnsi="Times New Roman" w:cs="Times New Roman"/>
                <w:color w:val="auto"/>
                <w:szCs w:val="24"/>
                <w:lang w:val="en-US" w:eastAsia="zh-CN"/>
              </w:rPr>
              <w:t>157</w:t>
            </w:r>
            <w:r>
              <w:rPr>
                <w:rFonts w:ascii="Times New Roman" w:hAnsi="Times New Roman" w:cs="Times New Roman"/>
                <w:color w:val="auto"/>
                <w:szCs w:val="24"/>
              </w:rPr>
              <w:t>个，包括优先保护单元、重点管控单元、一般管控单元三类，实施分类管控。</w:t>
            </w:r>
          </w:p>
          <w:p>
            <w:pPr>
              <w:pStyle w:val="129"/>
              <w:ind w:firstLine="480"/>
              <w:rPr>
                <w:rFonts w:ascii="Times New Roman" w:hAnsi="Times New Roman" w:cs="Times New Roman"/>
                <w:color w:val="auto"/>
                <w:szCs w:val="24"/>
              </w:rPr>
            </w:pPr>
            <w:r>
              <w:rPr>
                <w:rFonts w:hint="eastAsia" w:ascii="Times New Roman" w:hAnsi="Times New Roman" w:cs="Times New Roman"/>
                <w:color w:val="auto"/>
                <w:szCs w:val="24"/>
              </w:rPr>
              <w:t>（一）</w:t>
            </w:r>
            <w:r>
              <w:rPr>
                <w:rFonts w:ascii="Times New Roman" w:hAnsi="Times New Roman" w:cs="Times New Roman"/>
                <w:color w:val="auto"/>
                <w:szCs w:val="24"/>
              </w:rPr>
              <w:t>优先保护单元。共</w:t>
            </w:r>
            <w:r>
              <w:rPr>
                <w:rFonts w:hint="eastAsia" w:ascii="Times New Roman" w:hAnsi="Times New Roman" w:cs="Times New Roman"/>
                <w:color w:val="auto"/>
                <w:szCs w:val="24"/>
                <w:lang w:val="en-US" w:eastAsia="zh-CN"/>
              </w:rPr>
              <w:t>99</w:t>
            </w:r>
            <w:r>
              <w:rPr>
                <w:rFonts w:ascii="Times New Roman" w:hAnsi="Times New Roman" w:cs="Times New Roman"/>
                <w:color w:val="auto"/>
                <w:szCs w:val="24"/>
              </w:rPr>
              <w:t>个，</w:t>
            </w:r>
            <w:r>
              <w:rPr>
                <w:rFonts w:hint="eastAsia" w:ascii="Times New Roman" w:hAnsi="Times New Roman" w:cs="Times New Roman"/>
                <w:color w:val="auto"/>
                <w:szCs w:val="24"/>
              </w:rPr>
              <w:t>面积占全盟国土总面积的</w:t>
            </w:r>
            <w:r>
              <w:rPr>
                <w:rFonts w:hint="eastAsia" w:ascii="Times New Roman" w:hAnsi="Times New Roman" w:cs="Times New Roman"/>
                <w:color w:val="auto"/>
                <w:szCs w:val="24"/>
                <w:lang w:val="en-US" w:eastAsia="zh-CN"/>
              </w:rPr>
              <w:t>76.65</w:t>
            </w:r>
            <w:r>
              <w:rPr>
                <w:rFonts w:hint="eastAsia" w:ascii="Times New Roman" w:hAnsi="Times New Roman" w:cs="Times New Roman"/>
                <w:color w:val="auto"/>
                <w:szCs w:val="24"/>
              </w:rPr>
              <w:t>%。</w:t>
            </w:r>
          </w:p>
          <w:p>
            <w:pPr>
              <w:pStyle w:val="129"/>
              <w:ind w:firstLine="480"/>
              <w:rPr>
                <w:rFonts w:ascii="Times New Roman" w:hAnsi="Times New Roman" w:cs="Times New Roman"/>
                <w:color w:val="auto"/>
                <w:szCs w:val="24"/>
              </w:rPr>
            </w:pPr>
            <w:r>
              <w:rPr>
                <w:rFonts w:hint="eastAsia" w:ascii="Times New Roman" w:hAnsi="Times New Roman" w:cs="Times New Roman"/>
                <w:color w:val="auto"/>
                <w:szCs w:val="24"/>
              </w:rPr>
              <w:t>（二）</w:t>
            </w:r>
            <w:r>
              <w:rPr>
                <w:rFonts w:ascii="Times New Roman" w:hAnsi="Times New Roman" w:cs="Times New Roman"/>
                <w:color w:val="auto"/>
                <w:szCs w:val="24"/>
              </w:rPr>
              <w:t>重点管控单元。</w:t>
            </w:r>
            <w:r>
              <w:rPr>
                <w:rFonts w:hint="eastAsia" w:ascii="Times New Roman" w:hAnsi="Times New Roman" w:cs="Times New Roman"/>
                <w:color w:val="auto"/>
                <w:szCs w:val="24"/>
              </w:rPr>
              <w:t>共</w:t>
            </w:r>
            <w:r>
              <w:rPr>
                <w:rFonts w:hint="eastAsia" w:ascii="Times New Roman" w:hAnsi="Times New Roman" w:cs="Times New Roman"/>
                <w:color w:val="auto"/>
                <w:szCs w:val="24"/>
                <w:lang w:val="en-US" w:eastAsia="zh-CN"/>
              </w:rPr>
              <w:t>4</w:t>
            </w:r>
            <w:r>
              <w:rPr>
                <w:rFonts w:hint="eastAsia" w:ascii="Times New Roman" w:hAnsi="Times New Roman" w:cs="Times New Roman"/>
                <w:color w:val="auto"/>
                <w:szCs w:val="24"/>
              </w:rPr>
              <w:t>6个，面积占全盟国土总面积的</w:t>
            </w:r>
            <w:r>
              <w:rPr>
                <w:rFonts w:hint="eastAsia" w:ascii="Times New Roman" w:hAnsi="Times New Roman" w:cs="Times New Roman"/>
                <w:color w:val="auto"/>
                <w:szCs w:val="24"/>
                <w:lang w:val="en-US" w:eastAsia="zh-CN"/>
              </w:rPr>
              <w:t>4.44</w:t>
            </w:r>
            <w:r>
              <w:rPr>
                <w:rFonts w:hint="eastAsia" w:ascii="Times New Roman" w:hAnsi="Times New Roman" w:cs="Times New Roman"/>
                <w:color w:val="auto"/>
                <w:szCs w:val="24"/>
              </w:rPr>
              <w:t>%。</w:t>
            </w:r>
          </w:p>
          <w:p>
            <w:pPr>
              <w:pStyle w:val="68"/>
              <w:snapToGrid w:val="0"/>
              <w:spacing w:line="360" w:lineRule="auto"/>
              <w:ind w:firstLine="480" w:firstLineChars="200"/>
              <w:rPr>
                <w:rFonts w:hint="eastAsia" w:ascii="Times New Roman" w:hAnsi="Times New Roman" w:cs="Times New Roman"/>
                <w:color w:val="auto"/>
                <w:szCs w:val="24"/>
              </w:rPr>
            </w:pPr>
            <w:r>
              <w:rPr>
                <w:rFonts w:hint="eastAsia" w:ascii="Times New Roman" w:hAnsi="Times New Roman" w:cs="Times New Roman"/>
                <w:color w:val="auto"/>
                <w:szCs w:val="24"/>
              </w:rPr>
              <w:t>（三）</w:t>
            </w:r>
            <w:r>
              <w:rPr>
                <w:rFonts w:ascii="Times New Roman" w:hAnsi="Times New Roman" w:cs="Times New Roman"/>
                <w:color w:val="auto"/>
                <w:szCs w:val="24"/>
              </w:rPr>
              <w:t>一般管控单元。</w:t>
            </w:r>
            <w:r>
              <w:rPr>
                <w:rFonts w:hint="eastAsia" w:ascii="Times New Roman" w:hAnsi="Times New Roman" w:cs="Times New Roman"/>
                <w:color w:val="auto"/>
                <w:szCs w:val="24"/>
              </w:rPr>
              <w:t>共12个，面积占全盟国土面积的</w:t>
            </w:r>
            <w:r>
              <w:rPr>
                <w:rFonts w:hint="eastAsia" w:ascii="Times New Roman" w:hAnsi="Times New Roman" w:cs="Times New Roman"/>
                <w:color w:val="auto"/>
                <w:szCs w:val="24"/>
                <w:lang w:val="en-US" w:eastAsia="zh-CN"/>
              </w:rPr>
              <w:t>18.91</w:t>
            </w:r>
            <w:r>
              <w:rPr>
                <w:rFonts w:hint="eastAsia" w:ascii="Times New Roman" w:hAnsi="Times New Roman" w:cs="Times New Roman"/>
                <w:color w:val="auto"/>
                <w:szCs w:val="24"/>
              </w:rPr>
              <w:t>%。</w:t>
            </w:r>
          </w:p>
          <w:p>
            <w:pPr>
              <w:pStyle w:val="68"/>
              <w:snapToGrid w:val="0"/>
              <w:spacing w:line="360" w:lineRule="auto"/>
              <w:ind w:firstLine="480" w:firstLineChars="200"/>
              <w:rPr>
                <w:color w:val="auto"/>
                <w:highlight w:val="none"/>
              </w:rPr>
            </w:pPr>
            <w:r>
              <w:rPr>
                <w:color w:val="auto"/>
                <w:highlight w:val="none"/>
              </w:rPr>
              <w:t>根据锡林郭勒盟环境管控单元位置示意图，本项目位于</w:t>
            </w:r>
            <w:r>
              <w:rPr>
                <w:rFonts w:hint="eastAsia"/>
                <w:color w:val="auto"/>
                <w:highlight w:val="none"/>
                <w:lang w:val="en-US" w:eastAsia="zh-CN"/>
              </w:rPr>
              <w:t>重点</w:t>
            </w:r>
            <w:r>
              <w:rPr>
                <w:rFonts w:hint="eastAsia"/>
                <w:color w:val="auto"/>
                <w:highlight w:val="none"/>
              </w:rPr>
              <w:t>管控</w:t>
            </w:r>
            <w:r>
              <w:rPr>
                <w:color w:val="auto"/>
                <w:highlight w:val="none"/>
              </w:rPr>
              <w:t>单元范围，不在优先保护单元范围内，可以进行</w:t>
            </w:r>
            <w:r>
              <w:rPr>
                <w:rFonts w:hint="eastAsia"/>
                <w:color w:val="auto"/>
                <w:highlight w:val="none"/>
                <w:lang w:val="en-US" w:eastAsia="zh-CN"/>
              </w:rPr>
              <w:t>医疗废物暂存间</w:t>
            </w:r>
            <w:r>
              <w:rPr>
                <w:color w:val="auto"/>
                <w:highlight w:val="none"/>
              </w:rPr>
              <w:t>的建设。故本项目的建设符合生态保护红线要求。</w:t>
            </w:r>
          </w:p>
          <w:p>
            <w:pPr>
              <w:pStyle w:val="68"/>
              <w:snapToGrid w:val="0"/>
              <w:spacing w:line="360" w:lineRule="auto"/>
              <w:ind w:firstLine="0"/>
              <w:rPr>
                <w:color w:val="auto"/>
                <w:highlight w:val="none"/>
              </w:rPr>
            </w:pP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2232660</wp:posOffset>
                      </wp:positionH>
                      <wp:positionV relativeFrom="paragraph">
                        <wp:posOffset>1414780</wp:posOffset>
                      </wp:positionV>
                      <wp:extent cx="607060" cy="247015"/>
                      <wp:effectExtent l="260350" t="6350" r="8890" b="165735"/>
                      <wp:wrapNone/>
                      <wp:docPr id="3" name="矩形标注 3"/>
                      <wp:cNvGraphicFramePr/>
                      <a:graphic xmlns:a="http://schemas.openxmlformats.org/drawingml/2006/main">
                        <a:graphicData uri="http://schemas.microsoft.com/office/word/2010/wordprocessingShape">
                          <wps:wsp>
                            <wps:cNvSpPr/>
                            <wps:spPr>
                              <a:xfrm>
                                <a:off x="0" y="0"/>
                                <a:ext cx="607060" cy="247015"/>
                              </a:xfrm>
                              <a:prstGeom prst="wedgeRectCallout">
                                <a:avLst>
                                  <a:gd name="adj1" fmla="val -84832"/>
                                  <a:gd name="adj2" fmla="val 105784"/>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exact"/>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5.8pt;margin-top:111.4pt;height:19.45pt;width:47.8pt;z-index:251665408;v-text-anchor:middle;mso-width-relative:page;mso-height-relative:page;" fillcolor="#FF0000" filled="t" stroked="t" coordsize="21600,21600" o:gfxdata="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&#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ljqwv3AAAAAsBAAAPAAAAAAAAAAEAIAAAACIAAABk&#10;cnMvZG93bnJldi54bWxQSwECFAAUAAAACACHTuJATnKoz60CAABjBQAADgAAAAAAAAABACAAAAAr&#10;AQAAZHJzL2Uyb0RvYy54bWxQSwUGAAAAAAYABgBZAQAASgYAAAAA&#10;" adj="-7524,33649">
                      <v:fill on="t" focussize="0,0"/>
                      <v:stroke weight="1pt" color="#000000 [3213]" miterlimit="8" joinstyle="miter"/>
                      <v:imagedata o:title=""/>
                      <o:lock v:ext="edit" aspectratio="f"/>
                      <v:textbox>
                        <w:txbxContent>
                          <w:p>
                            <w:pPr>
                              <w:spacing w:line="240" w:lineRule="exact"/>
                              <w:jc w:val="center"/>
                            </w:pPr>
                            <w:r>
                              <w:rPr>
                                <w:rFonts w:hint="eastAsia"/>
                              </w:rPr>
                              <w:t>本项目</w:t>
                            </w:r>
                          </w:p>
                        </w:txbxContent>
                      </v:textbox>
                    </v:shape>
                  </w:pict>
                </mc:Fallback>
              </mc:AlternateContent>
            </w:r>
            <w:r>
              <w:rPr>
                <w:color w:val="auto"/>
              </w:rPr>
              <w:drawing>
                <wp:inline distT="0" distB="0" distL="114300" distR="114300">
                  <wp:extent cx="4425950" cy="3094355"/>
                  <wp:effectExtent l="0" t="0" r="12700" b="1079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4"/>
                          <a:stretch>
                            <a:fillRect/>
                          </a:stretch>
                        </pic:blipFill>
                        <pic:spPr>
                          <a:xfrm>
                            <a:off x="0" y="0"/>
                            <a:ext cx="4425950" cy="3094355"/>
                          </a:xfrm>
                          <a:prstGeom prst="rect">
                            <a:avLst/>
                          </a:prstGeom>
                          <a:noFill/>
                          <a:ln>
                            <a:noFill/>
                          </a:ln>
                        </pic:spPr>
                      </pic:pic>
                    </a:graphicData>
                  </a:graphic>
                </wp:inline>
              </w:drawing>
            </w:r>
          </w:p>
          <w:p>
            <w:pPr>
              <w:pStyle w:val="23"/>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b/>
                <w:bCs/>
                <w:color w:val="auto"/>
                <w:sz w:val="24"/>
                <w:szCs w:val="24"/>
                <w:highlight w:val="none"/>
              </w:rPr>
            </w:pPr>
            <w:r>
              <w:rPr>
                <w:rFonts w:hint="eastAsia"/>
                <w:b/>
                <w:bCs/>
                <w:color w:val="auto"/>
                <w:sz w:val="24"/>
                <w:szCs w:val="24"/>
                <w:highlight w:val="none"/>
              </w:rPr>
              <w:t>图1-1   本项目在锡林郭勒盟环境管控单元位置示意图</w:t>
            </w:r>
          </w:p>
          <w:p>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环境质量底线</w:t>
            </w:r>
          </w:p>
          <w:p>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根据内蒙古自治区环境保护厅发布的《</w:t>
            </w:r>
            <w:r>
              <w:rPr>
                <w:rFonts w:hint="eastAsia"/>
                <w:color w:val="auto"/>
                <w:highlight w:val="none"/>
              </w:rPr>
              <w:t>202</w:t>
            </w:r>
            <w:r>
              <w:rPr>
                <w:rFonts w:hint="eastAsia"/>
                <w:color w:val="auto"/>
                <w:highlight w:val="none"/>
                <w:lang w:val="en-US" w:eastAsia="zh-CN"/>
              </w:rPr>
              <w:t>2</w:t>
            </w:r>
            <w:r>
              <w:rPr>
                <w:rFonts w:hint="eastAsia"/>
                <w:color w:val="auto"/>
                <w:highlight w:val="none"/>
              </w:rPr>
              <w:t>年</w:t>
            </w:r>
            <w:r>
              <w:rPr>
                <w:color w:val="auto"/>
                <w:highlight w:val="none"/>
              </w:rPr>
              <w:t>内蒙古自治区生态环境状况公报》，本项目所在区域为环境空气质量达标区。区域环境质量现状较好，具有环境容量，本工程采取规定的治理措施后，在正常运营情况下，项目各项污染物均能达标排放。项目三废均能有效处理，不会明显降低区域环境质量现状，符合环境质量底线要求。</w:t>
            </w:r>
          </w:p>
          <w:p>
            <w:pPr>
              <w:pStyle w:val="68"/>
              <w:snapToGrid w:val="0"/>
              <w:spacing w:line="360" w:lineRule="auto"/>
              <w:ind w:firstLine="480" w:firstLineChars="20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color w:val="auto"/>
                <w:highlight w:val="none"/>
              </w:rPr>
              <w:t>资源利用上线</w:t>
            </w:r>
          </w:p>
          <w:p>
            <w:pPr>
              <w:pStyle w:val="68"/>
              <w:snapToGrid w:val="0"/>
              <w:spacing w:line="360" w:lineRule="auto"/>
              <w:ind w:firstLine="480" w:firstLineChars="200"/>
              <w:rPr>
                <w:color w:val="auto"/>
                <w:highlight w:val="none"/>
              </w:rPr>
            </w:pPr>
            <w:r>
              <w:rPr>
                <w:color w:val="auto"/>
                <w:highlight w:val="none"/>
              </w:rPr>
              <w:t>本项目运营过程中消耗一定量的电源、水资源等资源，项目资源消耗相对于区域资源利用总量较少，符合资源利用上线要求。</w:t>
            </w:r>
          </w:p>
          <w:p>
            <w:pPr>
              <w:widowControl/>
              <w:snapToGrid w:val="0"/>
              <w:spacing w:line="360" w:lineRule="auto"/>
              <w:ind w:firstLine="480" w:firstLineChars="200"/>
              <w:rPr>
                <w:rFonts w:hint="default"/>
                <w:color w:val="auto"/>
                <w:sz w:val="24"/>
                <w:highlight w:val="none"/>
                <w:lang w:val="en-US"/>
              </w:rPr>
            </w:pPr>
            <w:r>
              <w:rPr>
                <w:rFonts w:hint="eastAsia"/>
                <w:color w:val="auto"/>
                <w:sz w:val="24"/>
                <w:highlight w:val="none"/>
                <w:lang w:eastAsia="zh-CN"/>
              </w:rPr>
              <w:t>（</w:t>
            </w:r>
            <w:r>
              <w:rPr>
                <w:rFonts w:hint="eastAsia"/>
                <w:color w:val="auto"/>
                <w:sz w:val="24"/>
                <w:highlight w:val="none"/>
                <w:lang w:val="en-US" w:eastAsia="zh-CN"/>
              </w:rPr>
              <w:t>4</w:t>
            </w:r>
            <w:r>
              <w:rPr>
                <w:rFonts w:hint="eastAsia"/>
                <w:color w:val="auto"/>
                <w:sz w:val="24"/>
                <w:highlight w:val="none"/>
                <w:lang w:eastAsia="zh-CN"/>
              </w:rPr>
              <w:t>）</w:t>
            </w:r>
            <w:r>
              <w:rPr>
                <w:rFonts w:hint="eastAsia"/>
                <w:color w:val="auto"/>
                <w:sz w:val="24"/>
                <w:highlight w:val="none"/>
                <w:lang w:val="en-US" w:eastAsia="zh-CN"/>
              </w:rPr>
              <w:t>本项目建设与《锡林郭勒盟生态环境准入清单》的符合性分析</w:t>
            </w:r>
          </w:p>
          <w:p>
            <w:pPr>
              <w:pStyle w:val="68"/>
              <w:snapToGrid w:val="0"/>
              <w:spacing w:line="360" w:lineRule="auto"/>
              <w:ind w:firstLine="480" w:firstLineChars="200"/>
              <w:rPr>
                <w:rFonts w:hint="eastAsia"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rPr>
              <w:t>根据</w:t>
            </w:r>
            <w:r>
              <w:rPr>
                <w:rFonts w:hint="eastAsia" w:ascii="Times New Roman" w:hAnsi="Times New Roman" w:cs="Times New Roman"/>
                <w:b w:val="0"/>
                <w:bCs w:val="0"/>
                <w:color w:val="auto"/>
                <w:sz w:val="24"/>
                <w:szCs w:val="24"/>
                <w:lang w:eastAsia="zh-CN"/>
              </w:rPr>
              <w:t>《锡林郭勒盟生态环境保护委员会办公室关于印发锡林郭勒盟“三线一单”生态环境分区管控意见修改单和锡林郭勒盟生态环境准入清单的通知》（</w:t>
            </w:r>
            <w:r>
              <w:rPr>
                <w:rFonts w:hint="eastAsia" w:ascii="Times New Roman" w:hAnsi="Times New Roman" w:cs="Times New Roman"/>
                <w:b w:val="0"/>
                <w:bCs w:val="0"/>
                <w:color w:val="auto"/>
                <w:sz w:val="24"/>
                <w:szCs w:val="24"/>
                <w:lang w:val="en-US" w:eastAsia="zh-CN"/>
              </w:rPr>
              <w:t>锡环委办发[2024]1号</w:t>
            </w:r>
            <w:r>
              <w:rPr>
                <w:rFonts w:hint="eastAsia" w:ascii="Times New Roman" w:hAnsi="Times New Roman" w:cs="Times New Roman"/>
                <w:b w:val="0"/>
                <w:bCs w:val="0"/>
                <w:color w:val="auto"/>
                <w:sz w:val="24"/>
                <w:szCs w:val="24"/>
                <w:lang w:eastAsia="zh-CN"/>
              </w:rPr>
              <w:t>）</w:t>
            </w:r>
            <w:r>
              <w:rPr>
                <w:rFonts w:hint="eastAsia" w:ascii="Times New Roman" w:hAnsi="Times New Roman" w:cs="Times New Roman"/>
                <w:b w:val="0"/>
                <w:bCs w:val="0"/>
                <w:color w:val="auto"/>
                <w:sz w:val="24"/>
                <w:szCs w:val="24"/>
                <w:lang w:val="en-US" w:eastAsia="zh-CN"/>
              </w:rPr>
              <w:t>中附件2《</w:t>
            </w:r>
            <w:r>
              <w:rPr>
                <w:rFonts w:ascii="宋体" w:hAnsi="宋体" w:eastAsia="宋体" w:cs="宋体"/>
                <w:color w:val="auto"/>
                <w:sz w:val="24"/>
                <w:szCs w:val="24"/>
              </w:rPr>
              <w:t>锡林郭勒盟生态环境准入清单</w:t>
            </w:r>
            <w:r>
              <w:rPr>
                <w:rFonts w:hint="eastAsia" w:ascii="Times New Roman" w:hAnsi="Times New Roman" w:cs="Times New Roman"/>
                <w:b w:val="0"/>
                <w:bCs w:val="0"/>
                <w:color w:val="auto"/>
                <w:sz w:val="24"/>
                <w:szCs w:val="24"/>
                <w:lang w:val="en-US" w:eastAsia="zh-CN"/>
              </w:rPr>
              <w:t>》</w:t>
            </w:r>
            <w:r>
              <w:rPr>
                <w:rFonts w:hint="eastAsia"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2023年版</w:t>
            </w:r>
            <w:r>
              <w:rPr>
                <w:rFonts w:hint="eastAsia" w:ascii="Times New Roman" w:hAnsi="Times New Roman" w:cs="Times New Roman"/>
                <w:b w:val="0"/>
                <w:bCs w:val="0"/>
                <w:color w:val="auto"/>
                <w:sz w:val="24"/>
                <w:szCs w:val="24"/>
                <w:lang w:eastAsia="zh-CN"/>
              </w:rPr>
              <w:t>）</w:t>
            </w:r>
            <w:r>
              <w:rPr>
                <w:rFonts w:hint="eastAsia" w:ascii="Times New Roman" w:hAnsi="Times New Roman" w:cs="Times New Roman"/>
                <w:b w:val="0"/>
                <w:bCs w:val="0"/>
                <w:color w:val="auto"/>
                <w:sz w:val="24"/>
                <w:szCs w:val="24"/>
                <w:lang w:val="en-US" w:eastAsia="zh-CN"/>
              </w:rPr>
              <w:t>，本项目属于</w:t>
            </w:r>
            <w:r>
              <w:rPr>
                <w:color w:val="auto"/>
                <w:szCs w:val="21"/>
                <w:highlight w:val="none"/>
              </w:rPr>
              <w:t>锡林浩特市城镇开发边界</w:t>
            </w:r>
            <w:r>
              <w:rPr>
                <w:rFonts w:hint="eastAsia" w:ascii="Times New Roman" w:hAnsi="Times New Roman" w:cs="Times New Roman"/>
                <w:b w:val="0"/>
                <w:bCs w:val="0"/>
                <w:color w:val="auto"/>
                <w:sz w:val="24"/>
                <w:szCs w:val="24"/>
                <w:lang w:val="en-US" w:eastAsia="zh-CN"/>
              </w:rPr>
              <w:t>（</w:t>
            </w:r>
            <w:r>
              <w:rPr>
                <w:rFonts w:hint="eastAsia"/>
                <w:color w:val="auto"/>
                <w:szCs w:val="21"/>
                <w:highlight w:val="none"/>
              </w:rPr>
              <w:t>ZH15250220001</w:t>
            </w:r>
            <w:r>
              <w:rPr>
                <w:rFonts w:hint="eastAsia" w:ascii="Times New Roman" w:hAnsi="Times New Roman" w:cs="Times New Roman"/>
                <w:b w:val="0"/>
                <w:bCs w:val="0"/>
                <w:color w:val="auto"/>
                <w:sz w:val="24"/>
                <w:szCs w:val="24"/>
                <w:lang w:val="en-US" w:eastAsia="zh-CN"/>
              </w:rPr>
              <w:t>）。</w:t>
            </w:r>
          </w:p>
          <w:p>
            <w:pPr>
              <w:pStyle w:val="68"/>
              <w:snapToGrid w:val="0"/>
              <w:spacing w:line="360" w:lineRule="auto"/>
              <w:ind w:firstLine="480" w:firstLineChars="200"/>
              <w:rPr>
                <w:color w:val="auto"/>
                <w:highlight w:val="none"/>
              </w:rPr>
            </w:pPr>
            <w:r>
              <w:rPr>
                <w:rFonts w:ascii="宋体" w:hAnsi="宋体" w:cs="宋体"/>
                <w:color w:val="auto"/>
                <w:szCs w:val="24"/>
              </w:rPr>
              <w:t>本项目与《</w:t>
            </w:r>
            <w:r>
              <w:rPr>
                <w:rFonts w:hint="default" w:ascii="Times New Roman" w:hAnsi="Times New Roman" w:eastAsia="宋体" w:cs="Times New Roman"/>
                <w:color w:val="auto"/>
                <w:sz w:val="24"/>
                <w:szCs w:val="24"/>
              </w:rPr>
              <w:t>锡林郭勒盟生态环境准入清单</w:t>
            </w:r>
            <w:r>
              <w:rPr>
                <w:rFonts w:ascii="宋体" w:hAnsi="宋体" w:cs="宋体"/>
                <w:color w:val="auto"/>
                <w:szCs w:val="24"/>
              </w:rPr>
              <w:t>》</w:t>
            </w:r>
            <w:r>
              <w:rPr>
                <w:rFonts w:hint="eastAsia"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2023年版</w:t>
            </w:r>
            <w:r>
              <w:rPr>
                <w:rFonts w:hint="eastAsia" w:ascii="Times New Roman" w:hAnsi="Times New Roman" w:cs="Times New Roman"/>
                <w:b w:val="0"/>
                <w:bCs w:val="0"/>
                <w:color w:val="auto"/>
                <w:sz w:val="24"/>
                <w:szCs w:val="24"/>
                <w:lang w:eastAsia="zh-CN"/>
              </w:rPr>
              <w:t>）</w:t>
            </w:r>
            <w:r>
              <w:rPr>
                <w:rFonts w:ascii="宋体" w:hAnsi="宋体" w:cs="宋体"/>
                <w:color w:val="auto"/>
                <w:szCs w:val="24"/>
              </w:rPr>
              <w:t>的符合性分析</w:t>
            </w:r>
            <w:r>
              <w:rPr>
                <w:rFonts w:ascii="Times New Roman" w:hAnsi="Times New Roman" w:cs="Times New Roman"/>
                <w:color w:val="auto"/>
                <w:szCs w:val="24"/>
              </w:rPr>
              <w:t>见表1-</w:t>
            </w:r>
            <w:r>
              <w:rPr>
                <w:rFonts w:hint="eastAsia" w:ascii="Times New Roman" w:hAnsi="Times New Roman" w:cs="Times New Roman"/>
                <w:color w:val="auto"/>
                <w:szCs w:val="24"/>
              </w:rPr>
              <w:t>2</w:t>
            </w:r>
            <w:r>
              <w:rPr>
                <w:rFonts w:ascii="宋体" w:hAnsi="宋体" w:cs="宋体"/>
                <w:color w:val="auto"/>
                <w:szCs w:val="24"/>
              </w:rPr>
              <w:t>：</w:t>
            </w:r>
          </w:p>
          <w:p>
            <w:pPr>
              <w:pStyle w:val="121"/>
              <w:ind w:firstLine="422"/>
              <w:jc w:val="center"/>
              <w:rPr>
                <w:b/>
                <w:bCs/>
                <w:color w:val="auto"/>
                <w:sz w:val="24"/>
                <w:highlight w:val="none"/>
              </w:rPr>
            </w:pPr>
            <w:r>
              <w:rPr>
                <w:b/>
                <w:bCs/>
                <w:color w:val="auto"/>
                <w:sz w:val="24"/>
                <w:highlight w:val="none"/>
              </w:rPr>
              <w:t>表</w:t>
            </w:r>
            <w:r>
              <w:rPr>
                <w:rFonts w:hint="eastAsia"/>
                <w:b/>
                <w:bCs/>
                <w:color w:val="auto"/>
                <w:sz w:val="24"/>
                <w:highlight w:val="none"/>
              </w:rPr>
              <w:t>1-2</w:t>
            </w:r>
            <w:r>
              <w:rPr>
                <w:b/>
                <w:bCs/>
                <w:color w:val="auto"/>
                <w:sz w:val="24"/>
                <w:highlight w:val="none"/>
              </w:rPr>
              <w:t xml:space="preserve">  锡林郭勒盟锡林浩特市生态环境准入清单</w:t>
            </w:r>
          </w:p>
          <w:tbl>
            <w:tblPr>
              <w:tblStyle w:val="31"/>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7"/>
              <w:gridCol w:w="663"/>
              <w:gridCol w:w="498"/>
              <w:gridCol w:w="450"/>
              <w:gridCol w:w="2528"/>
              <w:gridCol w:w="1636"/>
              <w:gridCol w:w="5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473" w:type="pct"/>
                  <w:tcBorders>
                    <w:tl2br w:val="nil"/>
                    <w:tr2bl w:val="nil"/>
                  </w:tcBorders>
                  <w:vAlign w:val="center"/>
                </w:tcPr>
                <w:p>
                  <w:pPr>
                    <w:pStyle w:val="121"/>
                    <w:jc w:val="center"/>
                    <w:rPr>
                      <w:b/>
                      <w:bCs/>
                      <w:color w:val="auto"/>
                      <w:szCs w:val="21"/>
                      <w:highlight w:val="none"/>
                    </w:rPr>
                  </w:pPr>
                  <w:r>
                    <w:rPr>
                      <w:b/>
                      <w:bCs/>
                      <w:color w:val="auto"/>
                      <w:szCs w:val="21"/>
                      <w:highlight w:val="none"/>
                    </w:rPr>
                    <w:t>环境管控单元编码</w:t>
                  </w:r>
                </w:p>
              </w:tc>
              <w:tc>
                <w:tcPr>
                  <w:tcW w:w="477" w:type="pct"/>
                  <w:tcBorders>
                    <w:tl2br w:val="nil"/>
                    <w:tr2bl w:val="nil"/>
                  </w:tcBorders>
                  <w:vAlign w:val="center"/>
                </w:tcPr>
                <w:p>
                  <w:pPr>
                    <w:pStyle w:val="121"/>
                    <w:jc w:val="center"/>
                    <w:rPr>
                      <w:b/>
                      <w:bCs/>
                      <w:color w:val="auto"/>
                      <w:szCs w:val="21"/>
                      <w:highlight w:val="none"/>
                    </w:rPr>
                  </w:pPr>
                  <w:r>
                    <w:rPr>
                      <w:b/>
                      <w:bCs/>
                      <w:color w:val="auto"/>
                      <w:szCs w:val="21"/>
                      <w:highlight w:val="none"/>
                    </w:rPr>
                    <w:t>环境管控单元名称</w:t>
                  </w:r>
                </w:p>
              </w:tc>
              <w:tc>
                <w:tcPr>
                  <w:tcW w:w="358" w:type="pct"/>
                  <w:tcBorders>
                    <w:tl2br w:val="nil"/>
                    <w:tr2bl w:val="nil"/>
                  </w:tcBorders>
                  <w:vAlign w:val="center"/>
                </w:tcPr>
                <w:p>
                  <w:pPr>
                    <w:pStyle w:val="121"/>
                    <w:jc w:val="center"/>
                    <w:rPr>
                      <w:b/>
                      <w:bCs/>
                      <w:color w:val="auto"/>
                      <w:szCs w:val="21"/>
                      <w:highlight w:val="none"/>
                    </w:rPr>
                  </w:pPr>
                  <w:r>
                    <w:rPr>
                      <w:b/>
                      <w:bCs/>
                      <w:color w:val="auto"/>
                      <w:szCs w:val="21"/>
                      <w:highlight w:val="none"/>
                    </w:rPr>
                    <w:t>管控单元类别</w:t>
                  </w:r>
                </w:p>
              </w:tc>
              <w:tc>
                <w:tcPr>
                  <w:tcW w:w="2146" w:type="pct"/>
                  <w:gridSpan w:val="2"/>
                  <w:tcBorders>
                    <w:tl2br w:val="nil"/>
                    <w:tr2bl w:val="nil"/>
                  </w:tcBorders>
                  <w:vAlign w:val="center"/>
                </w:tcPr>
                <w:p>
                  <w:pPr>
                    <w:pStyle w:val="121"/>
                    <w:jc w:val="center"/>
                    <w:rPr>
                      <w:b/>
                      <w:bCs/>
                      <w:color w:val="auto"/>
                      <w:szCs w:val="21"/>
                      <w:highlight w:val="none"/>
                    </w:rPr>
                  </w:pPr>
                  <w:r>
                    <w:rPr>
                      <w:b/>
                      <w:bCs/>
                      <w:color w:val="auto"/>
                      <w:szCs w:val="21"/>
                      <w:highlight w:val="none"/>
                    </w:rPr>
                    <w:t>管控要求</w:t>
                  </w:r>
                </w:p>
              </w:tc>
              <w:tc>
                <w:tcPr>
                  <w:tcW w:w="1179" w:type="pct"/>
                  <w:tcBorders>
                    <w:tl2br w:val="nil"/>
                    <w:tr2bl w:val="nil"/>
                  </w:tcBorders>
                  <w:vAlign w:val="center"/>
                </w:tcPr>
                <w:p>
                  <w:pPr>
                    <w:pStyle w:val="121"/>
                    <w:jc w:val="center"/>
                    <w:rPr>
                      <w:b/>
                      <w:bCs/>
                      <w:color w:val="auto"/>
                      <w:szCs w:val="21"/>
                      <w:highlight w:val="none"/>
                    </w:rPr>
                  </w:pPr>
                  <w:r>
                    <w:rPr>
                      <w:b/>
                      <w:bCs/>
                      <w:color w:val="auto"/>
                      <w:szCs w:val="21"/>
                      <w:highlight w:val="none"/>
                    </w:rPr>
                    <w:t>本项目</w:t>
                  </w:r>
                </w:p>
              </w:tc>
              <w:tc>
                <w:tcPr>
                  <w:tcW w:w="364" w:type="pct"/>
                  <w:tcBorders>
                    <w:tl2br w:val="nil"/>
                    <w:tr2bl w:val="nil"/>
                  </w:tcBorders>
                  <w:vAlign w:val="center"/>
                </w:tcPr>
                <w:p>
                  <w:pPr>
                    <w:pStyle w:val="121"/>
                    <w:jc w:val="center"/>
                    <w:rPr>
                      <w:b/>
                      <w:bCs/>
                      <w:color w:val="auto"/>
                      <w:szCs w:val="21"/>
                      <w:highlight w:val="none"/>
                    </w:rPr>
                  </w:pPr>
                  <w:r>
                    <w:rPr>
                      <w:b/>
                      <w:bCs/>
                      <w:color w:val="auto"/>
                      <w:szCs w:val="21"/>
                      <w:highlight w:val="non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3" w:type="pct"/>
                  <w:vMerge w:val="restart"/>
                  <w:tcBorders>
                    <w:tl2br w:val="nil"/>
                    <w:tr2bl w:val="nil"/>
                  </w:tcBorders>
                  <w:vAlign w:val="center"/>
                </w:tcPr>
                <w:p>
                  <w:pPr>
                    <w:pStyle w:val="121"/>
                    <w:jc w:val="center"/>
                    <w:rPr>
                      <w:color w:val="auto"/>
                      <w:szCs w:val="21"/>
                      <w:highlight w:val="none"/>
                    </w:rPr>
                  </w:pPr>
                  <w:r>
                    <w:rPr>
                      <w:rFonts w:hint="eastAsia"/>
                      <w:color w:val="auto"/>
                      <w:szCs w:val="21"/>
                      <w:highlight w:val="none"/>
                    </w:rPr>
                    <w:t>ZH15250220001</w:t>
                  </w:r>
                </w:p>
              </w:tc>
              <w:tc>
                <w:tcPr>
                  <w:tcW w:w="477" w:type="pct"/>
                  <w:vMerge w:val="restart"/>
                  <w:tcBorders>
                    <w:tl2br w:val="nil"/>
                    <w:tr2bl w:val="nil"/>
                  </w:tcBorders>
                  <w:vAlign w:val="center"/>
                </w:tcPr>
                <w:p>
                  <w:pPr>
                    <w:widowControl/>
                    <w:jc w:val="center"/>
                    <w:rPr>
                      <w:color w:val="auto"/>
                      <w:szCs w:val="21"/>
                      <w:highlight w:val="none"/>
                    </w:rPr>
                  </w:pPr>
                  <w:r>
                    <w:rPr>
                      <w:color w:val="auto"/>
                      <w:szCs w:val="21"/>
                      <w:highlight w:val="none"/>
                    </w:rPr>
                    <w:t>锡林浩特市城镇开发边界</w:t>
                  </w:r>
                </w:p>
              </w:tc>
              <w:tc>
                <w:tcPr>
                  <w:tcW w:w="358" w:type="pct"/>
                  <w:vMerge w:val="restart"/>
                  <w:tcBorders>
                    <w:tl2br w:val="nil"/>
                    <w:tr2bl w:val="nil"/>
                  </w:tcBorders>
                  <w:vAlign w:val="center"/>
                </w:tcPr>
                <w:p>
                  <w:pPr>
                    <w:pStyle w:val="121"/>
                    <w:jc w:val="center"/>
                    <w:rPr>
                      <w:color w:val="auto"/>
                      <w:szCs w:val="21"/>
                      <w:highlight w:val="none"/>
                    </w:rPr>
                  </w:pPr>
                  <w:r>
                    <w:rPr>
                      <w:color w:val="auto"/>
                      <w:szCs w:val="21"/>
                      <w:highlight w:val="none"/>
                    </w:rPr>
                    <w:t>重点管控单元</w:t>
                  </w:r>
                </w:p>
              </w:tc>
              <w:tc>
                <w:tcPr>
                  <w:tcW w:w="324" w:type="pct"/>
                  <w:tcBorders>
                    <w:tl2br w:val="nil"/>
                    <w:tr2bl w:val="nil"/>
                  </w:tcBorders>
                  <w:vAlign w:val="center"/>
                </w:tcPr>
                <w:p>
                  <w:pPr>
                    <w:pStyle w:val="121"/>
                    <w:jc w:val="center"/>
                    <w:rPr>
                      <w:color w:val="auto"/>
                      <w:szCs w:val="21"/>
                      <w:highlight w:val="none"/>
                    </w:rPr>
                  </w:pPr>
                  <w:r>
                    <w:rPr>
                      <w:color w:val="auto"/>
                      <w:szCs w:val="21"/>
                      <w:highlight w:val="none"/>
                    </w:rPr>
                    <w:t>空间布局约束</w:t>
                  </w:r>
                </w:p>
              </w:tc>
              <w:tc>
                <w:tcPr>
                  <w:tcW w:w="1821" w:type="pct"/>
                  <w:tcBorders>
                    <w:tl2br w:val="nil"/>
                    <w:tr2bl w:val="nil"/>
                  </w:tcBorders>
                  <w:vAlign w:val="center"/>
                </w:tcPr>
                <w:p>
                  <w:pPr>
                    <w:pStyle w:val="121"/>
                    <w:rPr>
                      <w:rFonts w:hint="eastAsia"/>
                      <w:color w:val="auto"/>
                      <w:szCs w:val="21"/>
                      <w:highlight w:val="none"/>
                    </w:rPr>
                  </w:pPr>
                  <w:r>
                    <w:rPr>
                      <w:rFonts w:hint="eastAsia"/>
                      <w:color w:val="auto"/>
                      <w:szCs w:val="21"/>
                      <w:highlight w:val="none"/>
                    </w:rPr>
                    <w:t>执行锡林郭勒盟总体准入要求中第一条关于空间布局约束的准入要求。旗县（市、区）及以上城市建成区基本淘汰每小时10蒸吨及以下燃煤锅炉及茶水炉、经营性炉灶等燃煤设施，不再新建每小时35蒸吨以下的燃煤锅炉。禁止在城市主导风向上风向新建涉气重污染项目，形成有利于大气污染物扩散的城市空间布局。推进城市建成区重污染企业退城入园，对位于城市建成区范围内的污染严重企业，限期完成搬迁、改造，逾期不退城的依法予以停产。大气环境受体敏感区内，加大区域大气污染物减排力度，严格控制“两高”项目建设。禁止不符合园区产业定位及规划环评等要求的项目入园；国家明令淘汰的落后产能和不符合国家产业政策的项目，禁止向工业园区转移。高污染燃料禁燃区范围内禁止新建、改建、扩建燃用高污染燃料的设施；高污染燃料禁燃区范围内禁止销售、燃用高污染燃料，已建成使用高污染燃料设施的工业企业拆除高污染燃料设施或改用天然气、液化气、电等清洁能源，已使用天然气、液化气、电等清洁能源的各类设施严禁改用民用洁净型燃料或生物质成型燃料等燃料。高污染燃料禁燃区范围内居民生活类高污染燃料设施应加快改造，改用电、太阳能、天然气、民用洁净型燃料等清洁能源。</w:t>
                  </w:r>
                </w:p>
              </w:tc>
              <w:tc>
                <w:tcPr>
                  <w:tcW w:w="1179" w:type="pct"/>
                  <w:tcBorders>
                    <w:tl2br w:val="nil"/>
                    <w:tr2bl w:val="nil"/>
                  </w:tcBorders>
                  <w:vAlign w:val="center"/>
                </w:tcPr>
                <w:p>
                  <w:pPr>
                    <w:pStyle w:val="121"/>
                    <w:rPr>
                      <w:color w:val="auto"/>
                      <w:kern w:val="0"/>
                      <w:szCs w:val="21"/>
                      <w:highlight w:val="none"/>
                      <w:lang w:bidi="ar"/>
                    </w:rPr>
                  </w:pPr>
                  <w:r>
                    <w:rPr>
                      <w:color w:val="auto"/>
                      <w:kern w:val="0"/>
                      <w:szCs w:val="21"/>
                      <w:highlight w:val="none"/>
                      <w:lang w:bidi="ar"/>
                    </w:rPr>
                    <w:t>项目建设满足锡林郭勒盟总体准入要求中第</w:t>
                  </w:r>
                  <w:r>
                    <w:rPr>
                      <w:rFonts w:hint="eastAsia"/>
                      <w:color w:val="auto"/>
                      <w:kern w:val="0"/>
                      <w:szCs w:val="21"/>
                      <w:highlight w:val="none"/>
                      <w:lang w:bidi="ar"/>
                    </w:rPr>
                    <w:t>一</w:t>
                  </w:r>
                  <w:r>
                    <w:rPr>
                      <w:color w:val="auto"/>
                      <w:kern w:val="0"/>
                      <w:szCs w:val="21"/>
                      <w:highlight w:val="none"/>
                      <w:lang w:bidi="ar"/>
                    </w:rPr>
                    <w:t>条关于</w:t>
                  </w:r>
                  <w:r>
                    <w:rPr>
                      <w:color w:val="auto"/>
                      <w:szCs w:val="21"/>
                      <w:highlight w:val="none"/>
                    </w:rPr>
                    <w:t>空间布局约束</w:t>
                  </w:r>
                  <w:r>
                    <w:rPr>
                      <w:color w:val="auto"/>
                      <w:kern w:val="0"/>
                      <w:szCs w:val="21"/>
                      <w:highlight w:val="none"/>
                      <w:lang w:bidi="ar"/>
                    </w:rPr>
                    <w:t>的准入要求；</w:t>
                  </w:r>
                </w:p>
                <w:p>
                  <w:pPr>
                    <w:pStyle w:val="121"/>
                    <w:rPr>
                      <w:rFonts w:hint="eastAsia"/>
                      <w:color w:val="auto"/>
                      <w:szCs w:val="21"/>
                      <w:highlight w:val="none"/>
                    </w:rPr>
                  </w:pPr>
                  <w:r>
                    <w:rPr>
                      <w:color w:val="auto"/>
                      <w:szCs w:val="21"/>
                      <w:highlight w:val="none"/>
                    </w:rPr>
                    <w:t>本项目为</w:t>
                  </w:r>
                  <w:r>
                    <w:rPr>
                      <w:rFonts w:hint="eastAsia"/>
                      <w:color w:val="auto"/>
                      <w:szCs w:val="21"/>
                      <w:highlight w:val="none"/>
                      <w:lang w:val="en-US" w:eastAsia="zh-CN"/>
                    </w:rPr>
                    <w:t>医疗废物暂存间</w:t>
                  </w:r>
                  <w:r>
                    <w:rPr>
                      <w:rFonts w:hint="eastAsia"/>
                      <w:color w:val="auto"/>
                      <w:szCs w:val="21"/>
                      <w:highlight w:val="none"/>
                    </w:rPr>
                    <w:t>建设项目。</w:t>
                  </w:r>
                  <w:r>
                    <w:rPr>
                      <w:color w:val="auto"/>
                      <w:szCs w:val="21"/>
                      <w:highlight w:val="none"/>
                    </w:rPr>
                    <w:t>该</w:t>
                  </w:r>
                  <w:r>
                    <w:rPr>
                      <w:rFonts w:hint="eastAsia"/>
                      <w:color w:val="auto"/>
                      <w:szCs w:val="21"/>
                      <w:highlight w:val="none"/>
                      <w:lang w:val="en-US" w:eastAsia="zh-CN"/>
                    </w:rPr>
                    <w:t>医疗废物暂存间</w:t>
                  </w:r>
                  <w:r>
                    <w:rPr>
                      <w:color w:val="auto"/>
                      <w:szCs w:val="21"/>
                      <w:highlight w:val="none"/>
                    </w:rPr>
                    <w:t>服务于</w:t>
                  </w:r>
                  <w:r>
                    <w:rPr>
                      <w:rFonts w:hint="default" w:ascii="Times New Roman" w:hAnsi="Times New Roman" w:eastAsia="宋体" w:cs="Times New Roman"/>
                      <w:color w:val="auto"/>
                      <w:sz w:val="21"/>
                      <w:szCs w:val="21"/>
                      <w:highlight w:val="none"/>
                    </w:rPr>
                    <w:t>宝力根街道办事处社区卫生服务中心</w:t>
                  </w:r>
                  <w:r>
                    <w:rPr>
                      <w:color w:val="auto"/>
                      <w:szCs w:val="21"/>
                      <w:highlight w:val="none"/>
                    </w:rPr>
                    <w:t>。</w:t>
                  </w:r>
                  <w:r>
                    <w:rPr>
                      <w:rFonts w:hint="eastAsia"/>
                      <w:color w:val="auto"/>
                      <w:szCs w:val="21"/>
                      <w:highlight w:val="none"/>
                    </w:rPr>
                    <w:t>不属于重污染项目。</w:t>
                  </w:r>
                </w:p>
                <w:p>
                  <w:pPr>
                    <w:pStyle w:val="121"/>
                    <w:rPr>
                      <w:rFonts w:hint="default" w:eastAsia="宋体"/>
                      <w:color w:val="auto"/>
                      <w:szCs w:val="21"/>
                      <w:highlight w:val="none"/>
                      <w:lang w:val="en-US" w:eastAsia="zh-CN"/>
                    </w:rPr>
                  </w:pPr>
                  <w:r>
                    <w:rPr>
                      <w:rFonts w:hint="eastAsia"/>
                      <w:color w:val="auto"/>
                      <w:szCs w:val="21"/>
                      <w:highlight w:val="none"/>
                      <w:lang w:val="en-US" w:eastAsia="zh-CN"/>
                    </w:rPr>
                    <w:t>本项目医疗废物暂存间不属于</w:t>
                  </w:r>
                  <w:r>
                    <w:rPr>
                      <w:color w:val="auto"/>
                      <w:szCs w:val="21"/>
                      <w:highlight w:val="none"/>
                    </w:rPr>
                    <w:t>涉气重污染项目</w:t>
                  </w:r>
                  <w:r>
                    <w:rPr>
                      <w:rFonts w:hint="eastAsia"/>
                      <w:color w:val="auto"/>
                      <w:szCs w:val="21"/>
                      <w:highlight w:val="none"/>
                      <w:lang w:eastAsia="zh-CN"/>
                    </w:rPr>
                    <w:t>。</w:t>
                  </w:r>
                  <w:r>
                    <w:rPr>
                      <w:rFonts w:hint="eastAsia"/>
                      <w:color w:val="auto"/>
                      <w:szCs w:val="21"/>
                      <w:highlight w:val="none"/>
                      <w:lang w:val="en-US" w:eastAsia="zh-CN"/>
                    </w:rPr>
                    <w:t>不属于锅炉建设项目。不属于</w:t>
                  </w:r>
                  <w:r>
                    <w:rPr>
                      <w:color w:val="auto"/>
                      <w:szCs w:val="21"/>
                      <w:highlight w:val="none"/>
                    </w:rPr>
                    <w:t>“两高”项目</w:t>
                  </w:r>
                  <w:r>
                    <w:rPr>
                      <w:rFonts w:hint="eastAsia"/>
                      <w:color w:val="auto"/>
                      <w:szCs w:val="21"/>
                      <w:highlight w:val="none"/>
                      <w:lang w:eastAsia="zh-CN"/>
                    </w:rPr>
                    <w:t>。</w:t>
                  </w:r>
                  <w:r>
                    <w:rPr>
                      <w:rFonts w:hint="eastAsia"/>
                      <w:color w:val="auto"/>
                      <w:szCs w:val="21"/>
                      <w:highlight w:val="none"/>
                      <w:lang w:val="en-US" w:eastAsia="zh-CN"/>
                    </w:rPr>
                    <w:t>不涉及高污染燃料。</w:t>
                  </w:r>
                </w:p>
                <w:p>
                  <w:pPr>
                    <w:pStyle w:val="121"/>
                    <w:rPr>
                      <w:rFonts w:hint="eastAsia"/>
                      <w:color w:val="auto"/>
                      <w:szCs w:val="21"/>
                      <w:highlight w:val="none"/>
                      <w:lang w:val="en-US" w:eastAsia="zh-CN"/>
                    </w:rPr>
                  </w:pPr>
                </w:p>
              </w:tc>
              <w:tc>
                <w:tcPr>
                  <w:tcW w:w="364" w:type="pct"/>
                  <w:tcBorders>
                    <w:tl2br w:val="nil"/>
                    <w:tr2bl w:val="nil"/>
                  </w:tcBorders>
                  <w:vAlign w:val="center"/>
                </w:tcPr>
                <w:p>
                  <w:pPr>
                    <w:pStyle w:val="121"/>
                    <w:rPr>
                      <w:color w:val="auto"/>
                      <w:szCs w:val="21"/>
                      <w:highlight w:val="none"/>
                    </w:rPr>
                  </w:pPr>
                  <w:r>
                    <w:rPr>
                      <w:color w:val="auto"/>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3" w:type="pct"/>
                  <w:vMerge w:val="continue"/>
                  <w:tcBorders>
                    <w:tl2br w:val="nil"/>
                    <w:tr2bl w:val="nil"/>
                  </w:tcBorders>
                  <w:vAlign w:val="center"/>
                </w:tcPr>
                <w:p>
                  <w:pPr>
                    <w:pStyle w:val="121"/>
                    <w:jc w:val="center"/>
                    <w:rPr>
                      <w:color w:val="auto"/>
                      <w:szCs w:val="21"/>
                      <w:highlight w:val="none"/>
                    </w:rPr>
                  </w:pPr>
                </w:p>
              </w:tc>
              <w:tc>
                <w:tcPr>
                  <w:tcW w:w="477" w:type="pct"/>
                  <w:vMerge w:val="continue"/>
                  <w:tcBorders>
                    <w:tl2br w:val="nil"/>
                    <w:tr2bl w:val="nil"/>
                  </w:tcBorders>
                  <w:vAlign w:val="center"/>
                </w:tcPr>
                <w:p>
                  <w:pPr>
                    <w:pStyle w:val="121"/>
                    <w:jc w:val="center"/>
                    <w:rPr>
                      <w:color w:val="auto"/>
                      <w:szCs w:val="21"/>
                      <w:highlight w:val="none"/>
                    </w:rPr>
                  </w:pPr>
                </w:p>
              </w:tc>
              <w:tc>
                <w:tcPr>
                  <w:tcW w:w="358" w:type="pct"/>
                  <w:vMerge w:val="continue"/>
                  <w:tcBorders>
                    <w:tl2br w:val="nil"/>
                    <w:tr2bl w:val="nil"/>
                  </w:tcBorders>
                  <w:vAlign w:val="center"/>
                </w:tcPr>
                <w:p>
                  <w:pPr>
                    <w:pStyle w:val="121"/>
                    <w:jc w:val="center"/>
                    <w:rPr>
                      <w:color w:val="auto"/>
                      <w:szCs w:val="21"/>
                      <w:highlight w:val="none"/>
                    </w:rPr>
                  </w:pPr>
                </w:p>
              </w:tc>
              <w:tc>
                <w:tcPr>
                  <w:tcW w:w="324" w:type="pct"/>
                  <w:tcBorders>
                    <w:tl2br w:val="nil"/>
                    <w:tr2bl w:val="nil"/>
                  </w:tcBorders>
                  <w:vAlign w:val="center"/>
                </w:tcPr>
                <w:p>
                  <w:pPr>
                    <w:pStyle w:val="121"/>
                    <w:jc w:val="center"/>
                    <w:rPr>
                      <w:color w:val="auto"/>
                      <w:szCs w:val="21"/>
                      <w:highlight w:val="none"/>
                    </w:rPr>
                  </w:pPr>
                  <w:r>
                    <w:rPr>
                      <w:color w:val="auto"/>
                      <w:szCs w:val="21"/>
                      <w:highlight w:val="none"/>
                    </w:rPr>
                    <w:t>污染物排放管控</w:t>
                  </w:r>
                </w:p>
              </w:tc>
              <w:tc>
                <w:tcPr>
                  <w:tcW w:w="1821" w:type="pct"/>
                  <w:tcBorders>
                    <w:tl2br w:val="nil"/>
                    <w:tr2bl w:val="nil"/>
                  </w:tcBorders>
                  <w:vAlign w:val="center"/>
                </w:tcPr>
                <w:p>
                  <w:pPr>
                    <w:pStyle w:val="121"/>
                    <w:rPr>
                      <w:color w:val="auto"/>
                      <w:szCs w:val="21"/>
                      <w:highlight w:val="none"/>
                    </w:rPr>
                  </w:pPr>
                  <w:r>
                    <w:rPr>
                      <w:rFonts w:hint="eastAsia"/>
                      <w:color w:val="auto"/>
                      <w:szCs w:val="21"/>
                      <w:highlight w:val="none"/>
                    </w:rPr>
                    <w:t>执行锡林郭勒盟总体准入要求中第二条关于污染物排放管控的准入要求。所有新建城镇污水处理设施要执行一级A排放标准。新建排放重金属污染物的建设项目全面执行重金属重点污染物排放限值要求。入区企业必须采用先进的、密封性能好的生产设备、化学物料存贮容器和输送管道，最大限度减少无组织废气排放；同时还要采用先进的治理和回收技术，严格按照有关规定，实现达标排放。优先引进污染轻、技术先进、生产规模大的项目。入区企业提出明确的废气污染源治理要求，必须确保其达标排放后才可批准生产。同时确保“三同时”制度的执行，对污染物排放量进行全过程控制。未达到国Ⅳ排放标准限值的货车禁止进入市区“禁限行”区域和路段通行。高排放非道路移动机械禁用区范围内禁止使用《非道路移动机械用柴油机排气污染物排放限值及测量方法（中国第Ⅰ、Ⅱ阶段）》（GB20891-2007）中的国Ⅲ以前标准的非道路移动机械。</w:t>
                  </w:r>
                </w:p>
              </w:tc>
              <w:tc>
                <w:tcPr>
                  <w:tcW w:w="1179" w:type="pct"/>
                  <w:tcBorders>
                    <w:tl2br w:val="nil"/>
                    <w:tr2bl w:val="nil"/>
                  </w:tcBorders>
                  <w:vAlign w:val="center"/>
                </w:tcPr>
                <w:p>
                  <w:pPr>
                    <w:pStyle w:val="121"/>
                    <w:rPr>
                      <w:color w:val="auto"/>
                      <w:kern w:val="0"/>
                      <w:szCs w:val="21"/>
                      <w:highlight w:val="none"/>
                      <w:lang w:bidi="ar"/>
                    </w:rPr>
                  </w:pPr>
                  <w:r>
                    <w:rPr>
                      <w:color w:val="auto"/>
                      <w:kern w:val="0"/>
                      <w:szCs w:val="21"/>
                      <w:highlight w:val="none"/>
                      <w:lang w:bidi="ar"/>
                    </w:rPr>
                    <w:t>项目建设满足锡林郭勒盟总体准入要求中第二条关于污染物排放管控的准入要求；</w:t>
                  </w:r>
                </w:p>
                <w:p>
                  <w:pPr>
                    <w:pStyle w:val="121"/>
                    <w:rPr>
                      <w:rFonts w:hint="eastAsia" w:eastAsia="宋体"/>
                      <w:color w:val="auto"/>
                      <w:kern w:val="0"/>
                      <w:szCs w:val="21"/>
                      <w:highlight w:val="none"/>
                      <w:lang w:val="en-US" w:eastAsia="zh-CN" w:bidi="ar"/>
                    </w:rPr>
                  </w:pPr>
                  <w:r>
                    <w:rPr>
                      <w:color w:val="auto"/>
                      <w:kern w:val="0"/>
                      <w:szCs w:val="21"/>
                      <w:highlight w:val="none"/>
                      <w:lang w:bidi="ar"/>
                    </w:rPr>
                    <w:t>本项目</w:t>
                  </w:r>
                  <w:r>
                    <w:rPr>
                      <w:color w:val="auto"/>
                      <w:szCs w:val="21"/>
                      <w:highlight w:val="none"/>
                    </w:rPr>
                    <w:t>为</w:t>
                  </w:r>
                  <w:r>
                    <w:rPr>
                      <w:rFonts w:hint="eastAsia"/>
                      <w:color w:val="auto"/>
                      <w:szCs w:val="21"/>
                      <w:highlight w:val="none"/>
                      <w:lang w:val="en-US" w:eastAsia="zh-CN"/>
                    </w:rPr>
                    <w:t>医疗废物暂存间</w:t>
                  </w:r>
                  <w:r>
                    <w:rPr>
                      <w:rFonts w:hint="eastAsia"/>
                      <w:color w:val="auto"/>
                      <w:szCs w:val="21"/>
                      <w:highlight w:val="none"/>
                    </w:rPr>
                    <w:t>建设项目。</w:t>
                  </w:r>
                  <w:r>
                    <w:rPr>
                      <w:color w:val="auto"/>
                      <w:kern w:val="0"/>
                      <w:szCs w:val="21"/>
                      <w:highlight w:val="none"/>
                      <w:lang w:bidi="ar"/>
                    </w:rPr>
                    <w:t>不属于矿产开采项目；本项目不排放重金属污染物</w:t>
                  </w:r>
                  <w:r>
                    <w:rPr>
                      <w:rFonts w:hint="eastAsia"/>
                      <w:color w:val="auto"/>
                      <w:kern w:val="0"/>
                      <w:szCs w:val="21"/>
                      <w:highlight w:val="none"/>
                      <w:lang w:eastAsia="zh-CN" w:bidi="ar"/>
                    </w:rPr>
                    <w:t>；</w:t>
                  </w:r>
                  <w:r>
                    <w:rPr>
                      <w:rFonts w:hint="eastAsia"/>
                      <w:color w:val="auto"/>
                      <w:kern w:val="0"/>
                      <w:szCs w:val="21"/>
                      <w:highlight w:val="none"/>
                      <w:lang w:val="en-US" w:eastAsia="zh-CN" w:bidi="ar"/>
                    </w:rPr>
                    <w:t>本项目运营期不产生废水；未涉及</w:t>
                  </w:r>
                  <w:r>
                    <w:rPr>
                      <w:color w:val="auto"/>
                      <w:szCs w:val="21"/>
                      <w:highlight w:val="none"/>
                    </w:rPr>
                    <w:t>高排放非道路移动机械禁</w:t>
                  </w:r>
                  <w:r>
                    <w:rPr>
                      <w:rFonts w:hint="eastAsia"/>
                      <w:color w:val="auto"/>
                      <w:szCs w:val="21"/>
                      <w:highlight w:val="none"/>
                      <w:lang w:eastAsia="zh-CN"/>
                    </w:rPr>
                    <w:t>。</w:t>
                  </w:r>
                </w:p>
              </w:tc>
              <w:tc>
                <w:tcPr>
                  <w:tcW w:w="364" w:type="pct"/>
                  <w:tcBorders>
                    <w:tl2br w:val="nil"/>
                    <w:tr2bl w:val="nil"/>
                  </w:tcBorders>
                  <w:vAlign w:val="center"/>
                </w:tcPr>
                <w:p>
                  <w:pPr>
                    <w:pStyle w:val="121"/>
                    <w:jc w:val="center"/>
                    <w:rPr>
                      <w:color w:val="auto"/>
                      <w:kern w:val="0"/>
                      <w:szCs w:val="21"/>
                      <w:highlight w:val="none"/>
                      <w:lang w:bidi="ar"/>
                    </w:rPr>
                  </w:pPr>
                  <w:r>
                    <w:rPr>
                      <w:color w:val="auto"/>
                      <w:kern w:val="0"/>
                      <w:szCs w:val="21"/>
                      <w:highlight w:val="none"/>
                      <w:lang w:bidi="ar"/>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3" w:type="pct"/>
                  <w:vMerge w:val="continue"/>
                  <w:tcBorders>
                    <w:tl2br w:val="nil"/>
                    <w:tr2bl w:val="nil"/>
                  </w:tcBorders>
                  <w:vAlign w:val="center"/>
                </w:tcPr>
                <w:p>
                  <w:pPr>
                    <w:pStyle w:val="121"/>
                    <w:jc w:val="center"/>
                    <w:rPr>
                      <w:color w:val="auto"/>
                      <w:szCs w:val="21"/>
                      <w:highlight w:val="none"/>
                    </w:rPr>
                  </w:pPr>
                </w:p>
              </w:tc>
              <w:tc>
                <w:tcPr>
                  <w:tcW w:w="477" w:type="pct"/>
                  <w:vMerge w:val="continue"/>
                  <w:tcBorders>
                    <w:tl2br w:val="nil"/>
                    <w:tr2bl w:val="nil"/>
                  </w:tcBorders>
                  <w:vAlign w:val="center"/>
                </w:tcPr>
                <w:p>
                  <w:pPr>
                    <w:pStyle w:val="121"/>
                    <w:jc w:val="center"/>
                    <w:rPr>
                      <w:color w:val="auto"/>
                      <w:szCs w:val="21"/>
                      <w:highlight w:val="none"/>
                    </w:rPr>
                  </w:pPr>
                </w:p>
              </w:tc>
              <w:tc>
                <w:tcPr>
                  <w:tcW w:w="358" w:type="pct"/>
                  <w:vMerge w:val="continue"/>
                  <w:tcBorders>
                    <w:tl2br w:val="nil"/>
                    <w:tr2bl w:val="nil"/>
                  </w:tcBorders>
                  <w:vAlign w:val="center"/>
                </w:tcPr>
                <w:p>
                  <w:pPr>
                    <w:pStyle w:val="121"/>
                    <w:jc w:val="center"/>
                    <w:rPr>
                      <w:color w:val="auto"/>
                      <w:szCs w:val="21"/>
                      <w:highlight w:val="none"/>
                    </w:rPr>
                  </w:pPr>
                </w:p>
              </w:tc>
              <w:tc>
                <w:tcPr>
                  <w:tcW w:w="324" w:type="pct"/>
                  <w:tcBorders>
                    <w:tl2br w:val="nil"/>
                    <w:tr2bl w:val="nil"/>
                  </w:tcBorders>
                  <w:vAlign w:val="center"/>
                </w:tcPr>
                <w:p>
                  <w:pPr>
                    <w:pStyle w:val="121"/>
                    <w:jc w:val="center"/>
                    <w:rPr>
                      <w:color w:val="auto"/>
                      <w:szCs w:val="21"/>
                      <w:highlight w:val="none"/>
                    </w:rPr>
                  </w:pPr>
                  <w:r>
                    <w:rPr>
                      <w:color w:val="auto"/>
                      <w:szCs w:val="21"/>
                      <w:highlight w:val="none"/>
                    </w:rPr>
                    <w:t>环境风防控</w:t>
                  </w:r>
                </w:p>
              </w:tc>
              <w:tc>
                <w:tcPr>
                  <w:tcW w:w="1821" w:type="pct"/>
                  <w:tcBorders>
                    <w:tl2br w:val="nil"/>
                    <w:tr2bl w:val="nil"/>
                  </w:tcBorders>
                  <w:vAlign w:val="center"/>
                </w:tcPr>
                <w:p>
                  <w:pPr>
                    <w:pStyle w:val="121"/>
                    <w:rPr>
                      <w:color w:val="auto"/>
                      <w:szCs w:val="21"/>
                      <w:highlight w:val="none"/>
                    </w:rPr>
                  </w:pPr>
                  <w:r>
                    <w:rPr>
                      <w:rFonts w:hint="eastAsia"/>
                      <w:color w:val="auto"/>
                      <w:szCs w:val="21"/>
                      <w:highlight w:val="none"/>
                    </w:rPr>
                    <w:t>执行锡林郭勒盟总体准入要求中第三条关于环境风险防控的准入要求。严格高能耗、高物耗和产能过剩、低水平重复建设项目，以及涉及其他具有重大环境风险建设项目的环评审批。积极推进区域联防联控工作，开展空气质量中长期趋势预测，完善重度及以上污染天气的区域联合预警机制，加强各级环保与气象部门业务合作和信息共享。当预测到区域将出现大范围重污染天气时，统一发布预警信息、各地按级别启动应急响应措施，实施区域应急联动。园区应建立突发环境事件应急防控体系，增强突发环境事件处置能力。严格落实工业集聚区环境风险各项防控措施。对高风险化学品生产、使用进行严格限制，并逐步淘汰替代。开展涉危涉化企业、有风险隐患的渣场等风险排查和整改工作，及时消除隐患。按要求建设园区隔离带、绿化防护带等设施。建立完备的事故废水调储系统。厂区分区防渗；建立区域土壤及地下水监测监控体系。</w:t>
                  </w:r>
                </w:p>
              </w:tc>
              <w:tc>
                <w:tcPr>
                  <w:tcW w:w="1179" w:type="pct"/>
                  <w:tcBorders>
                    <w:tl2br w:val="nil"/>
                    <w:tr2bl w:val="nil"/>
                  </w:tcBorders>
                  <w:vAlign w:val="center"/>
                </w:tcPr>
                <w:p>
                  <w:pPr>
                    <w:pStyle w:val="121"/>
                    <w:rPr>
                      <w:color w:val="auto"/>
                      <w:kern w:val="0"/>
                      <w:szCs w:val="21"/>
                      <w:highlight w:val="none"/>
                      <w:lang w:bidi="ar"/>
                    </w:rPr>
                  </w:pPr>
                  <w:r>
                    <w:rPr>
                      <w:color w:val="auto"/>
                      <w:kern w:val="0"/>
                      <w:szCs w:val="21"/>
                      <w:highlight w:val="none"/>
                      <w:lang w:bidi="ar"/>
                    </w:rPr>
                    <w:t>满足锡林郭勒盟总体准入要求中第三条关于环境风险防控的准入要求。</w:t>
                  </w:r>
                </w:p>
                <w:p>
                  <w:pPr>
                    <w:pStyle w:val="121"/>
                    <w:rPr>
                      <w:rFonts w:hint="default" w:eastAsia="宋体"/>
                      <w:color w:val="auto"/>
                      <w:kern w:val="0"/>
                      <w:szCs w:val="21"/>
                      <w:highlight w:val="none"/>
                      <w:lang w:val="en-US" w:eastAsia="zh-CN" w:bidi="ar"/>
                    </w:rPr>
                  </w:pPr>
                  <w:r>
                    <w:rPr>
                      <w:rFonts w:hint="eastAsia"/>
                      <w:color w:val="auto"/>
                      <w:kern w:val="0"/>
                      <w:szCs w:val="21"/>
                      <w:highlight w:val="none"/>
                      <w:lang w:val="en-US" w:eastAsia="zh-CN" w:bidi="ar"/>
                    </w:rPr>
                    <w:t>本项目不属于</w:t>
                  </w:r>
                  <w:r>
                    <w:rPr>
                      <w:color w:val="auto"/>
                      <w:szCs w:val="21"/>
                      <w:highlight w:val="none"/>
                    </w:rPr>
                    <w:t>高能耗、高物耗和产能过剩、低水平重复建设项目</w:t>
                  </w:r>
                  <w:r>
                    <w:rPr>
                      <w:rFonts w:hint="eastAsia"/>
                      <w:color w:val="auto"/>
                      <w:szCs w:val="21"/>
                      <w:highlight w:val="none"/>
                      <w:lang w:eastAsia="zh-CN"/>
                    </w:rPr>
                    <w:t>；</w:t>
                  </w:r>
                  <w:r>
                    <w:rPr>
                      <w:rFonts w:hint="eastAsia"/>
                      <w:color w:val="auto"/>
                      <w:szCs w:val="21"/>
                      <w:highlight w:val="none"/>
                      <w:lang w:val="en-US" w:eastAsia="zh-CN"/>
                    </w:rPr>
                    <w:t>本项目为医疗废物暂存间建设项目，运营期间环境污染较小。</w:t>
                  </w:r>
                </w:p>
              </w:tc>
              <w:tc>
                <w:tcPr>
                  <w:tcW w:w="364" w:type="pct"/>
                  <w:tcBorders>
                    <w:tl2br w:val="nil"/>
                    <w:tr2bl w:val="nil"/>
                  </w:tcBorders>
                  <w:vAlign w:val="center"/>
                </w:tcPr>
                <w:p>
                  <w:pPr>
                    <w:pStyle w:val="121"/>
                    <w:jc w:val="center"/>
                    <w:rPr>
                      <w:color w:val="auto"/>
                      <w:szCs w:val="21"/>
                      <w:highlight w:val="none"/>
                    </w:rPr>
                  </w:pPr>
                  <w:r>
                    <w:rPr>
                      <w:color w:val="auto"/>
                      <w:kern w:val="0"/>
                      <w:szCs w:val="21"/>
                      <w:highlight w:val="none"/>
                      <w:lang w:bidi="ar"/>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3" w:type="pct"/>
                  <w:vMerge w:val="continue"/>
                  <w:tcBorders>
                    <w:tl2br w:val="nil"/>
                    <w:tr2bl w:val="nil"/>
                  </w:tcBorders>
                  <w:vAlign w:val="center"/>
                </w:tcPr>
                <w:p>
                  <w:pPr>
                    <w:pStyle w:val="121"/>
                    <w:jc w:val="center"/>
                    <w:rPr>
                      <w:color w:val="auto"/>
                      <w:szCs w:val="21"/>
                      <w:highlight w:val="none"/>
                    </w:rPr>
                  </w:pPr>
                </w:p>
              </w:tc>
              <w:tc>
                <w:tcPr>
                  <w:tcW w:w="477" w:type="pct"/>
                  <w:vMerge w:val="continue"/>
                  <w:tcBorders>
                    <w:tl2br w:val="nil"/>
                    <w:tr2bl w:val="nil"/>
                  </w:tcBorders>
                  <w:vAlign w:val="center"/>
                </w:tcPr>
                <w:p>
                  <w:pPr>
                    <w:pStyle w:val="121"/>
                    <w:jc w:val="center"/>
                    <w:rPr>
                      <w:color w:val="auto"/>
                      <w:szCs w:val="21"/>
                      <w:highlight w:val="none"/>
                    </w:rPr>
                  </w:pPr>
                </w:p>
              </w:tc>
              <w:tc>
                <w:tcPr>
                  <w:tcW w:w="358" w:type="pct"/>
                  <w:vMerge w:val="continue"/>
                  <w:tcBorders>
                    <w:tl2br w:val="nil"/>
                    <w:tr2bl w:val="nil"/>
                  </w:tcBorders>
                  <w:vAlign w:val="center"/>
                </w:tcPr>
                <w:p>
                  <w:pPr>
                    <w:pStyle w:val="121"/>
                    <w:jc w:val="center"/>
                    <w:rPr>
                      <w:color w:val="auto"/>
                      <w:szCs w:val="21"/>
                      <w:highlight w:val="none"/>
                    </w:rPr>
                  </w:pPr>
                </w:p>
              </w:tc>
              <w:tc>
                <w:tcPr>
                  <w:tcW w:w="324" w:type="pct"/>
                  <w:tcBorders>
                    <w:tl2br w:val="nil"/>
                    <w:tr2bl w:val="nil"/>
                  </w:tcBorders>
                  <w:vAlign w:val="center"/>
                </w:tcPr>
                <w:p>
                  <w:pPr>
                    <w:pStyle w:val="121"/>
                    <w:jc w:val="center"/>
                    <w:rPr>
                      <w:color w:val="auto"/>
                      <w:szCs w:val="21"/>
                      <w:highlight w:val="none"/>
                    </w:rPr>
                  </w:pPr>
                  <w:r>
                    <w:rPr>
                      <w:color w:val="auto"/>
                      <w:szCs w:val="21"/>
                      <w:highlight w:val="none"/>
                    </w:rPr>
                    <w:t>资源利用效率要求</w:t>
                  </w:r>
                </w:p>
              </w:tc>
              <w:tc>
                <w:tcPr>
                  <w:tcW w:w="1821" w:type="pct"/>
                  <w:tcBorders>
                    <w:tl2br w:val="nil"/>
                    <w:tr2bl w:val="nil"/>
                  </w:tcBorders>
                  <w:vAlign w:val="center"/>
                </w:tcPr>
                <w:p>
                  <w:pPr>
                    <w:pStyle w:val="121"/>
                    <w:rPr>
                      <w:color w:val="auto"/>
                      <w:szCs w:val="21"/>
                      <w:highlight w:val="none"/>
                    </w:rPr>
                  </w:pPr>
                  <w:r>
                    <w:rPr>
                      <w:rFonts w:hint="eastAsia"/>
                      <w:color w:val="auto"/>
                      <w:szCs w:val="21"/>
                      <w:highlight w:val="none"/>
                    </w:rPr>
                    <w:t>严控地下水超采。严格执行《地下水超采区和重要地下水水源地水位与水量双控方案》，落实压减灌溉面积、节水改造、水源置换及监测等各项措施，超采区内不予审批工农业生产及服务业新增取用地下水。加强超采区压采和替代水源建设，确保按治理方案落实压减灌溉面积、节水改造、水源置换及监测等各项措施。实行地下水“五控”制度。“五控”即严格管控地下水开发利用总量、水位、用途、水质及机电井数量。加强城镇节约用水。推广节水器具和节水产品，加强城镇供水管网改造、降低公共供水管网漏损率。推进城镇生活、绿化、水景观及第三产业节水改造。城镇园林绿化要选用节水耐旱型植物，注重雨水的回收利用，提倡使用再生水浇灌，采用微喷、滴灌等节水设施。积极开展公共机构节水型单位创建工作。严格落实节水“三同时”制度。新建、改建、扩建的高耗水工业项目，禁止擅自使用地下水。已建高耗水工业项目使用地下水的，应当采取节水措施，逐步减少地下水开采量。有条件的，应当将地下水水源替换为非常规水源或者地表水水源。食品、制药等符合取用地下水的项目，须经有管理权限的水行政主管部门批准。</w:t>
                  </w:r>
                </w:p>
              </w:tc>
              <w:tc>
                <w:tcPr>
                  <w:tcW w:w="1179" w:type="pct"/>
                  <w:tcBorders>
                    <w:tl2br w:val="nil"/>
                    <w:tr2bl w:val="nil"/>
                  </w:tcBorders>
                  <w:vAlign w:val="center"/>
                </w:tcPr>
                <w:p>
                  <w:pPr>
                    <w:pStyle w:val="121"/>
                    <w:rPr>
                      <w:rFonts w:hint="default" w:eastAsia="宋体"/>
                      <w:color w:val="auto"/>
                      <w:szCs w:val="21"/>
                      <w:highlight w:val="none"/>
                      <w:lang w:val="en-US" w:eastAsia="zh-CN"/>
                    </w:rPr>
                  </w:pPr>
                  <w:r>
                    <w:rPr>
                      <w:rFonts w:hint="eastAsia"/>
                      <w:color w:val="auto"/>
                      <w:szCs w:val="21"/>
                      <w:highlight w:val="none"/>
                    </w:rPr>
                    <w:t>本项目</w:t>
                  </w:r>
                  <w:r>
                    <w:rPr>
                      <w:color w:val="auto"/>
                      <w:szCs w:val="21"/>
                      <w:highlight w:val="none"/>
                    </w:rPr>
                    <w:t>为</w:t>
                  </w:r>
                  <w:r>
                    <w:rPr>
                      <w:rFonts w:hint="eastAsia"/>
                      <w:color w:val="auto"/>
                      <w:szCs w:val="21"/>
                      <w:highlight w:val="none"/>
                      <w:lang w:val="en-US" w:eastAsia="zh-CN"/>
                    </w:rPr>
                    <w:t>医疗废物暂存间建设项目</w:t>
                  </w:r>
                  <w:r>
                    <w:rPr>
                      <w:rFonts w:hint="eastAsia"/>
                      <w:color w:val="auto"/>
                      <w:szCs w:val="21"/>
                      <w:highlight w:val="none"/>
                    </w:rPr>
                    <w:t>。不涉及地下水开采。</w:t>
                  </w:r>
                  <w:r>
                    <w:rPr>
                      <w:rFonts w:hint="eastAsia"/>
                      <w:color w:val="auto"/>
                      <w:szCs w:val="21"/>
                      <w:highlight w:val="none"/>
                      <w:lang w:val="en-US" w:eastAsia="zh-CN"/>
                    </w:rPr>
                    <w:t>运营期用水主要为消毒用水，用水量较小。</w:t>
                  </w:r>
                </w:p>
              </w:tc>
              <w:tc>
                <w:tcPr>
                  <w:tcW w:w="364" w:type="pct"/>
                  <w:tcBorders>
                    <w:tl2br w:val="nil"/>
                    <w:tr2bl w:val="nil"/>
                  </w:tcBorders>
                  <w:vAlign w:val="center"/>
                </w:tcPr>
                <w:p>
                  <w:pPr>
                    <w:pStyle w:val="121"/>
                    <w:jc w:val="center"/>
                    <w:rPr>
                      <w:color w:val="auto"/>
                      <w:szCs w:val="21"/>
                      <w:highlight w:val="none"/>
                    </w:rPr>
                  </w:pPr>
                  <w:r>
                    <w:rPr>
                      <w:color w:val="auto"/>
                      <w:kern w:val="0"/>
                      <w:szCs w:val="21"/>
                      <w:highlight w:val="none"/>
                      <w:lang w:bidi="ar"/>
                    </w:rPr>
                    <w:t>符合</w:t>
                  </w:r>
                </w:p>
              </w:tc>
            </w:tr>
          </w:tbl>
          <w:p>
            <w:pPr>
              <w:spacing w:line="360" w:lineRule="auto"/>
              <w:ind w:firstLine="480" w:firstLineChars="200"/>
              <w:rPr>
                <w:rFonts w:hint="eastAsia"/>
                <w:color w:val="auto"/>
                <w:sz w:val="24"/>
                <w:highlight w:val="none"/>
              </w:rPr>
            </w:pPr>
            <w:r>
              <w:rPr>
                <w:rFonts w:hint="eastAsia"/>
                <w:color w:val="auto"/>
                <w:sz w:val="24"/>
                <w:highlight w:val="none"/>
              </w:rPr>
              <w:t>综上分析，本项目的建设符合“生态红线、环境质量底线、资源利用上线和生态环境准入清单”的相关要求。</w:t>
            </w:r>
          </w:p>
          <w:p>
            <w:pPr>
              <w:rPr>
                <w:rFonts w:hint="eastAsia"/>
                <w:color w:val="auto"/>
                <w:lang w:eastAsia="zh-CN"/>
              </w:rPr>
            </w:pPr>
          </w:p>
          <w:p>
            <w:pPr>
              <w:pStyle w:val="6"/>
              <w:rPr>
                <w:rFonts w:hint="eastAsia"/>
                <w:color w:val="auto"/>
                <w:lang w:eastAsia="zh-CN"/>
              </w:rPr>
            </w:pPr>
          </w:p>
          <w:p>
            <w:pPr>
              <w:rPr>
                <w:rFonts w:hint="eastAsia"/>
                <w:color w:val="auto"/>
                <w:lang w:eastAsia="zh-CN"/>
              </w:rPr>
            </w:pPr>
          </w:p>
          <w:p>
            <w:pPr>
              <w:rPr>
                <w:rFonts w:hint="eastAsia"/>
                <w:color w:val="auto"/>
                <w:lang w:eastAsia="zh-CN"/>
              </w:rPr>
            </w:pPr>
          </w:p>
          <w:p>
            <w:pPr>
              <w:rPr>
                <w:rFonts w:hint="eastAsia"/>
                <w:color w:val="auto"/>
                <w:lang w:eastAsia="zh-CN"/>
              </w:rPr>
            </w:pPr>
          </w:p>
          <w:p>
            <w:pPr>
              <w:rPr>
                <w:rFonts w:hint="eastAsia"/>
                <w:color w:val="auto"/>
                <w:lang w:eastAsia="zh-CN"/>
              </w:rPr>
            </w:pPr>
          </w:p>
          <w:p>
            <w:pPr>
              <w:rPr>
                <w:rFonts w:hint="eastAsia"/>
                <w:color w:val="auto"/>
                <w:lang w:eastAsia="zh-CN"/>
              </w:rPr>
            </w:pPr>
          </w:p>
        </w:tc>
      </w:tr>
    </w:tbl>
    <w:p>
      <w:pPr>
        <w:pStyle w:val="7"/>
        <w:ind w:left="0" w:leftChars="0" w:firstLine="0" w:firstLineChars="0"/>
        <w:rPr>
          <w:color w:val="auto"/>
        </w:rPr>
        <w:sectPr>
          <w:headerReference r:id="rId4" w:type="default"/>
          <w:footerReference r:id="rId5"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tabs>
          <w:tab w:val="left" w:pos="0"/>
        </w:tabs>
        <w:snapToGrid w:val="0"/>
        <w:jc w:val="center"/>
        <w:outlineLvl w:val="0"/>
        <w:rPr>
          <w:b/>
          <w:color w:val="auto"/>
          <w:sz w:val="32"/>
        </w:rPr>
      </w:pPr>
      <w:r>
        <w:rPr>
          <w:rFonts w:hint="eastAsia"/>
          <w:b/>
          <w:color w:val="auto"/>
          <w:sz w:val="32"/>
          <w:lang w:val="en-US" w:eastAsia="zh-CN"/>
        </w:rPr>
        <w:t>二、</w:t>
      </w:r>
      <w:r>
        <w:rPr>
          <w:b/>
          <w:color w:val="auto"/>
          <w:sz w:val="32"/>
        </w:rPr>
        <w:t>建设项目工程分析</w:t>
      </w:r>
    </w:p>
    <w:tbl>
      <w:tblPr>
        <w:tblStyle w:val="30"/>
        <w:tblW w:w="92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87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0" w:type="dxa"/>
            <w:vAlign w:val="center"/>
          </w:tcPr>
          <w:p>
            <w:pPr>
              <w:pStyle w:val="26"/>
              <w:adjustRightInd w:val="0"/>
              <w:snapToGrid w:val="0"/>
              <w:spacing w:before="0" w:beforeAutospacing="0" w:after="0" w:afterAutospacing="0"/>
              <w:jc w:val="center"/>
              <w:rPr>
                <w:rFonts w:ascii="Times New Roman" w:hAnsi="Times New Roman" w:eastAsia="宋体"/>
                <w:color w:val="auto"/>
                <w:szCs w:val="24"/>
              </w:rPr>
            </w:pPr>
            <w:r>
              <w:rPr>
                <w:rFonts w:ascii="Times New Roman" w:hAnsi="Times New Roman" w:eastAsia="宋体"/>
                <w:color w:val="auto"/>
                <w:szCs w:val="24"/>
              </w:rPr>
              <w:t>建设内容</w:t>
            </w:r>
          </w:p>
        </w:tc>
        <w:tc>
          <w:tcPr>
            <w:tcW w:w="8728" w:type="dxa"/>
          </w:tcPr>
          <w:p>
            <w:pPr>
              <w:pStyle w:val="23"/>
              <w:spacing w:line="360" w:lineRule="auto"/>
              <w:ind w:firstLine="482" w:firstLineChars="200"/>
              <w:rPr>
                <w:rFonts w:hint="default" w:ascii="Times New Roman" w:hAnsi="Times New Roman" w:eastAsia="宋体" w:cs="Times New Roman"/>
                <w:b/>
                <w:color w:val="auto"/>
                <w:sz w:val="24"/>
                <w:szCs w:val="24"/>
                <w:highlight w:val="none"/>
                <w:lang w:val="zh-CN"/>
              </w:rPr>
            </w:pPr>
            <w:r>
              <w:rPr>
                <w:rFonts w:hint="default" w:ascii="Times New Roman" w:hAnsi="Times New Roman" w:eastAsia="宋体" w:cs="Times New Roman"/>
                <w:b/>
                <w:color w:val="auto"/>
                <w:sz w:val="24"/>
                <w:szCs w:val="24"/>
                <w:highlight w:val="none"/>
              </w:rPr>
              <w:t>一、</w:t>
            </w:r>
            <w:r>
              <w:rPr>
                <w:rFonts w:hint="default" w:ascii="Times New Roman" w:hAnsi="Times New Roman" w:eastAsia="宋体" w:cs="Times New Roman"/>
                <w:b/>
                <w:color w:val="auto"/>
                <w:sz w:val="24"/>
                <w:szCs w:val="24"/>
                <w:highlight w:val="none"/>
                <w:lang w:val="zh-CN"/>
              </w:rPr>
              <w:t>项目概况</w:t>
            </w:r>
          </w:p>
          <w:p>
            <w:pPr>
              <w:spacing w:line="360" w:lineRule="auto"/>
              <w:ind w:firstLine="472" w:firstLineChars="196"/>
              <w:jc w:val="left"/>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w:t>
            </w:r>
            <w:r>
              <w:rPr>
                <w:rFonts w:hint="eastAsia" w:ascii="Times New Roman" w:hAnsi="Times New Roman" w:eastAsia="宋体" w:cs="Times New Roman"/>
                <w:b/>
                <w:color w:val="auto"/>
                <w:sz w:val="24"/>
                <w:szCs w:val="24"/>
                <w:highlight w:val="none"/>
                <w:lang w:val="en-US" w:eastAsia="zh-CN"/>
              </w:rPr>
              <w:t>.</w:t>
            </w:r>
            <w:r>
              <w:rPr>
                <w:rFonts w:hint="default" w:ascii="Times New Roman" w:hAnsi="Times New Roman" w:eastAsia="宋体" w:cs="Times New Roman"/>
                <w:b/>
                <w:color w:val="auto"/>
                <w:sz w:val="24"/>
                <w:szCs w:val="24"/>
                <w:highlight w:val="none"/>
              </w:rPr>
              <w:t>项目基本情况</w:t>
            </w:r>
          </w:p>
          <w:p>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项目名称：</w:t>
            </w:r>
            <w:r>
              <w:rPr>
                <w:rFonts w:hint="eastAsia"/>
                <w:color w:val="auto"/>
                <w:sz w:val="24"/>
                <w:highlight w:val="none"/>
              </w:rPr>
              <w:t>锡林浩特市宝力根街道办事处社区卫生服务中心</w:t>
            </w:r>
            <w:r>
              <w:rPr>
                <w:color w:val="auto"/>
                <w:sz w:val="24"/>
                <w:highlight w:val="none"/>
              </w:rPr>
              <w:t>医疗废物暂存间建设项目</w:t>
            </w:r>
          </w:p>
          <w:p>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建设单位：</w:t>
            </w:r>
            <w:r>
              <w:rPr>
                <w:rFonts w:hint="eastAsia"/>
                <w:color w:val="auto"/>
                <w:sz w:val="24"/>
                <w:highlight w:val="none"/>
              </w:rPr>
              <w:t>锡林浩特市宝力根街道办事处社区卫生服务中心</w:t>
            </w:r>
          </w:p>
          <w:p>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建设性质：新建</w:t>
            </w:r>
          </w:p>
          <w:p>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项目投资：项目总投资</w:t>
            </w:r>
            <w:r>
              <w:rPr>
                <w:rFonts w:hint="eastAsia"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万元，其中环保投资</w:t>
            </w:r>
            <w:r>
              <w:rPr>
                <w:rFonts w:hint="eastAsia"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万元，占总投资的</w:t>
            </w:r>
            <w:r>
              <w:rPr>
                <w:rFonts w:hint="eastAsia" w:ascii="Times New Roman" w:hAnsi="Times New Roman" w:eastAsia="宋体" w:cs="Times New Roman"/>
                <w:b w:val="0"/>
                <w:bCs w:val="0"/>
                <w:color w:val="auto"/>
                <w:sz w:val="24"/>
                <w:szCs w:val="24"/>
                <w:highlight w:val="none"/>
                <w:lang w:val="en-US" w:eastAsia="zh-CN"/>
              </w:rPr>
              <w:t>100</w:t>
            </w:r>
            <w:r>
              <w:rPr>
                <w:rFonts w:hint="default" w:ascii="Times New Roman" w:hAnsi="Times New Roman" w:eastAsia="宋体" w:cs="Times New Roman"/>
                <w:b w:val="0"/>
                <w:bCs w:val="0"/>
                <w:color w:val="auto"/>
                <w:sz w:val="24"/>
                <w:szCs w:val="24"/>
                <w:highlight w:val="none"/>
              </w:rPr>
              <w:t>%。</w:t>
            </w:r>
          </w:p>
          <w:p>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rPr>
              <w:t>建设规模：日储存规模</w:t>
            </w:r>
            <w:r>
              <w:rPr>
                <w:rFonts w:hint="default" w:ascii="Times New Roman" w:hAnsi="Times New Roman" w:eastAsia="宋体" w:cs="Times New Roman"/>
                <w:b w:val="0"/>
                <w:bCs w:val="0"/>
                <w:color w:val="auto"/>
                <w:sz w:val="24"/>
                <w:szCs w:val="24"/>
                <w:highlight w:val="none"/>
              </w:rPr>
              <w:t>为</w:t>
            </w:r>
            <w:r>
              <w:rPr>
                <w:rFonts w:hint="default" w:ascii="Times New Roman" w:hAnsi="Times New Roman" w:eastAsia="宋体" w:cs="Times New Roman"/>
                <w:b w:val="0"/>
                <w:bCs w:val="0"/>
                <w:color w:val="auto"/>
                <w:sz w:val="24"/>
                <w:szCs w:val="24"/>
                <w:highlight w:val="none"/>
                <w:lang w:val="en-US" w:eastAsia="zh-CN"/>
              </w:rPr>
              <w:t>0.01</w:t>
            </w:r>
            <w:r>
              <w:rPr>
                <w:rFonts w:hint="eastAsia" w:cs="Times New Roman"/>
                <w:b w:val="0"/>
                <w:bCs w:val="0"/>
                <w:color w:val="auto"/>
                <w:sz w:val="24"/>
                <w:szCs w:val="24"/>
                <w:highlight w:val="none"/>
                <w:lang w:val="en-US" w:eastAsia="zh-CN"/>
              </w:rPr>
              <w:t>吨</w:t>
            </w:r>
            <w:r>
              <w:rPr>
                <w:rFonts w:hint="default" w:ascii="Times New Roman" w:hAnsi="Times New Roman" w:eastAsia="宋体" w:cs="Times New Roman"/>
                <w:b w:val="0"/>
                <w:bCs w:val="0"/>
                <w:color w:val="auto"/>
                <w:sz w:val="24"/>
                <w:szCs w:val="24"/>
                <w:highlight w:val="none"/>
              </w:rPr>
              <w:t>。</w:t>
            </w:r>
          </w:p>
          <w:p>
            <w:pPr>
              <w:spacing w:line="360" w:lineRule="auto"/>
              <w:ind w:firstLine="480" w:firstLineChars="200"/>
              <w:jc w:val="left"/>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建设地点：本项目位于</w:t>
            </w:r>
            <w:r>
              <w:rPr>
                <w:rFonts w:ascii="Times New Roman" w:hAnsi="Times New Roman" w:cs="Times New Roman"/>
                <w:color w:val="auto"/>
                <w:sz w:val="24"/>
                <w:highlight w:val="none"/>
                <w:lang w:val="en-US" w:eastAsia="zh-CN"/>
              </w:rPr>
              <w:t>内蒙古自治区锡林郭勒盟</w:t>
            </w:r>
            <w:r>
              <w:rPr>
                <w:rFonts w:hint="eastAsia" w:ascii="Times New Roman" w:hAnsi="Times New Roman" w:cs="Times New Roman"/>
                <w:color w:val="auto"/>
                <w:sz w:val="24"/>
                <w:highlight w:val="none"/>
                <w:lang w:val="en-US" w:eastAsia="zh-CN"/>
              </w:rPr>
              <w:t>锡林浩特市贝子庙街359号</w:t>
            </w:r>
            <w:r>
              <w:rPr>
                <w:rFonts w:hint="default" w:ascii="Times New Roman" w:hAnsi="Times New Roman" w:eastAsia="宋体" w:cs="Times New Roman"/>
                <w:b w:val="0"/>
                <w:bCs w:val="0"/>
                <w:color w:val="auto"/>
                <w:sz w:val="24"/>
                <w:szCs w:val="24"/>
                <w:highlight w:val="none"/>
              </w:rPr>
              <w:t>，项目中心点地理坐标为：北纬</w:t>
            </w:r>
            <w:r>
              <w:rPr>
                <w:rFonts w:hint="default" w:ascii="Times New Roman" w:hAnsi="Times New Roman" w:cs="Times New Roman"/>
                <w:bCs/>
                <w:color w:val="auto"/>
                <w:sz w:val="24"/>
                <w:highlight w:val="none"/>
                <w:lang w:val="zh-CN"/>
              </w:rPr>
              <w:t>43°56′55.455″</w:t>
            </w:r>
            <w:r>
              <w:rPr>
                <w:rFonts w:hint="default" w:ascii="Times New Roman" w:hAnsi="Times New Roman" w:eastAsia="宋体" w:cs="Times New Roman"/>
                <w:b w:val="0"/>
                <w:bCs w:val="0"/>
                <w:color w:val="auto"/>
                <w:sz w:val="24"/>
                <w:szCs w:val="24"/>
                <w:highlight w:val="none"/>
              </w:rPr>
              <w:t>，东经</w:t>
            </w:r>
            <w:r>
              <w:rPr>
                <w:rFonts w:hint="default" w:ascii="Times New Roman" w:hAnsi="Times New Roman" w:cs="Times New Roman"/>
                <w:bCs/>
                <w:color w:val="auto"/>
                <w:sz w:val="24"/>
                <w:highlight w:val="none"/>
                <w:lang w:val="zh-CN"/>
              </w:rPr>
              <w:t>116°4′2.709″</w:t>
            </w:r>
            <w:r>
              <w:rPr>
                <w:rFonts w:hint="default" w:ascii="Times New Roman" w:hAnsi="Times New Roman" w:eastAsia="宋体" w:cs="Times New Roman"/>
                <w:b w:val="0"/>
                <w:bCs w:val="0"/>
                <w:color w:val="auto"/>
                <w:sz w:val="24"/>
                <w:szCs w:val="24"/>
                <w:highlight w:val="none"/>
              </w:rPr>
              <w:t>。项目地理位置见附图1</w:t>
            </w:r>
            <w:r>
              <w:rPr>
                <w:rFonts w:hint="eastAsia" w:ascii="Times New Roman" w:hAnsi="Times New Roman" w:eastAsia="宋体" w:cs="Times New Roman"/>
                <w:b w:val="0"/>
                <w:bCs w:val="0"/>
                <w:color w:val="auto"/>
                <w:sz w:val="24"/>
                <w:szCs w:val="24"/>
                <w:highlight w:val="none"/>
                <w:lang w:eastAsia="zh-CN"/>
              </w:rPr>
              <w:t>。</w:t>
            </w:r>
          </w:p>
          <w:p>
            <w:pPr>
              <w:spacing w:line="360" w:lineRule="auto"/>
              <w:ind w:firstLine="472" w:firstLineChars="196"/>
              <w:jc w:val="left"/>
              <w:rPr>
                <w:rFonts w:hint="default" w:ascii="Times New Roman" w:hAnsi="Times New Roman" w:eastAsia="宋体" w:cs="Times New Roman"/>
                <w:b/>
                <w:color w:val="auto"/>
                <w:sz w:val="24"/>
                <w:szCs w:val="24"/>
                <w:highlight w:val="none"/>
              </w:rPr>
            </w:pPr>
            <w:r>
              <w:rPr>
                <w:rFonts w:hint="eastAsia"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建设内容</w:t>
            </w:r>
          </w:p>
          <w:p>
            <w:pPr>
              <w:pStyle w:val="23"/>
              <w:spacing w:line="360" w:lineRule="auto"/>
              <w:ind w:firstLine="480" w:firstLineChars="200"/>
              <w:rPr>
                <w:b/>
                <w:color w:val="auto"/>
                <w:kern w:val="4"/>
                <w:sz w:val="24"/>
              </w:rPr>
            </w:pPr>
            <w:r>
              <w:rPr>
                <w:rFonts w:hint="default" w:ascii="Times New Roman" w:hAnsi="Times New Roman" w:eastAsia="宋体" w:cs="Times New Roman"/>
                <w:b w:val="0"/>
                <w:bCs w:val="0"/>
                <w:color w:val="auto"/>
                <w:sz w:val="24"/>
                <w:szCs w:val="24"/>
                <w:highlight w:val="none"/>
              </w:rPr>
              <w:t>本项目主要</w:t>
            </w:r>
            <w:r>
              <w:rPr>
                <w:rFonts w:hint="eastAsia" w:ascii="Times New Roman" w:hAnsi="Times New Roman" w:eastAsia="宋体" w:cs="Times New Roman"/>
                <w:b w:val="0"/>
                <w:bCs w:val="0"/>
                <w:color w:val="auto"/>
                <w:sz w:val="24"/>
                <w:szCs w:val="24"/>
                <w:highlight w:val="none"/>
                <w:lang w:val="en-US" w:eastAsia="zh-CN"/>
              </w:rPr>
              <w:t>建设</w:t>
            </w:r>
            <w:r>
              <w:rPr>
                <w:rFonts w:hint="default" w:ascii="Times New Roman" w:hAnsi="Times New Roman" w:eastAsia="宋体" w:cs="Times New Roman"/>
                <w:b w:val="0"/>
                <w:bCs w:val="0"/>
                <w:color w:val="auto"/>
                <w:sz w:val="24"/>
                <w:szCs w:val="24"/>
                <w:highlight w:val="none"/>
              </w:rPr>
              <w:t>医疗废物</w:t>
            </w:r>
            <w:r>
              <w:rPr>
                <w:rFonts w:hint="eastAsia" w:ascii="Times New Roman" w:hAnsi="Times New Roman" w:eastAsia="宋体" w:cs="Times New Roman"/>
                <w:b w:val="0"/>
                <w:bCs w:val="0"/>
                <w:color w:val="auto"/>
                <w:sz w:val="24"/>
                <w:szCs w:val="24"/>
                <w:highlight w:val="none"/>
                <w:lang w:val="en-US" w:eastAsia="zh-CN"/>
              </w:rPr>
              <w:t>暂存间</w:t>
            </w:r>
            <w:r>
              <w:rPr>
                <w:rFonts w:hint="default" w:ascii="Times New Roman" w:hAnsi="Times New Roman" w:eastAsia="宋体" w:cs="Times New Roman"/>
                <w:b w:val="0"/>
                <w:bCs w:val="0"/>
                <w:color w:val="auto"/>
                <w:sz w:val="24"/>
                <w:szCs w:val="24"/>
                <w:highlight w:val="none"/>
              </w:rPr>
              <w:t>一间，日储存规模为</w:t>
            </w:r>
            <w:r>
              <w:rPr>
                <w:rFonts w:hint="default" w:ascii="Times New Roman" w:hAnsi="Times New Roman" w:eastAsia="宋体" w:cs="Times New Roman"/>
                <w:b w:val="0"/>
                <w:bCs w:val="0"/>
                <w:color w:val="auto"/>
                <w:sz w:val="24"/>
                <w:szCs w:val="24"/>
                <w:highlight w:val="none"/>
                <w:lang w:val="en-US" w:eastAsia="zh-CN"/>
              </w:rPr>
              <w:t>0.01</w:t>
            </w:r>
            <w:r>
              <w:rPr>
                <w:rFonts w:hint="eastAsia" w:cs="Times New Roman"/>
                <w:b w:val="0"/>
                <w:bCs w:val="0"/>
                <w:color w:val="auto"/>
                <w:sz w:val="24"/>
                <w:szCs w:val="24"/>
                <w:highlight w:val="none"/>
                <w:lang w:val="en-US" w:eastAsia="zh-CN"/>
              </w:rPr>
              <w:t>吨</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占地面积</w:t>
            </w: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w:t>
            </w:r>
            <w:r>
              <w:rPr>
                <w:bCs/>
                <w:color w:val="auto"/>
                <w:sz w:val="24"/>
                <w:highlight w:val="none"/>
              </w:rPr>
              <w:t>用于储存感染性、损伤性</w:t>
            </w:r>
            <w:r>
              <w:rPr>
                <w:rFonts w:hint="eastAsia"/>
                <w:bCs/>
                <w:color w:val="auto"/>
                <w:sz w:val="24"/>
                <w:highlight w:val="none"/>
                <w:lang w:val="en-US" w:eastAsia="zh-CN"/>
              </w:rPr>
              <w:t>医疗</w:t>
            </w:r>
            <w:r>
              <w:rPr>
                <w:rFonts w:hint="eastAsia"/>
                <w:bCs/>
                <w:color w:val="auto"/>
                <w:sz w:val="24"/>
                <w:highlight w:val="none"/>
              </w:rPr>
              <w:t>废物</w:t>
            </w:r>
            <w:r>
              <w:rPr>
                <w:bCs/>
                <w:color w:val="auto"/>
                <w:sz w:val="24"/>
                <w:highlight w:val="none"/>
              </w:rPr>
              <w:t>，暂存后委托</w:t>
            </w:r>
            <w:r>
              <w:rPr>
                <w:rFonts w:hint="default"/>
                <w:bCs/>
                <w:color w:val="auto"/>
                <w:sz w:val="24"/>
                <w:highlight w:val="none"/>
                <w:lang w:val="en-US" w:eastAsia="zh-CN"/>
              </w:rPr>
              <w:t>锡林郭勒盟环建医疗废弃资源处置有限公司</w:t>
            </w:r>
            <w:r>
              <w:rPr>
                <w:bCs/>
                <w:color w:val="auto"/>
                <w:sz w:val="24"/>
                <w:highlight w:val="none"/>
              </w:rPr>
              <w:t>处理。该</w:t>
            </w:r>
            <w:r>
              <w:rPr>
                <w:rFonts w:hint="eastAsia"/>
                <w:bCs/>
                <w:color w:val="auto"/>
                <w:sz w:val="24"/>
                <w:highlight w:val="none"/>
                <w:lang w:val="en-US" w:eastAsia="zh-CN"/>
              </w:rPr>
              <w:t>医疗废物暂存间</w:t>
            </w:r>
            <w:r>
              <w:rPr>
                <w:bCs/>
                <w:color w:val="auto"/>
                <w:sz w:val="24"/>
                <w:highlight w:val="none"/>
              </w:rPr>
              <w:t>服务于</w:t>
            </w:r>
            <w:r>
              <w:rPr>
                <w:rFonts w:hint="eastAsia"/>
                <w:color w:val="auto"/>
                <w:sz w:val="24"/>
                <w:highlight w:val="none"/>
              </w:rPr>
              <w:t>锡林浩特市宝力根街道办事处社区卫生服务中心</w:t>
            </w:r>
            <w:r>
              <w:rPr>
                <w:rFonts w:hint="eastAsia"/>
                <w:bCs/>
                <w:color w:val="auto"/>
                <w:sz w:val="24"/>
                <w:highlight w:val="none"/>
              </w:rPr>
              <w:t>。</w:t>
            </w:r>
            <w:r>
              <w:rPr>
                <w:bCs/>
                <w:color w:val="auto"/>
                <w:sz w:val="24"/>
                <w:highlight w:val="none"/>
              </w:rPr>
              <w:t>项目组成详见表2-1。</w:t>
            </w:r>
          </w:p>
          <w:p>
            <w:pPr>
              <w:adjustRightInd w:val="0"/>
              <w:snapToGrid w:val="0"/>
              <w:jc w:val="center"/>
              <w:rPr>
                <w:b/>
                <w:color w:val="auto"/>
                <w:kern w:val="4"/>
                <w:sz w:val="24"/>
              </w:rPr>
            </w:pPr>
            <w:r>
              <w:rPr>
                <w:b/>
                <w:color w:val="auto"/>
                <w:kern w:val="4"/>
                <w:sz w:val="24"/>
              </w:rPr>
              <w:t>表2-1   项目主要建设内容一览表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651"/>
              <w:gridCol w:w="1372"/>
              <w:gridCol w:w="3649"/>
              <w:gridCol w:w="11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9" w:type="pct"/>
                  <w:noWrap w:val="0"/>
                  <w:vAlign w:val="center"/>
                </w:tcPr>
                <w:p>
                  <w:pPr>
                    <w:spacing w:line="32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973" w:type="pct"/>
                  <w:noWrap w:val="0"/>
                  <w:vAlign w:val="center"/>
                </w:tcPr>
                <w:p>
                  <w:pPr>
                    <w:spacing w:line="32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2960" w:type="pct"/>
                  <w:gridSpan w:val="2"/>
                  <w:noWrap w:val="0"/>
                  <w:vAlign w:val="center"/>
                </w:tcPr>
                <w:p>
                  <w:pPr>
                    <w:spacing w:line="32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工程内容</w:t>
                  </w:r>
                </w:p>
              </w:tc>
              <w:tc>
                <w:tcPr>
                  <w:tcW w:w="676" w:type="pct"/>
                  <w:noWrap w:val="0"/>
                  <w:vAlign w:val="center"/>
                </w:tcPr>
                <w:p>
                  <w:pPr>
                    <w:spacing w:line="32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1" w:hRule="atLeast"/>
              </w:trPr>
              <w:tc>
                <w:tcPr>
                  <w:tcW w:w="389" w:type="pct"/>
                  <w:noWrap w:val="0"/>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973" w:type="pct"/>
                  <w:noWrap w:val="0"/>
                  <w:vAlign w:val="center"/>
                </w:tcPr>
                <w:p>
                  <w:pPr>
                    <w:widowControl/>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医疗废物暂存</w:t>
                  </w:r>
                  <w:r>
                    <w:rPr>
                      <w:rFonts w:hint="eastAsia" w:ascii="Times New Roman" w:hAnsi="Times New Roman" w:eastAsia="宋体" w:cs="Times New Roman"/>
                      <w:color w:val="auto"/>
                      <w:sz w:val="21"/>
                      <w:szCs w:val="21"/>
                      <w:lang w:val="en-US" w:eastAsia="zh-CN"/>
                    </w:rPr>
                    <w:t>间</w:t>
                  </w:r>
                </w:p>
              </w:tc>
              <w:tc>
                <w:tcPr>
                  <w:tcW w:w="2960" w:type="pct"/>
                  <w:gridSpan w:val="2"/>
                  <w:noWrap w:val="0"/>
                  <w:vAlign w:val="center"/>
                </w:tcPr>
                <w:p>
                  <w:pPr>
                    <w:widowControl/>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日储存规模为0.01t，占地面积</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暂存间分设</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个区，分别</w:t>
                  </w:r>
                  <w:r>
                    <w:rPr>
                      <w:rFonts w:hint="default" w:ascii="Times New Roman" w:hAnsi="Times New Roman" w:eastAsia="宋体" w:cs="Times New Roman"/>
                      <w:color w:val="auto"/>
                      <w:sz w:val="21"/>
                      <w:szCs w:val="21"/>
                      <w:highlight w:val="none"/>
                    </w:rPr>
                    <w:t>用于储存感染性、损伤性</w:t>
                  </w:r>
                  <w:r>
                    <w:rPr>
                      <w:rFonts w:hint="default" w:ascii="Times New Roman" w:hAnsi="Times New Roman" w:eastAsia="宋体" w:cs="Times New Roman"/>
                      <w:color w:val="auto"/>
                      <w:sz w:val="21"/>
                      <w:szCs w:val="21"/>
                      <w:highlight w:val="none"/>
                      <w:lang w:val="en-US" w:eastAsia="zh-CN"/>
                    </w:rPr>
                    <w:t>医疗</w:t>
                  </w:r>
                  <w:r>
                    <w:rPr>
                      <w:rFonts w:hint="default" w:ascii="Times New Roman" w:hAnsi="Times New Roman" w:eastAsia="宋体" w:cs="Times New Roman"/>
                      <w:color w:val="auto"/>
                      <w:sz w:val="21"/>
                      <w:szCs w:val="21"/>
                      <w:highlight w:val="none"/>
                    </w:rPr>
                    <w:t>废物</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分类</w:t>
                  </w:r>
                  <w:r>
                    <w:rPr>
                      <w:rFonts w:hint="eastAsia" w:ascii="Times New Roman" w:hAnsi="Times New Roman" w:eastAsia="宋体" w:cs="Times New Roman"/>
                      <w:color w:val="auto"/>
                      <w:sz w:val="21"/>
                      <w:szCs w:val="21"/>
                      <w:highlight w:val="none"/>
                      <w:lang w:val="en-US" w:eastAsia="zh-CN"/>
                    </w:rPr>
                    <w:t>收集</w:t>
                  </w:r>
                  <w:r>
                    <w:rPr>
                      <w:rFonts w:hint="default" w:ascii="Times New Roman" w:hAnsi="Times New Roman" w:eastAsia="宋体" w:cs="Times New Roman"/>
                      <w:color w:val="auto"/>
                      <w:sz w:val="21"/>
                      <w:szCs w:val="21"/>
                      <w:highlight w:val="none"/>
                    </w:rPr>
                    <w:t>后，</w:t>
                  </w:r>
                  <w:r>
                    <w:rPr>
                      <w:rFonts w:hint="eastAsia" w:ascii="Times New Roman" w:hAnsi="Times New Roman" w:eastAsia="宋体" w:cs="Times New Roman"/>
                      <w:color w:val="auto"/>
                      <w:sz w:val="21"/>
                      <w:szCs w:val="21"/>
                      <w:highlight w:val="none"/>
                      <w:lang w:val="en-US" w:eastAsia="zh-CN"/>
                    </w:rPr>
                    <w:t>分区贮存</w:t>
                  </w:r>
                  <w:r>
                    <w:rPr>
                      <w:rFonts w:hint="default" w:ascii="Times New Roman" w:hAnsi="Times New Roman" w:eastAsia="宋体" w:cs="Times New Roman"/>
                      <w:color w:val="auto"/>
                      <w:sz w:val="21"/>
                      <w:szCs w:val="21"/>
                      <w:highlight w:val="none"/>
                    </w:rPr>
                    <w:t>于医疗废物暂存</w:t>
                  </w:r>
                  <w:r>
                    <w:rPr>
                      <w:rFonts w:hint="eastAsia" w:ascii="Times New Roman" w:hAnsi="Times New Roman" w:eastAsia="宋体" w:cs="Times New Roman"/>
                      <w:color w:val="auto"/>
                      <w:sz w:val="21"/>
                      <w:szCs w:val="21"/>
                      <w:highlight w:val="none"/>
                      <w:lang w:val="en-US" w:eastAsia="zh-CN"/>
                    </w:rPr>
                    <w:t>间</w:t>
                  </w:r>
                  <w:r>
                    <w:rPr>
                      <w:rFonts w:hint="default" w:ascii="Times New Roman" w:hAnsi="Times New Roman" w:eastAsia="宋体" w:cs="Times New Roman"/>
                      <w:color w:val="auto"/>
                      <w:sz w:val="21"/>
                      <w:szCs w:val="21"/>
                      <w:highlight w:val="none"/>
                    </w:rPr>
                    <w:t>，医疗废物不散落堆放。日储存规模为</w:t>
                  </w:r>
                  <w:r>
                    <w:rPr>
                      <w:rFonts w:hint="default" w:ascii="Times New Roman" w:hAnsi="Times New Roman" w:eastAsia="宋体" w:cs="Times New Roman"/>
                      <w:color w:val="auto"/>
                      <w:sz w:val="21"/>
                      <w:szCs w:val="21"/>
                      <w:highlight w:val="none"/>
                      <w:lang w:val="en-US" w:eastAsia="zh-CN"/>
                    </w:rPr>
                    <w:t>0.01</w:t>
                  </w:r>
                  <w:r>
                    <w:rPr>
                      <w:rFonts w:hint="default" w:ascii="Times New Roman" w:hAnsi="Times New Roman" w:eastAsia="宋体" w:cs="Times New Roman"/>
                      <w:color w:val="auto"/>
                      <w:sz w:val="21"/>
                      <w:szCs w:val="21"/>
                      <w:highlight w:val="none"/>
                    </w:rPr>
                    <w:t>t</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储存时间不超24h，</w:t>
                  </w:r>
                  <w:r>
                    <w:rPr>
                      <w:rFonts w:hint="default" w:ascii="Times New Roman" w:hAnsi="Times New Roman" w:eastAsia="宋体" w:cs="Times New Roman"/>
                      <w:color w:val="auto"/>
                      <w:sz w:val="21"/>
                      <w:szCs w:val="21"/>
                      <w:highlight w:val="none"/>
                    </w:rPr>
                    <w:t>暂存后委托</w:t>
                  </w:r>
                  <w:r>
                    <w:rPr>
                      <w:rFonts w:hint="default" w:ascii="Times New Roman" w:hAnsi="Times New Roman" w:cs="Times New Roman"/>
                      <w:color w:val="auto"/>
                      <w:sz w:val="21"/>
                      <w:szCs w:val="21"/>
                      <w:highlight w:val="none"/>
                      <w:lang w:val="en-US" w:eastAsia="zh-CN"/>
                    </w:rPr>
                    <w:t>锡林郭勒盟环建医疗废弃资源处置有限公司</w:t>
                  </w:r>
                  <w:r>
                    <w:rPr>
                      <w:rFonts w:hint="default" w:ascii="Times New Roman" w:hAnsi="Times New Roman" w:eastAsia="宋体" w:cs="Times New Roman"/>
                      <w:color w:val="auto"/>
                      <w:sz w:val="21"/>
                      <w:szCs w:val="21"/>
                      <w:highlight w:val="none"/>
                    </w:rPr>
                    <w:t>处理。</w:t>
                  </w:r>
                </w:p>
              </w:tc>
              <w:tc>
                <w:tcPr>
                  <w:tcW w:w="676" w:type="pct"/>
                  <w:noWrap w:val="0"/>
                  <w:vAlign w:val="center"/>
                </w:tcPr>
                <w:p>
                  <w:pPr>
                    <w:spacing w:line="320" w:lineRule="exact"/>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已建成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9" w:type="pct"/>
                  <w:vMerge w:val="restart"/>
                  <w:noWrap w:val="0"/>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973" w:type="pct"/>
                  <w:noWrap w:val="0"/>
                  <w:vAlign w:val="center"/>
                </w:tcPr>
                <w:p>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医疗废物</w:t>
                  </w:r>
                </w:p>
                <w:p>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周转箱</w:t>
                  </w:r>
                </w:p>
              </w:tc>
              <w:tc>
                <w:tcPr>
                  <w:tcW w:w="2960" w:type="pct"/>
                  <w:gridSpan w:val="2"/>
                  <w:noWrap w:val="0"/>
                  <w:vAlign w:val="center"/>
                </w:tcPr>
                <w:p>
                  <w:pPr>
                    <w:widowControl/>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本项目配有120</w:t>
                  </w:r>
                  <w:r>
                    <w:rPr>
                      <w:rFonts w:hint="eastAsia" w:cs="Times New Roman"/>
                      <w:color w:val="auto"/>
                      <w:sz w:val="21"/>
                      <w:szCs w:val="21"/>
                      <w:highlight w:val="none"/>
                      <w:lang w:val="en-US" w:eastAsia="zh-CN"/>
                    </w:rPr>
                    <w:t>升</w:t>
                  </w:r>
                  <w:r>
                    <w:rPr>
                      <w:rFonts w:hint="default" w:ascii="Times New Roman" w:hAnsi="Times New Roman" w:eastAsia="宋体" w:cs="Times New Roman"/>
                      <w:color w:val="auto"/>
                      <w:sz w:val="21"/>
                      <w:szCs w:val="21"/>
                      <w:highlight w:val="none"/>
                    </w:rPr>
                    <w:t>/个的医疗废物周转箱</w:t>
                  </w:r>
                  <w:r>
                    <w:rPr>
                      <w:rFonts w:hint="eastAsia"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个，周转箱可重复使用。</w:t>
                  </w:r>
                </w:p>
              </w:tc>
              <w:tc>
                <w:tcPr>
                  <w:tcW w:w="676" w:type="pct"/>
                  <w:vMerge w:val="restart"/>
                  <w:noWrap w:val="0"/>
                  <w:vAlign w:val="center"/>
                </w:tcPr>
                <w:p>
                  <w:pPr>
                    <w:spacing w:line="320" w:lineRule="exact"/>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已建成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389" w:type="pct"/>
                  <w:vMerge w:val="restart"/>
                  <w:noWrap w:val="0"/>
                  <w:vAlign w:val="center"/>
                </w:tcPr>
                <w:p>
                  <w:pPr>
                    <w:pStyle w:val="41"/>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973" w:type="pct"/>
                  <w:noWrap w:val="0"/>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w:t>
                  </w:r>
                </w:p>
              </w:tc>
              <w:tc>
                <w:tcPr>
                  <w:tcW w:w="2960" w:type="pct"/>
                  <w:gridSpan w:val="2"/>
                  <w:noWrap w:val="0"/>
                  <w:vAlign w:val="center"/>
                </w:tcPr>
                <w:p>
                  <w:pPr>
                    <w:pStyle w:val="118"/>
                    <w:spacing w:line="240" w:lineRule="auto"/>
                    <w:ind w:firstLine="0" w:firstLineChars="0"/>
                    <w:jc w:val="center"/>
                    <w:rPr>
                      <w:rFonts w:hint="default" w:ascii="Times New Roman" w:hAnsi="Times New Roman" w:eastAsia="宋体" w:cs="Times New Roman"/>
                      <w:color w:val="auto"/>
                      <w:sz w:val="21"/>
                      <w:szCs w:val="21"/>
                    </w:rPr>
                  </w:pPr>
                  <w:r>
                    <w:rPr>
                      <w:rFonts w:ascii="Times New Roman" w:hAnsi="Times New Roman"/>
                      <w:color w:val="auto"/>
                      <w:szCs w:val="21"/>
                    </w:rPr>
                    <w:t>依托</w:t>
                  </w:r>
                  <w:r>
                    <w:rPr>
                      <w:rFonts w:hint="eastAsia" w:ascii="Times New Roman" w:hAnsi="Times New Roman"/>
                      <w:color w:val="auto"/>
                      <w:szCs w:val="21"/>
                    </w:rPr>
                    <w:t>锡林浩特市宝力根街道办事处社区卫生服务中心</w:t>
                  </w:r>
                  <w:r>
                    <w:rPr>
                      <w:rFonts w:ascii="Times New Roman" w:hAnsi="Times New Roman"/>
                      <w:color w:val="auto"/>
                      <w:szCs w:val="21"/>
                    </w:rPr>
                    <w:t>原有供水系统供水</w:t>
                  </w:r>
                </w:p>
              </w:tc>
              <w:tc>
                <w:tcPr>
                  <w:tcW w:w="676" w:type="pct"/>
                  <w:vMerge w:val="restart"/>
                  <w:noWrap w:val="0"/>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9" w:type="pct"/>
                  <w:vMerge w:val="continue"/>
                  <w:noWrap w:val="0"/>
                  <w:vAlign w:val="center"/>
                </w:tcPr>
                <w:p>
                  <w:pPr>
                    <w:pStyle w:val="41"/>
                    <w:spacing w:line="320" w:lineRule="exact"/>
                    <w:jc w:val="center"/>
                    <w:rPr>
                      <w:rFonts w:hint="default" w:ascii="Times New Roman" w:hAnsi="Times New Roman" w:eastAsia="宋体" w:cs="Times New Roman"/>
                      <w:color w:val="auto"/>
                      <w:sz w:val="21"/>
                      <w:szCs w:val="21"/>
                    </w:rPr>
                  </w:pPr>
                </w:p>
              </w:tc>
              <w:tc>
                <w:tcPr>
                  <w:tcW w:w="973" w:type="pct"/>
                  <w:noWrap w:val="0"/>
                  <w:vAlign w:val="center"/>
                </w:tcPr>
                <w:p>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2960" w:type="pct"/>
                  <w:gridSpan w:val="2"/>
                  <w:noWrap w:val="0"/>
                  <w:vAlign w:val="center"/>
                </w:tcPr>
                <w:p>
                  <w:pPr>
                    <w:pStyle w:val="118"/>
                    <w:spacing w:line="240" w:lineRule="auto"/>
                    <w:ind w:firstLine="0" w:firstLineChars="0"/>
                    <w:jc w:val="center"/>
                    <w:rPr>
                      <w:rFonts w:hint="default" w:ascii="Times New Roman" w:hAnsi="Times New Roman" w:eastAsia="宋体" w:cs="Times New Roman"/>
                      <w:color w:val="auto"/>
                      <w:sz w:val="21"/>
                      <w:szCs w:val="21"/>
                    </w:rPr>
                  </w:pPr>
                  <w:r>
                    <w:rPr>
                      <w:rFonts w:ascii="Times New Roman" w:hAnsi="Times New Roman"/>
                      <w:color w:val="auto"/>
                      <w:szCs w:val="21"/>
                    </w:rPr>
                    <w:t>依托</w:t>
                  </w:r>
                  <w:r>
                    <w:rPr>
                      <w:rFonts w:hint="eastAsia" w:ascii="Times New Roman" w:hAnsi="Times New Roman"/>
                      <w:color w:val="auto"/>
                      <w:szCs w:val="21"/>
                    </w:rPr>
                    <w:t>锡林浩特市宝力根街道办事处社区卫生服务中心</w:t>
                  </w:r>
                  <w:r>
                    <w:rPr>
                      <w:rFonts w:ascii="Times New Roman" w:hAnsi="Times New Roman"/>
                      <w:color w:val="auto"/>
                      <w:szCs w:val="21"/>
                    </w:rPr>
                    <w:t>原有供电系统进行供电</w:t>
                  </w:r>
                </w:p>
              </w:tc>
              <w:tc>
                <w:tcPr>
                  <w:tcW w:w="676" w:type="pct"/>
                  <w:vMerge w:val="continue"/>
                  <w:noWrap w:val="0"/>
                  <w:vAlign w:val="center"/>
                </w:tcPr>
                <w:p>
                  <w:pPr>
                    <w:spacing w:line="320" w:lineRule="exact"/>
                    <w:jc w:val="center"/>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9" w:type="pct"/>
                  <w:vMerge w:val="restart"/>
                  <w:noWrap w:val="0"/>
                  <w:vAlign w:val="center"/>
                </w:tcPr>
                <w:p>
                  <w:pPr>
                    <w:pStyle w:val="41"/>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973" w:type="pct"/>
                  <w:noWrap w:val="0"/>
                  <w:vAlign w:val="center"/>
                </w:tcPr>
                <w:p>
                  <w:pPr>
                    <w:pStyle w:val="41"/>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809" w:type="pct"/>
                  <w:noWrap w:val="0"/>
                  <w:vAlign w:val="center"/>
                </w:tcPr>
                <w:p>
                  <w:pPr>
                    <w:adjustRightInd w:val="0"/>
                    <w:snapToGrid w:val="0"/>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bidi="ar"/>
                    </w:rPr>
                    <w:t>清洗消毒废水</w:t>
                  </w:r>
                </w:p>
              </w:tc>
              <w:tc>
                <w:tcPr>
                  <w:tcW w:w="2151" w:type="pct"/>
                  <w:noWrap w:val="0"/>
                  <w:vAlign w:val="center"/>
                </w:tcPr>
                <w:p>
                  <w:pPr>
                    <w:adjustRightInd w:val="0"/>
                    <w:snapToGrid w:val="0"/>
                    <w:spacing w:line="320" w:lineRule="exact"/>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消毒用水通过消毒喷洒后自然挥发，不产生废水</w:t>
                  </w:r>
                </w:p>
              </w:tc>
              <w:tc>
                <w:tcPr>
                  <w:tcW w:w="676" w:type="pct"/>
                  <w:noWrap w:val="0"/>
                  <w:vAlign w:val="center"/>
                </w:tcPr>
                <w:p>
                  <w:pPr>
                    <w:adjustRightInd w:val="0"/>
                    <w:snapToGrid w:val="0"/>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9" w:type="pct"/>
                  <w:vMerge w:val="continue"/>
                  <w:noWrap w:val="0"/>
                  <w:vAlign w:val="center"/>
                </w:tcPr>
                <w:p>
                  <w:pPr>
                    <w:pStyle w:val="29"/>
                    <w:spacing w:after="0" w:line="320" w:lineRule="exact"/>
                    <w:ind w:firstLine="210"/>
                    <w:jc w:val="center"/>
                    <w:rPr>
                      <w:rFonts w:hint="default" w:ascii="Times New Roman" w:hAnsi="Times New Roman" w:eastAsia="宋体" w:cs="Times New Roman"/>
                      <w:color w:val="auto"/>
                      <w:sz w:val="21"/>
                      <w:szCs w:val="21"/>
                    </w:rPr>
                  </w:pPr>
                </w:p>
              </w:tc>
              <w:tc>
                <w:tcPr>
                  <w:tcW w:w="973" w:type="pct"/>
                  <w:vMerge w:val="restart"/>
                  <w:noWrap w:val="0"/>
                  <w:vAlign w:val="center"/>
                </w:tcPr>
                <w:p>
                  <w:pPr>
                    <w:pStyle w:val="29"/>
                    <w:spacing w:after="0" w:line="320" w:lineRule="exac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809" w:type="pct"/>
                  <w:noWrap w:val="0"/>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感染性废物</w:t>
                  </w:r>
                </w:p>
              </w:tc>
              <w:tc>
                <w:tcPr>
                  <w:tcW w:w="2151" w:type="pct"/>
                  <w:vMerge w:val="restart"/>
                  <w:noWrap w:val="0"/>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分区存放在医疗废物暂存间后，委托锡林郭勒盟环建医疗废弃资源处置有限公司处置</w:t>
                  </w:r>
                </w:p>
              </w:tc>
              <w:tc>
                <w:tcPr>
                  <w:tcW w:w="676" w:type="pct"/>
                  <w:vMerge w:val="restart"/>
                  <w:noWrap w:val="0"/>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89" w:type="pct"/>
                  <w:vMerge w:val="continue"/>
                  <w:noWrap w:val="0"/>
                  <w:vAlign w:val="center"/>
                </w:tcPr>
                <w:p>
                  <w:pPr>
                    <w:pStyle w:val="29"/>
                    <w:spacing w:after="0" w:line="320" w:lineRule="exact"/>
                    <w:ind w:firstLine="210"/>
                    <w:jc w:val="center"/>
                    <w:rPr>
                      <w:rFonts w:hint="default" w:ascii="Times New Roman" w:hAnsi="Times New Roman" w:eastAsia="宋体" w:cs="Times New Roman"/>
                      <w:color w:val="auto"/>
                      <w:sz w:val="21"/>
                      <w:szCs w:val="21"/>
                    </w:rPr>
                  </w:pPr>
                </w:p>
              </w:tc>
              <w:tc>
                <w:tcPr>
                  <w:tcW w:w="973" w:type="pct"/>
                  <w:vMerge w:val="continue"/>
                  <w:noWrap w:val="0"/>
                  <w:vAlign w:val="center"/>
                </w:tcPr>
                <w:p>
                  <w:pPr>
                    <w:pStyle w:val="29"/>
                    <w:spacing w:after="0" w:line="320" w:lineRule="exact"/>
                    <w:ind w:firstLine="210"/>
                    <w:jc w:val="center"/>
                    <w:rPr>
                      <w:rFonts w:hint="default" w:ascii="Times New Roman" w:hAnsi="Times New Roman" w:eastAsia="宋体" w:cs="Times New Roman"/>
                      <w:color w:val="auto"/>
                      <w:sz w:val="21"/>
                      <w:szCs w:val="21"/>
                      <w:highlight w:val="none"/>
                    </w:rPr>
                  </w:pPr>
                </w:p>
              </w:tc>
              <w:tc>
                <w:tcPr>
                  <w:tcW w:w="809" w:type="pct"/>
                  <w:noWrap w:val="0"/>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损伤性废物</w:t>
                  </w:r>
                </w:p>
              </w:tc>
              <w:tc>
                <w:tcPr>
                  <w:tcW w:w="2151" w:type="pct"/>
                  <w:vMerge w:val="continue"/>
                  <w:noWrap w:val="0"/>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sz w:val="21"/>
                      <w:szCs w:val="21"/>
                      <w:highlight w:val="none"/>
                    </w:rPr>
                  </w:pPr>
                </w:p>
              </w:tc>
              <w:tc>
                <w:tcPr>
                  <w:tcW w:w="676" w:type="pct"/>
                  <w:vMerge w:val="continue"/>
                  <w:noWrap w:val="0"/>
                  <w:vAlign w:val="center"/>
                </w:tcPr>
                <w:p>
                  <w:pPr>
                    <w:spacing w:line="320" w:lineRule="exact"/>
                    <w:jc w:val="center"/>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9" w:type="pct"/>
                  <w:vMerge w:val="continue"/>
                  <w:noWrap w:val="0"/>
                  <w:vAlign w:val="center"/>
                </w:tcPr>
                <w:p>
                  <w:pPr>
                    <w:pStyle w:val="29"/>
                    <w:spacing w:after="0" w:line="320" w:lineRule="exact"/>
                    <w:ind w:firstLine="210"/>
                    <w:jc w:val="center"/>
                    <w:rPr>
                      <w:rFonts w:hint="default" w:ascii="Times New Roman" w:hAnsi="Times New Roman" w:eastAsia="宋体" w:cs="Times New Roman"/>
                      <w:color w:val="auto"/>
                      <w:sz w:val="21"/>
                      <w:szCs w:val="21"/>
                    </w:rPr>
                  </w:pPr>
                </w:p>
              </w:tc>
              <w:tc>
                <w:tcPr>
                  <w:tcW w:w="973" w:type="pct"/>
                  <w:noWrap w:val="0"/>
                  <w:vAlign w:val="center"/>
                </w:tcPr>
                <w:p>
                  <w:pPr>
                    <w:pStyle w:val="29"/>
                    <w:spacing w:after="0" w:line="320" w:lineRule="exac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防渗措施</w:t>
                  </w:r>
                </w:p>
              </w:tc>
              <w:tc>
                <w:tcPr>
                  <w:tcW w:w="2960" w:type="pct"/>
                  <w:gridSpan w:val="2"/>
                  <w:noWrap w:val="0"/>
                  <w:vAlign w:val="center"/>
                </w:tcPr>
                <w:p>
                  <w:pPr>
                    <w:spacing w:line="320" w:lineRule="exact"/>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0000FF"/>
                      <w:sz w:val="21"/>
                      <w:szCs w:val="21"/>
                    </w:rPr>
                    <w:t>医疗废物</w:t>
                  </w:r>
                  <w:r>
                    <w:rPr>
                      <w:rFonts w:hint="default" w:ascii="Times New Roman" w:hAnsi="Times New Roman" w:eastAsia="宋体" w:cs="Times New Roman"/>
                      <w:color w:val="0000FF"/>
                      <w:sz w:val="21"/>
                      <w:szCs w:val="21"/>
                      <w:highlight w:val="none"/>
                    </w:rPr>
                    <w:t>暂存</w:t>
                  </w:r>
                  <w:r>
                    <w:rPr>
                      <w:rFonts w:hint="default" w:ascii="Times New Roman" w:hAnsi="Times New Roman" w:eastAsia="宋体" w:cs="Times New Roman"/>
                      <w:color w:val="0000FF"/>
                      <w:sz w:val="21"/>
                      <w:szCs w:val="21"/>
                      <w:highlight w:val="none"/>
                      <w:lang w:val="en-US" w:eastAsia="zh-CN"/>
                    </w:rPr>
                    <w:t>间</w:t>
                  </w:r>
                  <w:r>
                    <w:rPr>
                      <w:rFonts w:hint="default" w:ascii="Times New Roman" w:hAnsi="Times New Roman" w:eastAsia="宋体" w:cs="Times New Roman"/>
                      <w:color w:val="0000FF"/>
                      <w:sz w:val="21"/>
                      <w:szCs w:val="21"/>
                      <w:highlight w:val="none"/>
                    </w:rPr>
                    <w:t>地面铺设</w:t>
                  </w:r>
                  <w:r>
                    <w:rPr>
                      <w:rFonts w:hint="default" w:ascii="Times New Roman" w:hAnsi="Times New Roman" w:cs="Times New Roman"/>
                      <w:color w:val="0000FF"/>
                      <w:kern w:val="0"/>
                      <w:szCs w:val="21"/>
                    </w:rPr>
                    <w:t>2mm厚高密度聚乙烯</w:t>
                  </w:r>
                  <w:r>
                    <w:rPr>
                      <w:color w:val="0000FF"/>
                      <w:highlight w:val="none"/>
                    </w:rPr>
                    <w:t>（渗透系数≤10</w:t>
                  </w:r>
                  <w:r>
                    <w:rPr>
                      <w:color w:val="0000FF"/>
                      <w:highlight w:val="none"/>
                      <w:vertAlign w:val="superscript"/>
                    </w:rPr>
                    <w:t>-7</w:t>
                  </w:r>
                  <w:r>
                    <w:rPr>
                      <w:color w:val="0000FF"/>
                      <w:highlight w:val="none"/>
                    </w:rPr>
                    <w:t>cm/s）</w:t>
                  </w:r>
                  <w:r>
                    <w:rPr>
                      <w:rFonts w:hint="default" w:ascii="Times New Roman" w:hAnsi="Times New Roman" w:eastAsia="宋体" w:cs="Times New Roman"/>
                      <w:color w:val="0000FF"/>
                      <w:sz w:val="21"/>
                      <w:szCs w:val="21"/>
                      <w:highlight w:val="none"/>
                    </w:rPr>
                    <w:t>，并且设1.0m高的防渗墙裙，其地面和裙脚按坚固、防渗、耐腐蚀的材料建造</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医废暂存</w:t>
                  </w:r>
                  <w:r>
                    <w:rPr>
                      <w:rFonts w:hint="default" w:ascii="Times New Roman" w:hAnsi="Times New Roman" w:eastAsia="宋体" w:cs="Times New Roman"/>
                      <w:color w:val="0000FF"/>
                      <w:sz w:val="21"/>
                      <w:szCs w:val="21"/>
                      <w:highlight w:val="none"/>
                      <w:lang w:val="en-US" w:eastAsia="zh-CN"/>
                    </w:rPr>
                    <w:t>间</w:t>
                  </w:r>
                  <w:r>
                    <w:rPr>
                      <w:rFonts w:hint="default" w:ascii="Times New Roman" w:hAnsi="Times New Roman" w:eastAsia="宋体" w:cs="Times New Roman"/>
                      <w:color w:val="0000FF"/>
                      <w:sz w:val="21"/>
                      <w:szCs w:val="21"/>
                      <w:highlight w:val="none"/>
                    </w:rPr>
                    <w:t>为密闭房间，实现了防风、防雨和防晒</w:t>
                  </w:r>
                  <w:r>
                    <w:rPr>
                      <w:rFonts w:hint="eastAsia" w:cs="Times New Roman"/>
                      <w:color w:val="0000FF"/>
                      <w:sz w:val="21"/>
                      <w:szCs w:val="21"/>
                      <w:highlight w:val="none"/>
                      <w:lang w:eastAsia="zh-CN"/>
                    </w:rPr>
                    <w:t>。</w:t>
                  </w:r>
                </w:p>
              </w:tc>
              <w:tc>
                <w:tcPr>
                  <w:tcW w:w="676" w:type="pct"/>
                  <w:noWrap w:val="0"/>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spacing w:line="360" w:lineRule="auto"/>
              <w:ind w:left="420" w:leftChars="200"/>
              <w:jc w:val="left"/>
              <w:rPr>
                <w:b/>
                <w:bCs/>
                <w:color w:val="auto"/>
                <w:kern w:val="4"/>
                <w:sz w:val="24"/>
              </w:rPr>
            </w:pPr>
            <w:r>
              <w:rPr>
                <w:rFonts w:hint="eastAsia"/>
                <w:b/>
                <w:bCs/>
                <w:color w:val="auto"/>
                <w:kern w:val="4"/>
                <w:sz w:val="24"/>
                <w:lang w:val="en-US" w:eastAsia="zh-CN"/>
              </w:rPr>
              <w:t>3</w:t>
            </w:r>
            <w:r>
              <w:rPr>
                <w:rFonts w:hint="eastAsia"/>
                <w:b/>
                <w:bCs/>
                <w:color w:val="auto"/>
                <w:kern w:val="4"/>
                <w:sz w:val="24"/>
              </w:rPr>
              <w:t>.</w:t>
            </w:r>
            <w:r>
              <w:rPr>
                <w:b/>
                <w:bCs/>
                <w:color w:val="auto"/>
                <w:kern w:val="4"/>
                <w:sz w:val="24"/>
              </w:rPr>
              <w:t>主要设备</w:t>
            </w:r>
          </w:p>
          <w:p>
            <w:pPr>
              <w:spacing w:line="440" w:lineRule="exact"/>
              <w:ind w:firstLine="480" w:firstLineChars="200"/>
              <w:jc w:val="left"/>
              <w:rPr>
                <w:color w:val="auto"/>
                <w:sz w:val="24"/>
              </w:rPr>
            </w:pPr>
            <w:r>
              <w:rPr>
                <w:color w:val="auto"/>
                <w:sz w:val="24"/>
              </w:rPr>
              <w:t>本项目主要设备情况如下：</w:t>
            </w:r>
          </w:p>
          <w:p>
            <w:pPr>
              <w:snapToGrid w:val="0"/>
              <w:spacing w:before="156" w:beforeLines="50" w:line="240" w:lineRule="auto"/>
              <w:jc w:val="center"/>
              <w:rPr>
                <w:b/>
                <w:color w:val="auto"/>
                <w:kern w:val="4"/>
                <w:sz w:val="24"/>
              </w:rPr>
            </w:pPr>
            <w:r>
              <w:rPr>
                <w:b/>
                <w:color w:val="auto"/>
                <w:kern w:val="4"/>
                <w:sz w:val="24"/>
              </w:rPr>
              <w:t>表2-2    主要设备一览表</w:t>
            </w:r>
          </w:p>
          <w:tbl>
            <w:tblPr>
              <w:tblStyle w:val="30"/>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97"/>
              <w:gridCol w:w="1819"/>
              <w:gridCol w:w="2446"/>
              <w:gridCol w:w="1033"/>
              <w:gridCol w:w="1055"/>
              <w:gridCol w:w="12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29"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w:t>
                  </w:r>
                  <w:bookmarkStart w:id="3" w:name="2.2.4 运输"/>
                  <w:bookmarkEnd w:id="3"/>
                  <w:r>
                    <w:rPr>
                      <w:rFonts w:hint="default" w:ascii="Times New Roman" w:hAnsi="Times New Roman" w:cs="Times New Roman"/>
                      <w:b/>
                      <w:bCs/>
                      <w:color w:val="auto"/>
                      <w:sz w:val="21"/>
                      <w:szCs w:val="21"/>
                    </w:rPr>
                    <w:t>号</w:t>
                  </w:r>
                </w:p>
              </w:tc>
              <w:tc>
                <w:tcPr>
                  <w:tcW w:w="1072"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设备名称</w:t>
                  </w:r>
                </w:p>
              </w:tc>
              <w:tc>
                <w:tcPr>
                  <w:tcW w:w="1442"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规格</w:t>
                  </w:r>
                </w:p>
              </w:tc>
              <w:tc>
                <w:tcPr>
                  <w:tcW w:w="609"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数量</w:t>
                  </w:r>
                </w:p>
              </w:tc>
              <w:tc>
                <w:tcPr>
                  <w:tcW w:w="622"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单位</w:t>
                  </w:r>
                </w:p>
              </w:tc>
              <w:tc>
                <w:tcPr>
                  <w:tcW w:w="723" w:type="pct"/>
                  <w:noWrap w:val="0"/>
                  <w:vAlign w:val="center"/>
                </w:tcPr>
                <w:p>
                  <w:pPr>
                    <w:pStyle w:val="45"/>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9"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072"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照明灯</w:t>
                  </w:r>
                </w:p>
              </w:tc>
              <w:tc>
                <w:tcPr>
                  <w:tcW w:w="1442"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09" w:type="pct"/>
                  <w:noWrap w:val="0"/>
                  <w:vAlign w:val="center"/>
                </w:tcPr>
                <w:p>
                  <w:pPr>
                    <w:pStyle w:val="45"/>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w:t>
                  </w:r>
                </w:p>
              </w:tc>
              <w:tc>
                <w:tcPr>
                  <w:tcW w:w="622"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w:t>
                  </w:r>
                </w:p>
              </w:tc>
              <w:tc>
                <w:tcPr>
                  <w:tcW w:w="723" w:type="pct"/>
                  <w:noWrap w:val="0"/>
                  <w:vAlign w:val="center"/>
                </w:tcPr>
                <w:p>
                  <w:pPr>
                    <w:pStyle w:val="45"/>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529" w:type="pct"/>
                  <w:noWrap w:val="0"/>
                  <w:vAlign w:val="center"/>
                </w:tcPr>
                <w:p>
                  <w:pPr>
                    <w:pStyle w:val="45"/>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w:t>
                  </w:r>
                </w:p>
              </w:tc>
              <w:tc>
                <w:tcPr>
                  <w:tcW w:w="1072"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医疗废物</w:t>
                  </w:r>
                  <w:r>
                    <w:rPr>
                      <w:rFonts w:hint="eastAsia" w:ascii="Times New Roman" w:hAnsi="Times New Roman" w:cs="Times New Roman"/>
                      <w:color w:val="auto"/>
                      <w:sz w:val="21"/>
                      <w:szCs w:val="21"/>
                      <w:lang w:val="en-US" w:eastAsia="zh-CN"/>
                    </w:rPr>
                    <w:t>周转</w:t>
                  </w:r>
                  <w:r>
                    <w:rPr>
                      <w:rFonts w:hint="default" w:ascii="Times New Roman" w:hAnsi="Times New Roman" w:cs="Times New Roman"/>
                      <w:color w:val="auto"/>
                      <w:sz w:val="21"/>
                      <w:szCs w:val="21"/>
                    </w:rPr>
                    <w:t>箱</w:t>
                  </w:r>
                </w:p>
              </w:tc>
              <w:tc>
                <w:tcPr>
                  <w:tcW w:w="1442" w:type="pct"/>
                  <w:noWrap w:val="0"/>
                  <w:vAlign w:val="center"/>
                </w:tcPr>
                <w:p>
                  <w:pPr>
                    <w:pStyle w:val="45"/>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60*50*4</w:t>
                  </w:r>
                  <w:r>
                    <w:rPr>
                      <w:rFonts w:hint="default" w:ascii="Times New Roman" w:hAnsi="Times New Roman" w:cs="Times New Roman"/>
                      <w:color w:val="auto"/>
                      <w:sz w:val="21"/>
                      <w:szCs w:val="21"/>
                      <w:highlight w:val="none"/>
                    </w:rPr>
                    <w:t>0</w:t>
                  </w:r>
                  <w:r>
                    <w:rPr>
                      <w:rFonts w:hint="eastAsia" w:cs="Times New Roman"/>
                      <w:color w:val="auto"/>
                      <w:sz w:val="21"/>
                      <w:szCs w:val="21"/>
                      <w:highlight w:val="none"/>
                      <w:lang w:val="en-US" w:eastAsia="zh-CN"/>
                    </w:rPr>
                    <w:t>c</w:t>
                  </w:r>
                  <w:r>
                    <w:rPr>
                      <w:rFonts w:hint="default" w:ascii="Times New Roman" w:hAnsi="Times New Roman" w:cs="Times New Roman"/>
                      <w:color w:val="auto"/>
                      <w:sz w:val="21"/>
                      <w:szCs w:val="21"/>
                      <w:highlight w:val="none"/>
                    </w:rPr>
                    <w:t>m容积：120</w:t>
                  </w:r>
                  <w:r>
                    <w:rPr>
                      <w:rFonts w:hint="eastAsia" w:cs="Times New Roman"/>
                      <w:color w:val="auto"/>
                      <w:sz w:val="21"/>
                      <w:szCs w:val="21"/>
                      <w:highlight w:val="none"/>
                      <w:lang w:eastAsia="zh-CN"/>
                    </w:rPr>
                    <w:t>升</w:t>
                  </w:r>
                </w:p>
              </w:tc>
              <w:tc>
                <w:tcPr>
                  <w:tcW w:w="609" w:type="pct"/>
                  <w:noWrap w:val="0"/>
                  <w:vAlign w:val="center"/>
                </w:tcPr>
                <w:p>
                  <w:pPr>
                    <w:pStyle w:val="45"/>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w:t>
                  </w:r>
                </w:p>
              </w:tc>
              <w:tc>
                <w:tcPr>
                  <w:tcW w:w="622" w:type="pct"/>
                  <w:noWrap w:val="0"/>
                  <w:vAlign w:val="center"/>
                </w:tcPr>
                <w:p>
                  <w:pPr>
                    <w:pStyle w:val="4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个</w:t>
                  </w:r>
                </w:p>
              </w:tc>
              <w:tc>
                <w:tcPr>
                  <w:tcW w:w="723" w:type="pct"/>
                  <w:noWrap w:val="0"/>
                  <w:vAlign w:val="center"/>
                </w:tcPr>
                <w:p>
                  <w:pPr>
                    <w:pStyle w:val="45"/>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9" w:type="pct"/>
                  <w:noWrap w:val="0"/>
                  <w:vAlign w:val="center"/>
                </w:tcPr>
                <w:p>
                  <w:pPr>
                    <w:pStyle w:val="45"/>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1072" w:type="pct"/>
                  <w:noWrap w:val="0"/>
                  <w:vAlign w:val="center"/>
                </w:tcPr>
                <w:p>
                  <w:pPr>
                    <w:pStyle w:val="4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轴流风机</w:t>
                  </w:r>
                </w:p>
              </w:tc>
              <w:tc>
                <w:tcPr>
                  <w:tcW w:w="1442" w:type="pct"/>
                  <w:noWrap w:val="0"/>
                  <w:vAlign w:val="center"/>
                </w:tcPr>
                <w:p>
                  <w:pPr>
                    <w:pStyle w:val="4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w:t>
                  </w:r>
                </w:p>
              </w:tc>
              <w:tc>
                <w:tcPr>
                  <w:tcW w:w="609" w:type="pct"/>
                  <w:noWrap w:val="0"/>
                  <w:vAlign w:val="center"/>
                </w:tcPr>
                <w:p>
                  <w:pPr>
                    <w:pStyle w:val="45"/>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622" w:type="pct"/>
                  <w:noWrap w:val="0"/>
                  <w:vAlign w:val="center"/>
                </w:tcPr>
                <w:p>
                  <w:pPr>
                    <w:pStyle w:val="4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台</w:t>
                  </w:r>
                </w:p>
              </w:tc>
              <w:tc>
                <w:tcPr>
                  <w:tcW w:w="723" w:type="pct"/>
                  <w:noWrap w:val="0"/>
                  <w:vAlign w:val="center"/>
                </w:tcPr>
                <w:p>
                  <w:pPr>
                    <w:pStyle w:val="45"/>
                    <w:rPr>
                      <w:rFonts w:hint="default" w:ascii="Times New Roman" w:hAnsi="Times New Roman" w:cs="Times New Roman"/>
                      <w:color w:val="auto"/>
                      <w:sz w:val="21"/>
                      <w:szCs w:val="21"/>
                      <w:highlight w:val="none"/>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9" w:type="pct"/>
                  <w:noWrap w:val="0"/>
                  <w:vAlign w:val="center"/>
                </w:tcPr>
                <w:p>
                  <w:pPr>
                    <w:pStyle w:val="45"/>
                    <w:rPr>
                      <w:rFonts w:hint="default" w:cs="Times New Roman"/>
                      <w:color w:val="0F01C9"/>
                      <w:sz w:val="21"/>
                      <w:szCs w:val="21"/>
                      <w:highlight w:val="none"/>
                      <w:lang w:val="en-US" w:eastAsia="zh-CN"/>
                    </w:rPr>
                  </w:pPr>
                  <w:r>
                    <w:rPr>
                      <w:rFonts w:hint="eastAsia" w:cs="Times New Roman"/>
                      <w:color w:val="0F01C9"/>
                      <w:sz w:val="21"/>
                      <w:szCs w:val="21"/>
                      <w:highlight w:val="none"/>
                      <w:lang w:val="en-US" w:eastAsia="zh-CN"/>
                    </w:rPr>
                    <w:t>4</w:t>
                  </w:r>
                </w:p>
              </w:tc>
              <w:tc>
                <w:tcPr>
                  <w:tcW w:w="1072" w:type="pct"/>
                  <w:noWrap w:val="0"/>
                  <w:vAlign w:val="center"/>
                </w:tcPr>
                <w:p>
                  <w:pPr>
                    <w:pStyle w:val="45"/>
                    <w:rPr>
                      <w:rFonts w:hint="default" w:ascii="Times New Roman" w:hAnsi="Times New Roman" w:eastAsia="宋体" w:cs="Times New Roman"/>
                      <w:color w:val="0F01C9"/>
                      <w:sz w:val="21"/>
                      <w:szCs w:val="21"/>
                      <w:highlight w:val="none"/>
                      <w:lang w:val="en-US" w:eastAsia="zh-CN"/>
                    </w:rPr>
                  </w:pPr>
                  <w:r>
                    <w:rPr>
                      <w:rFonts w:hint="eastAsia" w:cs="Times New Roman"/>
                      <w:color w:val="0F01C9"/>
                      <w:sz w:val="21"/>
                      <w:szCs w:val="21"/>
                      <w:highlight w:val="none"/>
                      <w:lang w:val="en-US" w:eastAsia="zh-CN"/>
                    </w:rPr>
                    <w:t>消毒喷桶</w:t>
                  </w:r>
                </w:p>
              </w:tc>
              <w:tc>
                <w:tcPr>
                  <w:tcW w:w="1442" w:type="pct"/>
                  <w:noWrap w:val="0"/>
                  <w:vAlign w:val="center"/>
                </w:tcPr>
                <w:p>
                  <w:pPr>
                    <w:pStyle w:val="45"/>
                    <w:rPr>
                      <w:rFonts w:hint="default" w:ascii="Times New Roman" w:hAnsi="Times New Roman" w:cs="Times New Roman"/>
                      <w:color w:val="0F01C9"/>
                      <w:sz w:val="21"/>
                      <w:szCs w:val="21"/>
                      <w:highlight w:val="none"/>
                    </w:rPr>
                  </w:pPr>
                  <w:r>
                    <w:rPr>
                      <w:rFonts w:hint="default" w:ascii="Times New Roman" w:hAnsi="Times New Roman" w:cs="Times New Roman"/>
                      <w:color w:val="0F01C9"/>
                      <w:sz w:val="21"/>
                      <w:szCs w:val="21"/>
                      <w:highlight w:val="none"/>
                    </w:rPr>
                    <w:t>/</w:t>
                  </w:r>
                </w:p>
              </w:tc>
              <w:tc>
                <w:tcPr>
                  <w:tcW w:w="609" w:type="pct"/>
                  <w:noWrap w:val="0"/>
                  <w:vAlign w:val="center"/>
                </w:tcPr>
                <w:p>
                  <w:pPr>
                    <w:pStyle w:val="45"/>
                    <w:rPr>
                      <w:rFonts w:hint="default" w:ascii="Times New Roman" w:hAnsi="Times New Roman" w:cs="Times New Roman"/>
                      <w:color w:val="0F01C9"/>
                      <w:sz w:val="21"/>
                      <w:szCs w:val="21"/>
                      <w:highlight w:val="none"/>
                      <w:lang w:val="en-US" w:eastAsia="zh-CN"/>
                    </w:rPr>
                  </w:pPr>
                  <w:r>
                    <w:rPr>
                      <w:rFonts w:hint="eastAsia" w:cs="Times New Roman"/>
                      <w:color w:val="0F01C9"/>
                      <w:sz w:val="21"/>
                      <w:szCs w:val="21"/>
                      <w:highlight w:val="none"/>
                      <w:lang w:val="en-US" w:eastAsia="zh-CN"/>
                    </w:rPr>
                    <w:t>1</w:t>
                  </w:r>
                </w:p>
              </w:tc>
              <w:tc>
                <w:tcPr>
                  <w:tcW w:w="622" w:type="pct"/>
                  <w:noWrap w:val="0"/>
                  <w:vAlign w:val="center"/>
                </w:tcPr>
                <w:p>
                  <w:pPr>
                    <w:pStyle w:val="45"/>
                    <w:rPr>
                      <w:rFonts w:hint="default" w:ascii="Times New Roman" w:hAnsi="Times New Roman" w:cs="Times New Roman"/>
                      <w:color w:val="0F01C9"/>
                      <w:sz w:val="21"/>
                      <w:szCs w:val="21"/>
                      <w:highlight w:val="none"/>
                    </w:rPr>
                  </w:pPr>
                  <w:r>
                    <w:rPr>
                      <w:rFonts w:hint="default" w:ascii="Times New Roman" w:hAnsi="Times New Roman" w:cs="Times New Roman"/>
                      <w:color w:val="0F01C9"/>
                      <w:sz w:val="21"/>
                      <w:szCs w:val="21"/>
                    </w:rPr>
                    <w:t>个</w:t>
                  </w:r>
                </w:p>
              </w:tc>
              <w:tc>
                <w:tcPr>
                  <w:tcW w:w="723" w:type="pct"/>
                  <w:noWrap w:val="0"/>
                  <w:vAlign w:val="center"/>
                </w:tcPr>
                <w:p>
                  <w:pPr>
                    <w:pStyle w:val="45"/>
                    <w:rPr>
                      <w:rFonts w:hint="default" w:ascii="Times New Roman" w:hAnsi="Times New Roman" w:cs="Times New Roman"/>
                      <w:color w:val="0F01C9"/>
                      <w:sz w:val="21"/>
                      <w:szCs w:val="21"/>
                      <w:highlight w:val="none"/>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29" w:type="pct"/>
                  <w:noWrap w:val="0"/>
                  <w:vAlign w:val="center"/>
                </w:tcPr>
                <w:p>
                  <w:pPr>
                    <w:pStyle w:val="45"/>
                    <w:rPr>
                      <w:rFonts w:hint="default" w:cs="Times New Roman"/>
                      <w:color w:val="0F01C9"/>
                      <w:sz w:val="21"/>
                      <w:szCs w:val="21"/>
                      <w:highlight w:val="none"/>
                      <w:lang w:val="en-US" w:eastAsia="zh-CN"/>
                    </w:rPr>
                  </w:pPr>
                  <w:r>
                    <w:rPr>
                      <w:rFonts w:hint="eastAsia" w:cs="Times New Roman"/>
                      <w:color w:val="0F01C9"/>
                      <w:sz w:val="21"/>
                      <w:szCs w:val="21"/>
                      <w:highlight w:val="none"/>
                      <w:lang w:val="en-US" w:eastAsia="zh-CN"/>
                    </w:rPr>
                    <w:t>5</w:t>
                  </w:r>
                </w:p>
              </w:tc>
              <w:tc>
                <w:tcPr>
                  <w:tcW w:w="1072" w:type="pct"/>
                  <w:noWrap w:val="0"/>
                  <w:vAlign w:val="center"/>
                </w:tcPr>
                <w:p>
                  <w:pPr>
                    <w:pStyle w:val="45"/>
                    <w:rPr>
                      <w:rFonts w:hint="default" w:cs="Times New Roman"/>
                      <w:color w:val="0F01C9"/>
                      <w:sz w:val="21"/>
                      <w:szCs w:val="21"/>
                      <w:highlight w:val="none"/>
                      <w:lang w:val="en-US" w:eastAsia="zh-CN"/>
                    </w:rPr>
                  </w:pPr>
                  <w:r>
                    <w:rPr>
                      <w:rFonts w:hint="eastAsia" w:cs="Times New Roman"/>
                      <w:color w:val="0F01C9"/>
                      <w:sz w:val="21"/>
                      <w:szCs w:val="21"/>
                      <w:highlight w:val="none"/>
                      <w:lang w:val="en-US" w:eastAsia="zh-CN"/>
                    </w:rPr>
                    <w:t>干粉灭火器</w:t>
                  </w:r>
                </w:p>
              </w:tc>
              <w:tc>
                <w:tcPr>
                  <w:tcW w:w="1442" w:type="pct"/>
                  <w:noWrap w:val="0"/>
                  <w:vAlign w:val="center"/>
                </w:tcPr>
                <w:p>
                  <w:pPr>
                    <w:pStyle w:val="45"/>
                    <w:rPr>
                      <w:rFonts w:hint="default" w:ascii="Times New Roman" w:hAnsi="Times New Roman" w:cs="Times New Roman"/>
                      <w:color w:val="0F01C9"/>
                      <w:sz w:val="21"/>
                      <w:szCs w:val="21"/>
                      <w:highlight w:val="none"/>
                    </w:rPr>
                  </w:pPr>
                  <w:r>
                    <w:rPr>
                      <w:rFonts w:hint="default" w:ascii="Times New Roman" w:hAnsi="Times New Roman" w:eastAsia="宋体" w:cs="Times New Roman"/>
                      <w:color w:val="0F01C9"/>
                      <w:kern w:val="0"/>
                      <w:sz w:val="21"/>
                      <w:szCs w:val="21"/>
                      <w:highlight w:val="none"/>
                      <w:lang w:val="en-US" w:eastAsia="zh-CN" w:bidi="ar-SA"/>
                    </w:rPr>
                    <w:t>MFZ/ABC4</w:t>
                  </w:r>
                </w:p>
              </w:tc>
              <w:tc>
                <w:tcPr>
                  <w:tcW w:w="609" w:type="pct"/>
                  <w:noWrap w:val="0"/>
                  <w:vAlign w:val="center"/>
                </w:tcPr>
                <w:p>
                  <w:pPr>
                    <w:pStyle w:val="45"/>
                    <w:rPr>
                      <w:rFonts w:hint="eastAsia" w:cs="Times New Roman"/>
                      <w:color w:val="0F01C9"/>
                      <w:sz w:val="21"/>
                      <w:szCs w:val="21"/>
                      <w:highlight w:val="none"/>
                      <w:lang w:val="en-US" w:eastAsia="zh-CN"/>
                    </w:rPr>
                  </w:pPr>
                  <w:r>
                    <w:rPr>
                      <w:rFonts w:hint="eastAsia" w:cs="Times New Roman"/>
                      <w:color w:val="0F01C9"/>
                      <w:sz w:val="21"/>
                      <w:szCs w:val="21"/>
                      <w:highlight w:val="none"/>
                      <w:lang w:val="en-US" w:eastAsia="zh-CN"/>
                    </w:rPr>
                    <w:t>2</w:t>
                  </w:r>
                </w:p>
              </w:tc>
              <w:tc>
                <w:tcPr>
                  <w:tcW w:w="622" w:type="pct"/>
                  <w:noWrap w:val="0"/>
                  <w:vAlign w:val="center"/>
                </w:tcPr>
                <w:p>
                  <w:pPr>
                    <w:pStyle w:val="45"/>
                    <w:rPr>
                      <w:rFonts w:hint="default" w:ascii="Times New Roman" w:hAnsi="Times New Roman" w:cs="Times New Roman"/>
                      <w:color w:val="0F01C9"/>
                      <w:sz w:val="21"/>
                      <w:szCs w:val="21"/>
                    </w:rPr>
                  </w:pPr>
                  <w:r>
                    <w:rPr>
                      <w:rFonts w:hint="default" w:ascii="Times New Roman" w:hAnsi="Times New Roman" w:cs="Times New Roman"/>
                      <w:color w:val="0F01C9"/>
                      <w:sz w:val="21"/>
                      <w:szCs w:val="21"/>
                    </w:rPr>
                    <w:t>个</w:t>
                  </w:r>
                </w:p>
              </w:tc>
              <w:tc>
                <w:tcPr>
                  <w:tcW w:w="723" w:type="pct"/>
                  <w:noWrap w:val="0"/>
                  <w:vAlign w:val="center"/>
                </w:tcPr>
                <w:p>
                  <w:pPr>
                    <w:pStyle w:val="45"/>
                    <w:rPr>
                      <w:rFonts w:hint="default" w:ascii="Times New Roman" w:hAnsi="Times New Roman" w:cs="Times New Roman"/>
                      <w:color w:val="0F01C9"/>
                      <w:sz w:val="21"/>
                      <w:szCs w:val="21"/>
                      <w:highlight w:val="none"/>
                      <w:lang w:val="en-US" w:eastAsia="zh-CN"/>
                    </w:rPr>
                  </w:pPr>
                </w:p>
              </w:tc>
            </w:tr>
          </w:tbl>
          <w:p>
            <w:pPr>
              <w:spacing w:line="360" w:lineRule="auto"/>
              <w:ind w:left="420" w:leftChars="200"/>
              <w:jc w:val="left"/>
              <w:rPr>
                <w:rFonts w:hint="default" w:ascii="Times New Roman" w:hAnsi="Times New Roman" w:eastAsia="宋体" w:cs="Times New Roman"/>
                <w:b/>
                <w:bCs/>
                <w:color w:val="auto"/>
                <w:kern w:val="4"/>
                <w:sz w:val="24"/>
                <w:lang w:val="en-US" w:eastAsia="zh-CN"/>
              </w:rPr>
            </w:pPr>
            <w:r>
              <w:rPr>
                <w:rFonts w:hint="eastAsia" w:ascii="Times New Roman" w:hAnsi="Times New Roman" w:cs="Times New Roman"/>
                <w:b/>
                <w:bCs/>
                <w:color w:val="auto"/>
                <w:kern w:val="4"/>
                <w:sz w:val="24"/>
                <w:lang w:val="en-US" w:eastAsia="zh-CN"/>
              </w:rPr>
              <w:t>4</w:t>
            </w:r>
            <w:r>
              <w:rPr>
                <w:rFonts w:hint="eastAsia" w:ascii="Times New Roman" w:hAnsi="Times New Roman" w:cs="Times New Roman"/>
                <w:b/>
                <w:bCs/>
                <w:color w:val="auto"/>
                <w:kern w:val="4"/>
                <w:sz w:val="24"/>
              </w:rPr>
              <w:t>.医疗废物来源、医疗废物的管理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rPr>
            </w:pPr>
            <w:r>
              <w:rPr>
                <w:rFonts w:hint="default"/>
                <w:color w:val="auto"/>
                <w:sz w:val="24"/>
              </w:rPr>
              <w:t>（1）医疗废物来源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highlight w:val="none"/>
              </w:rPr>
            </w:pPr>
            <w:r>
              <w:rPr>
                <w:rFonts w:hint="default"/>
                <w:color w:val="auto"/>
                <w:sz w:val="24"/>
                <w:highlight w:val="none"/>
              </w:rPr>
              <w:t>本项目医疗废物来源于</w:t>
            </w:r>
            <w:r>
              <w:rPr>
                <w:rFonts w:hint="eastAsia"/>
                <w:color w:val="auto"/>
                <w:sz w:val="24"/>
                <w:highlight w:val="none"/>
              </w:rPr>
              <w:t>锡林浩特市宝力根街道办事处社区卫生服务中心</w:t>
            </w:r>
            <w:r>
              <w:rPr>
                <w:rFonts w:hint="default"/>
                <w:color w:val="auto"/>
                <w:sz w:val="24"/>
                <w:highlight w:val="none"/>
              </w:rPr>
              <w:t>产生的感染性废物、损伤性废物</w:t>
            </w:r>
            <w:r>
              <w:rPr>
                <w:rFonts w:hint="eastAsia"/>
                <w:color w:val="auto"/>
                <w:sz w:val="24"/>
                <w:highlight w:val="none"/>
                <w:lang w:eastAsia="zh-CN"/>
              </w:rPr>
              <w:t>。</w:t>
            </w:r>
            <w:r>
              <w:rPr>
                <w:rFonts w:hint="default"/>
                <w:color w:val="auto"/>
                <w:sz w:val="24"/>
                <w:highlight w:val="none"/>
              </w:rPr>
              <w:t>根据近年来医疗废物的产生情况统计，日产量约0.</w:t>
            </w:r>
            <w:r>
              <w:rPr>
                <w:rFonts w:hint="eastAsia"/>
                <w:color w:val="auto"/>
                <w:sz w:val="24"/>
                <w:highlight w:val="none"/>
                <w:lang w:val="en-US" w:eastAsia="zh-CN"/>
              </w:rPr>
              <w:t>01吨</w:t>
            </w:r>
            <w:r>
              <w:rPr>
                <w:rFonts w:hint="eastAsia"/>
                <w:color w:val="auto"/>
                <w:sz w:val="24"/>
                <w:highlight w:val="none"/>
                <w:lang w:eastAsia="zh-CN"/>
              </w:rPr>
              <w:t>。</w:t>
            </w:r>
            <w:r>
              <w:rPr>
                <w:rFonts w:hint="default"/>
                <w:color w:val="auto"/>
                <w:sz w:val="24"/>
                <w:highlight w:val="none"/>
              </w:rPr>
              <w:t>每天产生的</w:t>
            </w:r>
            <w:r>
              <w:rPr>
                <w:rFonts w:hint="eastAsia"/>
                <w:color w:val="auto"/>
                <w:sz w:val="24"/>
                <w:highlight w:val="none"/>
                <w:lang w:val="en-US" w:eastAsia="zh-CN"/>
              </w:rPr>
              <w:t>医疗废物</w:t>
            </w:r>
            <w:r>
              <w:rPr>
                <w:rFonts w:hint="default"/>
                <w:color w:val="auto"/>
                <w:sz w:val="24"/>
                <w:highlight w:val="none"/>
              </w:rPr>
              <w:t>采用专用包装袋收集，封口后通过计量</w:t>
            </w:r>
            <w:r>
              <w:rPr>
                <w:rFonts w:hint="eastAsia"/>
                <w:color w:val="auto"/>
                <w:sz w:val="24"/>
                <w:highlight w:val="none"/>
                <w:lang w:val="en-US" w:eastAsia="zh-CN"/>
              </w:rPr>
              <w:t>后装入医疗废物周转箱，</w:t>
            </w:r>
            <w:r>
              <w:rPr>
                <w:rFonts w:hint="default"/>
                <w:color w:val="auto"/>
                <w:sz w:val="24"/>
                <w:highlight w:val="none"/>
              </w:rPr>
              <w:t>转运至本项目</w:t>
            </w:r>
            <w:r>
              <w:rPr>
                <w:rFonts w:hint="eastAsia"/>
                <w:color w:val="auto"/>
                <w:sz w:val="24"/>
                <w:highlight w:val="none"/>
                <w:lang w:val="en-US" w:eastAsia="zh-CN"/>
              </w:rPr>
              <w:t>医疗废物暂存间</w:t>
            </w:r>
            <w:r>
              <w:rPr>
                <w:rFonts w:hint="default"/>
                <w:color w:val="auto"/>
                <w:sz w:val="24"/>
                <w:highlight w:val="none"/>
              </w:rPr>
              <w:t>暂存。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（2）医疗废物的分类及储存要求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color w:val="auto"/>
                <w:sz w:val="24"/>
                <w:lang w:eastAsia="zh-CN"/>
              </w:rPr>
            </w:pPr>
            <w:r>
              <w:rPr>
                <w:rFonts w:hint="default" w:ascii="Times New Roman" w:hAnsi="Times New Roman" w:cs="Times New Roman"/>
                <w:color w:val="auto"/>
                <w:sz w:val="24"/>
              </w:rPr>
              <w:t>根据卫生部、原国家环保总局关于下发《医疗废物分类目录</w:t>
            </w:r>
            <w:r>
              <w:rPr>
                <w:rFonts w:hint="eastAsia" w:cs="Times New Roman"/>
                <w:color w:val="auto"/>
                <w:sz w:val="24"/>
                <w:lang w:eastAsia="zh-CN"/>
              </w:rPr>
              <w:t>（</w:t>
            </w:r>
            <w:r>
              <w:rPr>
                <w:rFonts w:hint="eastAsia" w:cs="Times New Roman"/>
                <w:color w:val="auto"/>
                <w:sz w:val="24"/>
                <w:lang w:val="en-US" w:eastAsia="zh-CN"/>
              </w:rPr>
              <w:t>2021版</w:t>
            </w:r>
            <w:r>
              <w:rPr>
                <w:rFonts w:hint="eastAsia" w:cs="Times New Roman"/>
                <w:color w:val="auto"/>
                <w:sz w:val="24"/>
                <w:lang w:eastAsia="zh-CN"/>
              </w:rPr>
              <w:t>）</w:t>
            </w:r>
            <w:r>
              <w:rPr>
                <w:rFonts w:hint="default" w:ascii="Times New Roman" w:hAnsi="Times New Roman" w:cs="Times New Roman"/>
                <w:color w:val="auto"/>
                <w:sz w:val="24"/>
              </w:rPr>
              <w:t>》（国卫医函〔2021〕238号），医院医疗废物可分为感染性废物、病理性废物、损伤性废物、药物性废物及化学性废物，本项目涉及医疗废物</w:t>
            </w:r>
            <w:r>
              <w:rPr>
                <w:rFonts w:hint="default" w:ascii="Times New Roman" w:hAnsi="Times New Roman" w:cs="Times New Roman"/>
                <w:color w:val="auto"/>
                <w:sz w:val="24"/>
                <w:lang w:val="en-US" w:eastAsia="zh-CN"/>
              </w:rPr>
              <w:t>为</w:t>
            </w:r>
            <w:r>
              <w:rPr>
                <w:rFonts w:hint="default" w:ascii="Times New Roman" w:hAnsi="Times New Roman" w:cs="Times New Roman"/>
                <w:color w:val="auto"/>
                <w:sz w:val="24"/>
              </w:rPr>
              <w:t>感染性废物、损伤性废物</w:t>
            </w:r>
            <w:r>
              <w:rPr>
                <w:rFonts w:hint="eastAsia"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根据《医疗废物管理条例》（中华人民共和国国务院令第380号）：</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第三章</w:t>
            </w:r>
            <w:r>
              <w:rPr>
                <w:rFonts w:hint="eastAsia" w:cs="Times New Roman"/>
                <w:color w:val="auto"/>
                <w:sz w:val="24"/>
                <w:lang w:val="en-US" w:eastAsia="zh-CN"/>
              </w:rPr>
              <w:t xml:space="preserve"> </w:t>
            </w:r>
            <w:r>
              <w:rPr>
                <w:rFonts w:hint="eastAsia" w:ascii="Times New Roman" w:hAnsi="Times New Roman" w:cs="Times New Roman"/>
                <w:color w:val="auto"/>
                <w:sz w:val="24"/>
              </w:rPr>
              <w:t>医疗卫生机构对医疗废物的管理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第十六条</w:t>
            </w:r>
            <w:r>
              <w:rPr>
                <w:rFonts w:hint="eastAsia" w:cs="Times New Roman"/>
                <w:color w:val="auto"/>
                <w:sz w:val="24"/>
                <w:lang w:val="en-US" w:eastAsia="zh-CN"/>
              </w:rPr>
              <w:t xml:space="preserve"> </w:t>
            </w:r>
            <w:r>
              <w:rPr>
                <w:rFonts w:hint="eastAsia" w:ascii="Times New Roman" w:hAnsi="Times New Roman" w:cs="Times New Roman"/>
                <w:color w:val="auto"/>
                <w:sz w:val="24"/>
              </w:rPr>
              <w:t>医疗卫生机构应当及时收集本单位产生的医疗废物，并按照类别分置于防渗漏、防锐器穿透的专用包装物或者密闭的容器内。</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医疗废物专用包装物、容器，应当有明显的警示标识和警示说明。</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医疗废物专用包装物、容器的标准和警示标识的规定，由国务院卫生行政主管部门和环境保护行政主管部门共同制定。</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第十七条</w:t>
            </w:r>
            <w:r>
              <w:rPr>
                <w:rFonts w:hint="eastAsia" w:cs="Times New Roman"/>
                <w:color w:val="auto"/>
                <w:sz w:val="24"/>
                <w:lang w:val="en-US" w:eastAsia="zh-CN"/>
              </w:rPr>
              <w:t xml:space="preserve"> </w:t>
            </w:r>
            <w:r>
              <w:rPr>
                <w:rFonts w:hint="eastAsia" w:ascii="Times New Roman" w:hAnsi="Times New Roman" w:cs="Times New Roman"/>
                <w:color w:val="auto"/>
                <w:sz w:val="24"/>
              </w:rPr>
              <w:t>医疗卫生机构应当建立医疗废物的暂时贮存设施、设备，不得露天存放医疗废物；医疗废物暂时贮存的时间不得超过2天。</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医疗废物的暂时贮存设施、设备，应当远离医疗区、食品加工区和人员活动区以及生活垃圾存放场所，并设置明显的警示标识和防渗漏、防鼠、防蚊蝇、防蟑螂、防盗以及预防儿童接触等安全措施。</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医疗废物的暂时贮存设施、设备应当定期消毒和清洁。</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第十八条</w:t>
            </w:r>
            <w:r>
              <w:rPr>
                <w:rFonts w:hint="eastAsia" w:cs="Times New Roman"/>
                <w:color w:val="auto"/>
                <w:sz w:val="24"/>
                <w:lang w:val="en-US" w:eastAsia="zh-CN"/>
              </w:rPr>
              <w:t xml:space="preserve"> </w:t>
            </w:r>
            <w:r>
              <w:rPr>
                <w:rFonts w:hint="eastAsia" w:ascii="Times New Roman" w:hAnsi="Times New Roman" w:cs="Times New Roman"/>
                <w:color w:val="auto"/>
                <w:sz w:val="24"/>
              </w:rPr>
              <w:t>医疗卫生机构应当使用防渗漏、防遗撒的专用运送工具，按照本单位确定的内部医疗废物运送时间、路线，将医疗废物收集、运送至暂时贮存地点。</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运送工具使用后应当在医疗卫生机构内指定的地点及时消毒和清洁。</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第十九条</w:t>
            </w:r>
            <w:r>
              <w:rPr>
                <w:rFonts w:hint="eastAsia" w:cs="Times New Roman"/>
                <w:color w:val="auto"/>
                <w:sz w:val="24"/>
                <w:lang w:val="en-US" w:eastAsia="zh-CN"/>
              </w:rPr>
              <w:t xml:space="preserve"> </w:t>
            </w:r>
            <w:r>
              <w:rPr>
                <w:rFonts w:hint="eastAsia" w:ascii="Times New Roman" w:hAnsi="Times New Roman" w:cs="Times New Roman"/>
                <w:color w:val="auto"/>
                <w:sz w:val="24"/>
              </w:rPr>
              <w:t>医疗卫生机构应当根据就近集中处置的原则，及时将医疗废物交由医疗废物集中处置单位处置。</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rPr>
              <w:t>医疗废物中病原体的培养基、标本和菌种、毒种保存液等高危险废物，在交医疗废物集中处置单位处置前应当就地消毒。</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color w:val="auto"/>
                <w:sz w:val="24"/>
              </w:rPr>
            </w:pPr>
            <w:r>
              <w:rPr>
                <w:rFonts w:hint="default" w:ascii="Times New Roman" w:hAnsi="Times New Roman" w:cs="Times New Roman"/>
                <w:color w:val="auto"/>
                <w:sz w:val="24"/>
              </w:rPr>
              <w:t>医疗废物类别</w:t>
            </w:r>
            <w:r>
              <w:rPr>
                <w:rFonts w:hint="eastAsia" w:ascii="Times New Roman" w:hAnsi="Times New Roman" w:cs="Times New Roman"/>
                <w:color w:val="auto"/>
                <w:sz w:val="24"/>
                <w:lang w:val="en-US" w:eastAsia="zh-CN"/>
              </w:rPr>
              <w:t>见表2-</w:t>
            </w:r>
            <w:r>
              <w:rPr>
                <w:rFonts w:hint="eastAsia" w:cs="Times New Roman"/>
                <w:color w:val="auto"/>
                <w:sz w:val="24"/>
                <w:lang w:val="en-US" w:eastAsia="zh-CN"/>
              </w:rPr>
              <w:t>3</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rPr>
              <w:t>医疗废物具体明细及对应的暂存方式见表</w:t>
            </w:r>
            <w:r>
              <w:rPr>
                <w:rFonts w:hint="default" w:ascii="Times New Roman" w:hAnsi="Times New Roman" w:cs="Times New Roman"/>
                <w:color w:val="auto"/>
                <w:sz w:val="24"/>
                <w:highlight w:val="none"/>
              </w:rPr>
              <w:t>2-</w:t>
            </w:r>
            <w:r>
              <w:rPr>
                <w:rFonts w:hint="eastAsia" w:cs="Times New Roman"/>
                <w:color w:val="auto"/>
                <w:sz w:val="24"/>
                <w:highlight w:val="none"/>
                <w:lang w:val="en-US" w:eastAsia="zh-CN"/>
              </w:rPr>
              <w:t>4</w:t>
            </w:r>
            <w:r>
              <w:rPr>
                <w:rFonts w:hint="default" w:ascii="Times New Roman" w:hAnsi="Times New Roman" w:cs="Times New Roman"/>
                <w:color w:val="auto"/>
                <w:sz w:val="24"/>
              </w:rPr>
              <w:t>。</w:t>
            </w:r>
          </w:p>
          <w:p>
            <w:pPr>
              <w:jc w:val="center"/>
              <w:rPr>
                <w:rFonts w:hint="default" w:ascii="Times New Roman" w:hAnsi="Times New Roman" w:cs="Times New Roman"/>
                <w:b/>
                <w:bCs/>
                <w:color w:val="auto"/>
                <w:sz w:val="24"/>
                <w:szCs w:val="24"/>
                <w:lang w:val="en-US"/>
              </w:rPr>
            </w:pPr>
            <w:r>
              <w:rPr>
                <w:rFonts w:hint="eastAsia" w:ascii="Times New Roman" w:hAnsi="Times New Roman" w:cs="Times New Roman"/>
                <w:b/>
                <w:bCs/>
                <w:color w:val="auto"/>
                <w:sz w:val="24"/>
                <w:lang w:val="en-US" w:eastAsia="zh-CN"/>
              </w:rPr>
              <w:t>表2-</w:t>
            </w:r>
            <w:r>
              <w:rPr>
                <w:rFonts w:hint="eastAsia" w:cs="Times New Roman"/>
                <w:b/>
                <w:bCs/>
                <w:color w:val="auto"/>
                <w:sz w:val="24"/>
                <w:highlight w:val="none"/>
                <w:lang w:val="en-US" w:eastAsia="zh-CN"/>
              </w:rPr>
              <w:t>3</w:t>
            </w:r>
            <w:r>
              <w:rPr>
                <w:rFonts w:hint="eastAsia" w:ascii="Times New Roman" w:hAnsi="Times New Roman" w:cs="Times New Roman"/>
                <w:b/>
                <w:bCs/>
                <w:color w:val="auto"/>
                <w:sz w:val="24"/>
                <w:lang w:val="en-US" w:eastAsia="zh-CN"/>
              </w:rPr>
              <w:t xml:space="preserve">   医疗废物类别</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1"/>
              <w:gridCol w:w="1413"/>
              <w:gridCol w:w="1413"/>
              <w:gridCol w:w="1413"/>
              <w:gridCol w:w="1413"/>
              <w:gridCol w:w="14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2" w:type="pct"/>
                  <w:tcBorders>
                    <w:tl2br w:val="nil"/>
                    <w:tr2bl w:val="nil"/>
                  </w:tcBorders>
                  <w:vAlign w:val="center"/>
                </w:tcPr>
                <w:p>
                  <w:pPr>
                    <w:jc w:val="center"/>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废物类别</w:t>
                  </w:r>
                </w:p>
              </w:tc>
              <w:tc>
                <w:tcPr>
                  <w:tcW w:w="833" w:type="pct"/>
                  <w:tcBorders>
                    <w:tl2br w:val="nil"/>
                    <w:tr2bl w:val="nil"/>
                  </w:tcBorders>
                  <w:vAlign w:val="center"/>
                </w:tcPr>
                <w:p>
                  <w:pPr>
                    <w:jc w:val="center"/>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行业来源</w:t>
                  </w:r>
                </w:p>
              </w:tc>
              <w:tc>
                <w:tcPr>
                  <w:tcW w:w="833" w:type="pct"/>
                  <w:tcBorders>
                    <w:tl2br w:val="nil"/>
                    <w:tr2bl w:val="nil"/>
                  </w:tcBorders>
                  <w:vAlign w:val="center"/>
                </w:tcPr>
                <w:p>
                  <w:pPr>
                    <w:jc w:val="center"/>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废物代码</w:t>
                  </w:r>
                </w:p>
              </w:tc>
              <w:tc>
                <w:tcPr>
                  <w:tcW w:w="833" w:type="pct"/>
                  <w:tcBorders>
                    <w:tl2br w:val="nil"/>
                    <w:tr2bl w:val="nil"/>
                  </w:tcBorders>
                  <w:vAlign w:val="center"/>
                </w:tcPr>
                <w:p>
                  <w:pPr>
                    <w:jc w:val="center"/>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危险废物</w:t>
                  </w:r>
                </w:p>
              </w:tc>
              <w:tc>
                <w:tcPr>
                  <w:tcW w:w="833" w:type="pct"/>
                  <w:tcBorders>
                    <w:tl2br w:val="nil"/>
                    <w:tr2bl w:val="nil"/>
                  </w:tcBorders>
                  <w:vAlign w:val="center"/>
                </w:tcPr>
                <w:p>
                  <w:pPr>
                    <w:jc w:val="center"/>
                    <w:rPr>
                      <w:rFonts w:hint="default" w:ascii="Times New Roman" w:hAnsi="Times New Roman" w:cs="Times New Roman"/>
                      <w:b/>
                      <w:bCs/>
                      <w:color w:val="auto"/>
                      <w:sz w:val="21"/>
                      <w:szCs w:val="21"/>
                      <w:vertAlign w:val="baseline"/>
                    </w:rPr>
                  </w:pPr>
                  <w:r>
                    <w:rPr>
                      <w:rFonts w:hint="default" w:ascii="Times New Roman" w:hAnsi="Times New Roman" w:cs="Times New Roman"/>
                      <w:b/>
                      <w:bCs/>
                      <w:color w:val="auto"/>
                      <w:sz w:val="21"/>
                      <w:szCs w:val="21"/>
                      <w:vertAlign w:val="baseline"/>
                    </w:rPr>
                    <w:t>危险特性</w:t>
                  </w:r>
                </w:p>
              </w:tc>
              <w:tc>
                <w:tcPr>
                  <w:tcW w:w="833" w:type="pct"/>
                  <w:tcBorders>
                    <w:tl2br w:val="nil"/>
                    <w:tr2bl w:val="nil"/>
                  </w:tcBorders>
                  <w:vAlign w:val="center"/>
                </w:tcPr>
                <w:p>
                  <w:pPr>
                    <w:jc w:val="center"/>
                    <w:rPr>
                      <w:rFonts w:hint="eastAsia"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贮存量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832" w:type="pct"/>
                  <w:vMerge w:val="restar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HW01</w:t>
                  </w:r>
                </w:p>
                <w:p>
                  <w:pPr>
                    <w:jc w:val="center"/>
                    <w:rPr>
                      <w:rFonts w:hint="eastAsia"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rPr>
                    <w:t>医疗废</w:t>
                  </w:r>
                  <w:r>
                    <w:rPr>
                      <w:rFonts w:hint="eastAsia" w:ascii="Times New Roman" w:hAnsi="Times New Roman" w:cs="Times New Roman"/>
                      <w:b w:val="0"/>
                      <w:bCs w:val="0"/>
                      <w:color w:val="auto"/>
                      <w:sz w:val="21"/>
                      <w:szCs w:val="21"/>
                      <w:vertAlign w:val="baseline"/>
                      <w:lang w:val="en-US" w:eastAsia="zh-CN"/>
                    </w:rPr>
                    <w:t>物</w:t>
                  </w:r>
                </w:p>
              </w:tc>
              <w:tc>
                <w:tcPr>
                  <w:tcW w:w="833" w:type="pct"/>
                  <w:vMerge w:val="restar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卫生</w:t>
                  </w: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841-001-01</w:t>
                  </w: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感染性废物</w:t>
                  </w: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In</w:t>
                  </w:r>
                </w:p>
              </w:tc>
              <w:tc>
                <w:tcPr>
                  <w:tcW w:w="833" w:type="pct"/>
                  <w:tcBorders>
                    <w:tl2br w:val="nil"/>
                    <w:tr2bl w:val="nil"/>
                  </w:tcBorders>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rFonts w:hint="eastAsia"/>
                      <w:color w:val="auto"/>
                      <w:szCs w:val="21"/>
                    </w:rPr>
                    <w:t>1t</w:t>
                  </w:r>
                  <w:r>
                    <w:rPr>
                      <w:rFonts w:hint="eastAsia"/>
                      <w:color w:val="auto"/>
                      <w:kern w:val="0"/>
                      <w:szCs w:val="21"/>
                      <w:lang w:bidi="ar"/>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832" w:type="pct"/>
                  <w:vMerge w:val="continue"/>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p>
              </w:tc>
              <w:tc>
                <w:tcPr>
                  <w:tcW w:w="833" w:type="pct"/>
                  <w:vMerge w:val="continue"/>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841-002-01</w:t>
                  </w: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损伤性废物</w:t>
                  </w:r>
                </w:p>
              </w:tc>
              <w:tc>
                <w:tcPr>
                  <w:tcW w:w="833" w:type="pct"/>
                  <w:tcBorders>
                    <w:tl2br w:val="nil"/>
                    <w:tr2bl w:val="nil"/>
                  </w:tcBorders>
                  <w:vAlign w:val="center"/>
                </w:tcPr>
                <w:p>
                  <w:pPr>
                    <w:jc w:val="center"/>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In</w:t>
                  </w:r>
                </w:p>
              </w:tc>
              <w:tc>
                <w:tcPr>
                  <w:tcW w:w="833" w:type="pct"/>
                  <w:tcBorders>
                    <w:tl2br w:val="nil"/>
                    <w:tr2bl w:val="nil"/>
                  </w:tcBorders>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rFonts w:hint="eastAsia"/>
                      <w:color w:val="auto"/>
                      <w:szCs w:val="21"/>
                      <w:lang w:val="en-US" w:eastAsia="zh-CN"/>
                    </w:rPr>
                    <w:t>1</w:t>
                  </w:r>
                  <w:r>
                    <w:rPr>
                      <w:rFonts w:hint="eastAsia"/>
                      <w:color w:val="auto"/>
                      <w:szCs w:val="21"/>
                    </w:rPr>
                    <w:t>t</w:t>
                  </w:r>
                  <w:r>
                    <w:rPr>
                      <w:rFonts w:hint="eastAsia"/>
                      <w:color w:val="auto"/>
                      <w:kern w:val="0"/>
                      <w:szCs w:val="21"/>
                      <w:lang w:bidi="ar"/>
                    </w:rPr>
                    <w:t>/a</w:t>
                  </w:r>
                </w:p>
              </w:tc>
            </w:tr>
          </w:tbl>
          <w:p>
            <w:pPr>
              <w:jc w:val="center"/>
              <w:rPr>
                <w:rFonts w:hint="default" w:ascii="Times New Roman" w:hAnsi="Times New Roman" w:cs="Times New Roman"/>
                <w:color w:val="auto"/>
                <w:sz w:val="24"/>
                <w:szCs w:val="24"/>
              </w:rPr>
            </w:pPr>
            <w:r>
              <w:rPr>
                <w:rFonts w:hint="default" w:ascii="Times New Roman" w:hAnsi="Times New Roman" w:cs="Times New Roman"/>
                <w:b/>
                <w:bCs/>
                <w:color w:val="auto"/>
                <w:sz w:val="24"/>
                <w:szCs w:val="24"/>
              </w:rPr>
              <w:t>表2-</w:t>
            </w:r>
            <w:r>
              <w:rPr>
                <w:rFonts w:hint="eastAsia" w:cs="Times New Roman"/>
                <w:b/>
                <w:bCs/>
                <w:color w:val="auto"/>
                <w:sz w:val="24"/>
                <w:szCs w:val="24"/>
                <w:lang w:val="en-US" w:eastAsia="zh-CN"/>
              </w:rPr>
              <w:t>4</w:t>
            </w:r>
            <w:r>
              <w:rPr>
                <w:rFonts w:hint="default" w:ascii="Times New Roman" w:hAnsi="Times New Roman" w:cs="Times New Roman"/>
                <w:b/>
                <w:bCs/>
                <w:color w:val="auto"/>
                <w:sz w:val="24"/>
                <w:szCs w:val="24"/>
              </w:rPr>
              <w:t xml:space="preserve"> </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 xml:space="preserve"> 医疗废物信息具体明细表</w:t>
            </w:r>
          </w:p>
          <w:tbl>
            <w:tblPr>
              <w:tblStyle w:val="3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88"/>
              <w:gridCol w:w="1269"/>
              <w:gridCol w:w="3318"/>
              <w:gridCol w:w="2210"/>
              <w:gridCol w:w="109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47" w:type="pct"/>
                  <w:noWrap w:val="0"/>
                  <w:vAlign w:val="center"/>
                </w:tcPr>
                <w:p>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748" w:type="pct"/>
                  <w:noWrap w:val="0"/>
                  <w:vAlign w:val="center"/>
                </w:tcPr>
                <w:p>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特性</w:t>
                  </w:r>
                </w:p>
              </w:tc>
              <w:tc>
                <w:tcPr>
                  <w:tcW w:w="1956" w:type="pct"/>
                  <w:noWrap w:val="0"/>
                  <w:vAlign w:val="center"/>
                </w:tcPr>
                <w:p>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常见组分或废物名称</w:t>
                  </w:r>
                </w:p>
              </w:tc>
              <w:tc>
                <w:tcPr>
                  <w:tcW w:w="1303" w:type="pct"/>
                  <w:noWrap w:val="0"/>
                  <w:vAlign w:val="center"/>
                </w:tcPr>
                <w:p>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本项目暂存方式</w:t>
                  </w:r>
                </w:p>
              </w:tc>
              <w:tc>
                <w:tcPr>
                  <w:tcW w:w="645" w:type="pct"/>
                  <w:noWrap w:val="0"/>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处置方式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347" w:type="pct"/>
                  <w:noWrap w:val="0"/>
                  <w:vAlign w:val="center"/>
                </w:tcPr>
                <w:p>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感染性废物</w:t>
                  </w:r>
                </w:p>
              </w:tc>
              <w:tc>
                <w:tcPr>
                  <w:tcW w:w="748"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携带病原微生物具有引发感染性疾病或传播危险的医疗废物</w:t>
                  </w:r>
                </w:p>
              </w:tc>
              <w:tc>
                <w:tcPr>
                  <w:tcW w:w="1956" w:type="pct"/>
                  <w:noWrap w:val="0"/>
                  <w:vAlign w:val="center"/>
                </w:tcPr>
                <w:p>
                  <w:pPr>
                    <w:spacing w:line="240" w:lineRule="auto"/>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被病人血液、体液、排泄物污染的物品，包括：棉球、棉签、引流棉条、纱布及其他各种敷料</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一次性使用卫生用品、一次性使用医疗用品及一次性医疗器械</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废弃的被服</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其他被病人血液、体液、排泄物污染的物品。</w:t>
                  </w:r>
                </w:p>
                <w:p>
                  <w:pPr>
                    <w:spacing w:line="240" w:lineRule="auto"/>
                    <w:jc w:val="both"/>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2.医疗机构收治的隔离传染病病人或者疑似传染病病人产生的生活垃圾。</w:t>
                  </w:r>
                </w:p>
                <w:p>
                  <w:pPr>
                    <w:spacing w:line="240" w:lineRule="auto"/>
                    <w:jc w:val="both"/>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3.病原体的培养基、标本和菌种、毒种保存液</w:t>
                  </w:r>
                  <w:r>
                    <w:rPr>
                      <w:rFonts w:hint="eastAsia" w:ascii="Times New Roman" w:hAnsi="Times New Roman" w:cs="Times New Roman"/>
                      <w:color w:val="auto"/>
                      <w:sz w:val="21"/>
                      <w:szCs w:val="21"/>
                      <w:lang w:val="en-US" w:eastAsia="zh-CN"/>
                    </w:rPr>
                    <w:t>。</w:t>
                  </w:r>
                </w:p>
                <w:p>
                  <w:pPr>
                    <w:spacing w:line="240" w:lineRule="auto"/>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4.各种废弃的医学标本。</w:t>
                  </w:r>
                </w:p>
                <w:p>
                  <w:pPr>
                    <w:spacing w:line="240" w:lineRule="auto"/>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5.废弃的血液、血清。</w:t>
                  </w:r>
                </w:p>
                <w:p>
                  <w:pPr>
                    <w:spacing w:line="240" w:lineRule="auto"/>
                    <w:jc w:val="both"/>
                    <w:rPr>
                      <w:rFonts w:hint="default"/>
                      <w:color w:val="auto"/>
                      <w:lang w:val="en-US" w:eastAsia="zh-CN"/>
                    </w:rPr>
                  </w:pPr>
                  <w:r>
                    <w:rPr>
                      <w:rFonts w:hint="eastAsia" w:ascii="Times New Roman" w:hAnsi="Times New Roman" w:cs="Times New Roman"/>
                      <w:color w:val="auto"/>
                      <w:sz w:val="21"/>
                      <w:szCs w:val="21"/>
                      <w:lang w:val="en-US" w:eastAsia="zh-CN"/>
                    </w:rPr>
                    <w:t>6.使用后的一次性使用医疗用品及一次性医疗器械视为感染性废物。</w:t>
                  </w:r>
                </w:p>
              </w:tc>
              <w:tc>
                <w:tcPr>
                  <w:tcW w:w="1303" w:type="pct"/>
                  <w:tcBorders>
                    <w:bottom w:val="single" w:color="auto" w:sz="4" w:space="0"/>
                  </w:tcBorders>
                  <w:noWrap w:val="0"/>
                  <w:vAlign w:val="center"/>
                </w:tcPr>
                <w:p>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用明显标识的医用垃圾袋收集，并存放于周转箱内，周转箱统一放置在感染性废物储存区。</w:t>
                  </w:r>
                </w:p>
              </w:tc>
              <w:tc>
                <w:tcPr>
                  <w:tcW w:w="645" w:type="pct"/>
                  <w:vMerge w:val="restart"/>
                  <w:noWrap w:val="0"/>
                  <w:vAlign w:val="center"/>
                </w:tcPr>
                <w:p>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交由锡林郭勒盟环建医疗废弃资源处置有限公司处置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55" w:hRule="atLeast"/>
                <w:jc w:val="center"/>
              </w:trPr>
              <w:tc>
                <w:tcPr>
                  <w:tcW w:w="347"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损伤性废物</w:t>
                  </w:r>
                </w:p>
              </w:tc>
              <w:tc>
                <w:tcPr>
                  <w:tcW w:w="748" w:type="pct"/>
                  <w:noWrap w:val="0"/>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能够刺伤或者割伤人体的废弃的医用锐器</w:t>
                  </w:r>
                </w:p>
              </w:tc>
              <w:tc>
                <w:tcPr>
                  <w:tcW w:w="19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1.医用针头、缝合针</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2.各类医用锐器，包括：解剖刀、手术刀、备皮刀、手术锯等。</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3、载玻片、玻璃试管、玻璃安瓿等。</w:t>
                  </w:r>
                </w:p>
              </w:tc>
              <w:tc>
                <w:tcPr>
                  <w:tcW w:w="1303" w:type="pct"/>
                  <w:tcBorders>
                    <w:top w:val="single" w:color="auto" w:sz="4" w:space="0"/>
                  </w:tcBorders>
                  <w:noWrap w:val="0"/>
                  <w:vAlign w:val="center"/>
                </w:tcPr>
                <w:p>
                  <w:pPr>
                    <w:spacing w:line="240" w:lineRule="auto"/>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装入防刺、防渗漏的硬质容器内，再放入有明显的标识的医用垃圾袋内，存放于周转箱中。周转箱统一放置在损伤性废物储存区。</w:t>
                  </w:r>
                </w:p>
              </w:tc>
              <w:tc>
                <w:tcPr>
                  <w:tcW w:w="645" w:type="pct"/>
                  <w:vMerge w:val="continue"/>
                  <w:noWrap w:val="0"/>
                  <w:vAlign w:val="center"/>
                </w:tcPr>
                <w:p>
                  <w:pPr>
                    <w:spacing w:line="240" w:lineRule="auto"/>
                    <w:jc w:val="left"/>
                    <w:rPr>
                      <w:rFonts w:hint="default" w:ascii="Times New Roman" w:hAnsi="Times New Roman" w:eastAsia="宋体" w:cs="Times New Roman"/>
                      <w:color w:val="auto"/>
                      <w:sz w:val="21"/>
                      <w:szCs w:val="21"/>
                      <w:lang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（3）运输</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本项目医疗废物仅在</w:t>
            </w:r>
            <w:r>
              <w:rPr>
                <w:rFonts w:hint="eastAsia"/>
                <w:color w:val="auto"/>
                <w:sz w:val="24"/>
                <w:highlight w:val="none"/>
              </w:rPr>
              <w:t>锡林浩特市宝力根街道办事处社区卫生服务中心</w:t>
            </w:r>
            <w:r>
              <w:rPr>
                <w:rFonts w:hint="eastAsia"/>
                <w:color w:val="auto"/>
                <w:sz w:val="24"/>
                <w:lang w:val="en-US" w:eastAsia="zh-CN"/>
              </w:rPr>
              <w:t>室内运输，医疗废物经收集后，运转至医疗废物暂存间暂存。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（4）处置</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本项目暂存的医疗废物交由锡林郭勒盟环建医疗废弃资源处置有限公司处置。</w:t>
            </w:r>
          </w:p>
          <w:p>
            <w:pPr>
              <w:pStyle w:val="46"/>
              <w:spacing w:line="360" w:lineRule="auto"/>
              <w:ind w:firstLine="482"/>
              <w:rPr>
                <w:b/>
                <w:bCs/>
                <w:color w:val="auto"/>
                <w:sz w:val="24"/>
              </w:rPr>
            </w:pPr>
            <w:r>
              <w:rPr>
                <w:rFonts w:hint="eastAsia"/>
                <w:b/>
                <w:bCs/>
                <w:color w:val="auto"/>
                <w:sz w:val="24"/>
                <w:lang w:val="en-US" w:eastAsia="zh-CN"/>
              </w:rPr>
              <w:t>5</w:t>
            </w:r>
            <w:r>
              <w:rPr>
                <w:rFonts w:hint="eastAsia"/>
                <w:b/>
                <w:bCs/>
                <w:color w:val="auto"/>
                <w:sz w:val="24"/>
              </w:rPr>
              <w:t>.</w:t>
            </w:r>
            <w:r>
              <w:rPr>
                <w:b/>
                <w:bCs/>
                <w:color w:val="auto"/>
                <w:sz w:val="24"/>
              </w:rPr>
              <w:t>公用工程</w:t>
            </w:r>
          </w:p>
          <w:p>
            <w:pPr>
              <w:pStyle w:val="109"/>
              <w:spacing w:before="0" w:after="0" w:line="360" w:lineRule="auto"/>
              <w:ind w:firstLine="482" w:firstLineChars="200"/>
              <w:rPr>
                <w:rFonts w:ascii="Times New Roman" w:hAnsi="Times New Roman"/>
                <w:b/>
                <w:bCs/>
                <w:color w:val="auto"/>
                <w:kern w:val="2"/>
                <w:sz w:val="24"/>
                <w:szCs w:val="24"/>
                <w:lang w:eastAsia="zh-CN"/>
              </w:rPr>
            </w:pPr>
            <w:r>
              <w:rPr>
                <w:rFonts w:ascii="Times New Roman" w:hAnsi="Times New Roman"/>
                <w:b/>
                <w:bCs/>
                <w:color w:val="auto"/>
                <w:kern w:val="2"/>
                <w:sz w:val="24"/>
                <w:szCs w:val="24"/>
                <w:lang w:eastAsia="zh-CN"/>
              </w:rPr>
              <w:t>（1）</w:t>
            </w:r>
            <w:r>
              <w:rPr>
                <w:rFonts w:hint="eastAsia" w:ascii="Times New Roman" w:hAnsi="Times New Roman"/>
                <w:b/>
                <w:bCs/>
                <w:color w:val="auto"/>
                <w:kern w:val="2"/>
                <w:sz w:val="24"/>
                <w:szCs w:val="24"/>
                <w:lang w:eastAsia="zh-CN"/>
              </w:rPr>
              <w:t>供</w:t>
            </w:r>
            <w:r>
              <w:rPr>
                <w:rFonts w:ascii="Times New Roman" w:hAnsi="Times New Roman"/>
                <w:b/>
                <w:bCs/>
                <w:color w:val="auto"/>
                <w:kern w:val="2"/>
                <w:sz w:val="24"/>
                <w:szCs w:val="24"/>
                <w:lang w:eastAsia="zh-CN"/>
              </w:rPr>
              <w:t>水</w:t>
            </w:r>
          </w:p>
          <w:p>
            <w:pPr>
              <w:pStyle w:val="46"/>
              <w:spacing w:line="360" w:lineRule="auto"/>
              <w:ind w:firstLine="480"/>
              <w:rPr>
                <w:color w:val="auto"/>
                <w:sz w:val="24"/>
              </w:rPr>
            </w:pPr>
            <w:r>
              <w:rPr>
                <w:color w:val="auto"/>
                <w:sz w:val="24"/>
              </w:rPr>
              <w:t>本项目用水主要为</w:t>
            </w:r>
            <w:r>
              <w:rPr>
                <w:rFonts w:hint="default"/>
                <w:color w:val="auto"/>
                <w:sz w:val="24"/>
              </w:rPr>
              <w:t>消毒</w:t>
            </w:r>
            <w:r>
              <w:rPr>
                <w:color w:val="auto"/>
                <w:sz w:val="24"/>
              </w:rPr>
              <w:t>用水。</w:t>
            </w:r>
          </w:p>
          <w:p>
            <w:pPr>
              <w:pStyle w:val="46"/>
              <w:spacing w:line="360" w:lineRule="auto"/>
              <w:ind w:firstLine="480"/>
              <w:rPr>
                <w:color w:val="auto"/>
                <w:sz w:val="24"/>
              </w:rPr>
            </w:pPr>
            <w:r>
              <w:rPr>
                <w:color w:val="auto"/>
                <w:sz w:val="24"/>
              </w:rPr>
              <w:t>①</w:t>
            </w:r>
            <w:r>
              <w:rPr>
                <w:rFonts w:hint="default"/>
                <w:color w:val="auto"/>
                <w:sz w:val="24"/>
              </w:rPr>
              <w:t>消毒</w:t>
            </w:r>
            <w:r>
              <w:rPr>
                <w:color w:val="auto"/>
                <w:sz w:val="24"/>
              </w:rPr>
              <w:t>用水</w:t>
            </w:r>
          </w:p>
          <w:p>
            <w:pPr>
              <w:pStyle w:val="46"/>
              <w:spacing w:line="360" w:lineRule="auto"/>
              <w:ind w:firstLine="480"/>
              <w:rPr>
                <w:rFonts w:hint="eastAsia" w:eastAsia="宋体"/>
                <w:color w:val="auto"/>
                <w:sz w:val="24"/>
                <w:lang w:eastAsia="zh-CN"/>
              </w:rPr>
            </w:pPr>
            <w:r>
              <w:rPr>
                <w:color w:val="auto"/>
                <w:sz w:val="24"/>
              </w:rPr>
              <w:t>本项目为</w:t>
            </w:r>
            <w:r>
              <w:rPr>
                <w:rFonts w:hint="eastAsia"/>
                <w:color w:val="auto"/>
                <w:sz w:val="24"/>
                <w:lang w:val="en-US" w:eastAsia="zh-CN"/>
              </w:rPr>
              <w:t>医疗废物暂存间</w:t>
            </w:r>
            <w:r>
              <w:rPr>
                <w:color w:val="auto"/>
                <w:sz w:val="24"/>
              </w:rPr>
              <w:t>建设项目，项目不新增劳动定员，未增加生活用水</w:t>
            </w:r>
            <w:r>
              <w:rPr>
                <w:rFonts w:hint="eastAsia"/>
                <w:color w:val="auto"/>
                <w:sz w:val="24"/>
                <w:lang w:eastAsia="zh-CN"/>
              </w:rPr>
              <w:t>。</w:t>
            </w:r>
            <w:r>
              <w:rPr>
                <w:rFonts w:hint="eastAsia"/>
                <w:color w:val="auto"/>
                <w:sz w:val="24"/>
                <w:lang w:val="en-US" w:eastAsia="zh-CN"/>
              </w:rPr>
              <w:t>用水主要为医疗废物暂存间</w:t>
            </w:r>
            <w:r>
              <w:rPr>
                <w:rFonts w:hint="default"/>
                <w:color w:val="auto"/>
                <w:sz w:val="24"/>
              </w:rPr>
              <w:t>消毒用水</w:t>
            </w:r>
            <w:r>
              <w:rPr>
                <w:rFonts w:hint="eastAsia"/>
                <w:color w:val="auto"/>
                <w:sz w:val="24"/>
                <w:lang w:eastAsia="zh-CN"/>
              </w:rPr>
              <w:t>。</w:t>
            </w:r>
            <w:r>
              <w:rPr>
                <w:rFonts w:hint="eastAsia"/>
                <w:color w:val="auto"/>
                <w:sz w:val="24"/>
                <w:lang w:val="en-US" w:eastAsia="zh-CN"/>
              </w:rPr>
              <w:t>医疗废物暂存间</w:t>
            </w:r>
            <w:r>
              <w:rPr>
                <w:rFonts w:hint="default"/>
                <w:color w:val="auto"/>
                <w:sz w:val="24"/>
              </w:rPr>
              <w:t>要定期进行消毒，采用喷洒消毒水方式进行消毒，每天消毒一次。根据</w:t>
            </w:r>
            <w:r>
              <w:rPr>
                <w:rFonts w:hint="default"/>
                <w:color w:val="auto"/>
                <w:sz w:val="24"/>
                <w:lang w:eastAsia="zh-CN"/>
              </w:rPr>
              <w:t>建设单位提供资料</w:t>
            </w:r>
            <w:r>
              <w:rPr>
                <w:rFonts w:hint="default"/>
                <w:color w:val="auto"/>
                <w:sz w:val="24"/>
              </w:rPr>
              <w:t>，消毒水用水量</w:t>
            </w:r>
            <w:r>
              <w:rPr>
                <w:rFonts w:hint="eastAsia"/>
                <w:color w:val="auto"/>
                <w:sz w:val="24"/>
                <w:lang w:val="en-US" w:eastAsia="zh-CN"/>
              </w:rPr>
              <w:t>为</w:t>
            </w:r>
            <w:r>
              <w:rPr>
                <w:rFonts w:hint="default"/>
                <w:color w:val="auto"/>
                <w:sz w:val="24"/>
              </w:rPr>
              <w:t>0.</w:t>
            </w:r>
            <w:r>
              <w:rPr>
                <w:rFonts w:hint="eastAsia"/>
                <w:color w:val="auto"/>
                <w:sz w:val="24"/>
                <w:lang w:val="en-US" w:eastAsia="zh-CN"/>
              </w:rPr>
              <w:t>001</w:t>
            </w:r>
            <w:r>
              <w:rPr>
                <w:rFonts w:hint="default"/>
                <w:color w:val="auto"/>
                <w:sz w:val="24"/>
              </w:rPr>
              <w:t>m</w:t>
            </w:r>
            <w:r>
              <w:rPr>
                <w:rFonts w:hint="default"/>
                <w:color w:val="auto"/>
                <w:sz w:val="24"/>
                <w:vertAlign w:val="superscript"/>
              </w:rPr>
              <w:t>3</w:t>
            </w:r>
            <w:r>
              <w:rPr>
                <w:rFonts w:hint="default"/>
                <w:color w:val="auto"/>
                <w:sz w:val="24"/>
              </w:rPr>
              <w:t>/d（</w:t>
            </w:r>
            <w:r>
              <w:rPr>
                <w:rFonts w:hint="eastAsia"/>
                <w:color w:val="auto"/>
                <w:sz w:val="24"/>
                <w:lang w:val="en-US" w:eastAsia="zh-CN"/>
              </w:rPr>
              <w:t>0.365</w:t>
            </w:r>
            <w:r>
              <w:rPr>
                <w:rFonts w:hint="default"/>
                <w:color w:val="auto"/>
                <w:sz w:val="24"/>
              </w:rPr>
              <w:t>m</w:t>
            </w:r>
            <w:r>
              <w:rPr>
                <w:rFonts w:hint="default"/>
                <w:color w:val="auto"/>
                <w:sz w:val="24"/>
                <w:vertAlign w:val="superscript"/>
              </w:rPr>
              <w:t>3</w:t>
            </w:r>
            <w:r>
              <w:rPr>
                <w:rFonts w:hint="default"/>
                <w:color w:val="auto"/>
                <w:sz w:val="24"/>
              </w:rPr>
              <w:t>/a）。</w:t>
            </w:r>
          </w:p>
          <w:p>
            <w:pPr>
              <w:pStyle w:val="46"/>
              <w:spacing w:line="360" w:lineRule="auto"/>
              <w:ind w:firstLine="482"/>
              <w:rPr>
                <w:b/>
                <w:bCs/>
                <w:color w:val="auto"/>
                <w:sz w:val="24"/>
              </w:rPr>
            </w:pPr>
            <w:r>
              <w:rPr>
                <w:rFonts w:hint="eastAsia"/>
                <w:b/>
                <w:bCs/>
                <w:color w:val="auto"/>
                <w:sz w:val="24"/>
              </w:rPr>
              <w:t>（2）排水</w:t>
            </w:r>
          </w:p>
          <w:p>
            <w:pPr>
              <w:pStyle w:val="46"/>
              <w:spacing w:line="360" w:lineRule="auto"/>
              <w:ind w:firstLine="480"/>
              <w:rPr>
                <w:color w:val="auto"/>
                <w:sz w:val="24"/>
              </w:rPr>
            </w:pPr>
            <w:r>
              <w:rPr>
                <w:rFonts w:hint="default"/>
                <w:color w:val="auto"/>
                <w:sz w:val="24"/>
              </w:rPr>
              <w:t>本项目</w:t>
            </w:r>
            <w:r>
              <w:rPr>
                <w:rFonts w:hint="eastAsia"/>
                <w:color w:val="auto"/>
                <w:sz w:val="24"/>
                <w:lang w:val="en-US" w:eastAsia="zh-CN"/>
              </w:rPr>
              <w:t>医疗废物暂存间</w:t>
            </w:r>
            <w:r>
              <w:rPr>
                <w:rFonts w:hint="default"/>
                <w:color w:val="auto"/>
                <w:sz w:val="24"/>
              </w:rPr>
              <w:t>消毒用水通过消毒喷洒后自然挥发，不产生废水。</w:t>
            </w:r>
          </w:p>
          <w:p>
            <w:pPr>
              <w:pStyle w:val="46"/>
              <w:spacing w:line="360" w:lineRule="auto"/>
              <w:ind w:firstLine="480"/>
              <w:rPr>
                <w:rFonts w:hint="default"/>
                <w:color w:val="auto"/>
                <w:sz w:val="24"/>
                <w:lang w:eastAsia="zh-CN"/>
              </w:rPr>
            </w:pPr>
            <w:r>
              <w:rPr>
                <w:rFonts w:hint="default"/>
                <w:color w:val="auto"/>
                <w:sz w:val="24"/>
                <w:lang w:eastAsia="zh-CN"/>
              </w:rPr>
              <w:t>项目水平衡见图2-2</w:t>
            </w:r>
          </w:p>
          <w:p>
            <w:pPr>
              <w:pStyle w:val="109"/>
              <w:spacing w:before="0" w:after="0" w:line="360" w:lineRule="auto"/>
              <w:jc w:val="center"/>
              <w:rPr>
                <w:rFonts w:hint="eastAsia" w:ascii="Times New Roman" w:hAnsi="Times New Roman" w:eastAsia="宋体"/>
                <w:b/>
                <w:bCs/>
                <w:color w:val="auto"/>
                <w:kern w:val="2"/>
                <w:sz w:val="24"/>
                <w:szCs w:val="24"/>
                <w:lang w:eastAsia="zh-CN"/>
              </w:rPr>
            </w:pPr>
            <w:r>
              <w:rPr>
                <w:rFonts w:hint="eastAsia" w:ascii="Times New Roman" w:hAnsi="Times New Roman" w:eastAsia="宋体"/>
                <w:b/>
                <w:bCs/>
                <w:color w:val="auto"/>
                <w:kern w:val="2"/>
                <w:sz w:val="24"/>
                <w:szCs w:val="24"/>
                <w:lang w:eastAsia="zh-CN"/>
              </w:rPr>
              <w:drawing>
                <wp:inline distT="0" distB="0" distL="114300" distR="114300">
                  <wp:extent cx="5401945" cy="1294130"/>
                  <wp:effectExtent l="0" t="0" r="0" b="0"/>
                  <wp:docPr id="2"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B019B1-382A-4266-B25C-5B523AA43C14-1" descr="wps"/>
                          <pic:cNvPicPr>
                            <a:picLocks noChangeAspect="1"/>
                          </pic:cNvPicPr>
                        </pic:nvPicPr>
                        <pic:blipFill>
                          <a:blip r:embed="rId15"/>
                          <a:stretch>
                            <a:fillRect/>
                          </a:stretch>
                        </pic:blipFill>
                        <pic:spPr>
                          <a:xfrm>
                            <a:off x="0" y="0"/>
                            <a:ext cx="5401945" cy="1294130"/>
                          </a:xfrm>
                          <a:prstGeom prst="rect">
                            <a:avLst/>
                          </a:prstGeom>
                        </pic:spPr>
                      </pic:pic>
                    </a:graphicData>
                  </a:graphic>
                </wp:inline>
              </w:drawing>
            </w:r>
          </w:p>
          <w:p>
            <w:pPr>
              <w:pStyle w:val="46"/>
              <w:spacing w:line="360" w:lineRule="auto"/>
              <w:ind w:left="0" w:leftChars="0" w:firstLine="0" w:firstLineChars="0"/>
              <w:jc w:val="center"/>
              <w:rPr>
                <w:rFonts w:ascii="Times New Roman" w:hAnsi="Times New Roman"/>
                <w:b/>
                <w:bCs/>
                <w:color w:val="auto"/>
                <w:kern w:val="2"/>
                <w:sz w:val="24"/>
                <w:szCs w:val="24"/>
                <w:lang w:eastAsia="zh-CN"/>
              </w:rPr>
            </w:pPr>
            <w:r>
              <w:rPr>
                <w:rFonts w:hint="default"/>
                <w:b/>
                <w:bCs/>
                <w:color w:val="auto"/>
                <w:sz w:val="24"/>
                <w:lang w:eastAsia="zh-CN"/>
              </w:rPr>
              <w:t>图2-2</w:t>
            </w:r>
            <w:r>
              <w:rPr>
                <w:rFonts w:hint="eastAsia"/>
                <w:b/>
                <w:bCs/>
                <w:color w:val="auto"/>
                <w:sz w:val="24"/>
                <w:lang w:val="en-US" w:eastAsia="zh-CN"/>
              </w:rPr>
              <w:t xml:space="preserve">   </w:t>
            </w:r>
            <w:r>
              <w:rPr>
                <w:rFonts w:hint="default"/>
                <w:b/>
                <w:bCs/>
                <w:color w:val="auto"/>
                <w:sz w:val="24"/>
                <w:lang w:eastAsia="zh-CN"/>
              </w:rPr>
              <w:t>水平衡图</w:t>
            </w:r>
            <w:r>
              <w:rPr>
                <w:rFonts w:hint="eastAsia"/>
                <w:color w:val="auto"/>
                <w:lang w:val="en-US" w:eastAsia="zh-CN"/>
              </w:rPr>
              <w:t xml:space="preserve">   </w:t>
            </w:r>
            <w:r>
              <w:rPr>
                <w:rFonts w:hint="default"/>
                <w:b/>
                <w:bCs/>
                <w:color w:val="auto"/>
                <w:sz w:val="24"/>
              </w:rPr>
              <w:t>m</w:t>
            </w:r>
            <w:r>
              <w:rPr>
                <w:rFonts w:hint="default"/>
                <w:b/>
                <w:bCs/>
                <w:color w:val="auto"/>
                <w:sz w:val="24"/>
                <w:vertAlign w:val="superscript"/>
              </w:rPr>
              <w:t>3</w:t>
            </w:r>
            <w:r>
              <w:rPr>
                <w:rFonts w:hint="default"/>
                <w:b/>
                <w:bCs/>
                <w:color w:val="auto"/>
                <w:sz w:val="24"/>
              </w:rPr>
              <w:t>/a</w:t>
            </w:r>
          </w:p>
          <w:p>
            <w:pPr>
              <w:pStyle w:val="109"/>
              <w:spacing w:before="0" w:after="0" w:line="360" w:lineRule="auto"/>
              <w:ind w:firstLine="482" w:firstLineChars="200"/>
              <w:rPr>
                <w:rFonts w:ascii="Times New Roman" w:hAnsi="Times New Roman"/>
                <w:b/>
                <w:bCs/>
                <w:color w:val="auto"/>
                <w:kern w:val="2"/>
                <w:sz w:val="24"/>
                <w:szCs w:val="24"/>
                <w:lang w:eastAsia="zh-CN"/>
              </w:rPr>
            </w:pPr>
            <w:r>
              <w:rPr>
                <w:rFonts w:ascii="Times New Roman" w:hAnsi="Times New Roman"/>
                <w:b/>
                <w:bCs/>
                <w:color w:val="auto"/>
                <w:kern w:val="2"/>
                <w:sz w:val="24"/>
                <w:szCs w:val="24"/>
                <w:lang w:eastAsia="zh-CN"/>
              </w:rPr>
              <w:t>（3）供电</w:t>
            </w:r>
          </w:p>
          <w:p>
            <w:pPr>
              <w:pStyle w:val="46"/>
              <w:spacing w:line="360" w:lineRule="auto"/>
              <w:ind w:firstLine="480"/>
              <w:rPr>
                <w:color w:val="auto"/>
                <w:sz w:val="24"/>
              </w:rPr>
            </w:pPr>
            <w:r>
              <w:rPr>
                <w:color w:val="auto"/>
                <w:sz w:val="24"/>
              </w:rPr>
              <w:t>本项目用电主要为照明用电，用电量较小。用电设施引自</w:t>
            </w:r>
            <w:r>
              <w:rPr>
                <w:rFonts w:hint="eastAsia"/>
                <w:color w:val="auto"/>
                <w:sz w:val="24"/>
                <w:highlight w:val="none"/>
              </w:rPr>
              <w:t>锡林浩特市宝力根街道办事处社区卫生服务中心</w:t>
            </w:r>
            <w:r>
              <w:rPr>
                <w:color w:val="auto"/>
                <w:sz w:val="24"/>
              </w:rPr>
              <w:t>电源箱，满足照明用电需要。</w:t>
            </w:r>
          </w:p>
          <w:p>
            <w:pPr>
              <w:pStyle w:val="46"/>
              <w:spacing w:line="360" w:lineRule="auto"/>
              <w:ind w:firstLine="482"/>
              <w:rPr>
                <w:b/>
                <w:bCs/>
                <w:color w:val="auto"/>
                <w:sz w:val="24"/>
                <w:lang w:val="zh-CN"/>
              </w:rPr>
            </w:pPr>
            <w:r>
              <w:rPr>
                <w:b/>
                <w:bCs/>
                <w:color w:val="auto"/>
                <w:sz w:val="24"/>
              </w:rPr>
              <w:t>（4）供</w:t>
            </w:r>
            <w:r>
              <w:rPr>
                <w:b/>
                <w:bCs/>
                <w:color w:val="auto"/>
                <w:sz w:val="24"/>
                <w:lang w:val="zh-CN"/>
              </w:rPr>
              <w:t>暖</w:t>
            </w:r>
          </w:p>
          <w:p>
            <w:pPr>
              <w:pStyle w:val="46"/>
              <w:spacing w:line="360" w:lineRule="auto"/>
              <w:ind w:firstLine="480"/>
              <w:rPr>
                <w:bCs/>
                <w:color w:val="auto"/>
                <w:sz w:val="24"/>
              </w:rPr>
            </w:pPr>
            <w:r>
              <w:rPr>
                <w:bCs/>
                <w:color w:val="auto"/>
                <w:sz w:val="24"/>
              </w:rPr>
              <w:t>本项目</w:t>
            </w:r>
            <w:r>
              <w:rPr>
                <w:rFonts w:hint="eastAsia"/>
                <w:bCs/>
                <w:color w:val="auto"/>
                <w:sz w:val="24"/>
              </w:rPr>
              <w:t>无需供暖。</w:t>
            </w:r>
          </w:p>
          <w:p>
            <w:pPr>
              <w:pStyle w:val="46"/>
              <w:spacing w:line="360" w:lineRule="auto"/>
              <w:ind w:firstLine="482"/>
              <w:rPr>
                <w:b/>
                <w:color w:val="auto"/>
                <w:sz w:val="24"/>
              </w:rPr>
            </w:pPr>
            <w:r>
              <w:rPr>
                <w:rFonts w:hint="eastAsia"/>
                <w:b/>
                <w:color w:val="auto"/>
                <w:sz w:val="24"/>
                <w:lang w:val="en-US" w:eastAsia="zh-CN"/>
              </w:rPr>
              <w:t>6.</w:t>
            </w:r>
            <w:r>
              <w:rPr>
                <w:b/>
                <w:color w:val="auto"/>
                <w:sz w:val="24"/>
              </w:rPr>
              <w:t>项目劳动定员</w:t>
            </w:r>
          </w:p>
          <w:p>
            <w:pPr>
              <w:pStyle w:val="46"/>
              <w:spacing w:line="360" w:lineRule="auto"/>
              <w:ind w:firstLine="480"/>
              <w:rPr>
                <w:color w:val="auto"/>
                <w:kern w:val="0"/>
                <w:sz w:val="24"/>
              </w:rPr>
            </w:pPr>
            <w:r>
              <w:rPr>
                <w:color w:val="auto"/>
                <w:kern w:val="0"/>
                <w:sz w:val="24"/>
              </w:rPr>
              <w:t>本项目劳动定员从</w:t>
            </w:r>
            <w:r>
              <w:rPr>
                <w:rFonts w:hint="eastAsia"/>
                <w:color w:val="auto"/>
                <w:sz w:val="24"/>
                <w:highlight w:val="none"/>
              </w:rPr>
              <w:t>锡林浩特市宝力根街道办事处社区卫生服务中心</w:t>
            </w:r>
            <w:r>
              <w:rPr>
                <w:color w:val="auto"/>
                <w:kern w:val="0"/>
                <w:sz w:val="24"/>
              </w:rPr>
              <w:t>现有工作人员调配，不新增劳动定员，</w:t>
            </w:r>
            <w:r>
              <w:rPr>
                <w:rFonts w:hint="eastAsia"/>
                <w:color w:val="auto"/>
                <w:sz w:val="24"/>
                <w:lang w:val="en-US" w:eastAsia="zh-CN"/>
              </w:rPr>
              <w:t>医疗废物暂存间</w:t>
            </w:r>
            <w:r>
              <w:rPr>
                <w:color w:val="auto"/>
                <w:kern w:val="0"/>
                <w:sz w:val="24"/>
              </w:rPr>
              <w:t>年运行天数365天</w:t>
            </w:r>
            <w:r>
              <w:rPr>
                <w:rFonts w:hint="eastAsia"/>
                <w:color w:val="auto"/>
                <w:kern w:val="0"/>
                <w:sz w:val="24"/>
              </w:rPr>
              <w:t>。</w:t>
            </w:r>
          </w:p>
          <w:p>
            <w:pPr>
              <w:pStyle w:val="46"/>
              <w:spacing w:line="360" w:lineRule="auto"/>
              <w:ind w:firstLine="482"/>
              <w:rPr>
                <w:b/>
                <w:bCs/>
                <w:color w:val="auto"/>
                <w:kern w:val="0"/>
                <w:sz w:val="24"/>
                <w:highlight w:val="none"/>
              </w:rPr>
            </w:pPr>
            <w:r>
              <w:rPr>
                <w:rFonts w:hint="eastAsia"/>
                <w:b/>
                <w:bCs/>
                <w:color w:val="auto"/>
                <w:kern w:val="0"/>
                <w:sz w:val="24"/>
                <w:highlight w:val="none"/>
                <w:lang w:val="en-US" w:eastAsia="zh-CN"/>
              </w:rPr>
              <w:t>7.</w:t>
            </w:r>
            <w:r>
              <w:rPr>
                <w:rFonts w:hint="eastAsia"/>
                <w:b/>
                <w:bCs/>
                <w:color w:val="auto"/>
                <w:kern w:val="0"/>
                <w:sz w:val="24"/>
                <w:highlight w:val="none"/>
              </w:rPr>
              <w:t>项目厂区平面布置</w:t>
            </w:r>
          </w:p>
          <w:p>
            <w:pPr>
              <w:pStyle w:val="46"/>
              <w:spacing w:line="360" w:lineRule="auto"/>
              <w:ind w:firstLine="480"/>
              <w:rPr>
                <w:rFonts w:hint="eastAsia"/>
                <w:b/>
                <w:bCs/>
                <w:color w:val="auto"/>
                <w:sz w:val="24"/>
                <w:highlight w:val="none"/>
                <w:lang w:val="en-US" w:eastAsia="zh-CN"/>
              </w:rPr>
            </w:pPr>
            <w:r>
              <w:rPr>
                <w:rFonts w:hint="eastAsia"/>
                <w:color w:val="auto"/>
                <w:sz w:val="24"/>
                <w:highlight w:val="none"/>
              </w:rPr>
              <w:t>项目</w:t>
            </w:r>
            <w:r>
              <w:rPr>
                <w:rFonts w:hint="eastAsia"/>
                <w:color w:val="auto"/>
                <w:sz w:val="24"/>
                <w:highlight w:val="none"/>
                <w:lang w:val="en-US" w:eastAsia="zh-CN"/>
              </w:rPr>
              <w:t>医疗废物暂存间</w:t>
            </w:r>
            <w:r>
              <w:rPr>
                <w:rFonts w:hint="eastAsia"/>
                <w:color w:val="auto"/>
                <w:sz w:val="24"/>
                <w:highlight w:val="none"/>
              </w:rPr>
              <w:t>位于锡林浩特市宝力根街道办事处社区卫生服务中心</w:t>
            </w:r>
            <w:r>
              <w:rPr>
                <w:rFonts w:hint="eastAsia"/>
                <w:color w:val="auto"/>
                <w:sz w:val="24"/>
                <w:highlight w:val="none"/>
                <w:lang w:val="en-US" w:eastAsia="zh-CN"/>
              </w:rPr>
              <w:t>楼内1楼北</w:t>
            </w:r>
            <w:r>
              <w:rPr>
                <w:rFonts w:hint="eastAsia"/>
                <w:color w:val="auto"/>
                <w:sz w:val="24"/>
                <w:highlight w:val="none"/>
              </w:rPr>
              <w:t>侧，</w:t>
            </w:r>
            <w:r>
              <w:rPr>
                <w:rFonts w:hint="eastAsia"/>
                <w:color w:val="auto"/>
                <w:sz w:val="24"/>
                <w:highlight w:val="none"/>
                <w:lang w:val="en-US" w:eastAsia="zh-CN"/>
              </w:rPr>
              <w:t>医疗废物暂存间</w:t>
            </w:r>
            <w:r>
              <w:rPr>
                <w:rFonts w:hint="eastAsia"/>
                <w:color w:val="auto"/>
                <w:sz w:val="24"/>
                <w:highlight w:val="none"/>
              </w:rPr>
              <w:t>为独立的密闭的空间，单独管理，分区存放。</w:t>
            </w:r>
            <w:r>
              <w:rPr>
                <w:rFonts w:hint="eastAsia"/>
                <w:color w:val="auto"/>
                <w:sz w:val="24"/>
                <w:highlight w:val="none"/>
                <w:lang w:val="en-US" w:eastAsia="zh-CN"/>
              </w:rPr>
              <w:t>医疗废物暂存间</w:t>
            </w:r>
            <w:r>
              <w:rPr>
                <w:rFonts w:hint="eastAsia"/>
                <w:color w:val="auto"/>
                <w:sz w:val="24"/>
                <w:highlight w:val="none"/>
              </w:rPr>
              <w:t>在锡林浩特市宝力根街道办事处社区卫生服务中心内位置图</w:t>
            </w:r>
            <w:r>
              <w:rPr>
                <w:rFonts w:hint="eastAsia"/>
                <w:color w:val="auto"/>
                <w:sz w:val="24"/>
                <w:highlight w:val="none"/>
                <w:lang w:val="en-US" w:eastAsia="zh-CN"/>
              </w:rPr>
              <w:t>见附图2</w:t>
            </w:r>
            <w:r>
              <w:rPr>
                <w:rFonts w:hint="eastAsia"/>
                <w:color w:val="auto"/>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0" w:hRule="atLeast"/>
          <w:jc w:val="center"/>
        </w:trPr>
        <w:tc>
          <w:tcPr>
            <w:tcW w:w="560" w:type="dxa"/>
            <w:vAlign w:val="center"/>
          </w:tcPr>
          <w:p>
            <w:pPr>
              <w:pStyle w:val="26"/>
              <w:adjustRightInd w:val="0"/>
              <w:snapToGrid w:val="0"/>
              <w:spacing w:before="0" w:beforeAutospacing="0" w:after="0" w:afterAutospacing="0"/>
              <w:jc w:val="center"/>
              <w:rPr>
                <w:rFonts w:ascii="Times New Roman" w:hAnsi="Times New Roman" w:eastAsia="宋体"/>
                <w:color w:val="auto"/>
                <w:szCs w:val="24"/>
              </w:rPr>
            </w:pPr>
            <w:r>
              <w:rPr>
                <w:rFonts w:ascii="Times New Roman" w:hAnsi="Times New Roman" w:eastAsia="宋体"/>
                <w:color w:val="auto"/>
                <w:szCs w:val="24"/>
              </w:rPr>
              <w:t>工艺流程和产排污环节</w:t>
            </w:r>
          </w:p>
        </w:tc>
        <w:tc>
          <w:tcPr>
            <w:tcW w:w="8728" w:type="dxa"/>
          </w:tcPr>
          <w:p>
            <w:pPr>
              <w:spacing w:line="480" w:lineRule="exact"/>
              <w:ind w:firstLine="482" w:firstLineChars="200"/>
              <w:rPr>
                <w:b/>
                <w:color w:val="auto"/>
                <w:sz w:val="24"/>
                <w:highlight w:val="none"/>
              </w:rPr>
            </w:pPr>
            <w:r>
              <w:rPr>
                <w:b/>
                <w:color w:val="auto"/>
                <w:sz w:val="24"/>
                <w:highlight w:val="none"/>
              </w:rPr>
              <w:t>一、施工期</w:t>
            </w:r>
          </w:p>
          <w:p>
            <w:pPr>
              <w:spacing w:line="360" w:lineRule="auto"/>
              <w:ind w:firstLine="480" w:firstLineChars="200"/>
              <w:rPr>
                <w:color w:val="auto"/>
                <w:sz w:val="24"/>
                <w:highlight w:val="none"/>
              </w:rPr>
            </w:pPr>
            <w:r>
              <w:rPr>
                <w:bCs/>
                <w:color w:val="auto"/>
                <w:kern w:val="0"/>
                <w:sz w:val="24"/>
                <w:highlight w:val="none"/>
              </w:rPr>
              <w:t>项目</w:t>
            </w:r>
            <w:r>
              <w:rPr>
                <w:color w:val="auto"/>
                <w:sz w:val="24"/>
                <w:highlight w:val="none"/>
              </w:rPr>
              <w:t>施工期主要工艺流程及产污节点详见下图。</w:t>
            </w:r>
          </w:p>
          <w:p>
            <w:pPr>
              <w:spacing w:line="360" w:lineRule="auto"/>
              <w:jc w:val="center"/>
              <w:rPr>
                <w:color w:val="auto"/>
                <w:highlight w:val="none"/>
              </w:rPr>
            </w:pPr>
            <w:r>
              <w:rPr>
                <w:rFonts w:hint="default" w:ascii="Times New Roman" w:hAnsi="Times New Roman" w:cs="Times New Roman"/>
                <w:color w:val="auto"/>
                <w:szCs w:val="21"/>
                <w:highlight w:val="none"/>
              </w:rPr>
              <w:object>
                <v:shape id="_x0000_i1025" o:spt="75" type="#_x0000_t75" style="height:115.55pt;width:403.8pt;" o:ole="t" filled="f" o:preferrelative="t" stroked="f" coordsize="21600,21600">
                  <v:path/>
                  <v:fill on="f" focussize="0,0"/>
                  <v:stroke on="f"/>
                  <v:imagedata r:id="rId17" o:title=""/>
                  <o:lock v:ext="edit" aspectratio="f"/>
                  <w10:wrap type="none"/>
                  <w10:anchorlock/>
                </v:shape>
                <o:OLEObject Type="Embed" ProgID="Visio.Drawing.15" ShapeID="_x0000_i1025" DrawAspect="Content" ObjectID="_1468075725" r:id="rId16">
                  <o:LockedField>false</o:LockedField>
                </o:OLEObject>
              </w:object>
            </w:r>
          </w:p>
          <w:p>
            <w:pPr>
              <w:spacing w:line="360" w:lineRule="auto"/>
              <w:jc w:val="center"/>
              <w:rPr>
                <w:b/>
                <w:bCs/>
                <w:color w:val="auto"/>
                <w:kern w:val="0"/>
                <w:sz w:val="24"/>
                <w:highlight w:val="none"/>
              </w:rPr>
            </w:pPr>
            <w:r>
              <w:rPr>
                <w:b/>
                <w:bCs/>
                <w:color w:val="auto"/>
                <w:kern w:val="0"/>
                <w:sz w:val="24"/>
                <w:highlight w:val="none"/>
              </w:rPr>
              <w:t>图2-</w:t>
            </w:r>
            <w:r>
              <w:rPr>
                <w:rFonts w:hint="eastAsia"/>
                <w:b/>
                <w:bCs/>
                <w:color w:val="auto"/>
                <w:kern w:val="0"/>
                <w:sz w:val="24"/>
                <w:highlight w:val="none"/>
                <w:lang w:val="en-US" w:eastAsia="zh-CN"/>
              </w:rPr>
              <w:t>3</w:t>
            </w:r>
            <w:r>
              <w:rPr>
                <w:b/>
                <w:bCs/>
                <w:color w:val="auto"/>
                <w:kern w:val="0"/>
                <w:sz w:val="24"/>
                <w:highlight w:val="none"/>
              </w:rPr>
              <w:t xml:space="preserve">   施工期工艺流程及产污节点图</w:t>
            </w:r>
          </w:p>
          <w:p>
            <w:pPr>
              <w:spacing w:before="178" w:line="360" w:lineRule="auto"/>
              <w:ind w:left="585"/>
              <w:jc w:val="left"/>
              <w:rPr>
                <w:b/>
                <w:color w:val="auto"/>
                <w:sz w:val="24"/>
                <w:highlight w:val="none"/>
              </w:rPr>
            </w:pPr>
            <w:r>
              <w:rPr>
                <w:rFonts w:hint="eastAsia"/>
                <w:b/>
                <w:color w:val="auto"/>
                <w:sz w:val="24"/>
                <w:highlight w:val="none"/>
              </w:rPr>
              <w:t>二、</w:t>
            </w:r>
            <w:r>
              <w:rPr>
                <w:b/>
                <w:color w:val="auto"/>
                <w:sz w:val="24"/>
                <w:highlight w:val="none"/>
              </w:rPr>
              <w:t>运营期工艺流程</w:t>
            </w:r>
          </w:p>
          <w:p>
            <w:pPr>
              <w:pStyle w:val="13"/>
              <w:jc w:val="center"/>
              <w:rPr>
                <w:color w:val="auto"/>
                <w:highlight w:val="none"/>
              </w:rPr>
            </w:pPr>
            <w:r>
              <w:rPr>
                <w:rFonts w:hint="default" w:ascii="Times New Roman" w:hAnsi="Times New Roman" w:eastAsia="宋体" w:cs="Times New Roman"/>
                <w:color w:val="auto"/>
                <w:sz w:val="21"/>
                <w:szCs w:val="21"/>
                <w:highlight w:val="none"/>
              </w:rPr>
              <w:object>
                <v:shape id="_x0000_i1026" o:spt="75" type="#_x0000_t75" style="height:74.9pt;width:411.5pt;" o:ole="t" filled="f" o:preferrelative="t" stroked="f" coordsize="21600,21600">
                  <v:path/>
                  <v:fill on="f" focussize="0,0"/>
                  <v:stroke on="f"/>
                  <v:imagedata r:id="rId19" o:title=""/>
                  <o:lock v:ext="edit" aspectratio="f"/>
                  <w10:wrap type="none"/>
                  <w10:anchorlock/>
                </v:shape>
                <o:OLEObject Type="Embed" ProgID="Visio.Drawing.15" ShapeID="_x0000_i1026" DrawAspect="Content" ObjectID="_1468075726" r:id="rId18">
                  <o:LockedField>false</o:LockedField>
                </o:OLEObject>
              </w:object>
            </w:r>
          </w:p>
          <w:p>
            <w:pPr>
              <w:adjustRightInd w:val="0"/>
              <w:snapToGrid w:val="0"/>
              <w:ind w:firstLine="482"/>
              <w:jc w:val="center"/>
              <w:rPr>
                <w:b/>
                <w:bCs/>
                <w:color w:val="auto"/>
                <w:sz w:val="24"/>
                <w:highlight w:val="none"/>
              </w:rPr>
            </w:pPr>
            <w:r>
              <w:rPr>
                <w:b/>
                <w:color w:val="auto"/>
                <w:sz w:val="24"/>
                <w:highlight w:val="none"/>
              </w:rPr>
              <w:t>图2-</w:t>
            </w:r>
            <w:r>
              <w:rPr>
                <w:rFonts w:hint="eastAsia"/>
                <w:b/>
                <w:color w:val="auto"/>
                <w:sz w:val="24"/>
                <w:highlight w:val="none"/>
                <w:lang w:val="en-US" w:eastAsia="zh-CN"/>
              </w:rPr>
              <w:t>4</w:t>
            </w:r>
            <w:r>
              <w:rPr>
                <w:b/>
                <w:color w:val="auto"/>
                <w:sz w:val="24"/>
                <w:highlight w:val="none"/>
              </w:rPr>
              <w:t xml:space="preserve">   生产工艺流程及排污节点图</w:t>
            </w:r>
          </w:p>
          <w:p>
            <w:pPr>
              <w:widowControl/>
              <w:topLinePunct/>
              <w:spacing w:line="440" w:lineRule="exact"/>
              <w:ind w:firstLine="482"/>
              <w:jc w:val="left"/>
              <w:rPr>
                <w:b/>
                <w:bCs/>
                <w:color w:val="auto"/>
                <w:sz w:val="24"/>
                <w:highlight w:val="none"/>
              </w:rPr>
            </w:pPr>
            <w:r>
              <w:rPr>
                <w:b/>
                <w:bCs/>
                <w:color w:val="auto"/>
                <w:sz w:val="24"/>
                <w:highlight w:val="none"/>
              </w:rPr>
              <w:t>工艺流程简述：</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（1）医疗废物收集运输</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医疗废物经收集、专用包装袋系紧包装后</w:t>
            </w:r>
            <w:r>
              <w:rPr>
                <w:rFonts w:hint="default" w:ascii="Times New Roman" w:hAnsi="Times New Roman" w:cs="Times New Roman"/>
                <w:bCs/>
                <w:color w:val="auto"/>
                <w:sz w:val="24"/>
                <w:highlight w:val="none"/>
                <w:lang w:eastAsia="zh-CN"/>
              </w:rPr>
              <w:t>放入医疗废物</w:t>
            </w:r>
            <w:r>
              <w:rPr>
                <w:rFonts w:hint="default" w:ascii="Times New Roman" w:hAnsi="Times New Roman" w:cs="Times New Roman"/>
                <w:bCs/>
                <w:color w:val="auto"/>
                <w:sz w:val="24"/>
                <w:highlight w:val="none"/>
                <w:lang w:val="en-US" w:eastAsia="zh-CN"/>
              </w:rPr>
              <w:t>周转</w:t>
            </w:r>
            <w:r>
              <w:rPr>
                <w:rFonts w:hint="default" w:ascii="Times New Roman" w:hAnsi="Times New Roman" w:cs="Times New Roman"/>
                <w:bCs/>
                <w:color w:val="auto"/>
                <w:sz w:val="24"/>
                <w:highlight w:val="none"/>
                <w:lang w:eastAsia="zh-CN"/>
              </w:rPr>
              <w:t>箱</w:t>
            </w:r>
            <w:r>
              <w:rPr>
                <w:rFonts w:hint="default" w:ascii="Times New Roman" w:hAnsi="Times New Roman" w:cs="Times New Roman"/>
                <w:bCs/>
                <w:color w:val="auto"/>
                <w:sz w:val="24"/>
                <w:highlight w:val="none"/>
              </w:rPr>
              <w:t>，运</w:t>
            </w:r>
            <w:r>
              <w:rPr>
                <w:rFonts w:hint="eastAsia" w:ascii="Times New Roman" w:hAnsi="Times New Roman" w:cs="Times New Roman"/>
                <w:bCs/>
                <w:color w:val="auto"/>
                <w:sz w:val="24"/>
                <w:highlight w:val="none"/>
                <w:lang w:val="en-US" w:eastAsia="zh-CN"/>
              </w:rPr>
              <w:t>转</w:t>
            </w:r>
            <w:r>
              <w:rPr>
                <w:rFonts w:hint="default" w:ascii="Times New Roman" w:hAnsi="Times New Roman" w:cs="Times New Roman"/>
                <w:bCs/>
                <w:color w:val="auto"/>
                <w:sz w:val="24"/>
                <w:highlight w:val="none"/>
              </w:rPr>
              <w:t>至医疗废物</w:t>
            </w:r>
            <w:r>
              <w:rPr>
                <w:rFonts w:hint="eastAsia" w:ascii="Times New Roman" w:hAnsi="Times New Roman" w:cs="Times New Roman"/>
                <w:bCs/>
                <w:color w:val="auto"/>
                <w:sz w:val="24"/>
                <w:highlight w:val="none"/>
                <w:lang w:val="en-US" w:eastAsia="zh-CN"/>
              </w:rPr>
              <w:t>暂存间</w:t>
            </w:r>
            <w:r>
              <w:rPr>
                <w:rFonts w:hint="default" w:ascii="Times New Roman" w:hAnsi="Times New Roman" w:cs="Times New Roman"/>
                <w:bCs/>
                <w:color w:val="auto"/>
                <w:sz w:val="24"/>
                <w:highlight w:val="none"/>
              </w:rPr>
              <w:t>暂存。转运过程前应填写《医疗废物运记录表》，医疗废物收集转运时应综合考虑实际情况确定转运路线，尽量避开人员密集区。医疗废物转运结束后，应对转运路线进行检查和清理，确保无医疗废物遗失在转运的路线上。运输</w:t>
            </w:r>
            <w:r>
              <w:rPr>
                <w:rFonts w:hint="eastAsia" w:ascii="Times New Roman" w:hAnsi="Times New Roman" w:cs="Times New Roman"/>
                <w:bCs/>
                <w:color w:val="auto"/>
                <w:sz w:val="24"/>
                <w:highlight w:val="none"/>
                <w:lang w:val="en-US" w:eastAsia="zh-CN"/>
              </w:rPr>
              <w:t>时</w:t>
            </w:r>
            <w:r>
              <w:rPr>
                <w:rFonts w:hint="default" w:ascii="Times New Roman" w:hAnsi="Times New Roman" w:cs="Times New Roman"/>
                <w:bCs/>
                <w:color w:val="auto"/>
                <w:sz w:val="24"/>
                <w:highlight w:val="none"/>
              </w:rPr>
              <w:t>产生的噪音会对运输沿线产生影响</w:t>
            </w:r>
            <w:r>
              <w:rPr>
                <w:rFonts w:hint="default" w:ascii="Times New Roman" w:hAnsi="Times New Roman" w:cs="Times New Roman"/>
                <w:bCs/>
                <w:color w:val="auto"/>
                <w:sz w:val="24"/>
                <w:highlight w:val="none"/>
                <w:lang w:eastAsia="zh-CN"/>
              </w:rPr>
              <w:t>，专用包装袋和医疗废物</w:t>
            </w:r>
            <w:r>
              <w:rPr>
                <w:rFonts w:hint="default" w:ascii="Times New Roman" w:hAnsi="Times New Roman" w:cs="Times New Roman"/>
                <w:bCs/>
                <w:color w:val="auto"/>
                <w:sz w:val="24"/>
                <w:highlight w:val="none"/>
                <w:lang w:val="en-US" w:eastAsia="zh-CN"/>
              </w:rPr>
              <w:t>周转</w:t>
            </w:r>
            <w:r>
              <w:rPr>
                <w:rFonts w:hint="default" w:ascii="Times New Roman" w:hAnsi="Times New Roman" w:cs="Times New Roman"/>
                <w:bCs/>
                <w:color w:val="auto"/>
                <w:sz w:val="24"/>
                <w:highlight w:val="none"/>
                <w:lang w:eastAsia="zh-CN"/>
              </w:rPr>
              <w:t>箱破损的情况下产生少量异味气体</w:t>
            </w:r>
            <w:r>
              <w:rPr>
                <w:rFonts w:hint="default" w:ascii="Times New Roman" w:hAnsi="Times New Roman" w:cs="Times New Roman"/>
                <w:bCs/>
                <w:color w:val="auto"/>
                <w:sz w:val="24"/>
                <w:highlight w:val="none"/>
              </w:rPr>
              <w:t>。</w:t>
            </w:r>
          </w:p>
          <w:p>
            <w:pPr>
              <w:spacing w:line="360" w:lineRule="auto"/>
              <w:ind w:firstLine="480" w:firstLineChars="200"/>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rPr>
              <w:t>（2）医疗废物卸车</w:t>
            </w:r>
            <w:r>
              <w:rPr>
                <w:rFonts w:hint="default" w:ascii="Times New Roman" w:hAnsi="Times New Roman" w:cs="Times New Roman"/>
                <w:bCs/>
                <w:color w:val="auto"/>
                <w:sz w:val="24"/>
                <w:highlight w:val="none"/>
                <w:lang w:eastAsia="zh-CN"/>
              </w:rPr>
              <w:t>及暂存</w:t>
            </w:r>
          </w:p>
          <w:p>
            <w:pPr>
              <w:spacing w:line="360" w:lineRule="auto"/>
              <w:ind w:firstLine="480" w:firstLineChars="200"/>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rPr>
              <w:t>医疗废物经过规定的转运线路运至本项目医疗废物</w:t>
            </w:r>
            <w:r>
              <w:rPr>
                <w:rFonts w:hint="eastAsia" w:ascii="Times New Roman" w:hAnsi="Times New Roman" w:cs="Times New Roman"/>
                <w:bCs/>
                <w:color w:val="auto"/>
                <w:sz w:val="24"/>
                <w:highlight w:val="none"/>
                <w:lang w:val="en-US" w:eastAsia="zh-CN"/>
              </w:rPr>
              <w:t>暂存间</w:t>
            </w:r>
            <w:r>
              <w:rPr>
                <w:rFonts w:hint="default"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val="en-US" w:eastAsia="zh-CN"/>
              </w:rPr>
              <w:t>暂存</w:t>
            </w:r>
            <w:r>
              <w:rPr>
                <w:rFonts w:hint="default" w:ascii="Times New Roman" w:hAnsi="Times New Roman" w:cs="Times New Roman"/>
                <w:bCs/>
                <w:color w:val="auto"/>
                <w:sz w:val="24"/>
                <w:highlight w:val="none"/>
              </w:rPr>
              <w:t>前进行医疗废物登记。转运方式为人工将</w:t>
            </w:r>
            <w:r>
              <w:rPr>
                <w:rFonts w:hint="eastAsia" w:ascii="Times New Roman" w:hAnsi="Times New Roman" w:cs="Times New Roman"/>
                <w:bCs/>
                <w:color w:val="auto"/>
                <w:sz w:val="24"/>
                <w:highlight w:val="none"/>
                <w:lang w:val="en-US" w:eastAsia="zh-CN"/>
              </w:rPr>
              <w:t>暂存</w:t>
            </w:r>
            <w:r>
              <w:rPr>
                <w:rFonts w:hint="default" w:ascii="Times New Roman" w:hAnsi="Times New Roman" w:cs="Times New Roman"/>
                <w:bCs/>
                <w:color w:val="auto"/>
                <w:sz w:val="24"/>
                <w:highlight w:val="none"/>
              </w:rPr>
              <w:t>车上</w:t>
            </w:r>
            <w:r>
              <w:rPr>
                <w:rFonts w:hint="default" w:ascii="Times New Roman" w:hAnsi="Times New Roman" w:cs="Times New Roman"/>
                <w:bCs/>
                <w:color w:val="auto"/>
                <w:sz w:val="24"/>
                <w:highlight w:val="none"/>
                <w:lang w:eastAsia="zh-CN"/>
              </w:rPr>
              <w:t>装入</w:t>
            </w:r>
            <w:r>
              <w:rPr>
                <w:rFonts w:hint="eastAsia" w:ascii="Times New Roman" w:hAnsi="Times New Roman" w:cs="Times New Roman"/>
                <w:bCs/>
                <w:color w:val="auto"/>
                <w:sz w:val="24"/>
                <w:highlight w:val="none"/>
                <w:lang w:val="en-US" w:eastAsia="zh-CN"/>
              </w:rPr>
              <w:t>周转</w:t>
            </w:r>
            <w:r>
              <w:rPr>
                <w:rFonts w:hint="default" w:ascii="Times New Roman" w:hAnsi="Times New Roman" w:cs="Times New Roman"/>
                <w:bCs/>
                <w:color w:val="auto"/>
                <w:sz w:val="24"/>
                <w:highlight w:val="none"/>
                <w:lang w:eastAsia="zh-CN"/>
              </w:rPr>
              <w:t>箱</w:t>
            </w:r>
            <w:r>
              <w:rPr>
                <w:rFonts w:hint="default" w:ascii="Times New Roman" w:hAnsi="Times New Roman" w:cs="Times New Roman"/>
                <w:bCs/>
                <w:color w:val="auto"/>
                <w:sz w:val="24"/>
                <w:highlight w:val="none"/>
              </w:rPr>
              <w:t>的医疗废物</w:t>
            </w:r>
            <w:r>
              <w:rPr>
                <w:rFonts w:hint="default" w:ascii="Times New Roman" w:hAnsi="Times New Roman" w:cs="Times New Roman"/>
                <w:bCs/>
                <w:color w:val="auto"/>
                <w:sz w:val="24"/>
                <w:highlight w:val="none"/>
                <w:lang w:eastAsia="zh-CN"/>
              </w:rPr>
              <w:t>连同</w:t>
            </w:r>
            <w:r>
              <w:rPr>
                <w:rFonts w:hint="eastAsia" w:ascii="Times New Roman" w:hAnsi="Times New Roman" w:cs="Times New Roman"/>
                <w:bCs/>
                <w:color w:val="auto"/>
                <w:sz w:val="24"/>
                <w:highlight w:val="none"/>
                <w:lang w:val="en-US" w:eastAsia="zh-CN"/>
              </w:rPr>
              <w:t>周转</w:t>
            </w:r>
            <w:r>
              <w:rPr>
                <w:rFonts w:hint="default" w:ascii="Times New Roman" w:hAnsi="Times New Roman" w:cs="Times New Roman"/>
                <w:bCs/>
                <w:color w:val="auto"/>
                <w:sz w:val="24"/>
                <w:highlight w:val="none"/>
                <w:lang w:eastAsia="zh-CN"/>
              </w:rPr>
              <w:t>箱整体</w:t>
            </w:r>
            <w:r>
              <w:rPr>
                <w:rFonts w:hint="default" w:ascii="Times New Roman" w:hAnsi="Times New Roman" w:cs="Times New Roman"/>
                <w:bCs/>
                <w:color w:val="auto"/>
                <w:sz w:val="24"/>
                <w:highlight w:val="none"/>
              </w:rPr>
              <w:t>移至相应的暂存区，各医疗废物均不在厂内更换包装及容器。医疗废物在卸车时会产生噪声影响。</w:t>
            </w:r>
            <w:r>
              <w:rPr>
                <w:rFonts w:hint="default" w:ascii="Times New Roman" w:hAnsi="Times New Roman" w:cs="Times New Roman"/>
                <w:bCs/>
                <w:color w:val="auto"/>
                <w:sz w:val="24"/>
                <w:highlight w:val="none"/>
                <w:lang w:eastAsia="zh-CN"/>
              </w:rPr>
              <w:t>暂存期间原则上不产生废气，但是会在专用包装袋破损的情况下产生少量异味气体。</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w:t>
            </w:r>
            <w:r>
              <w:rPr>
                <w:rFonts w:hint="eastAsia"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医疗废物运出及最终处置</w:t>
            </w:r>
          </w:p>
          <w:p>
            <w:pPr>
              <w:spacing w:line="360" w:lineRule="auto"/>
              <w:ind w:firstLine="480" w:firstLineChars="200"/>
              <w:rPr>
                <w:color w:val="auto"/>
              </w:rPr>
            </w:pPr>
            <w:r>
              <w:rPr>
                <w:rFonts w:hint="default" w:ascii="Times New Roman" w:hAnsi="Times New Roman" w:cs="Times New Roman"/>
                <w:bCs/>
                <w:color w:val="auto"/>
                <w:sz w:val="24"/>
                <w:highlight w:val="none"/>
              </w:rPr>
              <w:t>本项目不进行医疗废物的处置，医疗废物暂存后一并交由</w:t>
            </w:r>
            <w:r>
              <w:rPr>
                <w:rFonts w:hint="default" w:ascii="Times New Roman" w:hAnsi="Times New Roman" w:cs="Times New Roman"/>
                <w:bCs/>
                <w:color w:val="auto"/>
                <w:sz w:val="24"/>
                <w:highlight w:val="none"/>
                <w:lang w:val="en-US" w:eastAsia="zh-CN"/>
              </w:rPr>
              <w:t>锡林郭勒盟环建医疗废弃资源处置有限公司</w:t>
            </w:r>
            <w:r>
              <w:rPr>
                <w:rFonts w:hint="default" w:ascii="Times New Roman" w:hAnsi="Times New Roman" w:cs="Times New Roman"/>
                <w:bCs/>
                <w:color w:val="auto"/>
                <w:sz w:val="24"/>
                <w:highlight w:val="none"/>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560" w:type="dxa"/>
            <w:vAlign w:val="center"/>
          </w:tcPr>
          <w:p>
            <w:pPr>
              <w:pStyle w:val="26"/>
              <w:adjustRightInd w:val="0"/>
              <w:snapToGrid w:val="0"/>
              <w:spacing w:before="0" w:beforeAutospacing="0" w:after="0" w:afterAutospacing="0"/>
              <w:jc w:val="center"/>
              <w:rPr>
                <w:rFonts w:ascii="Times New Roman" w:hAnsi="Times New Roman" w:eastAsia="宋体"/>
                <w:color w:val="auto"/>
                <w:szCs w:val="24"/>
              </w:rPr>
            </w:pPr>
            <w:r>
              <w:rPr>
                <w:rFonts w:ascii="Times New Roman" w:hAnsi="Times New Roman" w:eastAsia="宋体"/>
                <w:bCs/>
                <w:color w:val="auto"/>
                <w:kern w:val="2"/>
                <w:szCs w:val="24"/>
              </w:rPr>
              <w:t>与项目有关的原有环境污染问题</w:t>
            </w:r>
          </w:p>
        </w:tc>
        <w:tc>
          <w:tcPr>
            <w:tcW w:w="8728" w:type="dxa"/>
            <w:vAlign w:val="center"/>
          </w:tcPr>
          <w:p>
            <w:pPr>
              <w:spacing w:line="360" w:lineRule="auto"/>
              <w:ind w:firstLine="480" w:firstLineChars="200"/>
              <w:rPr>
                <w:rFonts w:hint="eastAsia"/>
                <w:color w:val="auto"/>
                <w:kern w:val="0"/>
                <w:sz w:val="24"/>
                <w:highlight w:val="none"/>
                <w:lang w:val="en-US" w:eastAsia="zh-CN"/>
              </w:rPr>
            </w:pPr>
            <w:r>
              <w:rPr>
                <w:rFonts w:hint="eastAsia"/>
                <w:color w:val="auto"/>
                <w:sz w:val="24"/>
                <w:highlight w:val="none"/>
              </w:rPr>
              <w:t>锡林浩特市宝力根街道办事处社区卫生服务中心</w:t>
            </w:r>
            <w:r>
              <w:rPr>
                <w:rFonts w:hint="eastAsia"/>
                <w:color w:val="auto"/>
                <w:kern w:val="0"/>
                <w:sz w:val="24"/>
                <w:highlight w:val="none"/>
                <w:lang w:val="en-US" w:eastAsia="zh-CN"/>
              </w:rPr>
              <w:t>于2023年5月18日办理《</w:t>
            </w:r>
            <w:r>
              <w:rPr>
                <w:rFonts w:hint="eastAsia"/>
                <w:color w:val="auto"/>
                <w:sz w:val="24"/>
                <w:highlight w:val="none"/>
              </w:rPr>
              <w:t>锡林浩特市宝力根街道办事处社区卫生服务中心</w:t>
            </w:r>
            <w:r>
              <w:rPr>
                <w:rFonts w:hint="eastAsia"/>
                <w:color w:val="auto"/>
                <w:kern w:val="0"/>
                <w:sz w:val="24"/>
                <w:highlight w:val="none"/>
                <w:lang w:val="en-US" w:eastAsia="zh-CN"/>
              </w:rPr>
              <w:t>建设项目环境影响登记表》，备案号：202315250200000053。</w:t>
            </w:r>
          </w:p>
          <w:p>
            <w:pPr>
              <w:spacing w:line="360" w:lineRule="auto"/>
              <w:ind w:firstLine="480" w:firstLineChars="200"/>
              <w:rPr>
                <w:rFonts w:hint="eastAsia" w:eastAsia="宋体"/>
                <w:color w:val="auto"/>
                <w:kern w:val="0"/>
                <w:sz w:val="24"/>
                <w:highlight w:val="none"/>
                <w:lang w:val="en-US" w:eastAsia="zh-CN"/>
              </w:rPr>
            </w:pPr>
            <w:r>
              <w:rPr>
                <w:rFonts w:hint="eastAsia"/>
                <w:color w:val="auto"/>
                <w:kern w:val="0"/>
                <w:sz w:val="24"/>
                <w:highlight w:val="none"/>
                <w:lang w:val="en-US" w:eastAsia="zh-CN"/>
              </w:rPr>
              <w:t>建设情况：</w:t>
            </w:r>
            <w:r>
              <w:rPr>
                <w:rFonts w:hint="eastAsia"/>
                <w:color w:val="auto"/>
                <w:sz w:val="24"/>
                <w:highlight w:val="none"/>
              </w:rPr>
              <w:t>锡林浩特市宝力根街道办事处社区卫生服务中心总建筑面积1842</w:t>
            </w:r>
            <w:r>
              <w:rPr>
                <w:rFonts w:hint="eastAsia"/>
                <w:color w:val="auto"/>
                <w:sz w:val="24"/>
                <w:highlight w:val="none"/>
                <w:lang w:val="en-US" w:eastAsia="zh-CN"/>
              </w:rPr>
              <w:t>m</w:t>
            </w:r>
            <w:r>
              <w:rPr>
                <w:rFonts w:hint="eastAsia"/>
                <w:color w:val="auto"/>
                <w:sz w:val="24"/>
                <w:highlight w:val="none"/>
                <w:vertAlign w:val="superscript"/>
                <w:lang w:val="en-US" w:eastAsia="zh-CN"/>
              </w:rPr>
              <w:t>2</w:t>
            </w:r>
            <w:r>
              <w:rPr>
                <w:rFonts w:hint="eastAsia"/>
                <w:color w:val="auto"/>
                <w:sz w:val="24"/>
                <w:highlight w:val="none"/>
              </w:rPr>
              <w:t>，为主体南楼2层、北楼3层框架结构，建设配套给水、排水、供暖、供电、消防及净化工程。本建筑的功能布局具体如下</w:t>
            </w:r>
            <w:r>
              <w:rPr>
                <w:rFonts w:hint="eastAsia"/>
                <w:color w:val="auto"/>
                <w:sz w:val="24"/>
                <w:highlight w:val="none"/>
                <w:lang w:eastAsia="zh-CN"/>
              </w:rPr>
              <w:t>：</w:t>
            </w:r>
          </w:p>
          <w:p>
            <w:pPr>
              <w:spacing w:line="360" w:lineRule="auto"/>
              <w:ind w:firstLine="480" w:firstLineChars="200"/>
              <w:rPr>
                <w:rFonts w:hint="default" w:eastAsia="宋体"/>
                <w:color w:val="auto"/>
                <w:sz w:val="24"/>
                <w:highlight w:val="none"/>
                <w:lang w:val="en-US" w:eastAsia="zh-CN"/>
              </w:rPr>
            </w:pPr>
            <w:r>
              <w:rPr>
                <w:rFonts w:hint="eastAsia"/>
                <w:color w:val="auto"/>
                <w:sz w:val="24"/>
                <w:highlight w:val="none"/>
              </w:rPr>
              <w:t>一层</w:t>
            </w:r>
            <w:r>
              <w:rPr>
                <w:rFonts w:hint="eastAsia"/>
                <w:color w:val="auto"/>
                <w:sz w:val="24"/>
                <w:highlight w:val="none"/>
                <w:lang w:eastAsia="zh-CN"/>
              </w:rPr>
              <w:t>：</w:t>
            </w:r>
            <w:r>
              <w:rPr>
                <w:rFonts w:hint="eastAsia"/>
                <w:color w:val="auto"/>
                <w:sz w:val="24"/>
                <w:highlight w:val="none"/>
              </w:rPr>
              <w:t>放射科、B超室、老年体检、化验室、注册室、隔离</w:t>
            </w:r>
            <w:r>
              <w:rPr>
                <w:rFonts w:hint="eastAsia"/>
                <w:color w:val="auto"/>
                <w:sz w:val="24"/>
                <w:highlight w:val="none"/>
                <w:lang w:val="en-US" w:eastAsia="zh-CN"/>
              </w:rPr>
              <w:t>室、处置室、门诊一、门诊二、门诊三、收费室、药房、护办室、输液室、预检分诊、储物间、工具间、档案室、卫生间。</w:t>
            </w:r>
          </w:p>
          <w:p>
            <w:pPr>
              <w:spacing w:line="360" w:lineRule="auto"/>
              <w:ind w:firstLine="480" w:firstLineChars="200"/>
              <w:rPr>
                <w:rFonts w:hint="default" w:eastAsia="宋体"/>
                <w:color w:val="auto"/>
                <w:sz w:val="24"/>
                <w:highlight w:val="none"/>
                <w:lang w:val="en-US" w:eastAsia="zh-CN"/>
              </w:rPr>
            </w:pPr>
            <w:r>
              <w:rPr>
                <w:rFonts w:hint="eastAsia"/>
                <w:color w:val="auto"/>
                <w:sz w:val="24"/>
                <w:highlight w:val="none"/>
                <w:lang w:val="en-US" w:eastAsia="zh-CN"/>
              </w:rPr>
              <w:t>二层：计免科、母婴室、儿保科、财务室、档案室、主任室、妇保科、后勤室、办公室、冷链室、休息室、设备间、储物室、副主任办公室、骨密度室、留观室、保安室、病房6号、病房7号、中医馆、卫生间等。</w:t>
            </w:r>
          </w:p>
          <w:p>
            <w:pPr>
              <w:spacing w:line="360" w:lineRule="auto"/>
              <w:ind w:firstLine="480" w:firstLineChars="200"/>
              <w:rPr>
                <w:color w:val="auto"/>
                <w:kern w:val="0"/>
                <w:sz w:val="24"/>
                <w:highlight w:val="none"/>
              </w:rPr>
            </w:pPr>
            <w:r>
              <w:rPr>
                <w:rFonts w:hint="default"/>
                <w:color w:val="auto"/>
                <w:kern w:val="0"/>
                <w:sz w:val="24"/>
                <w:highlight w:val="none"/>
              </w:rPr>
              <w:t>本项目为新建项目，</w:t>
            </w:r>
            <w:r>
              <w:rPr>
                <w:rFonts w:hint="eastAsia"/>
                <w:color w:val="auto"/>
                <w:kern w:val="0"/>
                <w:sz w:val="24"/>
                <w:highlight w:val="none"/>
                <w:lang w:val="en-US" w:eastAsia="zh-CN"/>
              </w:rPr>
              <w:t>利用</w:t>
            </w:r>
            <w:r>
              <w:rPr>
                <w:rFonts w:hint="eastAsia"/>
                <w:color w:val="auto"/>
                <w:sz w:val="24"/>
                <w:highlight w:val="none"/>
              </w:rPr>
              <w:t>锡林浩特市宝力根街道办事处社区卫生服务中心</w:t>
            </w:r>
            <w:r>
              <w:rPr>
                <w:rFonts w:hint="eastAsia"/>
                <w:color w:val="auto"/>
                <w:kern w:val="0"/>
                <w:sz w:val="24"/>
                <w:highlight w:val="none"/>
                <w:lang w:val="en-US" w:eastAsia="zh-CN"/>
              </w:rPr>
              <w:t>原有空房进行建设</w:t>
            </w:r>
            <w:r>
              <w:rPr>
                <w:rFonts w:hint="default"/>
                <w:color w:val="auto"/>
                <w:kern w:val="0"/>
                <w:sz w:val="24"/>
                <w:highlight w:val="none"/>
                <w:lang w:val="en-US" w:eastAsia="zh-CN"/>
              </w:rPr>
              <w:t>。</w:t>
            </w:r>
            <w:r>
              <w:rPr>
                <w:rFonts w:hint="eastAsia"/>
                <w:color w:val="auto"/>
                <w:sz w:val="24"/>
                <w:highlight w:val="none"/>
              </w:rPr>
              <w:t>锡林浩特市宝力根街道办事处社区卫生服务中心</w:t>
            </w:r>
            <w:r>
              <w:rPr>
                <w:rFonts w:hint="eastAsia"/>
                <w:color w:val="auto"/>
                <w:kern w:val="0"/>
                <w:sz w:val="24"/>
                <w:highlight w:val="none"/>
                <w:lang w:val="en-US" w:eastAsia="zh-CN"/>
              </w:rPr>
              <w:t>产生</w:t>
            </w:r>
            <w:r>
              <w:rPr>
                <w:bCs/>
                <w:color w:val="auto"/>
                <w:sz w:val="24"/>
              </w:rPr>
              <w:t>感染性、损伤性</w:t>
            </w:r>
            <w:r>
              <w:rPr>
                <w:rFonts w:hint="eastAsia"/>
                <w:bCs/>
                <w:color w:val="auto"/>
                <w:sz w:val="24"/>
              </w:rPr>
              <w:t>等</w:t>
            </w:r>
            <w:r>
              <w:rPr>
                <w:rFonts w:hint="eastAsia"/>
                <w:bCs/>
                <w:color w:val="auto"/>
                <w:sz w:val="24"/>
                <w:lang w:val="en-US" w:eastAsia="zh-CN"/>
              </w:rPr>
              <w:t>医疗</w:t>
            </w:r>
            <w:r>
              <w:rPr>
                <w:rFonts w:hint="eastAsia"/>
                <w:bCs/>
                <w:color w:val="auto"/>
                <w:sz w:val="24"/>
              </w:rPr>
              <w:t>废物</w:t>
            </w:r>
            <w:r>
              <w:rPr>
                <w:rFonts w:hint="eastAsia"/>
                <w:bCs/>
                <w:color w:val="auto"/>
                <w:sz w:val="24"/>
                <w:lang w:eastAsia="zh-CN"/>
              </w:rPr>
              <w:t>。</w:t>
            </w:r>
            <w:r>
              <w:rPr>
                <w:rFonts w:hint="eastAsia"/>
                <w:bCs/>
                <w:color w:val="auto"/>
                <w:sz w:val="24"/>
                <w:lang w:val="en-US" w:eastAsia="zh-CN"/>
              </w:rPr>
              <w:t>本项目医疗废物暂存间</w:t>
            </w:r>
            <w:r>
              <w:rPr>
                <w:bCs/>
                <w:color w:val="auto"/>
                <w:sz w:val="24"/>
              </w:rPr>
              <w:t>服务于</w:t>
            </w:r>
            <w:r>
              <w:rPr>
                <w:rFonts w:hint="eastAsia"/>
                <w:color w:val="auto"/>
                <w:sz w:val="24"/>
                <w:highlight w:val="none"/>
              </w:rPr>
              <w:t>锡林浩特市宝力根街道办事处社区卫生服务中心</w:t>
            </w:r>
            <w:r>
              <w:rPr>
                <w:rFonts w:hint="eastAsia" w:cs="Times New Roman"/>
                <w:b w:val="0"/>
                <w:bCs w:val="0"/>
                <w:color w:val="auto"/>
                <w:sz w:val="24"/>
                <w:szCs w:val="24"/>
                <w:lang w:val="en-US" w:eastAsia="zh-CN"/>
              </w:rPr>
              <w:t>，用于储存该医院产生的医疗废物</w:t>
            </w:r>
            <w:r>
              <w:rPr>
                <w:rFonts w:hint="eastAsia"/>
                <w:bCs/>
                <w:color w:val="auto"/>
                <w:sz w:val="24"/>
              </w:rPr>
              <w:t>。</w:t>
            </w:r>
          </w:p>
          <w:p>
            <w:pPr>
              <w:rPr>
                <w:color w:val="auto"/>
              </w:rPr>
            </w:pPr>
          </w:p>
          <w:p>
            <w:pPr>
              <w:rPr>
                <w:color w:val="auto"/>
              </w:rPr>
            </w:pPr>
          </w:p>
        </w:tc>
      </w:tr>
    </w:tbl>
    <w:p>
      <w:pPr>
        <w:pStyle w:val="29"/>
        <w:ind w:firstLine="0" w:firstLineChars="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tabs>
          <w:tab w:val="left" w:pos="0"/>
        </w:tabs>
        <w:snapToGrid w:val="0"/>
        <w:jc w:val="center"/>
        <w:outlineLvl w:val="0"/>
        <w:rPr>
          <w:b/>
          <w:color w:val="auto"/>
          <w:sz w:val="32"/>
        </w:rPr>
      </w:pPr>
      <w:r>
        <w:rPr>
          <w:b/>
          <w:color w:val="auto"/>
          <w:sz w:val="32"/>
        </w:rPr>
        <w:t>区域环境质量现状、环境保护目标及评价标准</w:t>
      </w:r>
    </w:p>
    <w:tbl>
      <w:tblPr>
        <w:tblStyle w:val="30"/>
        <w:tblW w:w="92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8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2" w:hRule="atLeast"/>
          <w:jc w:val="center"/>
        </w:trPr>
        <w:tc>
          <w:tcPr>
            <w:tcW w:w="369" w:type="dxa"/>
            <w:vAlign w:val="center"/>
          </w:tcPr>
          <w:p>
            <w:pPr>
              <w:adjustRightInd w:val="0"/>
              <w:snapToGrid w:val="0"/>
              <w:jc w:val="center"/>
              <w:rPr>
                <w:color w:val="auto"/>
                <w:kern w:val="0"/>
                <w:sz w:val="24"/>
              </w:rPr>
            </w:pPr>
            <w:r>
              <w:rPr>
                <w:color w:val="auto"/>
                <w:kern w:val="0"/>
                <w:sz w:val="24"/>
              </w:rPr>
              <w:t>区域</w:t>
            </w:r>
          </w:p>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质量</w:t>
            </w:r>
          </w:p>
          <w:p>
            <w:pPr>
              <w:adjustRightInd w:val="0"/>
              <w:snapToGrid w:val="0"/>
              <w:jc w:val="center"/>
              <w:rPr>
                <w:color w:val="auto"/>
                <w:kern w:val="0"/>
                <w:sz w:val="24"/>
              </w:rPr>
            </w:pPr>
            <w:r>
              <w:rPr>
                <w:color w:val="auto"/>
                <w:kern w:val="0"/>
                <w:sz w:val="24"/>
              </w:rPr>
              <w:t>现状</w:t>
            </w:r>
          </w:p>
        </w:tc>
        <w:tc>
          <w:tcPr>
            <w:tcW w:w="8919" w:type="dxa"/>
            <w:vAlign w:val="center"/>
          </w:tcPr>
          <w:p>
            <w:pPr>
              <w:pStyle w:val="29"/>
              <w:spacing w:after="0" w:line="360" w:lineRule="auto"/>
              <w:ind w:firstLine="482" w:firstLineChars="200"/>
              <w:rPr>
                <w:b/>
                <w:bCs/>
                <w:color w:val="auto"/>
                <w:sz w:val="24"/>
              </w:rPr>
            </w:pPr>
            <w:r>
              <w:rPr>
                <w:b/>
                <w:bCs/>
                <w:color w:val="auto"/>
                <w:sz w:val="24"/>
              </w:rPr>
              <w:t>1</w:t>
            </w:r>
            <w:r>
              <w:rPr>
                <w:rFonts w:hint="eastAsia"/>
                <w:b/>
                <w:bCs/>
                <w:color w:val="auto"/>
                <w:sz w:val="24"/>
              </w:rPr>
              <w:t>.</w:t>
            </w:r>
            <w:r>
              <w:rPr>
                <w:b/>
                <w:bCs/>
                <w:color w:val="auto"/>
                <w:sz w:val="24"/>
              </w:rPr>
              <w:t>大气环境质量现状</w:t>
            </w:r>
          </w:p>
          <w:p>
            <w:pPr>
              <w:spacing w:line="360" w:lineRule="auto"/>
              <w:ind w:firstLine="480" w:firstLineChars="200"/>
              <w:rPr>
                <w:bCs/>
                <w:color w:val="auto"/>
                <w:sz w:val="24"/>
              </w:rPr>
            </w:pPr>
            <w:r>
              <w:rPr>
                <w:rFonts w:hint="eastAsia"/>
                <w:bCs/>
                <w:color w:val="auto"/>
                <w:sz w:val="24"/>
              </w:rPr>
              <w:t>（1）</w:t>
            </w:r>
            <w:r>
              <w:rPr>
                <w:bCs/>
                <w:color w:val="auto"/>
                <w:sz w:val="24"/>
              </w:rPr>
              <w:t>基本污染物环境质量现状评价</w:t>
            </w:r>
          </w:p>
          <w:p>
            <w:pPr>
              <w:spacing w:line="360" w:lineRule="auto"/>
              <w:ind w:firstLine="480" w:firstLineChars="200"/>
              <w:rPr>
                <w:rFonts w:hint="default" w:ascii="Times New Roman" w:hAnsi="Times New Roman" w:eastAsia="宋体" w:cs="Times New Roman"/>
                <w:color w:val="auto"/>
                <w:sz w:val="24"/>
                <w:szCs w:val="24"/>
                <w:highlight w:val="yellow"/>
              </w:rPr>
            </w:pPr>
            <w:r>
              <w:rPr>
                <w:color w:val="auto"/>
                <w:sz w:val="24"/>
              </w:rPr>
              <w:t>根据《环境影响评价技术导则大气环境》（HJ2.2-2018），项目所在区域达标情况判定优先采用国家或地方生态环境主管部门公开发布的环境质量公告或环境质量报告中的数据或结论。本项目位于</w:t>
            </w:r>
            <w:r>
              <w:rPr>
                <w:rFonts w:ascii="Times New Roman" w:hAnsi="Times New Roman" w:cs="Times New Roman"/>
                <w:color w:val="auto"/>
                <w:sz w:val="24"/>
                <w:highlight w:val="none"/>
                <w:lang w:val="en-US" w:eastAsia="zh-CN"/>
              </w:rPr>
              <w:t>内蒙古自治区锡林郭勒盟</w:t>
            </w:r>
            <w:r>
              <w:rPr>
                <w:rFonts w:hint="eastAsia" w:ascii="Times New Roman" w:hAnsi="Times New Roman" w:cs="Times New Roman"/>
                <w:color w:val="auto"/>
                <w:sz w:val="24"/>
                <w:highlight w:val="none"/>
                <w:lang w:val="en-US" w:eastAsia="zh-CN"/>
              </w:rPr>
              <w:t>锡林浩特市贝子庙街359号</w:t>
            </w:r>
            <w:r>
              <w:rPr>
                <w:color w:val="auto"/>
                <w:sz w:val="24"/>
              </w:rPr>
              <w:t>，本次评价采用内蒙古自治区生态环境厅发布的《2022年内蒙古自治区生态环境状况公报》中锡林郭勒盟的数据统计。</w:t>
            </w:r>
            <w:r>
              <w:rPr>
                <w:rFonts w:hint="default" w:ascii="Times New Roman" w:hAnsi="Times New Roman" w:eastAsia="宋体" w:cs="Times New Roman"/>
                <w:color w:val="auto"/>
                <w:kern w:val="0"/>
                <w:sz w:val="24"/>
                <w:szCs w:val="24"/>
              </w:rPr>
              <w:t>2022年环境监测年平均浓度结果显示：可吸入颗粒物（PM</w:t>
            </w:r>
            <w:r>
              <w:rPr>
                <w:rFonts w:hint="default" w:ascii="Times New Roman" w:hAnsi="Times New Roman" w:eastAsia="宋体" w:cs="Times New Roman"/>
                <w:color w:val="auto"/>
                <w:kern w:val="0"/>
                <w:sz w:val="24"/>
                <w:szCs w:val="24"/>
                <w:vertAlign w:val="subscript"/>
              </w:rPr>
              <w:t>10</w:t>
            </w:r>
            <w:r>
              <w:rPr>
                <w:rFonts w:hint="default" w:ascii="Times New Roman" w:hAnsi="Times New Roman" w:eastAsia="宋体" w:cs="Times New Roman"/>
                <w:color w:val="auto"/>
                <w:kern w:val="0"/>
                <w:sz w:val="24"/>
                <w:szCs w:val="24"/>
              </w:rPr>
              <w:t>）年平均浓度为</w:t>
            </w:r>
            <w:r>
              <w:rPr>
                <w:rFonts w:hint="eastAsia" w:ascii="Times New Roman" w:hAnsi="Times New Roman" w:eastAsia="宋体" w:cs="Times New Roman"/>
                <w:color w:val="auto"/>
                <w:kern w:val="0"/>
                <w:sz w:val="24"/>
                <w:szCs w:val="24"/>
                <w:lang w:val="en-US" w:eastAsia="zh-CN"/>
              </w:rPr>
              <w:t>24</w:t>
            </w:r>
            <w:r>
              <w:rPr>
                <w:rFonts w:hint="default" w:ascii="Times New Roman" w:hAnsi="Times New Roman" w:eastAsia="宋体" w:cs="Times New Roman"/>
                <w:color w:val="auto"/>
                <w:kern w:val="0"/>
                <w:sz w:val="24"/>
                <w:szCs w:val="24"/>
              </w:rPr>
              <w:t>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；细颗粒物（PM</w:t>
            </w:r>
            <w:r>
              <w:rPr>
                <w:rFonts w:hint="default" w:ascii="Times New Roman" w:hAnsi="Times New Roman" w:eastAsia="宋体" w:cs="Times New Roman"/>
                <w:color w:val="auto"/>
                <w:kern w:val="0"/>
                <w:sz w:val="24"/>
                <w:szCs w:val="24"/>
                <w:vertAlign w:val="subscript"/>
              </w:rPr>
              <w:t>2.5</w:t>
            </w:r>
            <w:r>
              <w:rPr>
                <w:rFonts w:hint="default" w:ascii="Times New Roman" w:hAnsi="Times New Roman" w:eastAsia="宋体" w:cs="Times New Roman"/>
                <w:color w:val="auto"/>
                <w:kern w:val="0"/>
                <w:sz w:val="24"/>
                <w:szCs w:val="24"/>
              </w:rPr>
              <w:t>）年平均浓度为</w:t>
            </w:r>
            <w:r>
              <w:rPr>
                <w:rFonts w:hint="eastAsia" w:ascii="Times New Roman" w:hAnsi="Times New Roman" w:eastAsia="宋体" w:cs="Times New Roman"/>
                <w:color w:val="auto"/>
                <w:kern w:val="0"/>
                <w:sz w:val="24"/>
                <w:szCs w:val="24"/>
                <w:lang w:val="en-US" w:eastAsia="zh-CN"/>
              </w:rPr>
              <w:t>7</w:t>
            </w:r>
            <w:r>
              <w:rPr>
                <w:rFonts w:hint="default" w:ascii="Times New Roman" w:hAnsi="Times New Roman" w:eastAsia="宋体" w:cs="Times New Roman"/>
                <w:color w:val="auto"/>
                <w:kern w:val="0"/>
                <w:sz w:val="24"/>
                <w:szCs w:val="24"/>
              </w:rPr>
              <w:t>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；二氧化硫（SO</w:t>
            </w:r>
            <w:r>
              <w:rPr>
                <w:rFonts w:hint="default" w:ascii="Times New Roman" w:hAnsi="Times New Roman" w:eastAsia="宋体" w:cs="Times New Roman"/>
                <w:color w:val="auto"/>
                <w:kern w:val="0"/>
                <w:sz w:val="24"/>
                <w:szCs w:val="24"/>
                <w:vertAlign w:val="subscript"/>
              </w:rPr>
              <w:t>2</w:t>
            </w:r>
            <w:r>
              <w:rPr>
                <w:rFonts w:hint="default" w:ascii="Times New Roman" w:hAnsi="Times New Roman" w:eastAsia="宋体" w:cs="Times New Roman"/>
                <w:color w:val="auto"/>
                <w:kern w:val="0"/>
                <w:sz w:val="24"/>
                <w:szCs w:val="24"/>
              </w:rPr>
              <w:t>）年平均浓度为</w:t>
            </w:r>
            <w:r>
              <w:rPr>
                <w:rFonts w:hint="eastAsia" w:ascii="Times New Roman" w:hAnsi="Times New Roman" w:eastAsia="宋体" w:cs="Times New Roman"/>
                <w:color w:val="auto"/>
                <w:kern w:val="0"/>
                <w:sz w:val="24"/>
                <w:szCs w:val="24"/>
                <w:lang w:val="en-US" w:eastAsia="zh-CN"/>
              </w:rPr>
              <w:t>9</w:t>
            </w:r>
            <w:r>
              <w:rPr>
                <w:rFonts w:hint="default" w:ascii="Times New Roman" w:hAnsi="Times New Roman" w:eastAsia="宋体" w:cs="Times New Roman"/>
                <w:color w:val="auto"/>
                <w:kern w:val="0"/>
                <w:sz w:val="24"/>
                <w:szCs w:val="24"/>
              </w:rPr>
              <w:t>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；二氧化氮（NO</w:t>
            </w:r>
            <w:r>
              <w:rPr>
                <w:rFonts w:hint="default" w:ascii="Times New Roman" w:hAnsi="Times New Roman" w:eastAsia="宋体" w:cs="Times New Roman"/>
                <w:color w:val="auto"/>
                <w:kern w:val="0"/>
                <w:sz w:val="24"/>
                <w:szCs w:val="24"/>
                <w:vertAlign w:val="subscript"/>
              </w:rPr>
              <w:t>2</w:t>
            </w:r>
            <w:r>
              <w:rPr>
                <w:rFonts w:hint="default" w:ascii="Times New Roman" w:hAnsi="Times New Roman" w:eastAsia="宋体" w:cs="Times New Roman"/>
                <w:color w:val="auto"/>
                <w:kern w:val="0"/>
                <w:sz w:val="24"/>
                <w:szCs w:val="24"/>
              </w:rPr>
              <w:t>）年平均浓度为</w:t>
            </w:r>
            <w:r>
              <w:rPr>
                <w:rFonts w:hint="eastAsia" w:ascii="Times New Roman" w:hAnsi="Times New Roman" w:eastAsia="宋体" w:cs="Times New Roman"/>
                <w:color w:val="auto"/>
                <w:kern w:val="0"/>
                <w:sz w:val="24"/>
                <w:szCs w:val="24"/>
                <w:lang w:val="en-US" w:eastAsia="zh-CN"/>
              </w:rPr>
              <w:t>10</w:t>
            </w:r>
            <w:r>
              <w:rPr>
                <w:rFonts w:hint="default" w:ascii="Times New Roman" w:hAnsi="Times New Roman" w:eastAsia="宋体" w:cs="Times New Roman"/>
                <w:color w:val="auto"/>
                <w:kern w:val="0"/>
                <w:sz w:val="24"/>
                <w:szCs w:val="24"/>
              </w:rPr>
              <w:t>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；臭氧（O</w:t>
            </w:r>
            <w:r>
              <w:rPr>
                <w:rFonts w:hint="default" w:ascii="Times New Roman" w:hAnsi="Times New Roman" w:eastAsia="宋体" w:cs="Times New Roman"/>
                <w:color w:val="auto"/>
                <w:kern w:val="0"/>
                <w:sz w:val="24"/>
                <w:szCs w:val="24"/>
                <w:vertAlign w:val="subscript"/>
              </w:rPr>
              <w:t>3</w:t>
            </w:r>
            <w:r>
              <w:rPr>
                <w:rFonts w:hint="default" w:ascii="Times New Roman" w:hAnsi="Times New Roman" w:eastAsia="宋体" w:cs="Times New Roman"/>
                <w:color w:val="auto"/>
                <w:kern w:val="0"/>
                <w:sz w:val="24"/>
                <w:szCs w:val="24"/>
              </w:rPr>
              <w:t>）日最大8小时滑动平均值第90百分位数浓度</w:t>
            </w:r>
            <w:r>
              <w:rPr>
                <w:rFonts w:hint="eastAsia" w:ascii="Times New Roman" w:hAnsi="Times New Roman" w:eastAsia="宋体" w:cs="Times New Roman"/>
                <w:color w:val="auto"/>
                <w:kern w:val="0"/>
                <w:sz w:val="24"/>
                <w:szCs w:val="24"/>
                <w:lang w:val="en-US" w:eastAsia="zh-CN"/>
              </w:rPr>
              <w:t>118</w:t>
            </w:r>
            <w:r>
              <w:rPr>
                <w:rFonts w:hint="default" w:ascii="Times New Roman" w:hAnsi="Times New Roman" w:eastAsia="宋体" w:cs="Times New Roman"/>
                <w:color w:val="auto"/>
                <w:kern w:val="0"/>
                <w:sz w:val="24"/>
                <w:szCs w:val="24"/>
              </w:rPr>
              <w:t>μg/m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；一氧化碳（CO）24小时平均第95百分位数为0.</w:t>
            </w:r>
            <w:r>
              <w:rPr>
                <w:rFonts w:hint="eastAsia" w:ascii="Times New Roman" w:hAnsi="Times New Roman" w:eastAsia="宋体" w:cs="Times New Roman"/>
                <w:color w:val="auto"/>
                <w:kern w:val="0"/>
                <w:sz w:val="24"/>
                <w:szCs w:val="24"/>
                <w:lang w:val="en-US" w:eastAsia="zh-CN"/>
              </w:rPr>
              <w:t>7</w:t>
            </w:r>
            <w:r>
              <w:rPr>
                <w:rFonts w:hint="default" w:ascii="Times New Roman" w:hAnsi="Times New Roman" w:eastAsia="宋体" w:cs="Times New Roman"/>
                <w:color w:val="auto"/>
                <w:kern w:val="0"/>
                <w:sz w:val="24"/>
                <w:szCs w:val="24"/>
              </w:rPr>
              <w:t>mg/m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。项目所在区域环境空气质量现状属于达标区域。</w:t>
            </w:r>
          </w:p>
          <w:p>
            <w:pPr>
              <w:spacing w:line="360" w:lineRule="auto"/>
              <w:ind w:firstLine="480" w:firstLineChars="200"/>
              <w:rPr>
                <w:color w:val="auto"/>
                <w:sz w:val="24"/>
              </w:rPr>
            </w:pPr>
            <w:r>
              <w:rPr>
                <w:color w:val="auto"/>
                <w:sz w:val="24"/>
              </w:rPr>
              <w:t>评价结果见表3-1。</w:t>
            </w:r>
          </w:p>
          <w:p>
            <w:pPr>
              <w:widowControl/>
              <w:jc w:val="center"/>
              <w:rPr>
                <w:b/>
                <w:color w:val="auto"/>
                <w:kern w:val="0"/>
                <w:sz w:val="24"/>
                <w:szCs w:val="32"/>
              </w:rPr>
            </w:pPr>
            <w:r>
              <w:rPr>
                <w:b/>
                <w:color w:val="auto"/>
                <w:kern w:val="0"/>
                <w:sz w:val="24"/>
                <w:szCs w:val="32"/>
              </w:rPr>
              <w:t>表3-1  区域空气质量现状评价表</w:t>
            </w:r>
          </w:p>
          <w:tbl>
            <w:tblPr>
              <w:tblStyle w:val="30"/>
              <w:tblW w:w="5000" w:type="pct"/>
              <w:tblInd w:w="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2114"/>
              <w:gridCol w:w="1371"/>
              <w:gridCol w:w="1373"/>
              <w:gridCol w:w="1373"/>
              <w:gridCol w:w="13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5" w:type="pct"/>
                  <w:tcBorders>
                    <w:tl2br w:val="nil"/>
                    <w:tr2bl w:val="nil"/>
                  </w:tcBorders>
                  <w:vAlign w:val="center"/>
                </w:tcPr>
                <w:p>
                  <w:pPr>
                    <w:snapToGrid w:val="0"/>
                    <w:jc w:val="center"/>
                    <w:rPr>
                      <w:b/>
                      <w:bCs/>
                      <w:color w:val="auto"/>
                      <w:szCs w:val="20"/>
                    </w:rPr>
                  </w:pPr>
                  <w:r>
                    <w:rPr>
                      <w:b/>
                      <w:bCs/>
                      <w:color w:val="auto"/>
                      <w:szCs w:val="21"/>
                    </w:rPr>
                    <w:t>污染物</w:t>
                  </w:r>
                </w:p>
              </w:tc>
              <w:tc>
                <w:tcPr>
                  <w:tcW w:w="1231" w:type="pct"/>
                  <w:tcBorders>
                    <w:tl2br w:val="nil"/>
                    <w:tr2bl w:val="nil"/>
                  </w:tcBorders>
                  <w:vAlign w:val="center"/>
                </w:tcPr>
                <w:p>
                  <w:pPr>
                    <w:snapToGrid w:val="0"/>
                    <w:jc w:val="center"/>
                    <w:rPr>
                      <w:b/>
                      <w:bCs/>
                      <w:color w:val="auto"/>
                      <w:szCs w:val="20"/>
                    </w:rPr>
                  </w:pPr>
                  <w:r>
                    <w:rPr>
                      <w:b/>
                      <w:bCs/>
                      <w:color w:val="auto"/>
                      <w:szCs w:val="21"/>
                    </w:rPr>
                    <w:t>年评价指标</w:t>
                  </w:r>
                </w:p>
              </w:tc>
              <w:tc>
                <w:tcPr>
                  <w:tcW w:w="798" w:type="pct"/>
                  <w:tcBorders>
                    <w:tl2br w:val="nil"/>
                    <w:tr2bl w:val="nil"/>
                  </w:tcBorders>
                  <w:vAlign w:val="center"/>
                </w:tcPr>
                <w:p>
                  <w:pPr>
                    <w:snapToGrid w:val="0"/>
                    <w:jc w:val="center"/>
                    <w:rPr>
                      <w:b/>
                      <w:bCs/>
                      <w:color w:val="auto"/>
                      <w:szCs w:val="20"/>
                    </w:rPr>
                  </w:pPr>
                  <w:r>
                    <w:rPr>
                      <w:b/>
                      <w:bCs/>
                      <w:color w:val="auto"/>
                      <w:szCs w:val="21"/>
                    </w:rPr>
                    <w:t>现状浓度（μg/m</w:t>
                  </w:r>
                  <w:r>
                    <w:rPr>
                      <w:b/>
                      <w:bCs/>
                      <w:color w:val="auto"/>
                      <w:szCs w:val="21"/>
                      <w:vertAlign w:val="superscript"/>
                    </w:rPr>
                    <w:t>3</w:t>
                  </w:r>
                  <w:r>
                    <w:rPr>
                      <w:b/>
                      <w:bCs/>
                      <w:color w:val="auto"/>
                      <w:szCs w:val="21"/>
                    </w:rPr>
                    <w:t>）</w:t>
                  </w:r>
                </w:p>
              </w:tc>
              <w:tc>
                <w:tcPr>
                  <w:tcW w:w="799" w:type="pct"/>
                  <w:tcBorders>
                    <w:tl2br w:val="nil"/>
                    <w:tr2bl w:val="nil"/>
                  </w:tcBorders>
                  <w:vAlign w:val="center"/>
                </w:tcPr>
                <w:p>
                  <w:pPr>
                    <w:snapToGrid w:val="0"/>
                    <w:jc w:val="center"/>
                    <w:rPr>
                      <w:b/>
                      <w:bCs/>
                      <w:color w:val="auto"/>
                      <w:szCs w:val="21"/>
                    </w:rPr>
                  </w:pPr>
                  <w:r>
                    <w:rPr>
                      <w:b/>
                      <w:bCs/>
                      <w:color w:val="auto"/>
                      <w:szCs w:val="21"/>
                    </w:rPr>
                    <w:t>标准值</w:t>
                  </w:r>
                </w:p>
                <w:p>
                  <w:pPr>
                    <w:snapToGrid w:val="0"/>
                    <w:jc w:val="center"/>
                    <w:rPr>
                      <w:b/>
                      <w:bCs/>
                      <w:color w:val="auto"/>
                      <w:szCs w:val="20"/>
                    </w:rPr>
                  </w:pPr>
                  <w:r>
                    <w:rPr>
                      <w:b/>
                      <w:bCs/>
                      <w:color w:val="auto"/>
                      <w:szCs w:val="21"/>
                    </w:rPr>
                    <w:t>（μg/m</w:t>
                  </w:r>
                  <w:r>
                    <w:rPr>
                      <w:b/>
                      <w:bCs/>
                      <w:color w:val="auto"/>
                      <w:szCs w:val="21"/>
                      <w:vertAlign w:val="superscript"/>
                    </w:rPr>
                    <w:t>3</w:t>
                  </w:r>
                  <w:r>
                    <w:rPr>
                      <w:b/>
                      <w:bCs/>
                      <w:color w:val="auto"/>
                      <w:szCs w:val="21"/>
                    </w:rPr>
                    <w:t>）</w:t>
                  </w:r>
                </w:p>
              </w:tc>
              <w:tc>
                <w:tcPr>
                  <w:tcW w:w="799" w:type="pct"/>
                  <w:tcBorders>
                    <w:tl2br w:val="nil"/>
                    <w:tr2bl w:val="nil"/>
                  </w:tcBorders>
                  <w:vAlign w:val="center"/>
                </w:tcPr>
                <w:p>
                  <w:pPr>
                    <w:snapToGrid w:val="0"/>
                    <w:jc w:val="center"/>
                    <w:rPr>
                      <w:b/>
                      <w:bCs/>
                      <w:color w:val="auto"/>
                      <w:szCs w:val="20"/>
                    </w:rPr>
                  </w:pPr>
                  <w:r>
                    <w:rPr>
                      <w:b/>
                      <w:bCs/>
                      <w:color w:val="auto"/>
                      <w:szCs w:val="21"/>
                    </w:rPr>
                    <w:t>占标率（%）</w:t>
                  </w:r>
                </w:p>
              </w:tc>
              <w:tc>
                <w:tcPr>
                  <w:tcW w:w="798" w:type="pct"/>
                  <w:tcBorders>
                    <w:tl2br w:val="nil"/>
                    <w:tr2bl w:val="nil"/>
                  </w:tcBorders>
                  <w:vAlign w:val="center"/>
                </w:tcPr>
                <w:p>
                  <w:pPr>
                    <w:snapToGrid w:val="0"/>
                    <w:jc w:val="center"/>
                    <w:rPr>
                      <w:b/>
                      <w:bCs/>
                      <w:color w:val="auto"/>
                      <w:szCs w:val="20"/>
                    </w:rPr>
                  </w:pPr>
                  <w:r>
                    <w:rPr>
                      <w:b/>
                      <w:bCs/>
                      <w:color w:val="auto"/>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5" w:type="pct"/>
                  <w:tcBorders>
                    <w:tl2br w:val="nil"/>
                    <w:tr2bl w:val="nil"/>
                  </w:tcBorders>
                  <w:vAlign w:val="center"/>
                </w:tcPr>
                <w:p>
                  <w:pPr>
                    <w:snapToGrid w:val="0"/>
                    <w:jc w:val="center"/>
                    <w:rPr>
                      <w:color w:val="auto"/>
                      <w:szCs w:val="20"/>
                    </w:rPr>
                  </w:pPr>
                  <w:r>
                    <w:rPr>
                      <w:color w:val="auto"/>
                      <w:szCs w:val="21"/>
                    </w:rPr>
                    <w:t>PM</w:t>
                  </w:r>
                  <w:r>
                    <w:rPr>
                      <w:color w:val="auto"/>
                      <w:szCs w:val="21"/>
                      <w:vertAlign w:val="subscript"/>
                    </w:rPr>
                    <w:t>10</w:t>
                  </w:r>
                </w:p>
              </w:tc>
              <w:tc>
                <w:tcPr>
                  <w:tcW w:w="1231" w:type="pct"/>
                  <w:tcBorders>
                    <w:tl2br w:val="nil"/>
                    <w:tr2bl w:val="nil"/>
                  </w:tcBorders>
                  <w:vAlign w:val="center"/>
                </w:tcPr>
                <w:p>
                  <w:pPr>
                    <w:snapToGrid w:val="0"/>
                    <w:jc w:val="center"/>
                    <w:rPr>
                      <w:color w:val="auto"/>
                      <w:szCs w:val="20"/>
                    </w:rPr>
                  </w:pPr>
                  <w:r>
                    <w:rPr>
                      <w:color w:val="auto"/>
                      <w:szCs w:val="21"/>
                    </w:rPr>
                    <w:t>年平均质量浓度</w:t>
                  </w:r>
                </w:p>
              </w:tc>
              <w:tc>
                <w:tcPr>
                  <w:tcW w:w="798" w:type="pct"/>
                  <w:tcBorders>
                    <w:tl2br w:val="nil"/>
                    <w:tr2bl w:val="nil"/>
                  </w:tcBorders>
                  <w:vAlign w:val="center"/>
                </w:tcPr>
                <w:p>
                  <w:pPr>
                    <w:snapToGrid w:val="0"/>
                    <w:jc w:val="center"/>
                    <w:rPr>
                      <w:color w:val="auto"/>
                      <w:szCs w:val="20"/>
                    </w:rPr>
                  </w:pPr>
                  <w:r>
                    <w:rPr>
                      <w:rFonts w:hint="eastAsia"/>
                      <w:color w:val="auto"/>
                      <w:szCs w:val="20"/>
                      <w:lang w:val="en-US" w:eastAsia="zh-CN"/>
                    </w:rPr>
                    <w:t>24</w:t>
                  </w:r>
                </w:p>
              </w:tc>
              <w:tc>
                <w:tcPr>
                  <w:tcW w:w="799" w:type="pct"/>
                  <w:tcBorders>
                    <w:tl2br w:val="nil"/>
                    <w:tr2bl w:val="nil"/>
                  </w:tcBorders>
                  <w:vAlign w:val="center"/>
                </w:tcPr>
                <w:p>
                  <w:pPr>
                    <w:snapToGrid w:val="0"/>
                    <w:jc w:val="center"/>
                    <w:rPr>
                      <w:color w:val="auto"/>
                      <w:szCs w:val="20"/>
                    </w:rPr>
                  </w:pPr>
                  <w:r>
                    <w:rPr>
                      <w:color w:val="auto"/>
                      <w:szCs w:val="21"/>
                    </w:rPr>
                    <w:t>70</w:t>
                  </w:r>
                </w:p>
              </w:tc>
              <w:tc>
                <w:tcPr>
                  <w:tcW w:w="799" w:type="pct"/>
                  <w:tcBorders>
                    <w:tl2br w:val="nil"/>
                    <w:tr2bl w:val="nil"/>
                  </w:tcBorders>
                  <w:vAlign w:val="center"/>
                </w:tcPr>
                <w:p>
                  <w:pPr>
                    <w:snapToGrid w:val="0"/>
                    <w:jc w:val="center"/>
                    <w:rPr>
                      <w:rFonts w:hint="default" w:eastAsia="宋体"/>
                      <w:color w:val="auto"/>
                      <w:szCs w:val="20"/>
                      <w:lang w:val="en-US" w:eastAsia="zh-CN"/>
                    </w:rPr>
                  </w:pPr>
                  <w:r>
                    <w:rPr>
                      <w:rFonts w:hint="eastAsia"/>
                      <w:color w:val="auto"/>
                      <w:szCs w:val="20"/>
                      <w:lang w:val="en-US" w:eastAsia="zh-CN"/>
                    </w:rPr>
                    <w:t>34.29</w:t>
                  </w:r>
                </w:p>
              </w:tc>
              <w:tc>
                <w:tcPr>
                  <w:tcW w:w="798" w:type="pct"/>
                  <w:tcBorders>
                    <w:tl2br w:val="nil"/>
                    <w:tr2bl w:val="nil"/>
                  </w:tcBorders>
                  <w:vAlign w:val="center"/>
                </w:tcPr>
                <w:p>
                  <w:pPr>
                    <w:snapToGrid w:val="0"/>
                    <w:jc w:val="center"/>
                    <w:rPr>
                      <w:color w:val="auto"/>
                      <w:szCs w:val="20"/>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5" w:type="pct"/>
                  <w:tcBorders>
                    <w:tl2br w:val="nil"/>
                    <w:tr2bl w:val="nil"/>
                  </w:tcBorders>
                  <w:vAlign w:val="center"/>
                </w:tcPr>
                <w:p>
                  <w:pPr>
                    <w:snapToGrid w:val="0"/>
                    <w:jc w:val="center"/>
                    <w:rPr>
                      <w:color w:val="auto"/>
                      <w:szCs w:val="20"/>
                    </w:rPr>
                  </w:pPr>
                  <w:r>
                    <w:rPr>
                      <w:color w:val="auto"/>
                      <w:szCs w:val="21"/>
                    </w:rPr>
                    <w:t>PM</w:t>
                  </w:r>
                  <w:r>
                    <w:rPr>
                      <w:color w:val="auto"/>
                      <w:szCs w:val="21"/>
                      <w:vertAlign w:val="subscript"/>
                    </w:rPr>
                    <w:t>2.5</w:t>
                  </w:r>
                </w:p>
              </w:tc>
              <w:tc>
                <w:tcPr>
                  <w:tcW w:w="1231" w:type="pct"/>
                  <w:tcBorders>
                    <w:tl2br w:val="nil"/>
                    <w:tr2bl w:val="nil"/>
                  </w:tcBorders>
                  <w:vAlign w:val="center"/>
                </w:tcPr>
                <w:p>
                  <w:pPr>
                    <w:snapToGrid w:val="0"/>
                    <w:jc w:val="center"/>
                    <w:rPr>
                      <w:color w:val="auto"/>
                      <w:szCs w:val="20"/>
                    </w:rPr>
                  </w:pPr>
                  <w:r>
                    <w:rPr>
                      <w:color w:val="auto"/>
                      <w:szCs w:val="21"/>
                    </w:rPr>
                    <w:t>年平均质量浓度</w:t>
                  </w:r>
                </w:p>
              </w:tc>
              <w:tc>
                <w:tcPr>
                  <w:tcW w:w="798" w:type="pct"/>
                  <w:tcBorders>
                    <w:tl2br w:val="nil"/>
                    <w:tr2bl w:val="nil"/>
                  </w:tcBorders>
                  <w:vAlign w:val="center"/>
                </w:tcPr>
                <w:p>
                  <w:pPr>
                    <w:snapToGrid w:val="0"/>
                    <w:jc w:val="center"/>
                    <w:rPr>
                      <w:color w:val="auto"/>
                      <w:szCs w:val="20"/>
                    </w:rPr>
                  </w:pPr>
                  <w:r>
                    <w:rPr>
                      <w:rFonts w:hint="eastAsia"/>
                      <w:color w:val="auto"/>
                      <w:szCs w:val="20"/>
                      <w:lang w:val="en-US" w:eastAsia="zh-CN"/>
                    </w:rPr>
                    <w:t>7</w:t>
                  </w:r>
                </w:p>
              </w:tc>
              <w:tc>
                <w:tcPr>
                  <w:tcW w:w="799" w:type="pct"/>
                  <w:tcBorders>
                    <w:tl2br w:val="nil"/>
                    <w:tr2bl w:val="nil"/>
                  </w:tcBorders>
                  <w:vAlign w:val="center"/>
                </w:tcPr>
                <w:p>
                  <w:pPr>
                    <w:snapToGrid w:val="0"/>
                    <w:jc w:val="center"/>
                    <w:rPr>
                      <w:color w:val="auto"/>
                      <w:szCs w:val="20"/>
                    </w:rPr>
                  </w:pPr>
                  <w:r>
                    <w:rPr>
                      <w:color w:val="auto"/>
                      <w:szCs w:val="21"/>
                    </w:rPr>
                    <w:t>35</w:t>
                  </w:r>
                </w:p>
              </w:tc>
              <w:tc>
                <w:tcPr>
                  <w:tcW w:w="799" w:type="pct"/>
                  <w:tcBorders>
                    <w:tl2br w:val="nil"/>
                    <w:tr2bl w:val="nil"/>
                  </w:tcBorders>
                  <w:vAlign w:val="center"/>
                </w:tcPr>
                <w:p>
                  <w:pPr>
                    <w:snapToGrid w:val="0"/>
                    <w:jc w:val="center"/>
                    <w:rPr>
                      <w:rFonts w:hint="default" w:eastAsia="宋体"/>
                      <w:color w:val="auto"/>
                      <w:szCs w:val="20"/>
                      <w:lang w:val="en-US" w:eastAsia="zh-CN"/>
                    </w:rPr>
                  </w:pPr>
                  <w:r>
                    <w:rPr>
                      <w:rFonts w:hint="eastAsia"/>
                      <w:color w:val="auto"/>
                      <w:szCs w:val="20"/>
                      <w:lang w:val="en-US" w:eastAsia="zh-CN"/>
                    </w:rPr>
                    <w:t>20</w:t>
                  </w:r>
                </w:p>
              </w:tc>
              <w:tc>
                <w:tcPr>
                  <w:tcW w:w="798" w:type="pct"/>
                  <w:tcBorders>
                    <w:tl2br w:val="nil"/>
                    <w:tr2bl w:val="nil"/>
                  </w:tcBorders>
                  <w:vAlign w:val="center"/>
                </w:tcPr>
                <w:p>
                  <w:pPr>
                    <w:snapToGrid w:val="0"/>
                    <w:jc w:val="center"/>
                    <w:rPr>
                      <w:color w:val="auto"/>
                      <w:szCs w:val="20"/>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75" w:type="pct"/>
                  <w:tcBorders>
                    <w:tl2br w:val="nil"/>
                    <w:tr2bl w:val="nil"/>
                  </w:tcBorders>
                  <w:vAlign w:val="center"/>
                </w:tcPr>
                <w:p>
                  <w:pPr>
                    <w:snapToGrid w:val="0"/>
                    <w:jc w:val="center"/>
                    <w:rPr>
                      <w:color w:val="auto"/>
                      <w:szCs w:val="20"/>
                    </w:rPr>
                  </w:pPr>
                  <w:r>
                    <w:rPr>
                      <w:color w:val="auto"/>
                      <w:szCs w:val="21"/>
                    </w:rPr>
                    <w:t>SO</w:t>
                  </w:r>
                  <w:r>
                    <w:rPr>
                      <w:color w:val="auto"/>
                      <w:szCs w:val="21"/>
                      <w:vertAlign w:val="subscript"/>
                    </w:rPr>
                    <w:t>2</w:t>
                  </w:r>
                </w:p>
              </w:tc>
              <w:tc>
                <w:tcPr>
                  <w:tcW w:w="1231" w:type="pct"/>
                  <w:tcBorders>
                    <w:tl2br w:val="nil"/>
                    <w:tr2bl w:val="nil"/>
                  </w:tcBorders>
                  <w:vAlign w:val="center"/>
                </w:tcPr>
                <w:p>
                  <w:pPr>
                    <w:snapToGrid w:val="0"/>
                    <w:jc w:val="center"/>
                    <w:rPr>
                      <w:color w:val="auto"/>
                      <w:szCs w:val="20"/>
                    </w:rPr>
                  </w:pPr>
                  <w:r>
                    <w:rPr>
                      <w:color w:val="auto"/>
                      <w:szCs w:val="21"/>
                    </w:rPr>
                    <w:t>年平均质量浓度</w:t>
                  </w:r>
                </w:p>
              </w:tc>
              <w:tc>
                <w:tcPr>
                  <w:tcW w:w="798" w:type="pct"/>
                  <w:tcBorders>
                    <w:tl2br w:val="nil"/>
                    <w:tr2bl w:val="nil"/>
                  </w:tcBorders>
                  <w:vAlign w:val="center"/>
                </w:tcPr>
                <w:p>
                  <w:pPr>
                    <w:snapToGrid w:val="0"/>
                    <w:jc w:val="center"/>
                    <w:rPr>
                      <w:color w:val="auto"/>
                      <w:szCs w:val="20"/>
                    </w:rPr>
                  </w:pPr>
                  <w:r>
                    <w:rPr>
                      <w:rFonts w:hint="eastAsia"/>
                      <w:color w:val="auto"/>
                      <w:szCs w:val="20"/>
                      <w:lang w:val="en-US" w:eastAsia="zh-CN"/>
                    </w:rPr>
                    <w:t>9</w:t>
                  </w:r>
                </w:p>
              </w:tc>
              <w:tc>
                <w:tcPr>
                  <w:tcW w:w="799" w:type="pct"/>
                  <w:tcBorders>
                    <w:tl2br w:val="nil"/>
                    <w:tr2bl w:val="nil"/>
                  </w:tcBorders>
                  <w:vAlign w:val="center"/>
                </w:tcPr>
                <w:p>
                  <w:pPr>
                    <w:snapToGrid w:val="0"/>
                    <w:jc w:val="center"/>
                    <w:rPr>
                      <w:color w:val="auto"/>
                      <w:szCs w:val="20"/>
                    </w:rPr>
                  </w:pPr>
                  <w:r>
                    <w:rPr>
                      <w:color w:val="auto"/>
                      <w:szCs w:val="21"/>
                    </w:rPr>
                    <w:t>60</w:t>
                  </w:r>
                </w:p>
              </w:tc>
              <w:tc>
                <w:tcPr>
                  <w:tcW w:w="799" w:type="pct"/>
                  <w:tcBorders>
                    <w:tl2br w:val="nil"/>
                    <w:tr2bl w:val="nil"/>
                  </w:tcBorders>
                  <w:vAlign w:val="center"/>
                </w:tcPr>
                <w:p>
                  <w:pPr>
                    <w:snapToGrid w:val="0"/>
                    <w:jc w:val="center"/>
                    <w:rPr>
                      <w:rFonts w:hint="default" w:eastAsia="宋体"/>
                      <w:color w:val="auto"/>
                      <w:szCs w:val="20"/>
                      <w:lang w:val="en-US" w:eastAsia="zh-CN"/>
                    </w:rPr>
                  </w:pPr>
                  <w:r>
                    <w:rPr>
                      <w:rFonts w:hint="eastAsia"/>
                      <w:color w:val="auto"/>
                      <w:szCs w:val="20"/>
                      <w:lang w:val="en-US" w:eastAsia="zh-CN"/>
                    </w:rPr>
                    <w:t>15</w:t>
                  </w:r>
                </w:p>
              </w:tc>
              <w:tc>
                <w:tcPr>
                  <w:tcW w:w="798" w:type="pct"/>
                  <w:tcBorders>
                    <w:tl2br w:val="nil"/>
                    <w:tr2bl w:val="nil"/>
                  </w:tcBorders>
                  <w:vAlign w:val="center"/>
                </w:tcPr>
                <w:p>
                  <w:pPr>
                    <w:snapToGrid w:val="0"/>
                    <w:jc w:val="center"/>
                    <w:rPr>
                      <w:color w:val="auto"/>
                      <w:szCs w:val="20"/>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5" w:type="pct"/>
                  <w:tcBorders>
                    <w:tl2br w:val="nil"/>
                    <w:tr2bl w:val="nil"/>
                  </w:tcBorders>
                  <w:vAlign w:val="center"/>
                </w:tcPr>
                <w:p>
                  <w:pPr>
                    <w:snapToGrid w:val="0"/>
                    <w:jc w:val="center"/>
                    <w:rPr>
                      <w:color w:val="auto"/>
                      <w:szCs w:val="20"/>
                    </w:rPr>
                  </w:pPr>
                  <w:r>
                    <w:rPr>
                      <w:color w:val="auto"/>
                      <w:szCs w:val="21"/>
                    </w:rPr>
                    <w:t>NO</w:t>
                  </w:r>
                  <w:r>
                    <w:rPr>
                      <w:color w:val="auto"/>
                      <w:szCs w:val="21"/>
                      <w:vertAlign w:val="subscript"/>
                    </w:rPr>
                    <w:t>2</w:t>
                  </w:r>
                </w:p>
              </w:tc>
              <w:tc>
                <w:tcPr>
                  <w:tcW w:w="1231" w:type="pct"/>
                  <w:tcBorders>
                    <w:tl2br w:val="nil"/>
                    <w:tr2bl w:val="nil"/>
                  </w:tcBorders>
                  <w:vAlign w:val="center"/>
                </w:tcPr>
                <w:p>
                  <w:pPr>
                    <w:snapToGrid w:val="0"/>
                    <w:jc w:val="center"/>
                    <w:rPr>
                      <w:color w:val="auto"/>
                      <w:szCs w:val="20"/>
                    </w:rPr>
                  </w:pPr>
                  <w:r>
                    <w:rPr>
                      <w:color w:val="auto"/>
                      <w:szCs w:val="21"/>
                    </w:rPr>
                    <w:t>年平均质量浓度</w:t>
                  </w:r>
                </w:p>
              </w:tc>
              <w:tc>
                <w:tcPr>
                  <w:tcW w:w="798" w:type="pct"/>
                  <w:tcBorders>
                    <w:tl2br w:val="nil"/>
                    <w:tr2bl w:val="nil"/>
                  </w:tcBorders>
                  <w:vAlign w:val="center"/>
                </w:tcPr>
                <w:p>
                  <w:pPr>
                    <w:snapToGrid w:val="0"/>
                    <w:jc w:val="center"/>
                    <w:rPr>
                      <w:color w:val="auto"/>
                      <w:szCs w:val="20"/>
                    </w:rPr>
                  </w:pPr>
                  <w:r>
                    <w:rPr>
                      <w:color w:val="auto"/>
                      <w:szCs w:val="20"/>
                    </w:rPr>
                    <w:t>10</w:t>
                  </w:r>
                </w:p>
              </w:tc>
              <w:tc>
                <w:tcPr>
                  <w:tcW w:w="799" w:type="pct"/>
                  <w:tcBorders>
                    <w:tl2br w:val="nil"/>
                    <w:tr2bl w:val="nil"/>
                  </w:tcBorders>
                  <w:vAlign w:val="center"/>
                </w:tcPr>
                <w:p>
                  <w:pPr>
                    <w:snapToGrid w:val="0"/>
                    <w:jc w:val="center"/>
                    <w:rPr>
                      <w:color w:val="auto"/>
                      <w:szCs w:val="20"/>
                    </w:rPr>
                  </w:pPr>
                  <w:r>
                    <w:rPr>
                      <w:color w:val="auto"/>
                      <w:szCs w:val="21"/>
                    </w:rPr>
                    <w:t>40</w:t>
                  </w:r>
                </w:p>
              </w:tc>
              <w:tc>
                <w:tcPr>
                  <w:tcW w:w="799" w:type="pct"/>
                  <w:tcBorders>
                    <w:tl2br w:val="nil"/>
                    <w:tr2bl w:val="nil"/>
                  </w:tcBorders>
                  <w:vAlign w:val="center"/>
                </w:tcPr>
                <w:p>
                  <w:pPr>
                    <w:snapToGrid w:val="0"/>
                    <w:jc w:val="center"/>
                    <w:rPr>
                      <w:color w:val="auto"/>
                      <w:szCs w:val="20"/>
                    </w:rPr>
                  </w:pPr>
                  <w:r>
                    <w:rPr>
                      <w:rFonts w:hint="eastAsia"/>
                      <w:color w:val="auto"/>
                      <w:szCs w:val="20"/>
                    </w:rPr>
                    <w:t>25</w:t>
                  </w:r>
                </w:p>
              </w:tc>
              <w:tc>
                <w:tcPr>
                  <w:tcW w:w="798" w:type="pct"/>
                  <w:tcBorders>
                    <w:tl2br w:val="nil"/>
                    <w:tr2bl w:val="nil"/>
                  </w:tcBorders>
                  <w:vAlign w:val="center"/>
                </w:tcPr>
                <w:p>
                  <w:pPr>
                    <w:snapToGrid w:val="0"/>
                    <w:jc w:val="center"/>
                    <w:rPr>
                      <w:color w:val="auto"/>
                      <w:szCs w:val="20"/>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5" w:type="pct"/>
                  <w:tcBorders>
                    <w:tl2br w:val="nil"/>
                    <w:tr2bl w:val="nil"/>
                  </w:tcBorders>
                  <w:vAlign w:val="center"/>
                </w:tcPr>
                <w:p>
                  <w:pPr>
                    <w:snapToGrid w:val="0"/>
                    <w:jc w:val="center"/>
                    <w:rPr>
                      <w:color w:val="auto"/>
                      <w:szCs w:val="20"/>
                    </w:rPr>
                  </w:pPr>
                  <w:r>
                    <w:rPr>
                      <w:color w:val="auto"/>
                      <w:szCs w:val="21"/>
                    </w:rPr>
                    <w:t>O</w:t>
                  </w:r>
                  <w:r>
                    <w:rPr>
                      <w:color w:val="auto"/>
                      <w:szCs w:val="21"/>
                      <w:vertAlign w:val="subscript"/>
                    </w:rPr>
                    <w:t>3</w:t>
                  </w:r>
                </w:p>
              </w:tc>
              <w:tc>
                <w:tcPr>
                  <w:tcW w:w="1231" w:type="pct"/>
                  <w:tcBorders>
                    <w:tl2br w:val="nil"/>
                    <w:tr2bl w:val="nil"/>
                  </w:tcBorders>
                  <w:vAlign w:val="center"/>
                </w:tcPr>
                <w:p>
                  <w:pPr>
                    <w:snapToGrid w:val="0"/>
                    <w:jc w:val="center"/>
                    <w:rPr>
                      <w:color w:val="auto"/>
                      <w:szCs w:val="20"/>
                    </w:rPr>
                  </w:pPr>
                  <w:r>
                    <w:rPr>
                      <w:color w:val="auto"/>
                      <w:szCs w:val="21"/>
                    </w:rPr>
                    <w:t>百分位数8h平均</w:t>
                  </w:r>
                </w:p>
              </w:tc>
              <w:tc>
                <w:tcPr>
                  <w:tcW w:w="798" w:type="pct"/>
                  <w:tcBorders>
                    <w:tl2br w:val="nil"/>
                    <w:tr2bl w:val="nil"/>
                  </w:tcBorders>
                  <w:vAlign w:val="center"/>
                </w:tcPr>
                <w:p>
                  <w:pPr>
                    <w:snapToGrid w:val="0"/>
                    <w:jc w:val="center"/>
                    <w:rPr>
                      <w:color w:val="auto"/>
                      <w:szCs w:val="20"/>
                    </w:rPr>
                  </w:pPr>
                  <w:r>
                    <w:rPr>
                      <w:rFonts w:hint="eastAsia"/>
                      <w:color w:val="auto"/>
                      <w:szCs w:val="20"/>
                      <w:lang w:val="en-US" w:eastAsia="zh-CN"/>
                    </w:rPr>
                    <w:t>118</w:t>
                  </w:r>
                </w:p>
              </w:tc>
              <w:tc>
                <w:tcPr>
                  <w:tcW w:w="799" w:type="pct"/>
                  <w:tcBorders>
                    <w:tl2br w:val="nil"/>
                    <w:tr2bl w:val="nil"/>
                  </w:tcBorders>
                  <w:vAlign w:val="center"/>
                </w:tcPr>
                <w:p>
                  <w:pPr>
                    <w:snapToGrid w:val="0"/>
                    <w:jc w:val="center"/>
                    <w:rPr>
                      <w:color w:val="auto"/>
                      <w:szCs w:val="20"/>
                    </w:rPr>
                  </w:pPr>
                  <w:r>
                    <w:rPr>
                      <w:color w:val="auto"/>
                      <w:szCs w:val="21"/>
                    </w:rPr>
                    <w:t>160</w:t>
                  </w:r>
                </w:p>
              </w:tc>
              <w:tc>
                <w:tcPr>
                  <w:tcW w:w="799" w:type="pct"/>
                  <w:tcBorders>
                    <w:tl2br w:val="nil"/>
                    <w:tr2bl w:val="nil"/>
                  </w:tcBorders>
                  <w:vAlign w:val="center"/>
                </w:tcPr>
                <w:p>
                  <w:pPr>
                    <w:snapToGrid w:val="0"/>
                    <w:jc w:val="center"/>
                    <w:rPr>
                      <w:rFonts w:hint="default" w:eastAsia="宋体"/>
                      <w:color w:val="auto"/>
                      <w:szCs w:val="20"/>
                      <w:lang w:val="en-US" w:eastAsia="zh-CN"/>
                    </w:rPr>
                  </w:pPr>
                  <w:r>
                    <w:rPr>
                      <w:rFonts w:hint="eastAsia"/>
                      <w:color w:val="auto"/>
                      <w:szCs w:val="20"/>
                      <w:lang w:val="en-US" w:eastAsia="zh-CN"/>
                    </w:rPr>
                    <w:t>73.75</w:t>
                  </w:r>
                </w:p>
              </w:tc>
              <w:tc>
                <w:tcPr>
                  <w:tcW w:w="798" w:type="pct"/>
                  <w:tcBorders>
                    <w:tl2br w:val="nil"/>
                    <w:tr2bl w:val="nil"/>
                  </w:tcBorders>
                  <w:vAlign w:val="center"/>
                </w:tcPr>
                <w:p>
                  <w:pPr>
                    <w:snapToGrid w:val="0"/>
                    <w:jc w:val="center"/>
                    <w:rPr>
                      <w:color w:val="auto"/>
                      <w:szCs w:val="20"/>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5" w:type="pct"/>
                  <w:tcBorders>
                    <w:tl2br w:val="nil"/>
                    <w:tr2bl w:val="nil"/>
                  </w:tcBorders>
                  <w:vAlign w:val="center"/>
                </w:tcPr>
                <w:p>
                  <w:pPr>
                    <w:snapToGrid w:val="0"/>
                    <w:jc w:val="center"/>
                    <w:rPr>
                      <w:color w:val="auto"/>
                      <w:szCs w:val="20"/>
                    </w:rPr>
                  </w:pPr>
                  <w:r>
                    <w:rPr>
                      <w:color w:val="auto"/>
                      <w:szCs w:val="21"/>
                    </w:rPr>
                    <w:t>CO</w:t>
                  </w:r>
                </w:p>
              </w:tc>
              <w:tc>
                <w:tcPr>
                  <w:tcW w:w="1231" w:type="pct"/>
                  <w:tcBorders>
                    <w:tl2br w:val="nil"/>
                    <w:tr2bl w:val="nil"/>
                  </w:tcBorders>
                  <w:vAlign w:val="center"/>
                </w:tcPr>
                <w:p>
                  <w:pPr>
                    <w:snapToGrid w:val="0"/>
                    <w:jc w:val="center"/>
                    <w:rPr>
                      <w:color w:val="auto"/>
                      <w:szCs w:val="20"/>
                    </w:rPr>
                  </w:pPr>
                  <w:r>
                    <w:rPr>
                      <w:color w:val="auto"/>
                      <w:szCs w:val="21"/>
                    </w:rPr>
                    <w:t>百分位数日平均</w:t>
                  </w:r>
                </w:p>
              </w:tc>
              <w:tc>
                <w:tcPr>
                  <w:tcW w:w="798" w:type="pct"/>
                  <w:tcBorders>
                    <w:tl2br w:val="nil"/>
                    <w:tr2bl w:val="nil"/>
                  </w:tcBorders>
                  <w:vAlign w:val="center"/>
                </w:tcPr>
                <w:p>
                  <w:pPr>
                    <w:snapToGrid w:val="0"/>
                    <w:jc w:val="center"/>
                    <w:rPr>
                      <w:color w:val="auto"/>
                      <w:szCs w:val="20"/>
                    </w:rPr>
                  </w:pPr>
                  <w:r>
                    <w:rPr>
                      <w:color w:val="auto"/>
                      <w:szCs w:val="21"/>
                    </w:rPr>
                    <w:t>0.</w:t>
                  </w:r>
                  <w:r>
                    <w:rPr>
                      <w:rFonts w:hint="eastAsia"/>
                      <w:color w:val="auto"/>
                      <w:szCs w:val="21"/>
                      <w:lang w:val="en-US" w:eastAsia="zh-CN"/>
                    </w:rPr>
                    <w:t>7</w:t>
                  </w:r>
                  <w:r>
                    <w:rPr>
                      <w:color w:val="auto"/>
                      <w:szCs w:val="21"/>
                    </w:rPr>
                    <w:t>mg/m</w:t>
                  </w:r>
                  <w:r>
                    <w:rPr>
                      <w:color w:val="auto"/>
                      <w:szCs w:val="21"/>
                      <w:vertAlign w:val="superscript"/>
                    </w:rPr>
                    <w:t>3</w:t>
                  </w:r>
                </w:p>
              </w:tc>
              <w:tc>
                <w:tcPr>
                  <w:tcW w:w="799" w:type="pct"/>
                  <w:tcBorders>
                    <w:tl2br w:val="nil"/>
                    <w:tr2bl w:val="nil"/>
                  </w:tcBorders>
                  <w:vAlign w:val="center"/>
                </w:tcPr>
                <w:p>
                  <w:pPr>
                    <w:snapToGrid w:val="0"/>
                    <w:jc w:val="center"/>
                    <w:rPr>
                      <w:color w:val="auto"/>
                      <w:szCs w:val="20"/>
                    </w:rPr>
                  </w:pPr>
                  <w:r>
                    <w:rPr>
                      <w:color w:val="auto"/>
                      <w:szCs w:val="21"/>
                    </w:rPr>
                    <w:t>4mg/m</w:t>
                  </w:r>
                  <w:r>
                    <w:rPr>
                      <w:color w:val="auto"/>
                      <w:szCs w:val="21"/>
                      <w:vertAlign w:val="superscript"/>
                    </w:rPr>
                    <w:t>3</w:t>
                  </w:r>
                </w:p>
              </w:tc>
              <w:tc>
                <w:tcPr>
                  <w:tcW w:w="799" w:type="pct"/>
                  <w:tcBorders>
                    <w:tl2br w:val="nil"/>
                    <w:tr2bl w:val="nil"/>
                  </w:tcBorders>
                  <w:vAlign w:val="center"/>
                </w:tcPr>
                <w:p>
                  <w:pPr>
                    <w:snapToGrid w:val="0"/>
                    <w:jc w:val="center"/>
                    <w:rPr>
                      <w:rFonts w:hint="default" w:eastAsia="宋体"/>
                      <w:color w:val="auto"/>
                      <w:szCs w:val="20"/>
                      <w:lang w:val="en-US" w:eastAsia="zh-CN"/>
                    </w:rPr>
                  </w:pPr>
                  <w:r>
                    <w:rPr>
                      <w:rFonts w:hint="eastAsia"/>
                      <w:color w:val="auto"/>
                      <w:szCs w:val="20"/>
                      <w:lang w:val="en-US" w:eastAsia="zh-CN"/>
                    </w:rPr>
                    <w:t>17.5</w:t>
                  </w:r>
                </w:p>
              </w:tc>
              <w:tc>
                <w:tcPr>
                  <w:tcW w:w="798" w:type="pct"/>
                  <w:tcBorders>
                    <w:tl2br w:val="nil"/>
                    <w:tr2bl w:val="nil"/>
                  </w:tcBorders>
                  <w:vAlign w:val="center"/>
                </w:tcPr>
                <w:p>
                  <w:pPr>
                    <w:snapToGrid w:val="0"/>
                    <w:jc w:val="center"/>
                    <w:rPr>
                      <w:color w:val="auto"/>
                      <w:szCs w:val="20"/>
                    </w:rPr>
                  </w:pPr>
                  <w:r>
                    <w:rPr>
                      <w:color w:val="auto"/>
                      <w:szCs w:val="21"/>
                    </w:rPr>
                    <w:t>达标</w:t>
                  </w:r>
                </w:p>
              </w:tc>
            </w:tr>
          </w:tbl>
          <w:p>
            <w:pPr>
              <w:spacing w:line="360" w:lineRule="auto"/>
              <w:ind w:firstLine="482" w:firstLineChars="200"/>
              <w:rPr>
                <w:b/>
                <w:bCs/>
                <w:color w:val="auto"/>
                <w:sz w:val="24"/>
                <w:highlight w:val="none"/>
              </w:rPr>
            </w:pPr>
            <w:r>
              <w:rPr>
                <w:rFonts w:hint="eastAsia"/>
                <w:b/>
                <w:bCs/>
                <w:color w:val="auto"/>
                <w:sz w:val="24"/>
                <w:highlight w:val="none"/>
              </w:rPr>
              <w:t>2</w:t>
            </w:r>
            <w:r>
              <w:rPr>
                <w:rFonts w:hint="eastAsia"/>
                <w:b/>
                <w:bCs/>
                <w:color w:val="auto"/>
                <w:sz w:val="24"/>
                <w:highlight w:val="none"/>
                <w:lang w:val="en-US" w:eastAsia="zh-CN"/>
              </w:rPr>
              <w:t>.</w:t>
            </w:r>
            <w:r>
              <w:rPr>
                <w:b/>
                <w:bCs/>
                <w:color w:val="auto"/>
                <w:sz w:val="24"/>
                <w:highlight w:val="none"/>
              </w:rPr>
              <w:t>声环境质量现状</w:t>
            </w:r>
          </w:p>
          <w:p>
            <w:pPr>
              <w:spacing w:line="360" w:lineRule="auto"/>
              <w:ind w:firstLine="480" w:firstLineChars="200"/>
              <w:rPr>
                <w:color w:val="auto"/>
                <w:sz w:val="24"/>
                <w:highlight w:val="none"/>
              </w:rPr>
            </w:pPr>
            <w:r>
              <w:rPr>
                <w:color w:val="auto"/>
                <w:sz w:val="24"/>
                <w:highlight w:val="none"/>
              </w:rPr>
              <w:t>根据建设项目环境影响报告表编制技术指南（污染影响类）（试行）对区域环境质量现状的要求：厂界外周边50米范围内存在声环境保护目标的建设项目，应监测保护目标声环境质量现状并评价达标情况。</w:t>
            </w:r>
          </w:p>
          <w:p>
            <w:pPr>
              <w:spacing w:line="360" w:lineRule="auto"/>
              <w:ind w:firstLine="480" w:firstLineChars="200"/>
              <w:rPr>
                <w:color w:val="auto"/>
                <w:sz w:val="24"/>
                <w:highlight w:val="none"/>
              </w:rPr>
            </w:pPr>
            <w:r>
              <w:rPr>
                <w:color w:val="auto"/>
                <w:sz w:val="24"/>
                <w:highlight w:val="none"/>
              </w:rPr>
              <w:t>因此</w:t>
            </w:r>
            <w:r>
              <w:rPr>
                <w:rFonts w:hint="eastAsia"/>
                <w:color w:val="auto"/>
                <w:sz w:val="24"/>
                <w:highlight w:val="none"/>
                <w:lang w:eastAsia="zh-CN"/>
              </w:rPr>
              <w:t>，</w:t>
            </w:r>
            <w:r>
              <w:rPr>
                <w:color w:val="auto"/>
                <w:sz w:val="24"/>
                <w:highlight w:val="none"/>
              </w:rPr>
              <w:t>特委托</w:t>
            </w:r>
            <w:r>
              <w:rPr>
                <w:rFonts w:hint="eastAsia"/>
                <w:color w:val="auto"/>
                <w:kern w:val="0"/>
                <w:sz w:val="24"/>
                <w:szCs w:val="20"/>
                <w:highlight w:val="none"/>
              </w:rPr>
              <w:t>锡林郭勒盟永创环保科技有限公司</w:t>
            </w:r>
            <w:r>
              <w:rPr>
                <w:color w:val="auto"/>
                <w:sz w:val="24"/>
                <w:highlight w:val="none"/>
              </w:rPr>
              <w:t>对厂界外周边50米范围内存在声环境保护目标进行监测，监测日期为</w:t>
            </w:r>
            <w:r>
              <w:rPr>
                <w:rFonts w:hint="eastAsia" w:ascii="Times New Roman" w:hAnsi="Times New Roman" w:eastAsia="宋体" w:cs="Times New Roman"/>
                <w:color w:val="auto"/>
                <w:kern w:val="0"/>
                <w:sz w:val="24"/>
                <w:szCs w:val="20"/>
                <w:highlight w:val="none"/>
              </w:rPr>
              <w:t>202</w:t>
            </w:r>
            <w:r>
              <w:rPr>
                <w:rFonts w:hint="eastAsia" w:ascii="Times New Roman" w:hAnsi="Times New Roman" w:eastAsia="宋体" w:cs="Times New Roman"/>
                <w:color w:val="auto"/>
                <w:kern w:val="0"/>
                <w:sz w:val="24"/>
                <w:szCs w:val="20"/>
                <w:highlight w:val="none"/>
                <w:lang w:val="en-US" w:eastAsia="zh-CN"/>
              </w:rPr>
              <w:t>3</w:t>
            </w:r>
            <w:r>
              <w:rPr>
                <w:rFonts w:hint="eastAsia" w:ascii="Times New Roman" w:hAnsi="Times New Roman" w:eastAsia="宋体" w:cs="Times New Roman"/>
                <w:color w:val="auto"/>
                <w:kern w:val="0"/>
                <w:sz w:val="24"/>
                <w:szCs w:val="20"/>
                <w:highlight w:val="none"/>
              </w:rPr>
              <w:t>年</w:t>
            </w:r>
            <w:r>
              <w:rPr>
                <w:rFonts w:hint="eastAsia" w:cs="Times New Roman"/>
                <w:color w:val="auto"/>
                <w:kern w:val="0"/>
                <w:sz w:val="24"/>
                <w:szCs w:val="20"/>
                <w:highlight w:val="none"/>
                <w:lang w:val="en-US" w:eastAsia="zh-CN"/>
              </w:rPr>
              <w:t>10</w:t>
            </w:r>
            <w:r>
              <w:rPr>
                <w:rFonts w:hint="eastAsia" w:ascii="Times New Roman" w:hAnsi="Times New Roman" w:eastAsia="宋体" w:cs="Times New Roman"/>
                <w:color w:val="auto"/>
                <w:kern w:val="0"/>
                <w:sz w:val="24"/>
                <w:szCs w:val="20"/>
                <w:highlight w:val="none"/>
              </w:rPr>
              <w:t>月</w:t>
            </w:r>
            <w:r>
              <w:rPr>
                <w:rFonts w:hint="eastAsia" w:ascii="Times New Roman" w:hAnsi="Times New Roman" w:eastAsia="宋体" w:cs="Times New Roman"/>
                <w:color w:val="auto"/>
                <w:kern w:val="0"/>
                <w:sz w:val="24"/>
                <w:szCs w:val="20"/>
                <w:highlight w:val="none"/>
                <w:lang w:val="en-US" w:eastAsia="zh-CN"/>
              </w:rPr>
              <w:t>24</w:t>
            </w:r>
            <w:r>
              <w:rPr>
                <w:rFonts w:hint="eastAsia" w:ascii="Times New Roman" w:hAnsi="Times New Roman" w:eastAsia="宋体" w:cs="Times New Roman"/>
                <w:color w:val="auto"/>
                <w:kern w:val="0"/>
                <w:sz w:val="24"/>
                <w:szCs w:val="20"/>
                <w:highlight w:val="none"/>
              </w:rPr>
              <w:t>日</w:t>
            </w:r>
            <w:r>
              <w:rPr>
                <w:color w:val="auto"/>
                <w:sz w:val="24"/>
                <w:highlight w:val="none"/>
              </w:rPr>
              <w:t>，昼夜间各监测一次。监测结果见表3-</w:t>
            </w:r>
            <w:r>
              <w:rPr>
                <w:rFonts w:hint="eastAsia"/>
                <w:color w:val="auto"/>
                <w:sz w:val="24"/>
                <w:highlight w:val="none"/>
                <w:lang w:val="en-US" w:eastAsia="zh-CN"/>
              </w:rPr>
              <w:t>2</w:t>
            </w:r>
            <w:r>
              <w:rPr>
                <w:color w:val="auto"/>
                <w:sz w:val="24"/>
                <w:highlight w:val="none"/>
              </w:rPr>
              <w:t>。</w:t>
            </w:r>
          </w:p>
          <w:p>
            <w:pPr>
              <w:ind w:firstLine="482"/>
              <w:jc w:val="center"/>
              <w:rPr>
                <w:b/>
                <w:color w:val="auto"/>
                <w:sz w:val="24"/>
                <w:highlight w:val="none"/>
              </w:rPr>
            </w:pPr>
            <w:r>
              <w:rPr>
                <w:b/>
                <w:color w:val="auto"/>
                <w:sz w:val="24"/>
                <w:highlight w:val="none"/>
              </w:rPr>
              <w:t>表3-</w:t>
            </w:r>
            <w:r>
              <w:rPr>
                <w:rFonts w:hint="eastAsia"/>
                <w:b/>
                <w:color w:val="auto"/>
                <w:sz w:val="24"/>
                <w:highlight w:val="none"/>
                <w:lang w:val="en-US" w:eastAsia="zh-CN"/>
              </w:rPr>
              <w:t>2</w:t>
            </w:r>
            <w:r>
              <w:rPr>
                <w:b/>
                <w:color w:val="auto"/>
                <w:sz w:val="24"/>
                <w:highlight w:val="none"/>
              </w:rPr>
              <w:t xml:space="preserve">    厂界噪声监测结果</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3219"/>
              <w:gridCol w:w="1350"/>
              <w:gridCol w:w="1592"/>
              <w:gridCol w:w="1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97" w:type="pct"/>
                  <w:vMerge w:val="restart"/>
                  <w:tcBorders>
                    <w:tl2br w:val="nil"/>
                    <w:tr2bl w:val="nil"/>
                  </w:tcBorders>
                  <w:noWrap w:val="0"/>
                  <w:vAlign w:val="center"/>
                </w:tcPr>
                <w:p>
                  <w:pPr>
                    <w:jc w:val="center"/>
                    <w:rPr>
                      <w:rFonts w:ascii="Times New Roman" w:hAnsi="Times New Roman"/>
                      <w:color w:val="auto"/>
                      <w:szCs w:val="21"/>
                    </w:rPr>
                  </w:pPr>
                  <w:r>
                    <w:rPr>
                      <w:rFonts w:hint="eastAsia" w:ascii="Times New Roman" w:hAnsi="Times New Roman"/>
                      <w:color w:val="auto"/>
                      <w:szCs w:val="21"/>
                    </w:rPr>
                    <w:t>序号</w:t>
                  </w:r>
                </w:p>
              </w:tc>
              <w:tc>
                <w:tcPr>
                  <w:tcW w:w="1874" w:type="pct"/>
                  <w:vMerge w:val="restart"/>
                  <w:tcBorders>
                    <w:tl2br w:val="nil"/>
                    <w:tr2bl w:val="nil"/>
                  </w:tcBorders>
                  <w:noWrap w:val="0"/>
                  <w:vAlign w:val="center"/>
                </w:tcPr>
                <w:p>
                  <w:pPr>
                    <w:jc w:val="center"/>
                    <w:rPr>
                      <w:rFonts w:ascii="Times New Roman" w:hAnsi="Times New Roman"/>
                      <w:color w:val="auto"/>
                      <w:szCs w:val="21"/>
                    </w:rPr>
                  </w:pPr>
                  <w:r>
                    <w:rPr>
                      <w:rFonts w:hint="eastAsia" w:ascii="Times New Roman" w:hAnsi="Times New Roman"/>
                      <w:color w:val="auto"/>
                      <w:szCs w:val="21"/>
                    </w:rPr>
                    <w:t>监测点</w:t>
                  </w:r>
                </w:p>
              </w:tc>
              <w:tc>
                <w:tcPr>
                  <w:tcW w:w="786" w:type="pct"/>
                  <w:vMerge w:val="restart"/>
                  <w:tcBorders>
                    <w:tl2br w:val="nil"/>
                    <w:tr2bl w:val="nil"/>
                  </w:tcBorders>
                  <w:noWrap w:val="0"/>
                  <w:vAlign w:val="center"/>
                </w:tcPr>
                <w:p>
                  <w:pPr>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主要声源</w:t>
                  </w:r>
                </w:p>
              </w:tc>
              <w:tc>
                <w:tcPr>
                  <w:tcW w:w="1842" w:type="pct"/>
                  <w:gridSpan w:val="2"/>
                  <w:tcBorders>
                    <w:tl2br w:val="nil"/>
                    <w:tr2bl w:val="nil"/>
                  </w:tcBorders>
                  <w:noWrap w:val="0"/>
                  <w:vAlign w:val="center"/>
                </w:tcPr>
                <w:p>
                  <w:pPr>
                    <w:jc w:val="center"/>
                    <w:rPr>
                      <w:rFonts w:hint="default" w:ascii="Times New Roman" w:hAnsi="Times New Roman" w:eastAsia="宋体"/>
                      <w:color w:val="auto"/>
                      <w:szCs w:val="21"/>
                      <w:lang w:val="en-US" w:eastAsia="zh-CN"/>
                    </w:rPr>
                  </w:pPr>
                  <w:r>
                    <w:rPr>
                      <w:rFonts w:hint="eastAsia" w:ascii="Times New Roman" w:hAnsi="Times New Roman"/>
                      <w:color w:val="auto"/>
                      <w:szCs w:val="21"/>
                      <w:lang w:val="en-US" w:eastAsia="zh-CN"/>
                    </w:rPr>
                    <w:t>2023.</w:t>
                  </w:r>
                  <w:r>
                    <w:rPr>
                      <w:rFonts w:hint="eastAsia"/>
                      <w:color w:val="auto"/>
                      <w:szCs w:val="21"/>
                      <w:lang w:val="en-US" w:eastAsia="zh-CN"/>
                    </w:rPr>
                    <w:t>10</w:t>
                  </w:r>
                  <w:r>
                    <w:rPr>
                      <w:rFonts w:hint="eastAsia" w:ascii="Times New Roman" w:hAnsi="Times New Roman"/>
                      <w:color w:val="auto"/>
                      <w:szCs w:val="21"/>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97" w:type="pct"/>
                  <w:vMerge w:val="continue"/>
                  <w:tcBorders>
                    <w:tl2br w:val="nil"/>
                    <w:tr2bl w:val="nil"/>
                  </w:tcBorders>
                  <w:noWrap w:val="0"/>
                  <w:vAlign w:val="center"/>
                </w:tcPr>
                <w:p>
                  <w:pPr>
                    <w:widowControl/>
                    <w:jc w:val="left"/>
                    <w:rPr>
                      <w:rFonts w:ascii="Times New Roman" w:hAnsi="Times New Roman"/>
                      <w:color w:val="auto"/>
                      <w:szCs w:val="21"/>
                    </w:rPr>
                  </w:pPr>
                </w:p>
              </w:tc>
              <w:tc>
                <w:tcPr>
                  <w:tcW w:w="1874" w:type="pct"/>
                  <w:vMerge w:val="continue"/>
                  <w:tcBorders>
                    <w:tl2br w:val="nil"/>
                    <w:tr2bl w:val="nil"/>
                  </w:tcBorders>
                  <w:noWrap w:val="0"/>
                  <w:vAlign w:val="center"/>
                </w:tcPr>
                <w:p>
                  <w:pPr>
                    <w:widowControl/>
                    <w:jc w:val="left"/>
                    <w:rPr>
                      <w:rFonts w:ascii="Times New Roman" w:hAnsi="Times New Roman"/>
                      <w:color w:val="auto"/>
                      <w:szCs w:val="21"/>
                    </w:rPr>
                  </w:pPr>
                </w:p>
              </w:tc>
              <w:tc>
                <w:tcPr>
                  <w:tcW w:w="786" w:type="pct"/>
                  <w:vMerge w:val="continue"/>
                  <w:tcBorders>
                    <w:tl2br w:val="nil"/>
                    <w:tr2bl w:val="nil"/>
                  </w:tcBorders>
                  <w:noWrap w:val="0"/>
                  <w:vAlign w:val="center"/>
                </w:tcPr>
                <w:p>
                  <w:pPr>
                    <w:widowControl/>
                    <w:jc w:val="left"/>
                    <w:rPr>
                      <w:rFonts w:ascii="Times New Roman" w:hAnsi="Times New Roman"/>
                      <w:color w:val="auto"/>
                      <w:szCs w:val="21"/>
                    </w:rPr>
                  </w:pPr>
                </w:p>
              </w:tc>
              <w:tc>
                <w:tcPr>
                  <w:tcW w:w="927" w:type="pct"/>
                  <w:tcBorders>
                    <w:tl2br w:val="nil"/>
                    <w:tr2bl w:val="nil"/>
                  </w:tcBorders>
                  <w:noWrap w:val="0"/>
                  <w:vAlign w:val="center"/>
                </w:tcPr>
                <w:p>
                  <w:pPr>
                    <w:jc w:val="center"/>
                    <w:rPr>
                      <w:rFonts w:ascii="Times New Roman" w:hAnsi="Times New Roman"/>
                      <w:color w:val="auto"/>
                      <w:szCs w:val="21"/>
                    </w:rPr>
                  </w:pPr>
                  <w:r>
                    <w:rPr>
                      <w:rFonts w:hint="eastAsia" w:ascii="Times New Roman" w:hAnsi="Times New Roman"/>
                      <w:color w:val="auto"/>
                      <w:szCs w:val="21"/>
                    </w:rPr>
                    <w:t>昼</w:t>
                  </w:r>
                  <w:r>
                    <w:rPr>
                      <w:rFonts w:ascii="Times New Roman" w:hAnsi="Times New Roman"/>
                      <w:color w:val="auto"/>
                      <w:szCs w:val="21"/>
                    </w:rPr>
                    <w:t xml:space="preserve">   </w:t>
                  </w:r>
                  <w:r>
                    <w:rPr>
                      <w:rFonts w:hint="eastAsia" w:ascii="Times New Roman" w:hAnsi="Times New Roman"/>
                      <w:color w:val="auto"/>
                      <w:szCs w:val="21"/>
                    </w:rPr>
                    <w:t>间</w:t>
                  </w:r>
                </w:p>
              </w:tc>
              <w:tc>
                <w:tcPr>
                  <w:tcW w:w="915" w:type="pct"/>
                  <w:tcBorders>
                    <w:tl2br w:val="nil"/>
                    <w:tr2bl w:val="nil"/>
                  </w:tcBorders>
                  <w:noWrap w:val="0"/>
                  <w:vAlign w:val="center"/>
                </w:tcPr>
                <w:p>
                  <w:pPr>
                    <w:jc w:val="center"/>
                    <w:rPr>
                      <w:rFonts w:ascii="Times New Roman" w:hAnsi="Times New Roman"/>
                      <w:color w:val="auto"/>
                      <w:szCs w:val="21"/>
                    </w:rPr>
                  </w:pPr>
                  <w:r>
                    <w:rPr>
                      <w:rFonts w:hint="eastAsia" w:ascii="Times New Roman" w:hAnsi="Times New Roman"/>
                      <w:color w:val="auto"/>
                      <w:szCs w:val="21"/>
                    </w:rPr>
                    <w:t>夜</w:t>
                  </w:r>
                  <w:r>
                    <w:rPr>
                      <w:rFonts w:ascii="Times New Roman" w:hAnsi="Times New Roman"/>
                      <w:color w:val="auto"/>
                      <w:szCs w:val="21"/>
                    </w:rPr>
                    <w:t xml:space="preserve">   </w:t>
                  </w:r>
                  <w:r>
                    <w:rPr>
                      <w:rFonts w:hint="eastAsia" w:ascii="Times New Roman" w:hAnsi="Times New Roman"/>
                      <w:color w:val="auto"/>
                      <w:szCs w:val="21"/>
                    </w:rPr>
                    <w:t>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97" w:type="pct"/>
                  <w:tcBorders>
                    <w:tl2br w:val="nil"/>
                    <w:tr2bl w:val="nil"/>
                  </w:tcBorders>
                  <w:noWrap w:val="0"/>
                  <w:vAlign w:val="center"/>
                </w:tcPr>
                <w:p>
                  <w:pPr>
                    <w:jc w:val="center"/>
                    <w:rPr>
                      <w:rFonts w:ascii="Times New Roman" w:hAnsi="Times New Roman"/>
                      <w:color w:val="auto"/>
                      <w:kern w:val="2"/>
                      <w:sz w:val="21"/>
                      <w:szCs w:val="21"/>
                      <w:lang w:val="en-US" w:eastAsia="zh-CN" w:bidi="ar-SA"/>
                    </w:rPr>
                  </w:pPr>
                  <w:r>
                    <w:rPr>
                      <w:rFonts w:hint="eastAsia" w:ascii="Times New Roman" w:hAnsi="Times New Roman"/>
                      <w:color w:val="auto"/>
                      <w:szCs w:val="21"/>
                      <w:lang w:val="en-US" w:eastAsia="zh-CN"/>
                    </w:rPr>
                    <w:t>1</w:t>
                  </w:r>
                  <w:r>
                    <w:rPr>
                      <w:rFonts w:ascii="Times New Roman" w:hAnsi="Times New Roman"/>
                      <w:color w:val="auto"/>
                      <w:szCs w:val="21"/>
                    </w:rPr>
                    <w:t>#</w:t>
                  </w:r>
                </w:p>
              </w:tc>
              <w:tc>
                <w:tcPr>
                  <w:tcW w:w="1874"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highlight w:val="none"/>
                      <w:lang w:val="en-US" w:eastAsia="zh-CN"/>
                    </w:rPr>
                    <w:t>1#监测点（位于项目区西2m处）</w:t>
                  </w:r>
                </w:p>
              </w:tc>
              <w:tc>
                <w:tcPr>
                  <w:tcW w:w="786"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2"/>
                      <w:szCs w:val="22"/>
                      <w:lang w:val="en-US" w:eastAsia="zh-CN"/>
                    </w:rPr>
                    <w:t>交通</w:t>
                  </w:r>
                  <w:r>
                    <w:rPr>
                      <w:rFonts w:hint="eastAsia" w:ascii="Times New Roman" w:hAnsi="Times New Roman" w:eastAsia="宋体" w:cs="Times New Roman"/>
                      <w:color w:val="auto"/>
                      <w:sz w:val="22"/>
                      <w:szCs w:val="22"/>
                      <w:lang w:val="en-US" w:eastAsia="zh-CN"/>
                    </w:rPr>
                    <w:t>噪声</w:t>
                  </w:r>
                </w:p>
              </w:tc>
              <w:tc>
                <w:tcPr>
                  <w:tcW w:w="927"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63.5</w:t>
                  </w:r>
                </w:p>
              </w:tc>
              <w:tc>
                <w:tcPr>
                  <w:tcW w:w="915"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45.9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97" w:type="pct"/>
                  <w:tcBorders>
                    <w:tl2br w:val="nil"/>
                    <w:tr2bl w:val="nil"/>
                  </w:tcBorders>
                  <w:noWrap w:val="0"/>
                  <w:vAlign w:val="center"/>
                </w:tcPr>
                <w:p>
                  <w:pPr>
                    <w:jc w:val="center"/>
                    <w:rPr>
                      <w:rFonts w:hint="default" w:ascii="Times New Roman" w:hAnsi="Times New Roman"/>
                      <w:color w:val="auto"/>
                      <w:szCs w:val="21"/>
                      <w:lang w:val="en-US" w:eastAsia="zh-CN"/>
                    </w:rPr>
                  </w:pPr>
                  <w:r>
                    <w:rPr>
                      <w:rFonts w:hint="eastAsia"/>
                      <w:color w:val="auto"/>
                      <w:szCs w:val="21"/>
                      <w:lang w:val="en-US" w:eastAsia="zh-CN"/>
                    </w:rPr>
                    <w:t>2</w:t>
                  </w:r>
                </w:p>
              </w:tc>
              <w:tc>
                <w:tcPr>
                  <w:tcW w:w="1874"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highlight w:val="none"/>
                      <w:lang w:val="en-US" w:eastAsia="zh-CN"/>
                    </w:rPr>
                    <w:t>3#监测点（位于项目区东2m处）</w:t>
                  </w:r>
                </w:p>
              </w:tc>
              <w:tc>
                <w:tcPr>
                  <w:tcW w:w="786"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2"/>
                      <w:szCs w:val="22"/>
                      <w:lang w:val="en-US" w:eastAsia="zh-CN"/>
                    </w:rPr>
                    <w:t>交通</w:t>
                  </w:r>
                  <w:r>
                    <w:rPr>
                      <w:rFonts w:hint="eastAsia" w:ascii="Times New Roman" w:hAnsi="Times New Roman" w:eastAsia="宋体" w:cs="Times New Roman"/>
                      <w:color w:val="auto"/>
                      <w:sz w:val="22"/>
                      <w:szCs w:val="22"/>
                      <w:lang w:val="en-US" w:eastAsia="zh-CN"/>
                    </w:rPr>
                    <w:t>噪声</w:t>
                  </w:r>
                </w:p>
              </w:tc>
              <w:tc>
                <w:tcPr>
                  <w:tcW w:w="927"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61.8</w:t>
                  </w:r>
                </w:p>
              </w:tc>
              <w:tc>
                <w:tcPr>
                  <w:tcW w:w="915"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44.1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157" w:type="pct"/>
                  <w:gridSpan w:val="3"/>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szCs w:val="21"/>
                    </w:rPr>
                    <w:t>执行标准</w:t>
                  </w:r>
                  <w:r>
                    <w:rPr>
                      <w:rFonts w:hint="eastAsia" w:ascii="Times New Roman" w:hAnsi="Times New Roman" w:eastAsia="宋体" w:cs="Times New Roman"/>
                      <w:color w:val="auto"/>
                      <w:kern w:val="2"/>
                      <w:sz w:val="21"/>
                      <w:szCs w:val="21"/>
                      <w:lang w:val="en-US" w:eastAsia="zh-CN" w:bidi="ar-SA"/>
                    </w:rPr>
                    <w:t>：《声环境质量标准》（GB3096-2008）4a类标准</w:t>
                  </w:r>
                </w:p>
              </w:tc>
              <w:tc>
                <w:tcPr>
                  <w:tcW w:w="927"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c>
                <w:tcPr>
                  <w:tcW w:w="915"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97" w:type="pct"/>
                  <w:tcBorders>
                    <w:tl2br w:val="nil"/>
                    <w:tr2bl w:val="nil"/>
                  </w:tcBorders>
                  <w:noWrap w:val="0"/>
                  <w:vAlign w:val="center"/>
                </w:tcPr>
                <w:p>
                  <w:pPr>
                    <w:jc w:val="center"/>
                    <w:rPr>
                      <w:rFonts w:hint="default" w:ascii="Times New Roman" w:hAnsi="Times New Roman"/>
                      <w:color w:val="auto"/>
                      <w:kern w:val="2"/>
                      <w:sz w:val="21"/>
                      <w:szCs w:val="21"/>
                      <w:lang w:val="en-US" w:eastAsia="zh-CN" w:bidi="ar-SA"/>
                    </w:rPr>
                  </w:pPr>
                  <w:r>
                    <w:rPr>
                      <w:rFonts w:hint="eastAsia"/>
                      <w:color w:val="auto"/>
                      <w:szCs w:val="21"/>
                      <w:lang w:val="en-US" w:eastAsia="zh-CN"/>
                    </w:rPr>
                    <w:t>3#</w:t>
                  </w:r>
                </w:p>
              </w:tc>
              <w:tc>
                <w:tcPr>
                  <w:tcW w:w="1874"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highlight w:val="none"/>
                      <w:lang w:val="en-US" w:eastAsia="zh-CN"/>
                    </w:rPr>
                    <w:t>2#监测点（位于项目区北7.5m处）</w:t>
                  </w:r>
                </w:p>
              </w:tc>
              <w:tc>
                <w:tcPr>
                  <w:tcW w:w="786"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lang w:val="en-US" w:eastAsia="zh-CN"/>
                    </w:rPr>
                    <w:t>社会噪声</w:t>
                  </w:r>
                </w:p>
              </w:tc>
              <w:tc>
                <w:tcPr>
                  <w:tcW w:w="927"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53.6</w:t>
                  </w:r>
                </w:p>
              </w:tc>
              <w:tc>
                <w:tcPr>
                  <w:tcW w:w="915"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42.7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97" w:type="pct"/>
                  <w:tcBorders>
                    <w:tl2br w:val="nil"/>
                    <w:tr2bl w:val="nil"/>
                  </w:tcBorders>
                  <w:noWrap w:val="0"/>
                  <w:vAlign w:val="center"/>
                </w:tcPr>
                <w:p>
                  <w:pPr>
                    <w:jc w:val="center"/>
                    <w:rPr>
                      <w:rFonts w:ascii="Times New Roman" w:hAnsi="Times New Roman"/>
                      <w:color w:val="auto"/>
                      <w:kern w:val="2"/>
                      <w:sz w:val="21"/>
                      <w:szCs w:val="21"/>
                      <w:lang w:val="en-US" w:eastAsia="zh-CN" w:bidi="ar-SA"/>
                    </w:rPr>
                  </w:pPr>
                  <w:r>
                    <w:rPr>
                      <w:rFonts w:hint="eastAsia"/>
                      <w:color w:val="auto"/>
                      <w:szCs w:val="21"/>
                      <w:lang w:val="en-US" w:eastAsia="zh-CN"/>
                    </w:rPr>
                    <w:t>4</w:t>
                  </w:r>
                  <w:r>
                    <w:rPr>
                      <w:rFonts w:ascii="Times New Roman" w:hAnsi="Times New Roman"/>
                      <w:color w:val="auto"/>
                      <w:szCs w:val="21"/>
                    </w:rPr>
                    <w:t>#</w:t>
                  </w:r>
                </w:p>
              </w:tc>
              <w:tc>
                <w:tcPr>
                  <w:tcW w:w="1874"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highlight w:val="none"/>
                      <w:lang w:val="en-US" w:eastAsia="zh-CN"/>
                    </w:rPr>
                    <w:t>4#监测点（位于项目区东北24m处）</w:t>
                  </w:r>
                </w:p>
              </w:tc>
              <w:tc>
                <w:tcPr>
                  <w:tcW w:w="786"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2"/>
                      <w:szCs w:val="22"/>
                      <w:lang w:val="en-US" w:eastAsia="zh-CN"/>
                    </w:rPr>
                    <w:t>社会噪声</w:t>
                  </w:r>
                </w:p>
              </w:tc>
              <w:tc>
                <w:tcPr>
                  <w:tcW w:w="927" w:type="pct"/>
                  <w:tcBorders>
                    <w:tl2br w:val="nil"/>
                    <w:tr2bl w:val="nil"/>
                  </w:tcBorders>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50.2</w:t>
                  </w:r>
                </w:p>
              </w:tc>
              <w:tc>
                <w:tcPr>
                  <w:tcW w:w="915" w:type="pct"/>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2"/>
                      <w:szCs w:val="22"/>
                      <w:lang w:val="en-US" w:eastAsia="zh-CN"/>
                    </w:rPr>
                    <w:t>40.6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157" w:type="pct"/>
                  <w:gridSpan w:val="3"/>
                  <w:tcBorders>
                    <w:tl2br w:val="nil"/>
                    <w:tr2bl w:val="nil"/>
                  </w:tcBorders>
                  <w:noWrap w:val="0"/>
                  <w:vAlign w:val="center"/>
                </w:tcPr>
                <w:p>
                  <w:pPr>
                    <w:jc w:val="both"/>
                    <w:rPr>
                      <w:rFonts w:hint="eastAsia" w:ascii="Times New Roman" w:hAnsi="Times New Roman"/>
                      <w:color w:val="auto"/>
                      <w:szCs w:val="21"/>
                    </w:rPr>
                  </w:pPr>
                  <w:r>
                    <w:rPr>
                      <w:rFonts w:hint="eastAsia" w:ascii="Times New Roman" w:hAnsi="Times New Roman"/>
                      <w:color w:val="auto"/>
                      <w:szCs w:val="21"/>
                    </w:rPr>
                    <w:t>执行标准</w:t>
                  </w:r>
                  <w:r>
                    <w:rPr>
                      <w:rFonts w:hint="eastAsia" w:ascii="Times New Roman" w:hAnsi="Times New Roman" w:eastAsia="宋体" w:cs="Times New Roman"/>
                      <w:color w:val="auto"/>
                      <w:kern w:val="2"/>
                      <w:sz w:val="21"/>
                      <w:szCs w:val="21"/>
                      <w:lang w:val="en-US" w:eastAsia="zh-CN" w:bidi="ar-SA"/>
                    </w:rPr>
                    <w:t>：《声环境质量标准》（GB3096-2008）1类标准</w:t>
                  </w:r>
                </w:p>
              </w:tc>
              <w:tc>
                <w:tcPr>
                  <w:tcW w:w="927" w:type="pct"/>
                  <w:tcBorders>
                    <w:tl2br w:val="nil"/>
                    <w:tr2bl w:val="nil"/>
                  </w:tcBorders>
                  <w:noWrap w:val="0"/>
                  <w:vAlign w:val="center"/>
                </w:tcPr>
                <w:p>
                  <w:pPr>
                    <w:jc w:val="center"/>
                    <w:rPr>
                      <w:rFonts w:hint="default" w:ascii="Times New Roman" w:hAnsi="Times New Roman"/>
                      <w:color w:val="auto"/>
                      <w:kern w:val="2"/>
                      <w:sz w:val="21"/>
                      <w:szCs w:val="21"/>
                      <w:lang w:val="en-US" w:eastAsia="zh-CN" w:bidi="ar-SA"/>
                    </w:rPr>
                  </w:pPr>
                  <w:r>
                    <w:rPr>
                      <w:rFonts w:ascii="Times New Roman" w:hAnsi="Times New Roman"/>
                      <w:color w:val="auto"/>
                      <w:szCs w:val="21"/>
                    </w:rPr>
                    <w:t>55</w:t>
                  </w:r>
                </w:p>
              </w:tc>
              <w:tc>
                <w:tcPr>
                  <w:tcW w:w="915" w:type="pct"/>
                  <w:tcBorders>
                    <w:tl2br w:val="nil"/>
                    <w:tr2bl w:val="nil"/>
                  </w:tcBorders>
                  <w:noWrap w:val="0"/>
                  <w:vAlign w:val="center"/>
                </w:tcPr>
                <w:p>
                  <w:pPr>
                    <w:jc w:val="center"/>
                    <w:rPr>
                      <w:rFonts w:hint="default" w:ascii="Times New Roman" w:hAnsi="Times New Roman"/>
                      <w:color w:val="auto"/>
                      <w:kern w:val="2"/>
                      <w:sz w:val="21"/>
                      <w:szCs w:val="21"/>
                      <w:lang w:val="en-US" w:eastAsia="zh-CN" w:bidi="ar-SA"/>
                    </w:rPr>
                  </w:pPr>
                  <w:r>
                    <w:rPr>
                      <w:rFonts w:ascii="Times New Roman" w:hAnsi="Times New Roman"/>
                      <w:color w:val="auto"/>
                      <w:szCs w:val="21"/>
                    </w:rPr>
                    <w:t>45</w:t>
                  </w:r>
                </w:p>
              </w:tc>
            </w:tr>
          </w:tbl>
          <w:p>
            <w:pPr>
              <w:numPr>
                <w:ilvl w:val="0"/>
                <w:numId w:val="0"/>
              </w:numPr>
              <w:autoSpaceDE/>
              <w:autoSpaceDN/>
              <w:spacing w:before="0" w:after="0" w:line="360" w:lineRule="auto"/>
              <w:ind w:right="0" w:firstLine="480"/>
              <w:jc w:val="both"/>
              <w:rPr>
                <w:rFonts w:hint="default" w:ascii="Times New Roman" w:hAnsi="Times New Roman" w:eastAsia="宋体" w:cs="Times New Roman"/>
                <w:b w:val="0"/>
                <w:bCs w:val="0"/>
                <w:color w:val="auto"/>
                <w:position w:val="0"/>
                <w:sz w:val="24"/>
                <w:szCs w:val="24"/>
                <w:highlight w:val="none"/>
              </w:rPr>
            </w:pPr>
            <w:r>
              <w:rPr>
                <w:rFonts w:hint="default" w:ascii="Times New Roman" w:hAnsi="Times New Roman" w:eastAsia="宋体" w:cs="Times New Roman"/>
                <w:b w:val="0"/>
                <w:bCs w:val="0"/>
                <w:color w:val="auto"/>
                <w:position w:val="0"/>
                <w:sz w:val="24"/>
                <w:szCs w:val="24"/>
                <w:highlight w:val="none"/>
              </w:rPr>
              <w:t>根据《</w:t>
            </w:r>
            <w:r>
              <w:rPr>
                <w:rFonts w:hint="default" w:ascii="Times New Roman" w:hAnsi="Times New Roman" w:eastAsia="宋体" w:cs="Times New Roman"/>
                <w:b w:val="0"/>
                <w:bCs w:val="0"/>
                <w:color w:val="auto"/>
                <w:position w:val="0"/>
                <w:sz w:val="24"/>
                <w:szCs w:val="24"/>
                <w:highlight w:val="none"/>
                <w:lang w:eastAsia="zh-CN"/>
              </w:rPr>
              <w:t>锡林浩特</w:t>
            </w:r>
            <w:r>
              <w:rPr>
                <w:rFonts w:hint="default" w:ascii="Times New Roman" w:hAnsi="Times New Roman" w:eastAsia="宋体" w:cs="Times New Roman"/>
                <w:b w:val="0"/>
                <w:bCs w:val="0"/>
                <w:color w:val="auto"/>
                <w:position w:val="0"/>
                <w:sz w:val="24"/>
                <w:szCs w:val="24"/>
                <w:highlight w:val="none"/>
              </w:rPr>
              <w:t>市</w:t>
            </w:r>
            <w:r>
              <w:rPr>
                <w:rFonts w:hint="default" w:ascii="Times New Roman" w:hAnsi="Times New Roman" w:eastAsia="宋体" w:cs="Times New Roman"/>
                <w:b w:val="0"/>
                <w:bCs w:val="0"/>
                <w:color w:val="auto"/>
                <w:position w:val="0"/>
                <w:sz w:val="24"/>
                <w:szCs w:val="24"/>
                <w:highlight w:val="none"/>
                <w:lang w:eastAsia="zh-CN"/>
              </w:rPr>
              <w:t>城区</w:t>
            </w:r>
            <w:r>
              <w:rPr>
                <w:rFonts w:hint="default" w:ascii="Times New Roman" w:hAnsi="Times New Roman" w:eastAsia="宋体" w:cs="Times New Roman"/>
                <w:b w:val="0"/>
                <w:bCs w:val="0"/>
                <w:color w:val="auto"/>
                <w:position w:val="0"/>
                <w:sz w:val="24"/>
                <w:szCs w:val="24"/>
                <w:highlight w:val="none"/>
              </w:rPr>
              <w:t>声环境功能区划分</w:t>
            </w:r>
            <w:r>
              <w:rPr>
                <w:rFonts w:hint="default" w:ascii="Times New Roman" w:hAnsi="Times New Roman" w:eastAsia="宋体" w:cs="Times New Roman"/>
                <w:b w:val="0"/>
                <w:bCs w:val="0"/>
                <w:color w:val="auto"/>
                <w:position w:val="0"/>
                <w:sz w:val="24"/>
                <w:szCs w:val="24"/>
                <w:highlight w:val="none"/>
                <w:lang w:eastAsia="zh-CN"/>
              </w:rPr>
              <w:t>（发布稿）</w:t>
            </w:r>
            <w:r>
              <w:rPr>
                <w:rFonts w:hint="default" w:ascii="Times New Roman" w:hAnsi="Times New Roman" w:eastAsia="宋体" w:cs="Times New Roman"/>
                <w:b w:val="0"/>
                <w:bCs w:val="0"/>
                <w:color w:val="auto"/>
                <w:position w:val="0"/>
                <w:sz w:val="24"/>
                <w:szCs w:val="24"/>
                <w:highlight w:val="none"/>
              </w:rPr>
              <w:t>》中4类声环境功能区：指交通干线两侧一定距离之内，需要防止交通噪声对周围环境产生严重影响的区域，包括4a类和4b类两种类型。4a类为高速公路、一级公路、二级公路、城市快速路、城市主干路、城市次干路、城市轨道交通（地面段）、内河航道两侧区域；4b 类为铁路干线两侧区域和铁路交通场站。</w:t>
            </w:r>
          </w:p>
          <w:p>
            <w:pPr>
              <w:numPr>
                <w:ilvl w:val="0"/>
                <w:numId w:val="0"/>
              </w:numPr>
              <w:autoSpaceDE/>
              <w:autoSpaceDN/>
              <w:spacing w:before="0" w:after="0" w:line="360" w:lineRule="auto"/>
              <w:ind w:right="0" w:firstLine="480"/>
              <w:jc w:val="both"/>
              <w:rPr>
                <w:rFonts w:hint="default" w:ascii="Times New Roman" w:hAnsi="Times New Roman" w:eastAsia="宋体" w:cs="Times New Roman"/>
                <w:b w:val="0"/>
                <w:bCs w:val="0"/>
                <w:color w:val="auto"/>
                <w:position w:val="0"/>
                <w:sz w:val="24"/>
                <w:szCs w:val="24"/>
                <w:highlight w:val="none"/>
              </w:rPr>
            </w:pPr>
            <w:r>
              <w:rPr>
                <w:rFonts w:hint="eastAsia" w:cs="Times New Roman"/>
                <w:b w:val="0"/>
                <w:bCs w:val="0"/>
                <w:color w:val="auto"/>
                <w:position w:val="0"/>
                <w:sz w:val="24"/>
                <w:szCs w:val="24"/>
                <w:highlight w:val="none"/>
                <w:lang w:val="en-US" w:eastAsia="zh-CN"/>
              </w:rPr>
              <w:t>本</w:t>
            </w:r>
            <w:r>
              <w:rPr>
                <w:rFonts w:hint="eastAsia" w:ascii="Times New Roman" w:hAnsi="Times New Roman" w:eastAsia="宋体" w:cs="Times New Roman"/>
                <w:color w:val="auto"/>
                <w:kern w:val="0"/>
                <w:sz w:val="24"/>
                <w:szCs w:val="24"/>
                <w:lang w:val="en-US" w:eastAsia="zh-CN"/>
              </w:rPr>
              <w:t>项目南侧为</w:t>
            </w:r>
            <w:r>
              <w:rPr>
                <w:rFonts w:hint="default" w:ascii="Times New Roman" w:hAnsi="Times New Roman" w:eastAsia="宋体" w:cs="Times New Roman"/>
                <w:color w:val="auto"/>
                <w:kern w:val="0"/>
                <w:sz w:val="24"/>
                <w:szCs w:val="24"/>
              </w:rPr>
              <w:t>贝子庙街</w:t>
            </w:r>
            <w:r>
              <w:rPr>
                <w:rFonts w:hint="eastAsia"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根据《</w:t>
            </w:r>
            <w:r>
              <w:rPr>
                <w:rFonts w:hint="default" w:ascii="Times New Roman" w:hAnsi="Times New Roman" w:eastAsia="宋体" w:cs="Times New Roman"/>
                <w:color w:val="auto"/>
                <w:kern w:val="0"/>
                <w:sz w:val="24"/>
                <w:szCs w:val="24"/>
                <w:lang w:eastAsia="zh-CN"/>
              </w:rPr>
              <w:t>锡林浩特</w:t>
            </w:r>
            <w:r>
              <w:rPr>
                <w:rFonts w:hint="default" w:ascii="Times New Roman" w:hAnsi="Times New Roman" w:eastAsia="宋体" w:cs="Times New Roman"/>
                <w:color w:val="auto"/>
                <w:kern w:val="0"/>
                <w:sz w:val="24"/>
                <w:szCs w:val="24"/>
              </w:rPr>
              <w:t>市</w:t>
            </w:r>
            <w:r>
              <w:rPr>
                <w:rFonts w:hint="default" w:ascii="Times New Roman" w:hAnsi="Times New Roman" w:eastAsia="宋体" w:cs="Times New Roman"/>
                <w:color w:val="auto"/>
                <w:kern w:val="0"/>
                <w:sz w:val="24"/>
                <w:szCs w:val="24"/>
                <w:lang w:eastAsia="zh-CN"/>
              </w:rPr>
              <w:t>城区</w:t>
            </w:r>
            <w:r>
              <w:rPr>
                <w:rFonts w:hint="default" w:ascii="Times New Roman" w:hAnsi="Times New Roman" w:eastAsia="宋体" w:cs="Times New Roman"/>
                <w:color w:val="auto"/>
                <w:kern w:val="0"/>
                <w:sz w:val="24"/>
                <w:szCs w:val="24"/>
              </w:rPr>
              <w:t>声环境功能区划分</w:t>
            </w:r>
            <w:r>
              <w:rPr>
                <w:rFonts w:hint="default" w:ascii="Times New Roman" w:hAnsi="Times New Roman" w:eastAsia="宋体" w:cs="Times New Roman"/>
                <w:color w:val="auto"/>
                <w:kern w:val="0"/>
                <w:sz w:val="24"/>
                <w:szCs w:val="24"/>
                <w:lang w:eastAsia="zh-CN"/>
              </w:rPr>
              <w:t>（发布稿）</w:t>
            </w:r>
            <w:r>
              <w:rPr>
                <w:rFonts w:hint="default" w:ascii="Times New Roman" w:hAnsi="Times New Roman" w:eastAsia="宋体" w:cs="Times New Roman"/>
                <w:color w:val="auto"/>
                <w:kern w:val="0"/>
                <w:sz w:val="24"/>
                <w:szCs w:val="24"/>
              </w:rPr>
              <w:t>》</w:t>
            </w:r>
            <w:r>
              <w:rPr>
                <w:rFonts w:hint="eastAsia" w:ascii="Times New Roman" w:hAnsi="Times New Roman" w:eastAsia="宋体" w:cs="Times New Roman"/>
                <w:color w:val="auto"/>
                <w:kern w:val="0"/>
                <w:sz w:val="24"/>
                <w:szCs w:val="24"/>
                <w:lang w:val="en-US" w:eastAsia="zh-CN"/>
              </w:rPr>
              <w:t>重</w:t>
            </w:r>
            <w:r>
              <w:rPr>
                <w:rFonts w:hint="eastAsia" w:ascii="Times New Roman" w:hAnsi="Times New Roman" w:eastAsia="宋体" w:cs="Times New Roman"/>
                <w:color w:val="auto"/>
                <w:kern w:val="0"/>
                <w:sz w:val="24"/>
                <w:szCs w:val="24"/>
                <w:lang w:eastAsia="zh-CN"/>
              </w:rPr>
              <w:t>锡林浩特市</w:t>
            </w:r>
            <w:r>
              <w:rPr>
                <w:rFonts w:hint="eastAsia" w:ascii="Times New Roman" w:hAnsi="Times New Roman" w:eastAsia="宋体" w:cs="Times New Roman"/>
                <w:color w:val="auto"/>
                <w:kern w:val="0"/>
                <w:sz w:val="24"/>
                <w:szCs w:val="24"/>
              </w:rPr>
              <w:t>交通干线明细</w:t>
            </w:r>
            <w:r>
              <w:rPr>
                <w:rFonts w:hint="eastAsia" w:ascii="Times New Roman" w:hAnsi="Times New Roman" w:eastAsia="宋体" w:cs="Times New Roman"/>
                <w:color w:val="auto"/>
                <w:kern w:val="0"/>
                <w:sz w:val="24"/>
                <w:szCs w:val="24"/>
                <w:lang w:eastAsia="zh-CN"/>
              </w:rPr>
              <w:t>表，</w:t>
            </w:r>
            <w:r>
              <w:rPr>
                <w:rFonts w:hint="eastAsia" w:ascii="Times New Roman" w:hAnsi="Times New Roman" w:eastAsia="宋体" w:cs="Times New Roman"/>
                <w:color w:val="auto"/>
                <w:kern w:val="0"/>
                <w:sz w:val="24"/>
                <w:szCs w:val="24"/>
                <w:lang w:val="en-US" w:eastAsia="zh-CN"/>
              </w:rPr>
              <w:t>贝子庙街为次干路。</w:t>
            </w:r>
            <w:r>
              <w:rPr>
                <w:rFonts w:hint="default" w:ascii="Times New Roman" w:hAnsi="Times New Roman" w:eastAsia="宋体" w:cs="Times New Roman"/>
                <w:b w:val="0"/>
                <w:bCs w:val="0"/>
                <w:color w:val="auto"/>
                <w:position w:val="0"/>
                <w:sz w:val="24"/>
                <w:szCs w:val="24"/>
                <w:highlight w:val="none"/>
              </w:rPr>
              <w:t>因此，</w:t>
            </w:r>
            <w:r>
              <w:rPr>
                <w:rFonts w:hint="eastAsia" w:cs="Times New Roman"/>
                <w:b w:val="0"/>
                <w:bCs w:val="0"/>
                <w:color w:val="auto"/>
                <w:position w:val="0"/>
                <w:sz w:val="24"/>
                <w:szCs w:val="24"/>
                <w:highlight w:val="none"/>
                <w:lang w:val="en-US" w:eastAsia="zh-CN"/>
              </w:rPr>
              <w:t>南</w:t>
            </w:r>
            <w:r>
              <w:rPr>
                <w:rFonts w:hint="default" w:ascii="Times New Roman" w:hAnsi="Times New Roman" w:eastAsia="宋体" w:cs="Times New Roman"/>
                <w:b w:val="0"/>
                <w:bCs w:val="0"/>
                <w:color w:val="auto"/>
                <w:position w:val="0"/>
                <w:sz w:val="24"/>
                <w:szCs w:val="24"/>
                <w:highlight w:val="none"/>
              </w:rPr>
              <w:t>侧</w:t>
            </w:r>
            <w:r>
              <w:rPr>
                <w:rFonts w:hint="eastAsia" w:cs="Times New Roman"/>
                <w:b w:val="0"/>
                <w:bCs w:val="0"/>
                <w:color w:val="auto"/>
                <w:position w:val="0"/>
                <w:sz w:val="24"/>
                <w:szCs w:val="24"/>
                <w:highlight w:val="none"/>
                <w:lang w:val="en-US" w:eastAsia="zh-CN"/>
              </w:rPr>
              <w:t>1#敏感点、3#敏感点</w:t>
            </w:r>
            <w:r>
              <w:rPr>
                <w:rFonts w:hint="default" w:ascii="Times New Roman" w:hAnsi="Times New Roman" w:eastAsia="宋体" w:cs="Times New Roman"/>
                <w:b w:val="0"/>
                <w:bCs w:val="0"/>
                <w:color w:val="auto"/>
                <w:position w:val="0"/>
                <w:sz w:val="24"/>
                <w:szCs w:val="24"/>
                <w:highlight w:val="none"/>
              </w:rPr>
              <w:t>需要满足4a类标准，</w:t>
            </w:r>
            <w:r>
              <w:rPr>
                <w:rFonts w:hint="eastAsia" w:cs="Times New Roman"/>
                <w:b w:val="0"/>
                <w:bCs w:val="0"/>
                <w:color w:val="auto"/>
                <w:position w:val="0"/>
                <w:sz w:val="24"/>
                <w:szCs w:val="24"/>
                <w:highlight w:val="none"/>
                <w:lang w:val="en-US" w:eastAsia="zh-CN"/>
              </w:rPr>
              <w:t>2#敏感点、4#敏感点</w:t>
            </w:r>
            <w:r>
              <w:rPr>
                <w:rFonts w:hint="default" w:ascii="Times New Roman" w:hAnsi="Times New Roman" w:eastAsia="宋体" w:cs="Times New Roman"/>
                <w:b w:val="0"/>
                <w:bCs w:val="0"/>
                <w:color w:val="auto"/>
                <w:position w:val="0"/>
                <w:sz w:val="24"/>
                <w:szCs w:val="24"/>
                <w:highlight w:val="none"/>
              </w:rPr>
              <w:t>需要满足1类标准。</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b w:val="0"/>
                <w:bCs w:val="0"/>
                <w:color w:val="auto"/>
                <w:position w:val="0"/>
                <w:sz w:val="24"/>
                <w:szCs w:val="24"/>
                <w:highlight w:val="none"/>
                <w:lang w:val="en-US" w:eastAsia="zh-CN"/>
              </w:rPr>
              <w:t>由</w:t>
            </w:r>
            <w:r>
              <w:rPr>
                <w:rFonts w:hint="default" w:ascii="Times New Roman" w:hAnsi="Times New Roman" w:eastAsia="宋体" w:cs="Times New Roman"/>
                <w:b w:val="0"/>
                <w:bCs w:val="0"/>
                <w:color w:val="auto"/>
                <w:position w:val="0"/>
                <w:sz w:val="24"/>
                <w:szCs w:val="24"/>
                <w:highlight w:val="none"/>
              </w:rPr>
              <w:t>监测结果可以看出，</w:t>
            </w:r>
            <w:r>
              <w:rPr>
                <w:rFonts w:hint="eastAsia" w:cs="Times New Roman"/>
                <w:b w:val="0"/>
                <w:bCs w:val="0"/>
                <w:color w:val="auto"/>
                <w:position w:val="0"/>
                <w:sz w:val="24"/>
                <w:szCs w:val="24"/>
                <w:highlight w:val="none"/>
                <w:lang w:val="en-US" w:eastAsia="zh-CN"/>
              </w:rPr>
              <w:t>1#敏感点、3#敏感点</w:t>
            </w:r>
            <w:r>
              <w:rPr>
                <w:rFonts w:hint="default" w:ascii="Times New Roman" w:hAnsi="Times New Roman" w:eastAsia="宋体" w:cs="Times New Roman"/>
                <w:b w:val="0"/>
                <w:bCs w:val="0"/>
                <w:color w:val="auto"/>
                <w:position w:val="0"/>
                <w:sz w:val="24"/>
                <w:szCs w:val="24"/>
                <w:highlight w:val="none"/>
              </w:rPr>
              <w:t>可以满足《声环境质量标准》（GB3096-2008）4a类标准，</w:t>
            </w:r>
            <w:r>
              <w:rPr>
                <w:rFonts w:hint="eastAsia" w:cs="Times New Roman"/>
                <w:b w:val="0"/>
                <w:bCs w:val="0"/>
                <w:color w:val="auto"/>
                <w:position w:val="0"/>
                <w:sz w:val="24"/>
                <w:szCs w:val="24"/>
                <w:highlight w:val="none"/>
                <w:lang w:val="en-US" w:eastAsia="zh-CN"/>
              </w:rPr>
              <w:t>2#敏感点、4#敏感点</w:t>
            </w:r>
            <w:r>
              <w:rPr>
                <w:rFonts w:hint="default" w:ascii="Times New Roman" w:hAnsi="Times New Roman" w:eastAsia="宋体" w:cs="Times New Roman"/>
                <w:b w:val="0"/>
                <w:bCs w:val="0"/>
                <w:color w:val="auto"/>
                <w:position w:val="0"/>
                <w:sz w:val="24"/>
                <w:szCs w:val="24"/>
                <w:highlight w:val="none"/>
                <w:lang w:val="en-US" w:eastAsia="zh-CN"/>
              </w:rPr>
              <w:t>满足</w:t>
            </w:r>
            <w:r>
              <w:rPr>
                <w:rFonts w:hint="default" w:ascii="Times New Roman" w:hAnsi="Times New Roman" w:eastAsia="宋体" w:cs="Times New Roman"/>
                <w:b w:val="0"/>
                <w:bCs w:val="0"/>
                <w:color w:val="auto"/>
                <w:position w:val="0"/>
                <w:sz w:val="24"/>
                <w:szCs w:val="24"/>
                <w:highlight w:val="none"/>
              </w:rPr>
              <w:t>《声环境质量标准》（GB3096-2008）中1类标准</w:t>
            </w:r>
            <w:r>
              <w:rPr>
                <w:rFonts w:hint="default" w:ascii="Times New Roman" w:hAnsi="Times New Roman" w:eastAsia="宋体" w:cs="Times New Roman"/>
                <w:b w:val="0"/>
                <w:bCs w:val="0"/>
                <w:color w:val="auto"/>
                <w:position w:val="0"/>
                <w:sz w:val="24"/>
                <w:szCs w:val="24"/>
                <w:highlight w:val="none"/>
                <w:lang w:val="en-US" w:eastAsia="zh-CN"/>
              </w:rPr>
              <w:t>要求。</w:t>
            </w:r>
          </w:p>
          <w:p>
            <w:pPr>
              <w:spacing w:line="360" w:lineRule="auto"/>
              <w:ind w:firstLine="482" w:firstLineChars="200"/>
              <w:rPr>
                <w:b/>
                <w:bCs/>
                <w:color w:val="auto"/>
                <w:sz w:val="24"/>
              </w:rPr>
            </w:pPr>
            <w:r>
              <w:rPr>
                <w:rFonts w:hint="eastAsia"/>
                <w:b/>
                <w:bCs/>
                <w:color w:val="auto"/>
                <w:sz w:val="24"/>
              </w:rPr>
              <w:t>3</w:t>
            </w:r>
            <w:r>
              <w:rPr>
                <w:rFonts w:hint="eastAsia"/>
                <w:b/>
                <w:bCs/>
                <w:color w:val="auto"/>
                <w:sz w:val="24"/>
                <w:lang w:val="en-US" w:eastAsia="zh-CN"/>
              </w:rPr>
              <w:t>.</w:t>
            </w:r>
            <w:r>
              <w:rPr>
                <w:rFonts w:hint="eastAsia"/>
                <w:b/>
                <w:bCs/>
                <w:color w:val="auto"/>
                <w:sz w:val="24"/>
              </w:rPr>
              <w:t>地下水、土壤</w:t>
            </w:r>
            <w:r>
              <w:rPr>
                <w:b/>
                <w:bCs/>
                <w:color w:val="auto"/>
                <w:sz w:val="24"/>
              </w:rPr>
              <w:t>质量现状</w:t>
            </w:r>
          </w:p>
          <w:p>
            <w:pPr>
              <w:spacing w:line="360" w:lineRule="auto"/>
              <w:ind w:firstLine="480" w:firstLineChars="200"/>
              <w:rPr>
                <w:color w:val="auto"/>
              </w:rPr>
            </w:pPr>
            <w:r>
              <w:rPr>
                <w:rFonts w:hint="eastAsia"/>
                <w:color w:val="auto"/>
                <w:sz w:val="24"/>
              </w:rPr>
              <w:t>根据建设项目环境影响报告表编制技术指南（污染影响类）（试行）中地下水、土壤环境原则不开张环境质量现状调查，本项目防渗措施做到位后，对地下水、土壤影响不大。因此，本项目不进行地下水、土壤</w:t>
            </w:r>
            <w:r>
              <w:rPr>
                <w:color w:val="auto"/>
                <w:sz w:val="24"/>
              </w:rPr>
              <w:t>质量现状</w:t>
            </w:r>
            <w:r>
              <w:rPr>
                <w:rFonts w:hint="eastAsia"/>
                <w:color w:val="auto"/>
                <w:sz w:val="24"/>
              </w:rPr>
              <w:t>调查。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369" w:type="dxa"/>
            <w:vAlign w:val="center"/>
          </w:tcPr>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保护</w:t>
            </w:r>
          </w:p>
          <w:p>
            <w:pPr>
              <w:adjustRightInd w:val="0"/>
              <w:snapToGrid w:val="0"/>
              <w:jc w:val="center"/>
              <w:rPr>
                <w:color w:val="auto"/>
                <w:kern w:val="0"/>
                <w:sz w:val="24"/>
              </w:rPr>
            </w:pPr>
            <w:r>
              <w:rPr>
                <w:color w:val="auto"/>
                <w:kern w:val="0"/>
                <w:sz w:val="24"/>
              </w:rPr>
              <w:t>目标</w:t>
            </w:r>
          </w:p>
        </w:tc>
        <w:tc>
          <w:tcPr>
            <w:tcW w:w="8919" w:type="dxa"/>
            <w:vAlign w:val="center"/>
          </w:tcPr>
          <w:p>
            <w:pPr>
              <w:spacing w:line="360" w:lineRule="auto"/>
              <w:ind w:firstLine="480" w:firstLineChars="200"/>
              <w:rPr>
                <w:color w:val="auto"/>
                <w:sz w:val="24"/>
                <w:highlight w:val="none"/>
              </w:rPr>
            </w:pPr>
            <w:r>
              <w:rPr>
                <w:color w:val="auto"/>
                <w:sz w:val="24"/>
                <w:highlight w:val="none"/>
              </w:rPr>
              <w:t>根据《建设项目环境影响报告表编制技术指南》（试行）中关于环境保护目标的规定，大气环境：明确厂界外500m米范围内的自然保护区、风景名胜区、居住区、文化区和农村地区中人群较集中的区域；声环境：明确厂界外50米范围内声环境保护目标；地下水环境：明确厂界外500米范围内的地下水集中式饮用水水源和热水、矿泉水、温泉等特殊地下水资源。根据调查，项目环境保护目标情况见下表</w:t>
            </w:r>
            <w:r>
              <w:rPr>
                <w:rFonts w:hint="eastAsia"/>
                <w:color w:val="auto"/>
                <w:sz w:val="24"/>
                <w:highlight w:val="none"/>
              </w:rPr>
              <w:t>。</w:t>
            </w:r>
          </w:p>
          <w:p>
            <w:pPr>
              <w:ind w:firstLine="482"/>
              <w:jc w:val="center"/>
              <w:rPr>
                <w:b/>
                <w:color w:val="auto"/>
                <w:sz w:val="24"/>
                <w:highlight w:val="none"/>
              </w:rPr>
            </w:pPr>
          </w:p>
          <w:p>
            <w:pPr>
              <w:ind w:firstLine="482"/>
              <w:jc w:val="center"/>
              <w:rPr>
                <w:b/>
                <w:color w:val="auto"/>
                <w:sz w:val="24"/>
                <w:highlight w:val="none"/>
              </w:rPr>
            </w:pPr>
          </w:p>
          <w:p>
            <w:pPr>
              <w:ind w:firstLine="482"/>
              <w:jc w:val="center"/>
              <w:rPr>
                <w:b/>
                <w:color w:val="auto"/>
                <w:sz w:val="24"/>
                <w:highlight w:val="none"/>
              </w:rPr>
            </w:pPr>
          </w:p>
          <w:p>
            <w:pPr>
              <w:ind w:firstLine="482"/>
              <w:jc w:val="center"/>
              <w:rPr>
                <w:b/>
                <w:color w:val="auto"/>
                <w:sz w:val="24"/>
                <w:highlight w:val="none"/>
              </w:rPr>
            </w:pPr>
            <w:r>
              <w:rPr>
                <w:b/>
                <w:color w:val="auto"/>
                <w:sz w:val="24"/>
                <w:highlight w:val="none"/>
              </w:rPr>
              <w:t>表3-</w:t>
            </w:r>
            <w:r>
              <w:rPr>
                <w:rFonts w:hint="eastAsia"/>
                <w:b/>
                <w:color w:val="auto"/>
                <w:sz w:val="24"/>
                <w:highlight w:val="none"/>
                <w:lang w:val="en-US" w:eastAsia="zh-CN"/>
              </w:rPr>
              <w:t>3</w:t>
            </w:r>
            <w:r>
              <w:rPr>
                <w:b/>
                <w:color w:val="auto"/>
                <w:sz w:val="24"/>
                <w:highlight w:val="none"/>
              </w:rPr>
              <w:t xml:space="preserve"> </w:t>
            </w:r>
            <w:r>
              <w:rPr>
                <w:rFonts w:hint="eastAsia"/>
                <w:b/>
                <w:color w:val="auto"/>
                <w:sz w:val="24"/>
                <w:highlight w:val="none"/>
                <w:lang w:val="en-US" w:eastAsia="zh-CN"/>
              </w:rPr>
              <w:t xml:space="preserve"> </w:t>
            </w:r>
            <w:r>
              <w:rPr>
                <w:b/>
                <w:color w:val="auto"/>
                <w:sz w:val="24"/>
                <w:highlight w:val="none"/>
              </w:rPr>
              <w:t xml:space="preserve"> 主要环境保护目标</w:t>
            </w:r>
          </w:p>
          <w:tbl>
            <w:tblPr>
              <w:tblStyle w:val="31"/>
              <w:tblW w:w="867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1309"/>
              <w:gridCol w:w="1317"/>
              <w:gridCol w:w="922"/>
              <w:gridCol w:w="435"/>
              <w:gridCol w:w="585"/>
              <w:gridCol w:w="587"/>
              <w:gridCol w:w="804"/>
              <w:gridCol w:w="21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07"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环境要素</w:t>
                  </w:r>
                </w:p>
              </w:tc>
              <w:tc>
                <w:tcPr>
                  <w:tcW w:w="1810" w:type="dxa"/>
                  <w:gridSpan w:val="2"/>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坐标</w:t>
                  </w:r>
                </w:p>
              </w:tc>
              <w:tc>
                <w:tcPr>
                  <w:tcW w:w="1310"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保护</w:t>
                  </w:r>
                </w:p>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目标</w:t>
                  </w:r>
                </w:p>
              </w:tc>
              <w:tc>
                <w:tcPr>
                  <w:tcW w:w="441"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方位</w:t>
                  </w:r>
                </w:p>
              </w:tc>
              <w:tc>
                <w:tcPr>
                  <w:tcW w:w="709"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保护内容</w:t>
                  </w:r>
                </w:p>
              </w:tc>
              <w:tc>
                <w:tcPr>
                  <w:tcW w:w="631"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距离(m)</w:t>
                  </w:r>
                </w:p>
              </w:tc>
              <w:tc>
                <w:tcPr>
                  <w:tcW w:w="935"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受影响人数(人)</w:t>
                  </w:r>
                </w:p>
              </w:tc>
              <w:tc>
                <w:tcPr>
                  <w:tcW w:w="2130"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东经</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北纬</w:t>
                  </w:r>
                </w:p>
              </w:tc>
              <w:tc>
                <w:tcPr>
                  <w:tcW w:w="131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441"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709"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631"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935"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707"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116°4'1.93"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43°56'55.11"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沿街商户1#</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西</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100</w:t>
                  </w:r>
                </w:p>
              </w:tc>
              <w:tc>
                <w:tcPr>
                  <w:tcW w:w="2130"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《环境空气质量标准》（GB3095-2012）中二级标准及修改单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116°4'3.83"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43°56'56.10"</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沿街商户2#</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110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116°4'2.33"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43°56'56.11"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惠民苑西区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2200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116°4'2.26"</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43°56'57.58"</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锡林浩特市民族小学</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东北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学校</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55</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116°4'7.85"</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43°57'4.81"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豪景花园</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东北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300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116°4'2.58"</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43°57'10.68"</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惠民苑</w:t>
                  </w:r>
                  <w:r>
                    <w:rPr>
                      <w:rFonts w:hint="eastAsia" w:cs="Times New Roman"/>
                      <w:color w:val="auto"/>
                      <w:kern w:val="2"/>
                      <w:sz w:val="21"/>
                      <w:szCs w:val="21"/>
                      <w:highlight w:val="none"/>
                      <w:lang w:val="en-US" w:eastAsia="zh-CN" w:bidi="ar-SA"/>
                    </w:rPr>
                    <w:t>小</w:t>
                  </w:r>
                  <w:r>
                    <w:rPr>
                      <w:rFonts w:hint="eastAsia" w:ascii="Times New Roman" w:hAnsi="Times New Roman" w:eastAsia="宋体" w:cs="Times New Roman"/>
                      <w:color w:val="auto"/>
                      <w:kern w:val="2"/>
                      <w:sz w:val="21"/>
                      <w:szCs w:val="21"/>
                      <w:highlight w:val="none"/>
                      <w:lang w:val="en-US" w:eastAsia="zh-CN" w:bidi="ar-SA"/>
                    </w:rPr>
                    <w:t>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东北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430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116°4'21.35"</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43°57'1.61"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紫藤花园-东小区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430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116°4'14.72"</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43°56'57.86"</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紫藤花园-</w:t>
                  </w:r>
                  <w:r>
                    <w:rPr>
                      <w:rFonts w:hint="eastAsia" w:ascii="Times New Roman" w:hAnsi="Times New Roman" w:cs="Times New Roman"/>
                      <w:color w:val="auto"/>
                      <w:sz w:val="21"/>
                      <w:szCs w:val="21"/>
                      <w:highlight w:val="none"/>
                      <w:lang w:val="en-US" w:eastAsia="zh-CN"/>
                    </w:rPr>
                    <w:t>西</w:t>
                  </w:r>
                  <w:r>
                    <w:rPr>
                      <w:rFonts w:hint="default" w:ascii="Times New Roman" w:hAnsi="Times New Roman" w:cs="Times New Roman"/>
                      <w:color w:val="auto"/>
                      <w:sz w:val="21"/>
                      <w:szCs w:val="21"/>
                      <w:highlight w:val="none"/>
                      <w:lang w:val="en-US" w:eastAsia="zh-CN"/>
                    </w:rPr>
                    <w:t>小区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240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116°4'10.30"</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43°56'56.37"</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福泰园小区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144</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1800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116°4'25.34"</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43°56'58.02"</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闻盛花园</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478</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 4'4.51"</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43°56'53.17"</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金桥市场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62</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116°4'8.66"</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43°56'49.10"</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盟委小区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210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2100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116°4'15.24"</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43°56'44.51"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鹰冠庄园</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东南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440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116°3'50.51"</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43°56'55.49"</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贝子庙</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西</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228</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116°3'53.98"</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43°56'46.06"</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市医院家属楼</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西</w:t>
                  </w: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280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116°3'50.41"</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43°56'44.97"</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妇幼保健院</w:t>
                  </w:r>
                </w:p>
              </w:tc>
              <w:tc>
                <w:tcPr>
                  <w:tcW w:w="441" w:type="dxa"/>
                  <w:tcBorders>
                    <w:tl2br w:val="nil"/>
                    <w:tr2bl w:val="nil"/>
                  </w:tcBorders>
                  <w:vAlign w:val="center"/>
                </w:tcPr>
                <w:p>
                  <w:pPr>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西</w:t>
                  </w: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390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116°3'55.52"</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43°56'43.34"</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锦泰小区</w:t>
                  </w:r>
                </w:p>
              </w:tc>
              <w:tc>
                <w:tcPr>
                  <w:tcW w:w="441" w:type="dxa"/>
                  <w:tcBorders>
                    <w:tl2br w:val="nil"/>
                    <w:tr2bl w:val="nil"/>
                  </w:tcBorders>
                  <w:vAlign w:val="center"/>
                </w:tcPr>
                <w:p>
                  <w:pPr>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西</w:t>
                  </w: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374</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116°4'4.23"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43°56'35.99"</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康华医院</w:t>
                  </w:r>
                </w:p>
              </w:tc>
              <w:tc>
                <w:tcPr>
                  <w:tcW w:w="441" w:type="dxa"/>
                  <w:tcBorders>
                    <w:tl2br w:val="nil"/>
                    <w:tr2bl w:val="nil"/>
                  </w:tcBorders>
                  <w:vAlign w:val="center"/>
                </w:tcPr>
                <w:p>
                  <w:pPr>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西</w:t>
                  </w:r>
                  <w:r>
                    <w:rPr>
                      <w:rFonts w:hint="eastAsia" w:cs="Times New Roman"/>
                      <w:color w:val="auto"/>
                      <w:kern w:val="2"/>
                      <w:sz w:val="21"/>
                      <w:szCs w:val="21"/>
                      <w:highlight w:val="none"/>
                      <w:lang w:val="en-US" w:eastAsia="zh-CN" w:bidi="ar-SA"/>
                    </w:rPr>
                    <w:t>南</w:t>
                  </w:r>
                </w:p>
              </w:tc>
              <w:tc>
                <w:tcPr>
                  <w:tcW w:w="709" w:type="dxa"/>
                  <w:tcBorders>
                    <w:tl2br w:val="nil"/>
                    <w:tr2bl w:val="nil"/>
                  </w:tcBorders>
                  <w:vAlign w:val="center"/>
                </w:tcPr>
                <w:p>
                  <w:pPr>
                    <w:adjustRightInd w:val="0"/>
                    <w:snapToGrid w:val="0"/>
                    <w:spacing w:line="240" w:lineRule="auto"/>
                    <w:ind w:firstLine="0" w:firstLineChars="0"/>
                    <w:jc w:val="center"/>
                    <w:rPr>
                      <w:rFonts w:hint="eastAsia"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530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707"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116°4'1.93"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43°56'55.11"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沿街商户1#</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西</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5</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100</w:t>
                  </w:r>
                </w:p>
              </w:tc>
              <w:tc>
                <w:tcPr>
                  <w:tcW w:w="2130" w:type="dxa"/>
                  <w:vMerge w:val="restart"/>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《声环境质量标准》（GB3096－2008）1类标准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116°4'3.83"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43°56'56.10"</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rPr>
                  </w:pPr>
                  <w:r>
                    <w:rPr>
                      <w:rFonts w:hint="eastAsia" w:cs="Times New Roman"/>
                      <w:color w:val="auto"/>
                      <w:kern w:val="2"/>
                      <w:sz w:val="21"/>
                      <w:szCs w:val="21"/>
                      <w:highlight w:val="none"/>
                      <w:lang w:val="en-US" w:eastAsia="zh-CN" w:bidi="ar-SA"/>
                    </w:rPr>
                    <w:t>沿街商户2#</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东</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5</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110</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7"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5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116°4'2.33"</w:t>
                  </w:r>
                </w:p>
              </w:tc>
              <w:tc>
                <w:tcPr>
                  <w:tcW w:w="96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43°56'56.11"</w:t>
                  </w:r>
                </w:p>
              </w:tc>
              <w:tc>
                <w:tcPr>
                  <w:tcW w:w="131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惠民苑西区</w:t>
                  </w:r>
                </w:p>
              </w:tc>
              <w:tc>
                <w:tcPr>
                  <w:tcW w:w="44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北</w:t>
                  </w:r>
                </w:p>
              </w:tc>
              <w:tc>
                <w:tcPr>
                  <w:tcW w:w="709"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居民</w:t>
                  </w:r>
                </w:p>
              </w:tc>
              <w:tc>
                <w:tcPr>
                  <w:tcW w:w="631"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kern w:val="2"/>
                      <w:sz w:val="21"/>
                      <w:szCs w:val="21"/>
                      <w:highlight w:val="none"/>
                      <w:lang w:val="en-US" w:eastAsia="zh-CN" w:bidi="ar-SA"/>
                    </w:rPr>
                    <w:t>10</w:t>
                  </w:r>
                </w:p>
              </w:tc>
              <w:tc>
                <w:tcPr>
                  <w:tcW w:w="935"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144</w:t>
                  </w:r>
                </w:p>
              </w:tc>
              <w:tc>
                <w:tcPr>
                  <w:tcW w:w="2130" w:type="dxa"/>
                  <w:vMerge w:val="continue"/>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707"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w:t>
                  </w:r>
                </w:p>
              </w:tc>
              <w:tc>
                <w:tcPr>
                  <w:tcW w:w="5836" w:type="dxa"/>
                  <w:gridSpan w:val="7"/>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厂界外500米范围内无地下水集中式饮用水水源和热水、矿泉水、温泉等特殊地下水资源。</w:t>
                  </w:r>
                </w:p>
              </w:tc>
              <w:tc>
                <w:tcPr>
                  <w:tcW w:w="2130" w:type="dxa"/>
                  <w:tcBorders>
                    <w:tl2br w:val="nil"/>
                    <w:tr2bl w:val="nil"/>
                  </w:tcBorders>
                  <w:vAlign w:val="center"/>
                </w:tcPr>
                <w:p>
                  <w:pPr>
                    <w:pStyle w:val="7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《地下水质量标准》（GB/T14848-2017）中Ⅲ类</w:t>
                  </w:r>
                </w:p>
              </w:tc>
            </w:tr>
          </w:tbl>
          <w:p>
            <w:pPr>
              <w:pStyle w:val="7"/>
              <w:ind w:left="0" w:leftChars="0" w:firstLine="0" w:firstLineChars="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369" w:type="dxa"/>
            <w:tcMar>
              <w:left w:w="28" w:type="dxa"/>
              <w:right w:w="28" w:type="dxa"/>
            </w:tcMar>
            <w:vAlign w:val="center"/>
          </w:tcPr>
          <w:p>
            <w:pPr>
              <w:adjustRightInd w:val="0"/>
              <w:snapToGrid w:val="0"/>
              <w:jc w:val="center"/>
              <w:rPr>
                <w:color w:val="auto"/>
                <w:kern w:val="0"/>
                <w:sz w:val="24"/>
              </w:rPr>
            </w:pPr>
            <w:r>
              <w:rPr>
                <w:color w:val="auto"/>
                <w:kern w:val="0"/>
                <w:sz w:val="24"/>
              </w:rPr>
              <w:t>污染</w:t>
            </w:r>
          </w:p>
          <w:p>
            <w:pPr>
              <w:adjustRightInd w:val="0"/>
              <w:snapToGrid w:val="0"/>
              <w:jc w:val="center"/>
              <w:rPr>
                <w:color w:val="auto"/>
                <w:kern w:val="0"/>
                <w:sz w:val="24"/>
              </w:rPr>
            </w:pPr>
            <w:r>
              <w:rPr>
                <w:color w:val="auto"/>
                <w:kern w:val="0"/>
                <w:sz w:val="24"/>
              </w:rPr>
              <w:t>物排</w:t>
            </w:r>
          </w:p>
          <w:p>
            <w:pPr>
              <w:adjustRightInd w:val="0"/>
              <w:snapToGrid w:val="0"/>
              <w:jc w:val="center"/>
              <w:rPr>
                <w:color w:val="auto"/>
                <w:kern w:val="0"/>
                <w:sz w:val="24"/>
              </w:rPr>
            </w:pPr>
            <w:r>
              <w:rPr>
                <w:color w:val="auto"/>
                <w:kern w:val="0"/>
                <w:sz w:val="24"/>
              </w:rPr>
              <w:t>放控</w:t>
            </w:r>
          </w:p>
          <w:p>
            <w:pPr>
              <w:adjustRightInd w:val="0"/>
              <w:snapToGrid w:val="0"/>
              <w:jc w:val="center"/>
              <w:rPr>
                <w:color w:val="auto"/>
                <w:kern w:val="0"/>
                <w:sz w:val="24"/>
              </w:rPr>
            </w:pPr>
            <w:r>
              <w:rPr>
                <w:color w:val="auto"/>
                <w:kern w:val="0"/>
                <w:sz w:val="24"/>
              </w:rPr>
              <w:t>制标</w:t>
            </w:r>
          </w:p>
          <w:p>
            <w:pPr>
              <w:adjustRightInd w:val="0"/>
              <w:snapToGrid w:val="0"/>
              <w:jc w:val="center"/>
              <w:rPr>
                <w:color w:val="auto"/>
                <w:kern w:val="0"/>
                <w:sz w:val="24"/>
              </w:rPr>
            </w:pPr>
            <w:r>
              <w:rPr>
                <w:color w:val="auto"/>
                <w:kern w:val="0"/>
                <w:sz w:val="24"/>
              </w:rPr>
              <w:t>准</w:t>
            </w:r>
          </w:p>
        </w:tc>
        <w:tc>
          <w:tcPr>
            <w:tcW w:w="8919" w:type="dxa"/>
            <w:vAlign w:val="center"/>
          </w:tcPr>
          <w:p>
            <w:pPr>
              <w:spacing w:line="360" w:lineRule="auto"/>
              <w:ind w:firstLine="482" w:firstLineChars="200"/>
              <w:jc w:val="left"/>
              <w:rPr>
                <w:b/>
                <w:bCs/>
                <w:color w:val="auto"/>
                <w:sz w:val="24"/>
              </w:rPr>
            </w:pPr>
            <w:r>
              <w:rPr>
                <w:rFonts w:hint="eastAsia"/>
                <w:b/>
                <w:bCs/>
                <w:color w:val="auto"/>
                <w:sz w:val="24"/>
              </w:rPr>
              <w:t>1.</w:t>
            </w:r>
            <w:r>
              <w:rPr>
                <w:b/>
                <w:bCs/>
                <w:color w:val="auto"/>
                <w:sz w:val="24"/>
              </w:rPr>
              <w:t>废气</w:t>
            </w:r>
          </w:p>
          <w:p>
            <w:pPr>
              <w:spacing w:before="78" w:beforeLines="25" w:line="360" w:lineRule="auto"/>
              <w:ind w:firstLine="480" w:firstLineChars="200"/>
              <w:rPr>
                <w:color w:val="auto"/>
                <w:sz w:val="24"/>
              </w:rPr>
            </w:pPr>
            <w:r>
              <w:rPr>
                <w:rFonts w:hint="eastAsia"/>
                <w:color w:val="auto"/>
                <w:sz w:val="24"/>
              </w:rPr>
              <w:t>施工期厂界扬尘排放执行《大气污染物综合排放标准》（GB16297-1996）无组织排放监控浓度限值。</w:t>
            </w:r>
          </w:p>
          <w:p>
            <w:pPr>
              <w:widowControl/>
              <w:spacing w:line="240" w:lineRule="auto"/>
              <w:ind w:firstLine="482"/>
              <w:jc w:val="center"/>
              <w:rPr>
                <w:b/>
                <w:color w:val="auto"/>
                <w:kern w:val="0"/>
                <w:sz w:val="24"/>
              </w:rPr>
            </w:pPr>
            <w:r>
              <w:rPr>
                <w:b/>
                <w:color w:val="auto"/>
                <w:kern w:val="0"/>
                <w:sz w:val="24"/>
              </w:rPr>
              <w:t>表</w:t>
            </w:r>
            <w:r>
              <w:rPr>
                <w:rFonts w:hint="eastAsia"/>
                <w:b/>
                <w:color w:val="auto"/>
                <w:kern w:val="0"/>
                <w:sz w:val="24"/>
              </w:rPr>
              <w:t>3-</w:t>
            </w:r>
            <w:r>
              <w:rPr>
                <w:rFonts w:hint="eastAsia"/>
                <w:b/>
                <w:color w:val="auto"/>
                <w:kern w:val="0"/>
                <w:sz w:val="24"/>
                <w:lang w:val="en-US" w:eastAsia="zh-CN"/>
              </w:rPr>
              <w:t>4</w:t>
            </w:r>
            <w:r>
              <w:rPr>
                <w:b/>
                <w:color w:val="auto"/>
                <w:kern w:val="0"/>
                <w:sz w:val="24"/>
              </w:rPr>
              <w:t xml:space="preserve"> </w:t>
            </w:r>
            <w:r>
              <w:rPr>
                <w:rFonts w:hint="eastAsia"/>
                <w:b/>
                <w:color w:val="auto"/>
                <w:kern w:val="0"/>
                <w:sz w:val="24"/>
              </w:rPr>
              <w:t xml:space="preserve"> </w:t>
            </w:r>
            <w:r>
              <w:rPr>
                <w:b/>
                <w:color w:val="auto"/>
                <w:kern w:val="0"/>
                <w:sz w:val="24"/>
              </w:rPr>
              <w:t>大气污染物排放标准    单位：mg/m</w:t>
            </w:r>
            <w:r>
              <w:rPr>
                <w:b/>
                <w:color w:val="auto"/>
                <w:kern w:val="0"/>
                <w:sz w:val="24"/>
                <w:vertAlign w:val="superscript"/>
              </w:rPr>
              <w:t>3</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2558"/>
              <w:gridCol w:w="4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2" w:type="pct"/>
                  <w:vAlign w:val="center"/>
                </w:tcPr>
                <w:p>
                  <w:pPr>
                    <w:snapToGrid w:val="0"/>
                    <w:jc w:val="center"/>
                    <w:rPr>
                      <w:rFonts w:ascii="宋体" w:hAnsi="宋体" w:cs="宋体"/>
                      <w:b/>
                      <w:bCs/>
                      <w:color w:val="auto"/>
                      <w:szCs w:val="21"/>
                    </w:rPr>
                  </w:pPr>
                  <w:r>
                    <w:rPr>
                      <w:rFonts w:hint="eastAsia" w:ascii="宋体" w:hAnsi="宋体" w:cs="宋体"/>
                      <w:b/>
                      <w:bCs/>
                      <w:color w:val="auto"/>
                      <w:szCs w:val="21"/>
                    </w:rPr>
                    <w:t>序号</w:t>
                  </w:r>
                </w:p>
              </w:tc>
              <w:tc>
                <w:tcPr>
                  <w:tcW w:w="1489" w:type="pct"/>
                  <w:vAlign w:val="center"/>
                </w:tcPr>
                <w:p>
                  <w:pPr>
                    <w:snapToGrid w:val="0"/>
                    <w:jc w:val="center"/>
                    <w:rPr>
                      <w:rFonts w:ascii="宋体" w:hAnsi="宋体" w:cs="宋体"/>
                      <w:b/>
                      <w:bCs/>
                      <w:color w:val="auto"/>
                      <w:szCs w:val="21"/>
                    </w:rPr>
                  </w:pPr>
                  <w:r>
                    <w:rPr>
                      <w:rFonts w:hint="eastAsia" w:ascii="宋体" w:hAnsi="宋体" w:cs="宋体"/>
                      <w:b/>
                      <w:bCs/>
                      <w:color w:val="auto"/>
                      <w:szCs w:val="21"/>
                    </w:rPr>
                    <w:t>污染物</w:t>
                  </w:r>
                </w:p>
              </w:tc>
              <w:tc>
                <w:tcPr>
                  <w:tcW w:w="2809" w:type="pct"/>
                  <w:vAlign w:val="center"/>
                </w:tcPr>
                <w:p>
                  <w:pPr>
                    <w:snapToGrid w:val="0"/>
                    <w:jc w:val="center"/>
                    <w:rPr>
                      <w:rFonts w:ascii="宋体" w:hAnsi="宋体" w:cs="宋体"/>
                      <w:b/>
                      <w:bCs/>
                      <w:color w:val="auto"/>
                      <w:szCs w:val="21"/>
                    </w:rPr>
                  </w:pPr>
                  <w:r>
                    <w:rPr>
                      <w:rFonts w:hint="eastAsia" w:ascii="宋体" w:hAnsi="宋体" w:cs="宋体"/>
                      <w:b/>
                      <w:bCs/>
                      <w:color w:val="auto"/>
                      <w:szCs w:val="21"/>
                    </w:rPr>
                    <w:t>无组织排放监控浓度限值点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2" w:type="pct"/>
                  <w:vAlign w:val="center"/>
                </w:tcPr>
                <w:p>
                  <w:pPr>
                    <w:snapToGrid w:val="0"/>
                    <w:jc w:val="center"/>
                    <w:rPr>
                      <w:rFonts w:ascii="宋体" w:hAnsi="宋体" w:cs="宋体"/>
                      <w:color w:val="auto"/>
                      <w:szCs w:val="21"/>
                    </w:rPr>
                  </w:pPr>
                  <w:r>
                    <w:rPr>
                      <w:rFonts w:hint="eastAsia" w:ascii="宋体" w:hAnsi="宋体" w:cs="宋体"/>
                      <w:color w:val="auto"/>
                      <w:szCs w:val="21"/>
                    </w:rPr>
                    <w:t>1</w:t>
                  </w:r>
                </w:p>
              </w:tc>
              <w:tc>
                <w:tcPr>
                  <w:tcW w:w="1489" w:type="pct"/>
                  <w:vAlign w:val="center"/>
                </w:tcPr>
                <w:p>
                  <w:pPr>
                    <w:snapToGrid w:val="0"/>
                    <w:jc w:val="center"/>
                    <w:rPr>
                      <w:rFonts w:ascii="宋体" w:hAnsi="宋体" w:cs="宋体"/>
                      <w:color w:val="auto"/>
                      <w:szCs w:val="21"/>
                    </w:rPr>
                  </w:pPr>
                  <w:r>
                    <w:rPr>
                      <w:rFonts w:hint="eastAsia" w:ascii="宋体" w:hAnsi="宋体" w:cs="宋体"/>
                      <w:color w:val="auto"/>
                      <w:szCs w:val="21"/>
                    </w:rPr>
                    <w:t>颗粒物</w:t>
                  </w:r>
                </w:p>
              </w:tc>
              <w:tc>
                <w:tcPr>
                  <w:tcW w:w="2809" w:type="pct"/>
                  <w:vAlign w:val="center"/>
                </w:tcPr>
                <w:p>
                  <w:pPr>
                    <w:snapToGrid w:val="0"/>
                    <w:jc w:val="center"/>
                    <w:rPr>
                      <w:rFonts w:ascii="宋体" w:hAnsi="宋体" w:cs="宋体"/>
                      <w:color w:val="auto"/>
                      <w:szCs w:val="21"/>
                    </w:rPr>
                  </w:pPr>
                  <w:r>
                    <w:rPr>
                      <w:rFonts w:hint="eastAsia" w:ascii="宋体" w:hAnsi="宋体" w:cs="宋体"/>
                      <w:color w:val="auto"/>
                      <w:szCs w:val="21"/>
                    </w:rPr>
                    <w:t>周</w:t>
                  </w:r>
                  <w:r>
                    <w:rPr>
                      <w:color w:val="auto"/>
                      <w:szCs w:val="21"/>
                    </w:rPr>
                    <w:t>界外浓度最高点1.0</w:t>
                  </w:r>
                </w:p>
              </w:tc>
            </w:tr>
          </w:tbl>
          <w:p>
            <w:pPr>
              <w:spacing w:line="360" w:lineRule="auto"/>
              <w:ind w:firstLine="567"/>
              <w:rPr>
                <w:b/>
                <w:bCs/>
                <w:color w:val="auto"/>
                <w:sz w:val="24"/>
              </w:rPr>
            </w:pPr>
            <w:r>
              <w:rPr>
                <w:rFonts w:hint="eastAsia"/>
                <w:b/>
                <w:bCs/>
                <w:color w:val="auto"/>
                <w:sz w:val="24"/>
              </w:rPr>
              <w:t>2.</w:t>
            </w:r>
            <w:r>
              <w:rPr>
                <w:b/>
                <w:bCs/>
                <w:color w:val="auto"/>
                <w:sz w:val="24"/>
              </w:rPr>
              <w:t>噪声</w:t>
            </w:r>
          </w:p>
          <w:p>
            <w:pPr>
              <w:spacing w:line="360" w:lineRule="auto"/>
              <w:ind w:firstLine="567"/>
              <w:rPr>
                <w:color w:val="auto"/>
                <w:sz w:val="24"/>
              </w:rPr>
            </w:pPr>
            <w:r>
              <w:rPr>
                <w:color w:val="auto"/>
                <w:sz w:val="24"/>
              </w:rPr>
              <w:t>施工期噪声执行《建筑施工场界环境噪声排放标准》（GB12523-2011）中噪声排放限值，具体标准见下表。</w:t>
            </w:r>
          </w:p>
          <w:p>
            <w:pPr>
              <w:adjustRightInd w:val="0"/>
              <w:snapToGrid w:val="0"/>
              <w:jc w:val="center"/>
              <w:rPr>
                <w:b/>
                <w:color w:val="auto"/>
                <w:spacing w:val="8"/>
                <w:sz w:val="24"/>
              </w:rPr>
            </w:pPr>
            <w:bookmarkStart w:id="4" w:name="bookmark212"/>
            <w:bookmarkStart w:id="5" w:name="bookmark211"/>
            <w:bookmarkStart w:id="6" w:name="bookmark210"/>
            <w:r>
              <w:rPr>
                <w:b/>
                <w:color w:val="auto"/>
                <w:spacing w:val="8"/>
                <w:sz w:val="24"/>
              </w:rPr>
              <w:t>表3-</w:t>
            </w:r>
            <w:r>
              <w:rPr>
                <w:rFonts w:hint="eastAsia"/>
                <w:b/>
                <w:color w:val="auto"/>
                <w:spacing w:val="8"/>
                <w:sz w:val="24"/>
                <w:lang w:val="en-US" w:eastAsia="zh-CN"/>
              </w:rPr>
              <w:t>5</w:t>
            </w:r>
            <w:r>
              <w:rPr>
                <w:b/>
                <w:color w:val="auto"/>
                <w:spacing w:val="8"/>
                <w:sz w:val="24"/>
              </w:rPr>
              <w:t xml:space="preserve"> 建筑施工场界环境噪声排放标准单位：dB(A)</w:t>
            </w:r>
            <w:bookmarkEnd w:id="4"/>
            <w:bookmarkEnd w:id="5"/>
            <w:bookmarkEnd w:id="6"/>
          </w:p>
          <w:tbl>
            <w:tblPr>
              <w:tblStyle w:val="30"/>
              <w:tblW w:w="8693" w:type="dxa"/>
              <w:jc w:val="right"/>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autofit"/>
              <w:tblCellMar>
                <w:top w:w="0" w:type="dxa"/>
                <w:left w:w="10" w:type="dxa"/>
                <w:bottom w:w="0" w:type="dxa"/>
                <w:right w:w="10" w:type="dxa"/>
              </w:tblCellMar>
            </w:tblPr>
            <w:tblGrid>
              <w:gridCol w:w="4347"/>
              <w:gridCol w:w="4346"/>
            </w:tblGrid>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PrEx>
              <w:trPr>
                <w:trHeight w:val="346" w:hRule="exact"/>
                <w:jc w:val="right"/>
              </w:trPr>
              <w:tc>
                <w:tcPr>
                  <w:tcW w:w="4347" w:type="dxa"/>
                  <w:shd w:val="clear" w:color="auto" w:fill="auto"/>
                  <w:vAlign w:val="bottom"/>
                </w:tcPr>
                <w:p>
                  <w:pPr>
                    <w:pStyle w:val="103"/>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昼间</w:t>
                  </w:r>
                </w:p>
              </w:tc>
              <w:tc>
                <w:tcPr>
                  <w:tcW w:w="4346" w:type="dxa"/>
                  <w:tcBorders>
                    <w:left w:val="single" w:color="auto" w:sz="4" w:space="0"/>
                  </w:tcBorders>
                  <w:shd w:val="clear" w:color="auto" w:fill="auto"/>
                  <w:vAlign w:val="bottom"/>
                </w:tcPr>
                <w:p>
                  <w:pPr>
                    <w:pStyle w:val="103"/>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夜间</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PrEx>
              <w:trPr>
                <w:trHeight w:val="326" w:hRule="exact"/>
                <w:jc w:val="right"/>
              </w:trPr>
              <w:tc>
                <w:tcPr>
                  <w:tcW w:w="4347" w:type="dxa"/>
                  <w:tcBorders>
                    <w:top w:val="single" w:color="auto" w:sz="4" w:space="0"/>
                  </w:tcBorders>
                  <w:shd w:val="clear" w:color="auto" w:fill="auto"/>
                  <w:vAlign w:val="center"/>
                </w:tcPr>
                <w:p>
                  <w:pPr>
                    <w:pStyle w:val="103"/>
                    <w:jc w:val="center"/>
                    <w:rPr>
                      <w:rFonts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70</w:t>
                  </w:r>
                </w:p>
              </w:tc>
              <w:tc>
                <w:tcPr>
                  <w:tcW w:w="4346" w:type="dxa"/>
                  <w:tcBorders>
                    <w:top w:val="single" w:color="auto" w:sz="4" w:space="0"/>
                    <w:left w:val="single" w:color="auto" w:sz="4" w:space="0"/>
                  </w:tcBorders>
                  <w:shd w:val="clear" w:color="auto" w:fill="auto"/>
                  <w:vAlign w:val="center"/>
                </w:tcPr>
                <w:p>
                  <w:pPr>
                    <w:pStyle w:val="103"/>
                    <w:jc w:val="center"/>
                    <w:rPr>
                      <w:rFonts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55</w:t>
                  </w:r>
                </w:p>
              </w:tc>
            </w:tr>
          </w:tbl>
          <w:p>
            <w:pPr>
              <w:spacing w:line="360" w:lineRule="auto"/>
              <w:ind w:firstLine="567"/>
              <w:rPr>
                <w:color w:val="auto"/>
                <w:sz w:val="24"/>
              </w:rPr>
            </w:pPr>
            <w:r>
              <w:rPr>
                <w:color w:val="auto"/>
                <w:sz w:val="24"/>
              </w:rPr>
              <w:t>运营期噪声排放执行《工业企业厂界环境噪声排放标准》(GB12348-2008)</w:t>
            </w:r>
            <w:r>
              <w:rPr>
                <w:rFonts w:hint="eastAsia"/>
                <w:color w:val="auto"/>
                <w:sz w:val="24"/>
                <w:lang w:val="en-US" w:eastAsia="zh-CN"/>
              </w:rPr>
              <w:t>1</w:t>
            </w:r>
            <w:r>
              <w:rPr>
                <w:rFonts w:hint="eastAsia"/>
                <w:color w:val="auto"/>
                <w:sz w:val="24"/>
              </w:rPr>
              <w:t>类</w:t>
            </w:r>
            <w:r>
              <w:rPr>
                <w:color w:val="auto"/>
                <w:sz w:val="24"/>
              </w:rPr>
              <w:t>标准。</w:t>
            </w:r>
          </w:p>
          <w:p>
            <w:pPr>
              <w:jc w:val="center"/>
              <w:rPr>
                <w:b/>
                <w:color w:val="auto"/>
                <w:szCs w:val="21"/>
                <w:lang w:val="zh-CN"/>
              </w:rPr>
            </w:pPr>
            <w:r>
              <w:rPr>
                <w:b/>
                <w:bCs/>
                <w:color w:val="auto"/>
                <w:sz w:val="24"/>
                <w:lang w:val="zh-CN"/>
              </w:rPr>
              <w:t>表</w:t>
            </w:r>
            <w:r>
              <w:rPr>
                <w:b/>
                <w:bCs/>
                <w:color w:val="auto"/>
                <w:sz w:val="24"/>
              </w:rPr>
              <w:t>3-</w:t>
            </w:r>
            <w:r>
              <w:rPr>
                <w:rFonts w:hint="eastAsia"/>
                <w:b/>
                <w:bCs/>
                <w:color w:val="auto"/>
                <w:sz w:val="24"/>
                <w:lang w:val="en-US" w:eastAsia="zh-CN"/>
              </w:rPr>
              <w:t>6</w:t>
            </w:r>
            <w:r>
              <w:rPr>
                <w:b/>
                <w:bCs/>
                <w:color w:val="auto"/>
                <w:sz w:val="24"/>
              </w:rPr>
              <w:t xml:space="preserve"> </w:t>
            </w:r>
            <w:r>
              <w:rPr>
                <w:b/>
                <w:bCs/>
                <w:color w:val="auto"/>
                <w:sz w:val="24"/>
                <w:lang w:val="zh-CN"/>
              </w:rPr>
              <w:t>《</w:t>
            </w:r>
            <w:r>
              <w:rPr>
                <w:b/>
                <w:color w:val="auto"/>
                <w:sz w:val="24"/>
                <w:lang w:val="zh-CN"/>
              </w:rPr>
              <w:t>工业企业厂界环境噪声排放标准》(GB12348-2008)  单位：dB（A）</w:t>
            </w:r>
          </w:p>
          <w:tbl>
            <w:tblPr>
              <w:tblStyle w:val="30"/>
              <w:tblW w:w="867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68"/>
              <w:gridCol w:w="2165"/>
              <w:gridCol w:w="2168"/>
              <w:gridCol w:w="21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168" w:type="dxa"/>
                  <w:vAlign w:val="center"/>
                </w:tcPr>
                <w:p>
                  <w:pPr>
                    <w:pStyle w:val="8"/>
                    <w:topLinePunct/>
                    <w:spacing w:after="0"/>
                    <w:ind w:left="0" w:leftChars="0"/>
                    <w:jc w:val="center"/>
                    <w:rPr>
                      <w:b/>
                      <w:color w:val="auto"/>
                      <w:szCs w:val="21"/>
                    </w:rPr>
                  </w:pPr>
                  <w:r>
                    <w:rPr>
                      <w:b/>
                      <w:color w:val="auto"/>
                      <w:szCs w:val="21"/>
                    </w:rPr>
                    <w:t>类别</w:t>
                  </w:r>
                </w:p>
              </w:tc>
              <w:tc>
                <w:tcPr>
                  <w:tcW w:w="2165" w:type="dxa"/>
                  <w:vAlign w:val="center"/>
                </w:tcPr>
                <w:p>
                  <w:pPr>
                    <w:pStyle w:val="8"/>
                    <w:topLinePunct/>
                    <w:spacing w:after="0"/>
                    <w:ind w:left="0" w:leftChars="0"/>
                    <w:jc w:val="center"/>
                    <w:rPr>
                      <w:b/>
                      <w:color w:val="auto"/>
                      <w:szCs w:val="21"/>
                    </w:rPr>
                  </w:pPr>
                  <w:r>
                    <w:rPr>
                      <w:b/>
                      <w:color w:val="auto"/>
                      <w:szCs w:val="21"/>
                    </w:rPr>
                    <w:t>昼间</w:t>
                  </w:r>
                </w:p>
              </w:tc>
              <w:tc>
                <w:tcPr>
                  <w:tcW w:w="2168" w:type="dxa"/>
                  <w:vAlign w:val="center"/>
                </w:tcPr>
                <w:p>
                  <w:pPr>
                    <w:pStyle w:val="8"/>
                    <w:topLinePunct/>
                    <w:spacing w:after="0"/>
                    <w:ind w:left="0" w:leftChars="0"/>
                    <w:jc w:val="center"/>
                    <w:rPr>
                      <w:b/>
                      <w:color w:val="auto"/>
                      <w:szCs w:val="21"/>
                    </w:rPr>
                  </w:pPr>
                  <w:r>
                    <w:rPr>
                      <w:b/>
                      <w:color w:val="auto"/>
                      <w:szCs w:val="21"/>
                    </w:rPr>
                    <w:t>夜间</w:t>
                  </w:r>
                </w:p>
              </w:tc>
              <w:tc>
                <w:tcPr>
                  <w:tcW w:w="2169" w:type="dxa"/>
                  <w:vAlign w:val="center"/>
                </w:tcPr>
                <w:p>
                  <w:pPr>
                    <w:pStyle w:val="8"/>
                    <w:topLinePunct/>
                    <w:spacing w:after="0"/>
                    <w:ind w:left="0" w:leftChars="0"/>
                    <w:jc w:val="center"/>
                    <w:rPr>
                      <w:b/>
                      <w:color w:val="auto"/>
                      <w:szCs w:val="21"/>
                    </w:rPr>
                  </w:pPr>
                  <w:r>
                    <w:rPr>
                      <w:b/>
                      <w:color w:val="auto"/>
                      <w:szCs w:val="21"/>
                    </w:rPr>
                    <w:t>说明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168" w:type="dxa"/>
                  <w:vAlign w:val="center"/>
                </w:tcPr>
                <w:p>
                  <w:pPr>
                    <w:pStyle w:val="8"/>
                    <w:topLinePunct/>
                    <w:spacing w:after="0"/>
                    <w:ind w:left="0" w:leftChars="0"/>
                    <w:jc w:val="center"/>
                    <w:rPr>
                      <w:bCs/>
                      <w:color w:val="auto"/>
                      <w:szCs w:val="21"/>
                    </w:rPr>
                  </w:pPr>
                  <w:r>
                    <w:rPr>
                      <w:rFonts w:hint="eastAsia"/>
                      <w:bCs/>
                      <w:color w:val="auto"/>
                      <w:szCs w:val="21"/>
                      <w:lang w:val="en-US" w:eastAsia="zh-CN"/>
                    </w:rPr>
                    <w:t>1</w:t>
                  </w:r>
                  <w:r>
                    <w:rPr>
                      <w:bCs/>
                      <w:color w:val="auto"/>
                      <w:szCs w:val="21"/>
                    </w:rPr>
                    <w:t>类</w:t>
                  </w:r>
                </w:p>
              </w:tc>
              <w:tc>
                <w:tcPr>
                  <w:tcW w:w="2165" w:type="dxa"/>
                  <w:vAlign w:val="center"/>
                </w:tcPr>
                <w:p>
                  <w:pPr>
                    <w:pStyle w:val="8"/>
                    <w:topLinePunct/>
                    <w:spacing w:after="0"/>
                    <w:ind w:left="0" w:leftChars="0"/>
                    <w:jc w:val="center"/>
                    <w:rPr>
                      <w:rFonts w:hint="default" w:eastAsia="宋体"/>
                      <w:bCs/>
                      <w:color w:val="auto"/>
                      <w:szCs w:val="21"/>
                      <w:lang w:val="en-US" w:eastAsia="zh-CN"/>
                    </w:rPr>
                  </w:pPr>
                  <w:r>
                    <w:rPr>
                      <w:rFonts w:hint="eastAsia"/>
                      <w:bCs/>
                      <w:color w:val="auto"/>
                      <w:szCs w:val="21"/>
                      <w:lang w:val="en-US" w:eastAsia="zh-CN"/>
                    </w:rPr>
                    <w:t>55</w:t>
                  </w:r>
                </w:p>
              </w:tc>
              <w:tc>
                <w:tcPr>
                  <w:tcW w:w="2168" w:type="dxa"/>
                  <w:vAlign w:val="center"/>
                </w:tcPr>
                <w:p>
                  <w:pPr>
                    <w:pStyle w:val="8"/>
                    <w:topLinePunct/>
                    <w:spacing w:after="0"/>
                    <w:ind w:left="0" w:leftChars="0"/>
                    <w:jc w:val="center"/>
                    <w:rPr>
                      <w:rFonts w:hint="default" w:eastAsia="宋体"/>
                      <w:bCs/>
                      <w:color w:val="auto"/>
                      <w:szCs w:val="21"/>
                      <w:lang w:val="en-US" w:eastAsia="zh-CN"/>
                    </w:rPr>
                  </w:pPr>
                  <w:r>
                    <w:rPr>
                      <w:rFonts w:hint="eastAsia"/>
                      <w:bCs/>
                      <w:color w:val="auto"/>
                      <w:szCs w:val="21"/>
                      <w:lang w:val="en-US" w:eastAsia="zh-CN"/>
                    </w:rPr>
                    <w:t>45</w:t>
                  </w:r>
                </w:p>
              </w:tc>
              <w:tc>
                <w:tcPr>
                  <w:tcW w:w="2169" w:type="dxa"/>
                  <w:vAlign w:val="center"/>
                </w:tcPr>
                <w:p>
                  <w:pPr>
                    <w:pStyle w:val="8"/>
                    <w:topLinePunct/>
                    <w:spacing w:after="0"/>
                    <w:ind w:left="0" w:leftChars="0"/>
                    <w:jc w:val="center"/>
                    <w:rPr>
                      <w:bCs/>
                      <w:color w:val="auto"/>
                      <w:szCs w:val="21"/>
                    </w:rPr>
                  </w:pPr>
                  <w:r>
                    <w:rPr>
                      <w:bCs/>
                      <w:color w:val="auto"/>
                      <w:szCs w:val="21"/>
                    </w:rPr>
                    <w:t>厂界</w:t>
                  </w:r>
                </w:p>
              </w:tc>
            </w:tr>
          </w:tbl>
          <w:p>
            <w:pPr>
              <w:snapToGrid w:val="0"/>
              <w:spacing w:line="360" w:lineRule="auto"/>
              <w:ind w:firstLine="567"/>
              <w:rPr>
                <w:b/>
                <w:bCs/>
                <w:color w:val="0F01C9"/>
                <w:sz w:val="24"/>
              </w:rPr>
            </w:pPr>
            <w:r>
              <w:rPr>
                <w:rFonts w:hint="eastAsia"/>
                <w:b/>
                <w:bCs/>
                <w:color w:val="0F01C9"/>
                <w:sz w:val="24"/>
              </w:rPr>
              <w:t>3.</w:t>
            </w:r>
            <w:r>
              <w:rPr>
                <w:b/>
                <w:bCs/>
                <w:color w:val="0F01C9"/>
                <w:sz w:val="24"/>
              </w:rPr>
              <w:t>固体废物</w:t>
            </w:r>
          </w:p>
          <w:p>
            <w:pPr>
              <w:snapToGrid w:val="0"/>
              <w:spacing w:line="360" w:lineRule="auto"/>
              <w:ind w:firstLine="480" w:firstLineChars="200"/>
              <w:rPr>
                <w:color w:val="auto"/>
                <w:kern w:val="0"/>
                <w:szCs w:val="21"/>
              </w:rPr>
            </w:pPr>
            <w:r>
              <w:rPr>
                <w:rFonts w:hint="default" w:ascii="Times New Roman" w:hAnsi="Times New Roman" w:cs="Times New Roman"/>
                <w:color w:val="0F01C9"/>
                <w:sz w:val="24"/>
                <w:lang w:eastAsia="zh-CN"/>
              </w:rPr>
              <w:t>医疗废物执行《医疗废物管理条例》（中华人民共和国国务院令第380号）、《医疗废物集中处置技术规范（试行）》（环发[2003]206号）、《医疗废物专用包装袋、容器和警示标志标准》（HJ421-2008）、《医疗卫生机构医疗废物管理办法》（中华人民共和国卫生部令第36号）、《关于印发《医疗废物分类目录》的通知》（卫医发〔2003〕287号）、《危险废物贮存污染控制标准》（GB18597-2023）；</w:t>
            </w:r>
            <w:r>
              <w:rPr>
                <w:rFonts w:hint="default" w:ascii="Times New Roman" w:hAnsi="Times New Roman" w:cs="Times New Roman"/>
                <w:color w:val="0F01C9"/>
                <w:sz w:val="24"/>
                <w:lang w:val="en-US" w:eastAsia="zh-CN"/>
              </w:rPr>
              <w:t>《医疗废物处理处置污染控制标准》</w:t>
            </w:r>
            <w:r>
              <w:rPr>
                <w:rFonts w:hint="default" w:ascii="Times New Roman" w:hAnsi="Times New Roman" w:cs="Times New Roman"/>
                <w:color w:val="0F01C9"/>
                <w:sz w:val="24"/>
                <w:lang w:val="en-US" w:eastAsia="zh-CN"/>
              </w:rPr>
              <w:fldChar w:fldCharType="begin"/>
            </w:r>
            <w:r>
              <w:rPr>
                <w:rFonts w:hint="default" w:ascii="Times New Roman" w:hAnsi="Times New Roman" w:cs="Times New Roman"/>
                <w:color w:val="0F01C9"/>
                <w:sz w:val="24"/>
                <w:lang w:val="en-US" w:eastAsia="zh-CN"/>
              </w:rPr>
              <w:instrText xml:space="preserve"> HYPERLINK "https://www.mee.gov.cn/ywgz/fgbz/bz/bzwb/gthw/gtfwwrkzbz/202012/W020201218701792502812.pdf" </w:instrText>
            </w:r>
            <w:r>
              <w:rPr>
                <w:rFonts w:hint="default" w:ascii="Times New Roman" w:hAnsi="Times New Roman" w:cs="Times New Roman"/>
                <w:color w:val="0F01C9"/>
                <w:sz w:val="24"/>
                <w:lang w:val="en-US" w:eastAsia="zh-CN"/>
              </w:rPr>
              <w:fldChar w:fldCharType="separate"/>
            </w:r>
            <w:r>
              <w:rPr>
                <w:rFonts w:hint="default" w:ascii="Times New Roman" w:hAnsi="Times New Roman" w:cs="Times New Roman"/>
                <w:color w:val="0F01C9"/>
                <w:sz w:val="24"/>
                <w:lang w:val="en-US" w:eastAsia="zh-CN"/>
              </w:rPr>
              <w:t>（GB39707-2020）</w:t>
            </w:r>
            <w:r>
              <w:rPr>
                <w:rFonts w:hint="default" w:ascii="Times New Roman" w:hAnsi="Times New Roman" w:cs="Times New Roman"/>
                <w:color w:val="0F01C9"/>
                <w:sz w:val="24"/>
                <w:lang w:val="en-US" w:eastAsia="zh-CN"/>
              </w:rPr>
              <w:fldChar w:fldCharType="end"/>
            </w:r>
            <w:r>
              <w:rPr>
                <w:rFonts w:hint="default" w:ascii="Times New Roman" w:hAnsi="Times New Roman" w:cs="Times New Roman"/>
                <w:color w:val="0F01C9"/>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9" w:hRule="atLeast"/>
          <w:jc w:val="center"/>
        </w:trPr>
        <w:tc>
          <w:tcPr>
            <w:tcW w:w="369" w:type="dxa"/>
            <w:vAlign w:val="center"/>
          </w:tcPr>
          <w:p>
            <w:pPr>
              <w:adjustRightInd w:val="0"/>
              <w:snapToGrid w:val="0"/>
              <w:jc w:val="center"/>
              <w:rPr>
                <w:color w:val="auto"/>
                <w:kern w:val="0"/>
                <w:sz w:val="24"/>
              </w:rPr>
            </w:pPr>
            <w:r>
              <w:rPr>
                <w:color w:val="auto"/>
                <w:kern w:val="0"/>
                <w:sz w:val="24"/>
              </w:rPr>
              <w:t>总量</w:t>
            </w:r>
          </w:p>
          <w:p>
            <w:pPr>
              <w:adjustRightInd w:val="0"/>
              <w:snapToGrid w:val="0"/>
              <w:jc w:val="center"/>
              <w:rPr>
                <w:color w:val="auto"/>
                <w:kern w:val="0"/>
                <w:sz w:val="24"/>
              </w:rPr>
            </w:pPr>
            <w:r>
              <w:rPr>
                <w:color w:val="auto"/>
                <w:kern w:val="0"/>
                <w:sz w:val="24"/>
              </w:rPr>
              <w:t>控制</w:t>
            </w:r>
          </w:p>
          <w:p>
            <w:pPr>
              <w:adjustRightInd w:val="0"/>
              <w:snapToGrid w:val="0"/>
              <w:jc w:val="center"/>
              <w:rPr>
                <w:color w:val="auto"/>
                <w:kern w:val="0"/>
                <w:sz w:val="24"/>
              </w:rPr>
            </w:pPr>
            <w:r>
              <w:rPr>
                <w:color w:val="auto"/>
                <w:kern w:val="0"/>
                <w:sz w:val="24"/>
              </w:rPr>
              <w:t>指标</w:t>
            </w:r>
          </w:p>
        </w:tc>
        <w:tc>
          <w:tcPr>
            <w:tcW w:w="8919" w:type="dxa"/>
            <w:vAlign w:val="center"/>
          </w:tcPr>
          <w:p>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本项目不涉及总量控制指标。</w:t>
            </w:r>
          </w:p>
          <w:p>
            <w:pPr>
              <w:snapToGrid w:val="0"/>
              <w:spacing w:line="360" w:lineRule="auto"/>
              <w:ind w:firstLine="480" w:firstLineChars="200"/>
              <w:rPr>
                <w:rFonts w:ascii="宋体" w:hAnsi="宋体" w:cs="宋体"/>
                <w:color w:val="auto"/>
                <w:sz w:val="24"/>
              </w:rPr>
            </w:pPr>
          </w:p>
          <w:p>
            <w:pPr>
              <w:snapToGrid w:val="0"/>
              <w:spacing w:line="360" w:lineRule="auto"/>
              <w:ind w:firstLine="480" w:firstLineChars="200"/>
              <w:rPr>
                <w:rFonts w:ascii="宋体" w:hAnsi="宋体" w:cs="宋体"/>
                <w:color w:val="auto"/>
                <w:sz w:val="24"/>
              </w:rPr>
            </w:pPr>
          </w:p>
          <w:p>
            <w:pPr>
              <w:snapToGrid w:val="0"/>
              <w:spacing w:line="360" w:lineRule="auto"/>
              <w:ind w:firstLine="480" w:firstLineChars="200"/>
              <w:rPr>
                <w:rFonts w:ascii="宋体" w:hAnsi="宋体" w:cs="宋体"/>
                <w:color w:val="auto"/>
                <w:sz w:val="24"/>
              </w:rPr>
            </w:pPr>
          </w:p>
          <w:p>
            <w:pPr>
              <w:snapToGrid w:val="0"/>
              <w:spacing w:line="360" w:lineRule="auto"/>
              <w:ind w:firstLine="480" w:firstLineChars="200"/>
              <w:rPr>
                <w:rFonts w:ascii="宋体" w:hAnsi="宋体" w:cs="宋体"/>
                <w:color w:val="auto"/>
                <w:sz w:val="24"/>
              </w:rPr>
            </w:pPr>
          </w:p>
          <w:p>
            <w:pPr>
              <w:pStyle w:val="6"/>
              <w:rPr>
                <w:color w:val="auto"/>
              </w:rPr>
            </w:pPr>
          </w:p>
        </w:tc>
      </w:tr>
    </w:tbl>
    <w:p>
      <w:pPr>
        <w:widowControl/>
        <w:jc w:val="left"/>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pPr>
        <w:tabs>
          <w:tab w:val="left" w:pos="0"/>
        </w:tabs>
        <w:snapToGrid w:val="0"/>
        <w:jc w:val="center"/>
        <w:outlineLvl w:val="0"/>
        <w:rPr>
          <w:b/>
          <w:color w:val="auto"/>
          <w:sz w:val="32"/>
        </w:rPr>
      </w:pPr>
      <w:r>
        <w:rPr>
          <w:b/>
          <w:color w:val="auto"/>
          <w:sz w:val="32"/>
        </w:rPr>
        <w:t>主要环境影响和保护措施</w:t>
      </w:r>
    </w:p>
    <w:tbl>
      <w:tblPr>
        <w:tblStyle w:val="30"/>
        <w:tblW w:w="9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86"/>
        <w:gridCol w:w="91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4" w:hRule="atLeast"/>
          <w:jc w:val="center"/>
        </w:trPr>
        <w:tc>
          <w:tcPr>
            <w:tcW w:w="386" w:type="dxa"/>
            <w:tcMar>
              <w:left w:w="28" w:type="dxa"/>
              <w:right w:w="28" w:type="dxa"/>
            </w:tcMar>
            <w:vAlign w:val="center"/>
          </w:tcPr>
          <w:p>
            <w:pPr>
              <w:pStyle w:val="26"/>
              <w:adjustRightInd w:val="0"/>
              <w:snapToGrid w:val="0"/>
              <w:spacing w:before="0" w:beforeAutospacing="0" w:after="0" w:afterAutospacing="0"/>
              <w:jc w:val="center"/>
              <w:rPr>
                <w:rFonts w:ascii="Times New Roman" w:hAnsi="Times New Roman" w:eastAsia="宋体"/>
                <w:color w:val="auto"/>
                <w:kern w:val="2"/>
                <w:szCs w:val="24"/>
              </w:rPr>
            </w:pPr>
            <w:r>
              <w:rPr>
                <w:rFonts w:ascii="Times New Roman" w:hAnsi="Times New Roman" w:eastAsia="宋体"/>
                <w:color w:val="auto"/>
                <w:kern w:val="2"/>
                <w:szCs w:val="24"/>
              </w:rPr>
              <w:t>施工</w:t>
            </w:r>
          </w:p>
          <w:p>
            <w:pPr>
              <w:pStyle w:val="26"/>
              <w:adjustRightInd w:val="0"/>
              <w:snapToGrid w:val="0"/>
              <w:spacing w:before="0" w:beforeAutospacing="0" w:after="0" w:afterAutospacing="0"/>
              <w:jc w:val="center"/>
              <w:rPr>
                <w:rFonts w:ascii="Times New Roman" w:hAnsi="Times New Roman" w:eastAsia="宋体"/>
                <w:color w:val="auto"/>
                <w:kern w:val="2"/>
                <w:szCs w:val="24"/>
              </w:rPr>
            </w:pPr>
            <w:r>
              <w:rPr>
                <w:rFonts w:ascii="Times New Roman" w:hAnsi="Times New Roman" w:eastAsia="宋体"/>
                <w:color w:val="auto"/>
                <w:kern w:val="2"/>
                <w:szCs w:val="24"/>
              </w:rPr>
              <w:t>期环</w:t>
            </w:r>
          </w:p>
          <w:p>
            <w:pPr>
              <w:pStyle w:val="26"/>
              <w:adjustRightInd w:val="0"/>
              <w:snapToGrid w:val="0"/>
              <w:spacing w:before="0" w:beforeAutospacing="0" w:after="0" w:afterAutospacing="0"/>
              <w:jc w:val="center"/>
              <w:rPr>
                <w:rFonts w:ascii="Times New Roman" w:hAnsi="Times New Roman" w:eastAsia="宋体"/>
                <w:color w:val="auto"/>
                <w:kern w:val="2"/>
                <w:szCs w:val="24"/>
              </w:rPr>
            </w:pPr>
            <w:r>
              <w:rPr>
                <w:rFonts w:ascii="Times New Roman" w:hAnsi="Times New Roman" w:eastAsia="宋体"/>
                <w:color w:val="auto"/>
                <w:kern w:val="2"/>
                <w:szCs w:val="24"/>
              </w:rPr>
              <w:t>境保</w:t>
            </w:r>
          </w:p>
          <w:p>
            <w:pPr>
              <w:pStyle w:val="26"/>
              <w:adjustRightInd w:val="0"/>
              <w:snapToGrid w:val="0"/>
              <w:spacing w:before="0" w:beforeAutospacing="0" w:after="0" w:afterAutospacing="0"/>
              <w:jc w:val="center"/>
              <w:rPr>
                <w:rFonts w:ascii="Times New Roman" w:hAnsi="Times New Roman" w:eastAsia="宋体"/>
                <w:color w:val="auto"/>
                <w:kern w:val="2"/>
                <w:szCs w:val="24"/>
              </w:rPr>
            </w:pPr>
            <w:r>
              <w:rPr>
                <w:rFonts w:ascii="Times New Roman" w:hAnsi="Times New Roman" w:eastAsia="宋体"/>
                <w:color w:val="auto"/>
                <w:kern w:val="2"/>
                <w:szCs w:val="24"/>
              </w:rPr>
              <w:t>护措</w:t>
            </w:r>
          </w:p>
          <w:p>
            <w:pPr>
              <w:pStyle w:val="26"/>
              <w:adjustRightInd w:val="0"/>
              <w:snapToGrid w:val="0"/>
              <w:spacing w:before="0" w:beforeAutospacing="0" w:after="0" w:afterAutospacing="0"/>
              <w:jc w:val="center"/>
              <w:rPr>
                <w:rFonts w:ascii="Times New Roman" w:hAnsi="Times New Roman" w:eastAsia="宋体"/>
                <w:color w:val="auto"/>
                <w:kern w:val="2"/>
                <w:szCs w:val="24"/>
              </w:rPr>
            </w:pPr>
            <w:r>
              <w:rPr>
                <w:rFonts w:ascii="Times New Roman" w:hAnsi="Times New Roman" w:eastAsia="宋体"/>
                <w:color w:val="auto"/>
                <w:kern w:val="2"/>
                <w:szCs w:val="24"/>
              </w:rPr>
              <w:t>施</w:t>
            </w:r>
          </w:p>
        </w:tc>
        <w:tc>
          <w:tcPr>
            <w:tcW w:w="9142" w:type="dxa"/>
            <w:vAlign w:val="center"/>
          </w:tcPr>
          <w:p>
            <w:pPr>
              <w:spacing w:line="360" w:lineRule="auto"/>
              <w:ind w:firstLine="480" w:firstLineChars="200"/>
              <w:rPr>
                <w:color w:val="auto"/>
              </w:rPr>
            </w:pPr>
            <w:r>
              <w:rPr>
                <w:rFonts w:hint="default" w:ascii="Times New Roman" w:hAnsi="Times New Roman" w:eastAsia="宋体" w:cs="Times New Roman"/>
                <w:color w:val="auto"/>
                <w:sz w:val="24"/>
                <w:highlight w:val="none"/>
                <w:lang w:val="en-US" w:eastAsia="zh-CN"/>
              </w:rPr>
              <w:t>本项目已建成投产使用，施工期已结束</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本次环评不再详述。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6" w:type="dxa"/>
            <w:tcMar>
              <w:left w:w="28" w:type="dxa"/>
              <w:right w:w="28" w:type="dxa"/>
            </w:tcMar>
            <w:vAlign w:val="center"/>
          </w:tcPr>
          <w:p>
            <w:pPr>
              <w:adjustRightInd w:val="0"/>
              <w:snapToGrid w:val="0"/>
              <w:jc w:val="center"/>
              <w:rPr>
                <w:color w:val="auto"/>
                <w:sz w:val="24"/>
              </w:rPr>
            </w:pPr>
            <w:r>
              <w:rPr>
                <w:color w:val="auto"/>
                <w:sz w:val="24"/>
              </w:rPr>
              <w:t>运营</w:t>
            </w:r>
          </w:p>
          <w:p>
            <w:pPr>
              <w:adjustRightInd w:val="0"/>
              <w:snapToGrid w:val="0"/>
              <w:jc w:val="center"/>
              <w:rPr>
                <w:color w:val="auto"/>
                <w:sz w:val="24"/>
              </w:rPr>
            </w:pPr>
            <w:r>
              <w:rPr>
                <w:color w:val="auto"/>
                <w:sz w:val="24"/>
              </w:rPr>
              <w:t>期环</w:t>
            </w:r>
          </w:p>
          <w:p>
            <w:pPr>
              <w:adjustRightInd w:val="0"/>
              <w:snapToGrid w:val="0"/>
              <w:jc w:val="center"/>
              <w:rPr>
                <w:color w:val="auto"/>
                <w:sz w:val="24"/>
              </w:rPr>
            </w:pPr>
            <w:r>
              <w:rPr>
                <w:color w:val="auto"/>
                <w:sz w:val="24"/>
              </w:rPr>
              <w:t>境影</w:t>
            </w:r>
          </w:p>
          <w:p>
            <w:pPr>
              <w:adjustRightInd w:val="0"/>
              <w:snapToGrid w:val="0"/>
              <w:jc w:val="center"/>
              <w:rPr>
                <w:color w:val="auto"/>
                <w:sz w:val="24"/>
              </w:rPr>
            </w:pPr>
            <w:r>
              <w:rPr>
                <w:color w:val="auto"/>
                <w:sz w:val="24"/>
              </w:rPr>
              <w:t>响和</w:t>
            </w:r>
          </w:p>
          <w:p>
            <w:pPr>
              <w:adjustRightInd w:val="0"/>
              <w:snapToGrid w:val="0"/>
              <w:jc w:val="center"/>
              <w:rPr>
                <w:color w:val="auto"/>
                <w:sz w:val="24"/>
              </w:rPr>
            </w:pPr>
            <w:r>
              <w:rPr>
                <w:color w:val="auto"/>
                <w:sz w:val="24"/>
              </w:rPr>
              <w:t>保护</w:t>
            </w:r>
          </w:p>
          <w:p>
            <w:pPr>
              <w:adjustRightInd w:val="0"/>
              <w:snapToGrid w:val="0"/>
              <w:jc w:val="center"/>
              <w:rPr>
                <w:color w:val="auto"/>
                <w:sz w:val="24"/>
              </w:rPr>
            </w:pPr>
            <w:r>
              <w:rPr>
                <w:color w:val="auto"/>
                <w:sz w:val="24"/>
              </w:rPr>
              <w:t>措施</w:t>
            </w:r>
          </w:p>
        </w:tc>
        <w:tc>
          <w:tcPr>
            <w:tcW w:w="9142" w:type="dxa"/>
            <w:vAlign w:val="center"/>
          </w:tcPr>
          <w:p>
            <w:pPr>
              <w:widowControl/>
              <w:spacing w:line="360" w:lineRule="auto"/>
              <w:ind w:firstLine="482" w:firstLineChars="200"/>
              <w:rPr>
                <w:rFonts w:hint="default"/>
                <w:color w:val="0000FF"/>
                <w:sz w:val="24"/>
                <w:lang w:bidi="zh-TW"/>
              </w:rPr>
            </w:pPr>
            <w:r>
              <w:rPr>
                <w:rFonts w:hint="eastAsia" w:ascii="Times New Roman" w:hAnsi="Times New Roman" w:cs="Times New Roman"/>
                <w:b/>
                <w:bCs/>
                <w:color w:val="0000FF"/>
                <w:kern w:val="24"/>
                <w:sz w:val="24"/>
                <w:szCs w:val="24"/>
              </w:rPr>
              <w:t>1.</w:t>
            </w:r>
            <w:r>
              <w:rPr>
                <w:rFonts w:ascii="Times New Roman" w:hAnsi="Times New Roman" w:cs="Times New Roman"/>
                <w:b/>
                <w:bCs/>
                <w:color w:val="0000FF"/>
                <w:kern w:val="24"/>
                <w:sz w:val="24"/>
                <w:szCs w:val="24"/>
              </w:rPr>
              <w:t>废气</w:t>
            </w:r>
            <w:r>
              <w:rPr>
                <w:rFonts w:hint="eastAsia" w:ascii="Times New Roman" w:hAnsi="Times New Roman" w:cs="Times New Roman"/>
                <w:b/>
                <w:bCs/>
                <w:color w:val="0000FF"/>
                <w:sz w:val="24"/>
                <w:szCs w:val="24"/>
                <w:lang w:val="en-US" w:eastAsia="zh-CN"/>
              </w:rPr>
              <w:t>环境影响和保护措施</w:t>
            </w:r>
          </w:p>
          <w:p>
            <w:pPr>
              <w:adjustRightInd w:val="0"/>
              <w:snapToGrid w:val="0"/>
              <w:spacing w:line="360" w:lineRule="auto"/>
              <w:ind w:firstLine="480" w:firstLineChars="200"/>
              <w:rPr>
                <w:rFonts w:hint="default" w:ascii="Times New Roman" w:hAnsi="Times New Roman" w:eastAsia="宋体" w:cs="Times New Roman"/>
                <w:b w:val="0"/>
                <w:bCs w:val="0"/>
                <w:color w:val="0000FF"/>
                <w:sz w:val="24"/>
                <w:szCs w:val="24"/>
              </w:rPr>
            </w:pPr>
            <w:r>
              <w:rPr>
                <w:color w:val="0000FF"/>
                <w:sz w:val="24"/>
              </w:rPr>
              <w:t>本项目为医疗废物收集、贮存，医疗废物采用专用包装袋，封口后装在周转箱内，日产日清</w:t>
            </w:r>
            <w:r>
              <w:rPr>
                <w:rFonts w:hint="eastAsia"/>
                <w:color w:val="0000FF"/>
                <w:sz w:val="24"/>
                <w:lang w:eastAsia="zh-CN"/>
              </w:rPr>
              <w:t>，</w:t>
            </w:r>
            <w:r>
              <w:rPr>
                <w:color w:val="0000FF"/>
                <w:sz w:val="24"/>
              </w:rPr>
              <w:t>暂存时间最长不超过</w:t>
            </w:r>
            <w:r>
              <w:rPr>
                <w:rFonts w:hint="eastAsia"/>
                <w:color w:val="0000FF"/>
                <w:sz w:val="24"/>
                <w:lang w:val="en-US" w:eastAsia="zh-CN"/>
              </w:rPr>
              <w:t>24</w:t>
            </w:r>
            <w:r>
              <w:rPr>
                <w:color w:val="0000FF"/>
                <w:sz w:val="24"/>
              </w:rPr>
              <w:t>小时，原则上不产生废气。在医疗废物周转箱及暂存间定期</w:t>
            </w:r>
            <w:r>
              <w:rPr>
                <w:rFonts w:hint="eastAsia"/>
                <w:color w:val="0000FF"/>
                <w:sz w:val="24"/>
                <w:lang w:val="en-US" w:eastAsia="zh-CN"/>
              </w:rPr>
              <w:t>喷洒</w:t>
            </w:r>
            <w:r>
              <w:rPr>
                <w:color w:val="0000FF"/>
                <w:sz w:val="24"/>
              </w:rPr>
              <w:t>消毒</w:t>
            </w:r>
            <w:r>
              <w:rPr>
                <w:rFonts w:hint="eastAsia"/>
                <w:color w:val="0000FF"/>
                <w:sz w:val="24"/>
                <w:lang w:val="en-US" w:eastAsia="zh-CN"/>
              </w:rPr>
              <w:t>水</w:t>
            </w:r>
            <w:r>
              <w:rPr>
                <w:color w:val="0000FF"/>
                <w:sz w:val="24"/>
              </w:rPr>
              <w:t>杀菌</w:t>
            </w:r>
            <w:r>
              <w:rPr>
                <w:rFonts w:ascii="宋体" w:hAnsi="宋体" w:eastAsia="宋体" w:cs="宋体"/>
                <w:color w:val="0000FF"/>
                <w:sz w:val="24"/>
                <w:szCs w:val="24"/>
              </w:rPr>
              <w:t>，</w:t>
            </w:r>
            <w:r>
              <w:rPr>
                <w:rFonts w:hint="eastAsia" w:ascii="宋体" w:hAnsi="宋体" w:eastAsia="宋体" w:cs="宋体"/>
                <w:color w:val="0000FF"/>
                <w:sz w:val="24"/>
                <w:szCs w:val="24"/>
                <w:lang w:val="en-US" w:eastAsia="zh-CN"/>
              </w:rPr>
              <w:t>风机</w:t>
            </w:r>
            <w:r>
              <w:rPr>
                <w:rFonts w:ascii="宋体" w:hAnsi="宋体" w:eastAsia="宋体" w:cs="宋体"/>
                <w:color w:val="0000FF"/>
                <w:sz w:val="24"/>
                <w:szCs w:val="24"/>
              </w:rPr>
              <w:t>加强通风</w:t>
            </w:r>
            <w:r>
              <w:rPr>
                <w:color w:val="0000FF"/>
                <w:sz w:val="24"/>
              </w:rPr>
              <w:t>。</w:t>
            </w:r>
            <w:r>
              <w:rPr>
                <w:rFonts w:hint="default" w:ascii="Times New Roman" w:hAnsi="Times New Roman" w:eastAsia="宋体" w:cs="Times New Roman"/>
                <w:b w:val="0"/>
                <w:bCs w:val="0"/>
                <w:color w:val="0000FF"/>
                <w:sz w:val="24"/>
                <w:szCs w:val="24"/>
                <w:lang w:val="en-US" w:eastAsia="zh-CN"/>
              </w:rPr>
              <w:t>根据《挥发性有机物无组织排放控制标准》（GB37822—2019）：</w:t>
            </w:r>
            <w:r>
              <w:rPr>
                <w:rFonts w:hint="default" w:ascii="Times New Roman" w:hAnsi="Times New Roman" w:eastAsia="宋体" w:cs="Times New Roman"/>
                <w:b w:val="0"/>
                <w:bCs w:val="0"/>
                <w:color w:val="0000FF"/>
                <w:sz w:val="24"/>
                <w:szCs w:val="24"/>
              </w:rPr>
              <w:t>10.3.2 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p>
            <w:pPr>
              <w:widowControl/>
              <w:spacing w:line="360" w:lineRule="auto"/>
              <w:ind w:firstLine="480" w:firstLineChars="200"/>
              <w:jc w:val="left"/>
              <w:rPr>
                <w:color w:val="0000FF"/>
                <w:sz w:val="24"/>
              </w:rPr>
            </w:pPr>
            <w:r>
              <w:rPr>
                <w:rFonts w:hint="default" w:ascii="Times New Roman" w:hAnsi="Times New Roman" w:eastAsia="宋体" w:cs="Times New Roman"/>
                <w:color w:val="0000FF"/>
                <w:sz w:val="24"/>
                <w:szCs w:val="24"/>
              </w:rPr>
              <w:t>本项目</w:t>
            </w:r>
            <w:r>
              <w:rPr>
                <w:color w:val="0000FF"/>
                <w:sz w:val="24"/>
              </w:rPr>
              <w:t>原则上不产生废气</w:t>
            </w:r>
            <w:r>
              <w:rPr>
                <w:rFonts w:hint="eastAsia" w:cs="Times New Roman"/>
                <w:b w:val="0"/>
                <w:bCs w:val="0"/>
                <w:color w:val="0000FF"/>
                <w:sz w:val="24"/>
                <w:szCs w:val="24"/>
                <w:lang w:eastAsia="zh-CN" w:bidi="zh-TW"/>
              </w:rPr>
              <w:t>。</w:t>
            </w:r>
            <w:r>
              <w:rPr>
                <w:rFonts w:hint="eastAsia" w:cs="Times New Roman"/>
                <w:b w:val="0"/>
                <w:bCs w:val="0"/>
                <w:color w:val="0000FF"/>
                <w:sz w:val="24"/>
                <w:szCs w:val="24"/>
                <w:lang w:val="en-US" w:eastAsia="zh-CN" w:bidi="zh-TW"/>
              </w:rPr>
              <w:t>因此，</w:t>
            </w:r>
            <w:r>
              <w:rPr>
                <w:rFonts w:hint="eastAsia" w:cs="Times New Roman"/>
                <w:b w:val="0"/>
                <w:bCs w:val="0"/>
                <w:color w:val="0000FF"/>
                <w:sz w:val="24"/>
                <w:szCs w:val="24"/>
                <w:lang w:val="en-US" w:eastAsia="zh-CN"/>
              </w:rPr>
              <w:t>项目不设</w:t>
            </w:r>
            <w:r>
              <w:rPr>
                <w:rFonts w:hint="default" w:ascii="Times New Roman" w:hAnsi="Times New Roman" w:eastAsia="宋体" w:cs="Times New Roman"/>
                <w:b w:val="0"/>
                <w:bCs w:val="0"/>
                <w:color w:val="0000FF"/>
                <w:sz w:val="24"/>
                <w:szCs w:val="24"/>
              </w:rPr>
              <w:t>有组织废气排放口。</w:t>
            </w:r>
          </w:p>
          <w:p>
            <w:pPr>
              <w:widowControl/>
              <w:spacing w:line="360" w:lineRule="auto"/>
              <w:ind w:firstLine="482" w:firstLineChars="200"/>
              <w:jc w:val="left"/>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2.废水环境影响和保护措施</w:t>
            </w:r>
          </w:p>
          <w:p>
            <w:pPr>
              <w:spacing w:line="360" w:lineRule="auto"/>
              <w:ind w:firstLine="480" w:firstLineChars="200"/>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生产废水</w:t>
            </w:r>
          </w:p>
          <w:p>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val="en-US" w:eastAsia="zh-CN"/>
              </w:rPr>
              <w:t>医疗废物暂存间</w:t>
            </w:r>
            <w:r>
              <w:rPr>
                <w:rFonts w:hint="default" w:ascii="Times New Roman" w:hAnsi="Times New Roman" w:cs="Times New Roman"/>
                <w:color w:val="auto"/>
                <w:sz w:val="24"/>
                <w:szCs w:val="24"/>
              </w:rPr>
              <w:t>消毒用水通过消毒喷洒后自然挥发，故项目无生产废水产生。</w:t>
            </w:r>
          </w:p>
          <w:p>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生活污水</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eastAsia="zh-CN"/>
              </w:rPr>
            </w:pPr>
            <w:r>
              <w:rPr>
                <w:color w:val="auto"/>
                <w:sz w:val="24"/>
                <w:szCs w:val="24"/>
              </w:rPr>
              <w:t>本项目为</w:t>
            </w:r>
            <w:r>
              <w:rPr>
                <w:rFonts w:hint="eastAsia"/>
                <w:color w:val="auto"/>
                <w:sz w:val="24"/>
                <w:szCs w:val="24"/>
                <w:lang w:val="en-US" w:eastAsia="zh-CN"/>
              </w:rPr>
              <w:t>医疗废物暂存间</w:t>
            </w:r>
            <w:r>
              <w:rPr>
                <w:color w:val="auto"/>
                <w:sz w:val="24"/>
                <w:szCs w:val="24"/>
              </w:rPr>
              <w:t>建设项目，项目不新增劳动定员，未增加生活用水</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故项目无生活废水产生。</w:t>
            </w:r>
          </w:p>
          <w:p>
            <w:pPr>
              <w:widowControl/>
              <w:spacing w:line="360" w:lineRule="auto"/>
              <w:ind w:firstLine="482" w:firstLineChars="200"/>
              <w:jc w:val="left"/>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val="en-US" w:eastAsia="zh-CN"/>
              </w:rPr>
              <w:t>3.噪声环境影响和保护措施</w:t>
            </w:r>
          </w:p>
          <w:p>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color w:val="auto"/>
                <w:sz w:val="24"/>
                <w:szCs w:val="24"/>
              </w:rPr>
              <w:t>本项目的噪声主要为轴流风机运行噪声，</w:t>
            </w:r>
            <w:r>
              <w:rPr>
                <w:rFonts w:hint="default" w:ascii="Times New Roman" w:hAnsi="Times New Roman" w:cs="Times New Roman"/>
                <w:color w:val="auto"/>
                <w:sz w:val="24"/>
                <w:szCs w:val="24"/>
                <w:lang w:val="en-US" w:eastAsia="zh-CN"/>
              </w:rPr>
              <w:t>在医疗废物转运时还会有瞬时的</w:t>
            </w:r>
            <w:r>
              <w:rPr>
                <w:rFonts w:hint="eastAsia" w:ascii="Times New Roman" w:hAnsi="Times New Roman" w:cs="Times New Roman"/>
                <w:color w:val="auto"/>
                <w:sz w:val="24"/>
                <w:szCs w:val="24"/>
                <w:lang w:val="en-US" w:eastAsia="zh-CN"/>
              </w:rPr>
              <w:t>运输</w:t>
            </w:r>
            <w:r>
              <w:rPr>
                <w:rFonts w:hint="default" w:ascii="Times New Roman" w:hAnsi="Times New Roman" w:cs="Times New Roman"/>
                <w:color w:val="auto"/>
                <w:sz w:val="24"/>
                <w:szCs w:val="24"/>
                <w:lang w:val="en-US" w:eastAsia="zh-CN"/>
              </w:rPr>
              <w:t>噪声和装卸噪声。</w:t>
            </w:r>
            <w:r>
              <w:rPr>
                <w:rFonts w:hint="default" w:ascii="Times New Roman" w:hAnsi="Times New Roman" w:cs="Times New Roman"/>
                <w:color w:val="auto"/>
                <w:sz w:val="24"/>
                <w:szCs w:val="24"/>
              </w:rPr>
              <w:t>类比同类设备的噪声级数据，项目生产设备运行时的噪声值约为60~</w:t>
            </w:r>
            <w:r>
              <w:rPr>
                <w:rFonts w:hint="eastAsia" w:cs="Times New Roman"/>
                <w:color w:val="auto"/>
                <w:sz w:val="24"/>
                <w:szCs w:val="24"/>
                <w:lang w:val="en-US" w:eastAsia="zh-CN"/>
              </w:rPr>
              <w:t>7</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B（A）。选用低噪声设备，基础减震、加强设备维护和保养，避免因设备运转不正常时噪声增高的情况；工作人员装卸货物时通过对货物轻拿轻放、不大声喧哗等人为控制措施；项目营运期噪声对环境影响不大。项目主要生产噪声设备源强及治理措施见下表。</w:t>
            </w:r>
          </w:p>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表4-1    主要设备噪声源强</w:t>
            </w:r>
          </w:p>
          <w:tbl>
            <w:tblPr>
              <w:tblStyle w:val="30"/>
              <w:tblW w:w="499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2"/>
              <w:gridCol w:w="2163"/>
              <w:gridCol w:w="859"/>
              <w:gridCol w:w="1153"/>
              <w:gridCol w:w="1243"/>
              <w:gridCol w:w="836"/>
              <w:gridCol w:w="831"/>
              <w:gridCol w:w="13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noWrap w:val="0"/>
                  <w:tcMar>
                    <w:left w:w="28" w:type="dxa"/>
                    <w:right w:w="28" w:type="dxa"/>
                  </w:tcMar>
                  <w:vAlign w:val="center"/>
                </w:tcPr>
                <w:p>
                  <w:pPr>
                    <w:adjustRightInd w:val="0"/>
                    <w:snapToGrid w:val="0"/>
                    <w:spacing w:line="320" w:lineRule="exact"/>
                    <w:jc w:val="center"/>
                    <w:rPr>
                      <w:b/>
                      <w:bCs/>
                      <w:color w:val="auto"/>
                      <w:szCs w:val="21"/>
                    </w:rPr>
                  </w:pPr>
                  <w:r>
                    <w:rPr>
                      <w:b/>
                      <w:bCs/>
                      <w:color w:val="auto"/>
                      <w:szCs w:val="21"/>
                    </w:rPr>
                    <w:t>序号</w:t>
                  </w:r>
                </w:p>
              </w:tc>
              <w:tc>
                <w:tcPr>
                  <w:tcW w:w="1216" w:type="pct"/>
                  <w:noWrap w:val="0"/>
                  <w:tcMar>
                    <w:left w:w="28" w:type="dxa"/>
                    <w:right w:w="28" w:type="dxa"/>
                  </w:tcMar>
                  <w:vAlign w:val="center"/>
                </w:tcPr>
                <w:p>
                  <w:pPr>
                    <w:adjustRightInd w:val="0"/>
                    <w:snapToGrid w:val="0"/>
                    <w:spacing w:line="320" w:lineRule="exact"/>
                    <w:jc w:val="center"/>
                    <w:rPr>
                      <w:rFonts w:hint="eastAsia"/>
                      <w:b/>
                      <w:bCs/>
                      <w:color w:val="auto"/>
                      <w:szCs w:val="21"/>
                    </w:rPr>
                  </w:pPr>
                  <w:r>
                    <w:rPr>
                      <w:rFonts w:hint="eastAsia"/>
                      <w:b/>
                      <w:bCs/>
                      <w:color w:val="auto"/>
                      <w:szCs w:val="21"/>
                    </w:rPr>
                    <w:t>声源</w:t>
                  </w:r>
                </w:p>
              </w:tc>
              <w:tc>
                <w:tcPr>
                  <w:tcW w:w="483" w:type="pct"/>
                  <w:noWrap w:val="0"/>
                  <w:tcMar>
                    <w:left w:w="28" w:type="dxa"/>
                    <w:right w:w="28" w:type="dxa"/>
                  </w:tcMar>
                  <w:vAlign w:val="center"/>
                </w:tcPr>
                <w:p>
                  <w:pPr>
                    <w:adjustRightInd w:val="0"/>
                    <w:snapToGrid w:val="0"/>
                    <w:spacing w:line="320" w:lineRule="exact"/>
                    <w:jc w:val="center"/>
                    <w:rPr>
                      <w:rFonts w:hint="eastAsia"/>
                      <w:b/>
                      <w:bCs/>
                      <w:color w:val="auto"/>
                      <w:szCs w:val="21"/>
                    </w:rPr>
                  </w:pPr>
                  <w:r>
                    <w:rPr>
                      <w:b/>
                      <w:bCs/>
                      <w:color w:val="auto"/>
                      <w:szCs w:val="21"/>
                    </w:rPr>
                    <w:t>数量</w:t>
                  </w:r>
                  <w:r>
                    <w:rPr>
                      <w:rFonts w:hint="eastAsia"/>
                      <w:b/>
                      <w:bCs/>
                      <w:color w:val="auto"/>
                      <w:szCs w:val="21"/>
                    </w:rPr>
                    <w:t>(</w:t>
                  </w:r>
                  <w:r>
                    <w:rPr>
                      <w:b/>
                      <w:bCs/>
                      <w:color w:val="auto"/>
                      <w:szCs w:val="21"/>
                    </w:rPr>
                    <w:t>台</w:t>
                  </w:r>
                  <w:r>
                    <w:rPr>
                      <w:rFonts w:hint="eastAsia"/>
                      <w:b/>
                      <w:bCs/>
                      <w:color w:val="auto"/>
                      <w:szCs w:val="21"/>
                    </w:rPr>
                    <w:t>)</w:t>
                  </w:r>
                </w:p>
              </w:tc>
              <w:tc>
                <w:tcPr>
                  <w:tcW w:w="648" w:type="pct"/>
                  <w:noWrap w:val="0"/>
                  <w:tcMar>
                    <w:left w:w="28" w:type="dxa"/>
                    <w:right w:w="28" w:type="dxa"/>
                  </w:tcMar>
                  <w:vAlign w:val="center"/>
                </w:tcPr>
                <w:p>
                  <w:pPr>
                    <w:adjustRightInd w:val="0"/>
                    <w:snapToGrid w:val="0"/>
                    <w:spacing w:line="320" w:lineRule="exact"/>
                    <w:jc w:val="center"/>
                    <w:rPr>
                      <w:b/>
                      <w:bCs/>
                      <w:color w:val="auto"/>
                      <w:szCs w:val="21"/>
                    </w:rPr>
                  </w:pPr>
                  <w:r>
                    <w:rPr>
                      <w:rFonts w:hint="eastAsia"/>
                      <w:b/>
                      <w:bCs/>
                      <w:color w:val="auto"/>
                      <w:szCs w:val="21"/>
                    </w:rPr>
                    <w:t>叠加</w:t>
                  </w:r>
                  <w:r>
                    <w:rPr>
                      <w:b/>
                      <w:bCs/>
                      <w:color w:val="auto"/>
                      <w:szCs w:val="21"/>
                    </w:rPr>
                    <w:t>源强（dB(A)）</w:t>
                  </w:r>
                </w:p>
              </w:tc>
              <w:tc>
                <w:tcPr>
                  <w:tcW w:w="699" w:type="pct"/>
                  <w:noWrap w:val="0"/>
                  <w:tcMar>
                    <w:left w:w="28" w:type="dxa"/>
                    <w:right w:w="28" w:type="dxa"/>
                  </w:tcMar>
                  <w:vAlign w:val="center"/>
                </w:tcPr>
                <w:p>
                  <w:pPr>
                    <w:pStyle w:val="119"/>
                    <w:adjustRightInd w:val="0"/>
                    <w:spacing w:line="320" w:lineRule="exact"/>
                    <w:rPr>
                      <w:rFonts w:ascii="Times New Roman" w:hAnsi="Times New Roman"/>
                      <w:b/>
                      <w:bCs/>
                      <w:color w:val="auto"/>
                      <w:kern w:val="0"/>
                      <w:szCs w:val="21"/>
                      <w:lang w:val="en-US" w:eastAsia="zh-CN"/>
                    </w:rPr>
                  </w:pPr>
                  <w:r>
                    <w:rPr>
                      <w:rFonts w:ascii="Times New Roman" w:hAnsi="Times New Roman"/>
                      <w:b/>
                      <w:bCs/>
                      <w:color w:val="auto"/>
                      <w:kern w:val="0"/>
                      <w:szCs w:val="21"/>
                      <w:lang w:val="en-US" w:eastAsia="zh-CN"/>
                    </w:rPr>
                    <w:t>防治措施</w:t>
                  </w:r>
                </w:p>
              </w:tc>
              <w:tc>
                <w:tcPr>
                  <w:tcW w:w="470" w:type="pct"/>
                  <w:noWrap w:val="0"/>
                  <w:vAlign w:val="center"/>
                </w:tcPr>
                <w:p>
                  <w:pPr>
                    <w:pStyle w:val="119"/>
                    <w:adjustRightInd w:val="0"/>
                    <w:spacing w:line="320" w:lineRule="exact"/>
                    <w:rPr>
                      <w:rFonts w:ascii="Times New Roman" w:hAnsi="Times New Roman"/>
                      <w:b/>
                      <w:bCs/>
                      <w:color w:val="auto"/>
                      <w:kern w:val="0"/>
                      <w:szCs w:val="21"/>
                      <w:lang w:val="en-US" w:eastAsia="zh-CN"/>
                    </w:rPr>
                  </w:pPr>
                  <w:r>
                    <w:rPr>
                      <w:rFonts w:ascii="Times New Roman" w:hAnsi="Times New Roman"/>
                      <w:b/>
                      <w:bCs/>
                      <w:color w:val="auto"/>
                      <w:kern w:val="0"/>
                      <w:szCs w:val="21"/>
                      <w:lang w:val="en-US" w:eastAsia="zh-CN"/>
                    </w:rPr>
                    <w:t>降噪量</w:t>
                  </w:r>
                </w:p>
              </w:tc>
              <w:tc>
                <w:tcPr>
                  <w:tcW w:w="467" w:type="pct"/>
                  <w:noWrap w:val="0"/>
                  <w:vAlign w:val="center"/>
                </w:tcPr>
                <w:p>
                  <w:pPr>
                    <w:pStyle w:val="119"/>
                    <w:adjustRightInd w:val="0"/>
                    <w:spacing w:line="320" w:lineRule="exact"/>
                    <w:rPr>
                      <w:rFonts w:ascii="Times New Roman" w:hAnsi="Times New Roman"/>
                      <w:b/>
                      <w:bCs/>
                      <w:color w:val="auto"/>
                      <w:kern w:val="0"/>
                      <w:szCs w:val="21"/>
                      <w:lang w:val="en-US" w:eastAsia="zh-CN"/>
                    </w:rPr>
                  </w:pPr>
                  <w:r>
                    <w:rPr>
                      <w:rFonts w:ascii="Times New Roman" w:hAnsi="Times New Roman"/>
                      <w:b/>
                      <w:bCs/>
                      <w:color w:val="auto"/>
                      <w:kern w:val="0"/>
                      <w:szCs w:val="21"/>
                      <w:lang w:val="en-US" w:eastAsia="zh-CN"/>
                    </w:rPr>
                    <w:t>声源性质</w:t>
                  </w:r>
                </w:p>
              </w:tc>
              <w:tc>
                <w:tcPr>
                  <w:tcW w:w="774" w:type="pct"/>
                  <w:noWrap w:val="0"/>
                  <w:vAlign w:val="center"/>
                </w:tcPr>
                <w:p>
                  <w:pPr>
                    <w:pStyle w:val="119"/>
                    <w:adjustRightInd w:val="0"/>
                    <w:spacing w:line="320" w:lineRule="exact"/>
                    <w:rPr>
                      <w:rFonts w:ascii="Times New Roman" w:hAnsi="Times New Roman"/>
                      <w:b/>
                      <w:bCs/>
                      <w:color w:val="auto"/>
                      <w:kern w:val="0"/>
                      <w:szCs w:val="21"/>
                      <w:lang w:val="en-US" w:eastAsia="zh-CN"/>
                    </w:rPr>
                  </w:pPr>
                  <w:r>
                    <w:rPr>
                      <w:rFonts w:hint="eastAsia" w:ascii="Times New Roman" w:hAnsi="Times New Roman"/>
                      <w:b/>
                      <w:bCs/>
                      <w:color w:val="auto"/>
                      <w:kern w:val="0"/>
                      <w:szCs w:val="21"/>
                      <w:lang w:val="en-US" w:eastAsia="zh-CN"/>
                    </w:rPr>
                    <w:t>治理后声级</w:t>
                  </w:r>
                  <w:r>
                    <w:rPr>
                      <w:rFonts w:ascii="Times New Roman" w:hAnsi="Times New Roman"/>
                      <w:b/>
                      <w:bCs/>
                      <w:color w:val="auto"/>
                      <w:kern w:val="0"/>
                      <w:szCs w:val="21"/>
                      <w:lang w:val="en-US" w:eastAsia="zh-CN"/>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238" w:type="pct"/>
                  <w:noWrap w:val="0"/>
                  <w:tcMar>
                    <w:left w:w="28" w:type="dxa"/>
                    <w:right w:w="28" w:type="dxa"/>
                  </w:tcMar>
                  <w:vAlign w:val="center"/>
                </w:tcPr>
                <w:p>
                  <w:pPr>
                    <w:widowControl/>
                    <w:spacing w:line="320" w:lineRule="exact"/>
                    <w:jc w:val="center"/>
                    <w:rPr>
                      <w:rFonts w:hint="eastAsia" w:ascii="Times New Roman" w:hAnsi="Times New Roman" w:cs="Arial"/>
                      <w:color w:val="auto"/>
                      <w:szCs w:val="21"/>
                    </w:rPr>
                  </w:pPr>
                  <w:r>
                    <w:rPr>
                      <w:rFonts w:hint="eastAsia" w:ascii="Times New Roman" w:hAnsi="Times New Roman" w:cs="Arial"/>
                      <w:color w:val="auto"/>
                      <w:szCs w:val="21"/>
                    </w:rPr>
                    <w:t>1</w:t>
                  </w:r>
                </w:p>
              </w:tc>
              <w:tc>
                <w:tcPr>
                  <w:tcW w:w="1216" w:type="pct"/>
                  <w:noWrap w:val="0"/>
                  <w:tcMar>
                    <w:left w:w="28" w:type="dxa"/>
                    <w:right w:w="28" w:type="dxa"/>
                  </w:tcMar>
                  <w:vAlign w:val="center"/>
                </w:tcPr>
                <w:p>
                  <w:pPr>
                    <w:widowControl/>
                    <w:spacing w:line="320" w:lineRule="exact"/>
                    <w:jc w:val="center"/>
                    <w:rPr>
                      <w:rFonts w:hint="default" w:ascii="Times New Roman" w:hAnsi="Times New Roman" w:eastAsia="宋体" w:cs="Arial"/>
                      <w:color w:val="auto"/>
                      <w:szCs w:val="21"/>
                      <w:lang w:val="en-US" w:eastAsia="zh-CN"/>
                    </w:rPr>
                  </w:pPr>
                  <w:r>
                    <w:rPr>
                      <w:rFonts w:hint="default" w:ascii="Times New Roman" w:hAnsi="Times New Roman" w:eastAsia="宋体" w:cs="Arial"/>
                      <w:color w:val="auto"/>
                      <w:szCs w:val="21"/>
                      <w:lang w:val="en-US" w:eastAsia="zh-CN"/>
                    </w:rPr>
                    <w:t>轴流风机</w:t>
                  </w:r>
                </w:p>
              </w:tc>
              <w:tc>
                <w:tcPr>
                  <w:tcW w:w="483" w:type="pct"/>
                  <w:noWrap w:val="0"/>
                  <w:tcMar>
                    <w:left w:w="28" w:type="dxa"/>
                    <w:right w:w="28" w:type="dxa"/>
                  </w:tcMar>
                  <w:vAlign w:val="center"/>
                </w:tcPr>
                <w:p>
                  <w:pPr>
                    <w:widowControl/>
                    <w:spacing w:line="320" w:lineRule="exact"/>
                    <w:jc w:val="center"/>
                    <w:rPr>
                      <w:rFonts w:hint="eastAsia" w:ascii="Times New Roman" w:hAnsi="Times New Roman" w:cs="Arial"/>
                      <w:color w:val="auto"/>
                      <w:szCs w:val="21"/>
                    </w:rPr>
                  </w:pPr>
                  <w:r>
                    <w:rPr>
                      <w:rFonts w:hint="eastAsia" w:ascii="Times New Roman" w:hAnsi="Times New Roman" w:cs="Arial"/>
                      <w:color w:val="auto"/>
                      <w:szCs w:val="21"/>
                    </w:rPr>
                    <w:t>1</w:t>
                  </w:r>
                </w:p>
              </w:tc>
              <w:tc>
                <w:tcPr>
                  <w:tcW w:w="648" w:type="pct"/>
                  <w:noWrap w:val="0"/>
                  <w:tcMar>
                    <w:left w:w="28" w:type="dxa"/>
                    <w:right w:w="28" w:type="dxa"/>
                  </w:tcMar>
                  <w:vAlign w:val="center"/>
                </w:tcPr>
                <w:p>
                  <w:pPr>
                    <w:widowControl/>
                    <w:spacing w:line="320" w:lineRule="exact"/>
                    <w:jc w:val="center"/>
                    <w:rPr>
                      <w:rFonts w:hint="default" w:ascii="Times New Roman" w:hAnsi="Times New Roman" w:eastAsia="宋体" w:cs="Arial"/>
                      <w:color w:val="auto"/>
                      <w:szCs w:val="21"/>
                      <w:lang w:val="en-US" w:eastAsia="zh-CN"/>
                    </w:rPr>
                  </w:pPr>
                  <w:r>
                    <w:rPr>
                      <w:rFonts w:hint="eastAsia" w:ascii="Times New Roman" w:hAnsi="Times New Roman" w:cs="Arial"/>
                      <w:color w:val="auto"/>
                      <w:szCs w:val="21"/>
                      <w:lang w:val="en-US" w:eastAsia="zh-CN"/>
                    </w:rPr>
                    <w:t>60-70</w:t>
                  </w:r>
                </w:p>
              </w:tc>
              <w:tc>
                <w:tcPr>
                  <w:tcW w:w="699" w:type="pct"/>
                  <w:noWrap w:val="0"/>
                  <w:tcMar>
                    <w:left w:w="28" w:type="dxa"/>
                    <w:right w:w="28" w:type="dxa"/>
                  </w:tcMar>
                  <w:vAlign w:val="center"/>
                </w:tcPr>
                <w:p>
                  <w:pPr>
                    <w:widowControl/>
                    <w:spacing w:line="320" w:lineRule="exact"/>
                    <w:jc w:val="center"/>
                    <w:rPr>
                      <w:rFonts w:hint="eastAsia" w:ascii="Times New Roman" w:hAnsi="Times New Roman" w:cs="Arial"/>
                      <w:color w:val="auto"/>
                      <w:szCs w:val="21"/>
                    </w:rPr>
                  </w:pPr>
                  <w:r>
                    <w:rPr>
                      <w:rFonts w:hint="eastAsia" w:ascii="Times New Roman" w:hAnsi="Times New Roman" w:cs="Arial"/>
                      <w:color w:val="auto"/>
                      <w:szCs w:val="21"/>
                    </w:rPr>
                    <w:t>选取低噪设备，基础减振</w:t>
                  </w:r>
                </w:p>
              </w:tc>
              <w:tc>
                <w:tcPr>
                  <w:tcW w:w="470" w:type="pct"/>
                  <w:noWrap w:val="0"/>
                  <w:vAlign w:val="center"/>
                </w:tcPr>
                <w:p>
                  <w:pPr>
                    <w:widowControl/>
                    <w:spacing w:line="320" w:lineRule="exact"/>
                    <w:jc w:val="center"/>
                    <w:rPr>
                      <w:rFonts w:hint="eastAsia" w:ascii="Times New Roman" w:hAnsi="Times New Roman" w:cs="Arial"/>
                      <w:color w:val="auto"/>
                      <w:szCs w:val="21"/>
                    </w:rPr>
                  </w:pPr>
                  <w:r>
                    <w:rPr>
                      <w:rFonts w:hint="eastAsia" w:ascii="Times New Roman" w:hAnsi="Times New Roman" w:cs="Arial"/>
                      <w:color w:val="auto"/>
                      <w:szCs w:val="21"/>
                    </w:rPr>
                    <w:t>20</w:t>
                  </w:r>
                </w:p>
              </w:tc>
              <w:tc>
                <w:tcPr>
                  <w:tcW w:w="467" w:type="pct"/>
                  <w:noWrap w:val="0"/>
                  <w:vAlign w:val="center"/>
                </w:tcPr>
                <w:p>
                  <w:pPr>
                    <w:widowControl/>
                    <w:spacing w:line="320" w:lineRule="exact"/>
                    <w:jc w:val="center"/>
                    <w:rPr>
                      <w:rFonts w:hint="eastAsia" w:ascii="Times New Roman" w:hAnsi="Times New Roman" w:cs="Arial"/>
                      <w:color w:val="auto"/>
                      <w:szCs w:val="21"/>
                    </w:rPr>
                  </w:pPr>
                  <w:r>
                    <w:rPr>
                      <w:rFonts w:hint="eastAsia" w:ascii="Times New Roman" w:hAnsi="Times New Roman" w:cs="Arial"/>
                      <w:color w:val="auto"/>
                      <w:szCs w:val="21"/>
                    </w:rPr>
                    <w:t>间断</w:t>
                  </w:r>
                </w:p>
              </w:tc>
              <w:tc>
                <w:tcPr>
                  <w:tcW w:w="774" w:type="pct"/>
                  <w:noWrap w:val="0"/>
                  <w:vAlign w:val="center"/>
                </w:tcPr>
                <w:p>
                  <w:pPr>
                    <w:widowControl/>
                    <w:spacing w:line="320" w:lineRule="exact"/>
                    <w:jc w:val="center"/>
                    <w:rPr>
                      <w:rFonts w:hint="default" w:ascii="Times New Roman" w:hAnsi="Times New Roman" w:cs="Arial"/>
                      <w:color w:val="auto"/>
                      <w:szCs w:val="21"/>
                      <w:lang w:val="en-US"/>
                    </w:rPr>
                  </w:pPr>
                  <w:r>
                    <w:rPr>
                      <w:rFonts w:hint="eastAsia" w:ascii="Times New Roman" w:hAnsi="Times New Roman" w:cs="Arial"/>
                      <w:color w:val="auto"/>
                      <w:szCs w:val="21"/>
                      <w:lang w:val="en-US" w:eastAsia="zh-CN"/>
                    </w:rPr>
                    <w:t>40-50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lang w:eastAsia="zh-CN"/>
              </w:rPr>
              <w:t>（2）预测模式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根据拟建项目对声环境产生影响的主要设备噪声源噪声辐射和结构特点，安装位置的环境条件以及噪声源至预测点的距离等因素，本项目将室外噪声源划分为点声源，采用《环境影响评价技术导则 声环境》（HJ2.4－2021）中计算公式。室内噪声噪声影响预测选用《环境影响评价技术导则 声环境》（HJ2.4-2021）中推荐的室内声源等效室外声源计算模式。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①计算某个室内声源在靠近围护结构处的倍频带声压级：</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27" o:spt="75" type="#_x0000_t75" style="height:38pt;width:150.95pt;" o:ole="t" filled="f" o:preferrelative="t" stroked="f" coordsize="21600,21600">
                  <v:path/>
                  <v:fill on="f" focussize="0,0"/>
                  <v:stroke on="f"/>
                  <v:imagedata r:id="rId21" o:title=""/>
                  <o:lock v:ext="edit" grouping="f" rotation="f" text="f" aspectratio="t"/>
                  <w10:wrap type="none"/>
                  <w10:anchorlock/>
                </v:shape>
                <o:OLEObject Type="Embed" ProgID="Equation.3" ShapeID="_x0000_i1027" DrawAspect="Content" ObjectID="_1468075727" r:id="rId20">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式中：Loct</w:t>
            </w:r>
            <w:r>
              <w:rPr>
                <w:rFonts w:hint="eastAsia" w:ascii="Times New Roman" w:hAnsi="Times New Roman" w:cs="Times New Roman"/>
                <w:color w:val="auto"/>
                <w:sz w:val="24"/>
                <w:szCs w:val="24"/>
                <w:vertAlign w:val="subscript"/>
              </w:rPr>
              <w:t>，1</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某个室内声源在靠近围护结构处产生的倍频带声压级，dB（A）；</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L</w:t>
            </w:r>
            <w:r>
              <w:rPr>
                <w:rFonts w:hint="eastAsia" w:ascii="Times New Roman" w:hAnsi="Times New Roman" w:cs="Times New Roman"/>
                <w:color w:val="auto"/>
                <w:sz w:val="24"/>
                <w:szCs w:val="24"/>
                <w:vertAlign w:val="subscript"/>
              </w:rPr>
              <w:t>woct</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某个声源的倍频带声功率级，dB（A）；</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r</w:t>
            </w:r>
            <w:r>
              <w:rPr>
                <w:rFonts w:hint="eastAsia" w:ascii="Times New Roman" w:hAnsi="Times New Roman" w:cs="Times New Roman"/>
                <w:color w:val="auto"/>
                <w:sz w:val="24"/>
                <w:szCs w:val="24"/>
                <w:vertAlign w:val="subscript"/>
              </w:rPr>
              <w:t>1</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室内某个声源与靠近围护结构处的距离，m；</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R</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房间常数，m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Q</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方向性因子，无量纲值。</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②计算所有室内声源在靠近围护结构处产生的总倍频带声压级：</w:t>
            </w:r>
            <w:r>
              <w:rPr>
                <w:rFonts w:hint="eastAsia" w:ascii="Times New Roman" w:hAnsi="Times New Roman" w:cs="Times New Roman"/>
                <w:color w:val="auto"/>
                <w:sz w:val="24"/>
                <w:szCs w:val="24"/>
              </w:rPr>
              <w:tab/>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28" o:spt="75" type="#_x0000_t75" style="height:36pt;width:139.95pt;" o:ole="t" filled="f" o:preferrelative="t" stroked="f" coordsize="21600,21600">
                  <v:path/>
                  <v:fill on="f" focussize="0,0"/>
                  <v:stroke on="f"/>
                  <v:imagedata r:id="rId23" o:title=""/>
                  <o:lock v:ext="edit" grouping="f" rotation="f" text="f" aspectratio="t"/>
                  <w10:wrap type="none"/>
                  <w10:anchorlock/>
                </v:shape>
                <o:OLEObject Type="Embed" ProgID="Equation.3" ShapeID="_x0000_i1028" DrawAspect="Content" ObjectID="_1468075728" r:id="rId22">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③计算室外靠近围护结构处的声压级：</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29" o:spt="75" type="#_x0000_t75" style="height:19pt;width:147pt;" o:ole="t" filled="f" o:preferrelative="t" stroked="f" coordsize="21600,21600">
                  <v:path/>
                  <v:fill on="f" focussize="0,0"/>
                  <v:stroke on="f"/>
                  <v:imagedata r:id="rId25" o:title=""/>
                  <o:lock v:ext="edit" grouping="f" rotation="f" text="f" aspectratio="t"/>
                  <w10:wrap type="none"/>
                  <w10:anchorlock/>
                </v:shape>
                <o:OLEObject Type="Embed" ProgID="Equation.3" ShapeID="_x0000_i1029" DrawAspect="Content" ObjectID="_1468075729" r:id="rId24">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④将室外声级Loct，2(T)和透声面积换算成等效的室外声源，计算等效声源第i个倍频带的声功率级L</w:t>
            </w:r>
            <w:r>
              <w:rPr>
                <w:rFonts w:hint="eastAsia" w:ascii="Times New Roman" w:hAnsi="Times New Roman" w:cs="Times New Roman"/>
                <w:color w:val="auto"/>
                <w:sz w:val="24"/>
                <w:szCs w:val="24"/>
                <w:vertAlign w:val="subscript"/>
              </w:rPr>
              <w:t>woct</w:t>
            </w:r>
            <w:r>
              <w:rPr>
                <w:rFonts w:hint="eastAsia" w:ascii="Times New Roman" w:hAnsi="Times New Roman" w:cs="Times New Roman"/>
                <w:color w:val="auto"/>
                <w:sz w:val="24"/>
                <w:szCs w:val="24"/>
              </w:rPr>
              <w:t>：</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30" o:spt="75" type="#_x0000_t75" style="height:19pt;width:119pt;" o:ole="t" filled="f" o:preferrelative="t" stroked="f" coordsize="21600,21600">
                  <v:path/>
                  <v:fill on="f" focussize="0,0"/>
                  <v:stroke on="f"/>
                  <v:imagedata r:id="rId27" o:title=""/>
                  <o:lock v:ext="edit" grouping="f" rotation="f" text="f" aspectratio="t"/>
                  <w10:wrap type="none"/>
                  <w10:anchorlock/>
                </v:shape>
                <o:OLEObject Type="Embed" ProgID="Equation.3" ShapeID="_x0000_i1030" DrawAspect="Content" ObjectID="_1468075730" r:id="rId26">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式中：S—透声面积，m</w:t>
            </w:r>
            <w:r>
              <w:rPr>
                <w:rFonts w:hint="eastAsia" w:ascii="Times New Roman" w:hAnsi="Times New Roman" w:cs="Times New Roman"/>
                <w:color w:val="auto"/>
                <w:sz w:val="24"/>
                <w:szCs w:val="24"/>
                <w:vertAlign w:val="superscript"/>
              </w:rPr>
              <w:t>2</w:t>
            </w:r>
            <w:r>
              <w:rPr>
                <w:rFonts w:hint="eastAsia" w:ascii="Times New Roman" w:hAnsi="Times New Roman" w:cs="Times New Roman"/>
                <w:color w:val="auto"/>
                <w:sz w:val="24"/>
                <w:szCs w:val="24"/>
              </w:rPr>
              <w:t>。</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⑤等效室外声源的位置为围护结构的位置，其倍频带声功率级为L</w:t>
            </w:r>
            <w:r>
              <w:rPr>
                <w:rFonts w:hint="eastAsia" w:ascii="Times New Roman" w:hAnsi="Times New Roman" w:cs="Times New Roman"/>
                <w:color w:val="auto"/>
                <w:sz w:val="24"/>
                <w:szCs w:val="24"/>
                <w:vertAlign w:val="subscript"/>
              </w:rPr>
              <w:t>woct</w:t>
            </w:r>
            <w:r>
              <w:rPr>
                <w:rFonts w:hint="eastAsia" w:ascii="Times New Roman" w:hAnsi="Times New Roman" w:cs="Times New Roman"/>
                <w:color w:val="auto"/>
                <w:sz w:val="24"/>
                <w:szCs w:val="24"/>
              </w:rPr>
              <w:t>，由此按室外声源方法计算等效室外声源在预测点产生的声级。</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⑥计算某个室外声源在预测点产生的倍频带声压级：</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31" o:spt="75" type="#_x0000_t75" style="height:17.65pt;width:167.7pt;" o:ole="t" filled="f" o:preferrelative="t" stroked="f" coordsize="21600,21600">
                  <v:path/>
                  <v:fill on="f" focussize="0,0"/>
                  <v:stroke on="f"/>
                  <v:imagedata r:id="rId29" o:title=""/>
                  <o:lock v:ext="edit" aspectratio="t"/>
                  <w10:wrap type="none"/>
                  <w10:anchorlock/>
                </v:shape>
                <o:OLEObject Type="Embed" ProgID="Equation.3" ShapeID="_x0000_i1031" DrawAspect="Content" ObjectID="_1468075731" r:id="rId28">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式中：L</w:t>
            </w:r>
            <w:r>
              <w:rPr>
                <w:rFonts w:hint="eastAsia" w:ascii="Times New Roman" w:hAnsi="Times New Roman" w:cs="Times New Roman"/>
                <w:color w:val="auto"/>
                <w:sz w:val="24"/>
                <w:szCs w:val="24"/>
                <w:vertAlign w:val="subscript"/>
              </w:rPr>
              <w:t>oct</w:t>
            </w:r>
            <w:r>
              <w:rPr>
                <w:rFonts w:hint="eastAsia" w:ascii="Times New Roman" w:hAnsi="Times New Roman" w:cs="Times New Roman"/>
                <w:color w:val="auto"/>
                <w:sz w:val="24"/>
                <w:szCs w:val="24"/>
              </w:rPr>
              <w:t>(r)</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点声源在预测点产生的倍频带声压级，dB（A）；</w:t>
            </w:r>
          </w:p>
          <w:p>
            <w:pPr>
              <w:adjustRightInd w:val="0"/>
              <w:snapToGrid w:val="0"/>
              <w:spacing w:line="360" w:lineRule="auto"/>
              <w:ind w:firstLine="480"/>
              <w:rPr>
                <w:rFonts w:hint="eastAsia" w:ascii="Times New Roman" w:hAnsi="Times New Roman" w:cs="Times New Roman"/>
                <w:color w:val="auto"/>
                <w:sz w:val="24"/>
                <w:szCs w:val="24"/>
              </w:rPr>
            </w:pPr>
            <w:bookmarkStart w:id="7" w:name="_Toc302200825"/>
            <w:r>
              <w:rPr>
                <w:rFonts w:hint="eastAsia" w:ascii="Times New Roman" w:hAnsi="Times New Roman" w:cs="Times New Roman"/>
                <w:color w:val="auto"/>
                <w:sz w:val="24"/>
                <w:szCs w:val="24"/>
              </w:rPr>
              <w:t xml:space="preserve">      L</w:t>
            </w:r>
            <w:r>
              <w:rPr>
                <w:rFonts w:hint="eastAsia" w:ascii="Times New Roman" w:hAnsi="Times New Roman" w:cs="Times New Roman"/>
                <w:color w:val="auto"/>
                <w:sz w:val="24"/>
                <w:szCs w:val="24"/>
                <w:vertAlign w:val="subscript"/>
              </w:rPr>
              <w:t>oct</w:t>
            </w:r>
            <w:r>
              <w:rPr>
                <w:rFonts w:hint="eastAsia" w:ascii="Times New Roman" w:hAnsi="Times New Roman" w:cs="Times New Roman"/>
                <w:color w:val="auto"/>
                <w:sz w:val="24"/>
                <w:szCs w:val="24"/>
              </w:rPr>
              <w:t>(r</w:t>
            </w:r>
            <w:r>
              <w:rPr>
                <w:rFonts w:hint="eastAsia" w:ascii="Times New Roman" w:hAnsi="Times New Roman" w:cs="Times New Roman"/>
                <w:color w:val="auto"/>
                <w:sz w:val="24"/>
                <w:szCs w:val="24"/>
                <w:vertAlign w:val="subscript"/>
              </w:rPr>
              <w:t>0</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参考位置r</w:t>
            </w:r>
            <w:r>
              <w:rPr>
                <w:rFonts w:hint="eastAsia" w:ascii="Times New Roman" w:hAnsi="Times New Roman" w:cs="Times New Roman"/>
                <w:color w:val="auto"/>
                <w:sz w:val="24"/>
                <w:szCs w:val="24"/>
                <w:vertAlign w:val="subscript"/>
              </w:rPr>
              <w:t>0</w:t>
            </w:r>
            <w:r>
              <w:rPr>
                <w:rFonts w:hint="eastAsia" w:ascii="Times New Roman" w:hAnsi="Times New Roman" w:cs="Times New Roman"/>
                <w:color w:val="auto"/>
                <w:sz w:val="24"/>
                <w:szCs w:val="24"/>
              </w:rPr>
              <w:t>处的倍频带声压级，dB（A）；</w:t>
            </w:r>
            <w:bookmarkEnd w:id="7"/>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 xml:space="preserve">      r</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预测点距声源的距离，m；</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 xml:space="preserve">      r</w:t>
            </w:r>
            <w:r>
              <w:rPr>
                <w:rFonts w:hint="eastAsia" w:ascii="Times New Roman" w:hAnsi="Times New Roman" w:cs="Times New Roman"/>
                <w:color w:val="auto"/>
                <w:sz w:val="24"/>
                <w:szCs w:val="24"/>
                <w:vertAlign w:val="subscript"/>
              </w:rPr>
              <w:t>0</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参考位置距声源的距离，m；</w:t>
            </w:r>
          </w:p>
          <w:p>
            <w:pPr>
              <w:adjustRightInd w:val="0"/>
              <w:snapToGrid w:val="0"/>
              <w:spacing w:line="360" w:lineRule="auto"/>
              <w:ind w:firstLine="1200" w:firstLineChars="5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sym w:font="Symbol" w:char="F044"/>
            </w:r>
            <w:r>
              <w:rPr>
                <w:rFonts w:hint="eastAsia" w:ascii="Times New Roman" w:hAnsi="Times New Roman" w:cs="Times New Roman"/>
                <w:color w:val="auto"/>
                <w:sz w:val="24"/>
                <w:szCs w:val="24"/>
              </w:rPr>
              <w:t>L</w:t>
            </w:r>
            <w:r>
              <w:rPr>
                <w:rFonts w:hint="eastAsia" w:ascii="Times New Roman" w:hAnsi="Times New Roman" w:cs="Times New Roman"/>
                <w:color w:val="auto"/>
                <w:sz w:val="24"/>
                <w:szCs w:val="24"/>
                <w:vertAlign w:val="subscript"/>
              </w:rPr>
              <w:t>oct</w:t>
            </w:r>
            <w:r>
              <w:rPr>
                <w:rFonts w:hint="eastAsia" w:ascii="Times New Roman" w:hAnsi="Times New Roman" w:cs="Times New Roman"/>
                <w:color w:val="auto"/>
                <w:sz w:val="24"/>
                <w:szCs w:val="24"/>
              </w:rPr>
              <w:sym w:font="Symbol" w:char="F0BE"/>
            </w:r>
            <w:r>
              <w:rPr>
                <w:rFonts w:hint="eastAsia" w:ascii="Times New Roman" w:hAnsi="Times New Roman" w:cs="Times New Roman"/>
                <w:color w:val="auto"/>
                <w:sz w:val="24"/>
                <w:szCs w:val="24"/>
              </w:rPr>
              <w:t>各种因素引起的衰减量(包括声屏障、遮挡物、空气吸收、地面效应引起的衰减量，计算方法详见导则)。</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如果已知声源的倍频带声功率级L</w:t>
            </w:r>
            <w:r>
              <w:rPr>
                <w:rFonts w:hint="eastAsia" w:ascii="Times New Roman" w:hAnsi="Times New Roman" w:cs="Times New Roman"/>
                <w:color w:val="auto"/>
                <w:sz w:val="24"/>
                <w:szCs w:val="24"/>
                <w:vertAlign w:val="subscript"/>
              </w:rPr>
              <w:t>woct</w:t>
            </w:r>
            <w:r>
              <w:rPr>
                <w:rFonts w:hint="eastAsia" w:ascii="Times New Roman" w:hAnsi="Times New Roman" w:cs="Times New Roman"/>
                <w:color w:val="auto"/>
                <w:sz w:val="24"/>
                <w:szCs w:val="24"/>
              </w:rPr>
              <w:t>，且声源可看作是位于地面上的，则</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32" o:spt="75" type="#_x0000_t75" style="height:19pt;width:131pt;" o:ole="t" filled="f" o:preferrelative="t" stroked="f" coordsize="21600,21600">
                  <v:path/>
                  <v:fill on="f" focussize="0,0"/>
                  <v:stroke on="f"/>
                  <v:imagedata r:id="rId31" o:title=""/>
                  <o:lock v:ext="edit" grouping="f" rotation="f" text="f" aspectratio="t"/>
                  <w10:wrap type="none"/>
                  <w10:anchorlock/>
                </v:shape>
                <o:OLEObject Type="Embed" ProgID="Equation.3" ShapeID="_x0000_i1032" DrawAspect="Content" ObjectID="_1468075732" r:id="rId30">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⑦由各倍频带声压级合成计算该声源产生的A声级Leq(A)。</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⑧计算总声压级</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设第i个室外声源在预测点产生的A声级为LAin，i，在T时间内该声源工作时间为tin，i；第j个等效室外声源在预测点产生的A声级为LAout，j，在T时间内该声源工作时间为tout，j，则预测点的总等效声级为：</w:t>
            </w:r>
          </w:p>
          <w:p>
            <w:pPr>
              <w:adjustRightInd w:val="0"/>
              <w:snapToGrid w:val="0"/>
              <w:spacing w:line="360" w:lineRule="auto"/>
              <w:ind w:firstLine="480"/>
              <w:jc w:val="center"/>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object>
                <v:shape id="_x0000_i1033" o:spt="75" type="#_x0000_t75" style="height:29.95pt;width:197.1pt;" o:ole="t" filled="f" o:preferrelative="t" stroked="f" coordsize="21600,21600">
                  <v:path/>
                  <v:fill on="f" focussize="0,0"/>
                  <v:stroke on="f"/>
                  <v:imagedata r:id="rId33" o:title=""/>
                  <o:lock v:ext="edit" aspectratio="t"/>
                  <w10:wrap type="none"/>
                  <w10:anchorlock/>
                </v:shape>
                <o:OLEObject Type="Embed" ProgID="Equation.2" ShapeID="_x0000_i1033" DrawAspect="Content" ObjectID="_1468075733" r:id="rId32">
                  <o:LockedField>false</o:LockedField>
                </o:OLEObject>
              </w:objec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式中：T—计算等效声级的时间，h；</w:t>
            </w:r>
          </w:p>
          <w:p>
            <w:pPr>
              <w:adjustRightInd w:val="0"/>
              <w:snapToGrid w:val="0"/>
              <w:spacing w:line="360" w:lineRule="auto"/>
              <w:ind w:firstLine="48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 xml:space="preserve">      N—室外声源个数，M为等效室外声源个数。</w:t>
            </w:r>
          </w:p>
          <w:p>
            <w:pPr>
              <w:spacing w:line="360" w:lineRule="auto"/>
              <w:ind w:firstLine="480" w:firstLineChars="200"/>
              <w:rPr>
                <w:rFonts w:hint="default" w:ascii="Times New Roman" w:hAnsi="Times New Roman" w:cs="Times New Roman"/>
                <w:color w:val="auto"/>
                <w:lang w:val="en-US" w:eastAsia="zh-CN"/>
              </w:rPr>
            </w:pPr>
            <w:r>
              <w:rPr>
                <w:rFonts w:ascii="Times New Roman" w:hAnsi="Times New Roman" w:cs="Times New Roman"/>
                <w:color w:val="auto"/>
                <w:sz w:val="24"/>
                <w:szCs w:val="24"/>
                <w:lang w:val="zh-CN"/>
              </w:rPr>
              <w:t>将有关参数代入公式计算，预测拟建工程噪声源对各向厂界的影响。依据预测模式，计算建设项目厂界噪声影响预测结果见表4-</w:t>
            </w:r>
            <w:r>
              <w:rPr>
                <w:rFonts w:hint="eastAsia" w:cs="Times New Roman"/>
                <w:color w:val="auto"/>
                <w:sz w:val="24"/>
                <w:szCs w:val="24"/>
                <w:lang w:val="en-US" w:eastAsia="zh-CN"/>
              </w:rPr>
              <w:t>2</w:t>
            </w:r>
            <w:r>
              <w:rPr>
                <w:rFonts w:ascii="Times New Roman" w:hAnsi="Times New Roman" w:cs="Times New Roman"/>
                <w:color w:val="auto"/>
                <w:sz w:val="24"/>
                <w:szCs w:val="24"/>
                <w:lang w:val="zh-CN"/>
              </w:rPr>
              <w:t>。</w:t>
            </w:r>
          </w:p>
          <w:p>
            <w:pPr>
              <w:spacing w:line="360" w:lineRule="auto"/>
              <w:ind w:firstLine="480" w:firstLineChars="200"/>
              <w:rPr>
                <w:rFonts w:hint="default" w:ascii="Times New Roman" w:hAnsi="Times New Roman" w:cs="Times New Roman"/>
                <w:color w:val="auto"/>
                <w:sz w:val="24"/>
                <w:szCs w:val="32"/>
                <w:highlight w:val="none"/>
                <w:lang w:eastAsia="zh-CN"/>
              </w:rPr>
            </w:pP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3</w:t>
            </w:r>
            <w:r>
              <w:rPr>
                <w:rFonts w:hint="default" w:ascii="Times New Roman" w:hAnsi="Times New Roman" w:cs="Times New Roman"/>
                <w:color w:val="auto"/>
                <w:sz w:val="24"/>
                <w:szCs w:val="32"/>
                <w:highlight w:val="none"/>
                <w:lang w:eastAsia="zh-CN"/>
              </w:rPr>
              <w:t>）预测结果及评价</w:t>
            </w:r>
          </w:p>
          <w:p>
            <w:pPr>
              <w:spacing w:line="360" w:lineRule="auto"/>
              <w:ind w:firstLine="480" w:firstLineChars="200"/>
              <w:rPr>
                <w:rFonts w:hint="eastAsia" w:ascii="Times New Roman" w:hAnsi="Times New Roman" w:cs="Times New Roman"/>
                <w:color w:val="auto"/>
                <w:sz w:val="24"/>
                <w:szCs w:val="32"/>
                <w:highlight w:val="none"/>
                <w:lang w:eastAsia="zh-CN"/>
              </w:rPr>
            </w:pPr>
            <w:r>
              <w:rPr>
                <w:rFonts w:hint="default" w:ascii="Times New Roman" w:hAnsi="Times New Roman" w:cs="Times New Roman"/>
                <w:color w:val="auto"/>
                <w:sz w:val="24"/>
                <w:szCs w:val="32"/>
                <w:highlight w:val="none"/>
                <w:lang w:eastAsia="zh-CN"/>
              </w:rPr>
              <w:t>根据</w:t>
            </w:r>
            <w:r>
              <w:rPr>
                <w:rFonts w:hint="eastAsia" w:ascii="Times New Roman" w:hAnsi="Times New Roman" w:cs="Times New Roman"/>
                <w:color w:val="auto"/>
                <w:sz w:val="24"/>
                <w:szCs w:val="32"/>
                <w:highlight w:val="none"/>
                <w:lang w:eastAsia="zh-CN"/>
              </w:rPr>
              <w:t>站</w:t>
            </w:r>
            <w:r>
              <w:rPr>
                <w:rFonts w:hint="default" w:ascii="Times New Roman" w:hAnsi="Times New Roman" w:cs="Times New Roman"/>
                <w:color w:val="auto"/>
                <w:sz w:val="24"/>
                <w:szCs w:val="32"/>
                <w:highlight w:val="none"/>
                <w:lang w:eastAsia="zh-CN"/>
              </w:rPr>
              <w:t>区平面布置，各高噪声设备对</w:t>
            </w:r>
            <w:r>
              <w:rPr>
                <w:rFonts w:hint="eastAsia" w:ascii="Times New Roman" w:hAnsi="Times New Roman" w:cs="Times New Roman"/>
                <w:color w:val="auto"/>
                <w:sz w:val="24"/>
                <w:szCs w:val="32"/>
                <w:highlight w:val="none"/>
                <w:lang w:eastAsia="zh-CN"/>
              </w:rPr>
              <w:t>站</w:t>
            </w:r>
            <w:r>
              <w:rPr>
                <w:rFonts w:hint="default" w:ascii="Times New Roman" w:hAnsi="Times New Roman" w:cs="Times New Roman"/>
                <w:color w:val="auto"/>
                <w:sz w:val="24"/>
                <w:szCs w:val="32"/>
                <w:highlight w:val="none"/>
                <w:lang w:eastAsia="zh-CN"/>
              </w:rPr>
              <w:t>界噪声贡献值预测结果见表</w:t>
            </w:r>
            <w:r>
              <w:rPr>
                <w:rFonts w:hint="eastAsia" w:ascii="Times New Roman" w:hAnsi="Times New Roman" w:cs="Times New Roman"/>
                <w:color w:val="auto"/>
                <w:sz w:val="24"/>
                <w:szCs w:val="32"/>
                <w:highlight w:val="none"/>
                <w:lang w:val="en-US" w:eastAsia="zh-CN"/>
              </w:rPr>
              <w:t>4-2</w:t>
            </w:r>
            <w:r>
              <w:rPr>
                <w:rFonts w:hint="eastAsia" w:ascii="Times New Roman" w:hAnsi="Times New Roman" w:cs="Times New Roman"/>
                <w:color w:val="auto"/>
                <w:sz w:val="24"/>
                <w:szCs w:val="32"/>
                <w:highlight w:val="none"/>
                <w:lang w:eastAsia="zh-CN"/>
              </w:rPr>
              <w:t>。</w:t>
            </w:r>
          </w:p>
          <w:p>
            <w:pPr>
              <w:wordWrap w:val="0"/>
              <w:adjustRightInd w:val="0"/>
              <w:snapToGrid w:val="0"/>
              <w:spacing w:before="120" w:beforeLines="5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表4-</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 xml:space="preserve">    噪声预测结果    单位：dB（A）</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66"/>
              <w:gridCol w:w="3571"/>
              <w:gridCol w:w="1542"/>
              <w:gridCol w:w="16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18" w:type="pct"/>
                  <w:vMerge w:val="restart"/>
                  <w:noWrap w:val="0"/>
                  <w:vAlign w:val="center"/>
                </w:tcPr>
                <w:p>
                  <w:pPr>
                    <w:widowControl/>
                    <w:adjustRightInd w:val="0"/>
                    <w:snapToGrid w:val="0"/>
                    <w:jc w:val="center"/>
                    <w:rPr>
                      <w:b/>
                      <w:bCs/>
                      <w:color w:val="auto"/>
                      <w:kern w:val="0"/>
                      <w:szCs w:val="21"/>
                      <w:highlight w:val="none"/>
                    </w:rPr>
                  </w:pPr>
                  <w:r>
                    <w:rPr>
                      <w:b/>
                      <w:bCs/>
                      <w:color w:val="auto"/>
                      <w:kern w:val="0"/>
                      <w:szCs w:val="21"/>
                      <w:highlight w:val="none"/>
                    </w:rPr>
                    <w:t>测点序号</w:t>
                  </w:r>
                </w:p>
              </w:tc>
              <w:tc>
                <w:tcPr>
                  <w:tcW w:w="3781" w:type="pct"/>
                  <w:gridSpan w:val="3"/>
                  <w:noWrap w:val="0"/>
                  <w:vAlign w:val="center"/>
                </w:tcPr>
                <w:p>
                  <w:pPr>
                    <w:widowControl/>
                    <w:adjustRightInd w:val="0"/>
                    <w:snapToGrid w:val="0"/>
                    <w:jc w:val="center"/>
                    <w:rPr>
                      <w:b/>
                      <w:bCs/>
                      <w:color w:val="auto"/>
                      <w:kern w:val="0"/>
                      <w:szCs w:val="21"/>
                      <w:highlight w:val="none"/>
                    </w:rPr>
                  </w:pPr>
                  <w:r>
                    <w:rPr>
                      <w:b/>
                      <w:bCs/>
                      <w:color w:val="auto"/>
                      <w:kern w:val="0"/>
                      <w:szCs w:val="21"/>
                      <w:highlight w:val="none"/>
                    </w:rPr>
                    <w:t>昼  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vMerge w:val="continue"/>
                  <w:noWrap w:val="0"/>
                  <w:vAlign w:val="center"/>
                </w:tcPr>
                <w:p>
                  <w:pPr>
                    <w:widowControl/>
                    <w:jc w:val="left"/>
                    <w:rPr>
                      <w:b/>
                      <w:bCs/>
                      <w:color w:val="auto"/>
                      <w:kern w:val="0"/>
                      <w:szCs w:val="21"/>
                      <w:highlight w:val="none"/>
                    </w:rPr>
                  </w:pPr>
                </w:p>
              </w:tc>
              <w:tc>
                <w:tcPr>
                  <w:tcW w:w="2008" w:type="pct"/>
                  <w:noWrap w:val="0"/>
                  <w:vAlign w:val="center"/>
                </w:tcPr>
                <w:p>
                  <w:pPr>
                    <w:widowControl/>
                    <w:adjustRightInd w:val="0"/>
                    <w:snapToGrid w:val="0"/>
                    <w:jc w:val="center"/>
                    <w:rPr>
                      <w:b/>
                      <w:bCs/>
                      <w:color w:val="auto"/>
                      <w:kern w:val="0"/>
                      <w:szCs w:val="21"/>
                      <w:highlight w:val="none"/>
                    </w:rPr>
                  </w:pPr>
                  <w:r>
                    <w:rPr>
                      <w:rFonts w:hint="eastAsia"/>
                      <w:b/>
                      <w:bCs/>
                      <w:color w:val="auto"/>
                      <w:kern w:val="0"/>
                      <w:szCs w:val="21"/>
                      <w:highlight w:val="none"/>
                      <w:lang w:val="en-US" w:eastAsia="zh-CN"/>
                    </w:rPr>
                    <w:t>预测值</w:t>
                  </w:r>
                </w:p>
              </w:tc>
              <w:tc>
                <w:tcPr>
                  <w:tcW w:w="867" w:type="pct"/>
                  <w:noWrap w:val="0"/>
                  <w:vAlign w:val="center"/>
                </w:tcPr>
                <w:p>
                  <w:pPr>
                    <w:widowControl/>
                    <w:adjustRightInd w:val="0"/>
                    <w:snapToGrid w:val="0"/>
                    <w:jc w:val="center"/>
                    <w:rPr>
                      <w:b/>
                      <w:bCs/>
                      <w:color w:val="auto"/>
                      <w:kern w:val="0"/>
                      <w:szCs w:val="21"/>
                      <w:highlight w:val="none"/>
                    </w:rPr>
                  </w:pPr>
                  <w:r>
                    <w:rPr>
                      <w:b/>
                      <w:bCs/>
                      <w:color w:val="auto"/>
                      <w:kern w:val="0"/>
                      <w:szCs w:val="21"/>
                      <w:highlight w:val="none"/>
                    </w:rPr>
                    <w:t>标准</w:t>
                  </w:r>
                </w:p>
              </w:tc>
              <w:tc>
                <w:tcPr>
                  <w:tcW w:w="905" w:type="pct"/>
                  <w:noWrap w:val="0"/>
                  <w:vAlign w:val="center"/>
                </w:tcPr>
                <w:p>
                  <w:pPr>
                    <w:widowControl/>
                    <w:adjustRightInd w:val="0"/>
                    <w:snapToGrid w:val="0"/>
                    <w:jc w:val="center"/>
                    <w:rPr>
                      <w:b/>
                      <w:bCs/>
                      <w:color w:val="auto"/>
                      <w:kern w:val="0"/>
                      <w:szCs w:val="21"/>
                      <w:highlight w:val="none"/>
                    </w:rPr>
                  </w:pPr>
                  <w:r>
                    <w:rPr>
                      <w:b/>
                      <w:bCs/>
                      <w:color w:val="auto"/>
                      <w:kern w:val="0"/>
                      <w:szCs w:val="21"/>
                      <w:highlight w:val="none"/>
                    </w:rPr>
                    <w:t>评价结果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rFonts w:hint="eastAsia"/>
                      <w:color w:val="auto"/>
                      <w:kern w:val="0"/>
                      <w:szCs w:val="21"/>
                      <w:highlight w:val="none"/>
                    </w:rPr>
                  </w:pPr>
                  <w:r>
                    <w:rPr>
                      <w:color w:val="auto"/>
                      <w:kern w:val="0"/>
                      <w:szCs w:val="21"/>
                      <w:highlight w:val="none"/>
                    </w:rPr>
                    <w:t>厂界</w:t>
                  </w:r>
                  <w:r>
                    <w:rPr>
                      <w:rFonts w:hint="eastAsia"/>
                      <w:color w:val="auto"/>
                      <w:kern w:val="0"/>
                      <w:szCs w:val="21"/>
                      <w:highlight w:val="none"/>
                    </w:rPr>
                    <w:t>东</w:t>
                  </w:r>
                </w:p>
              </w:tc>
              <w:tc>
                <w:tcPr>
                  <w:tcW w:w="3571" w:type="dxa"/>
                  <w:noWrap w:val="0"/>
                  <w:vAlign w:val="center"/>
                </w:tcPr>
                <w:p>
                  <w:pPr>
                    <w:widowControl/>
                    <w:adjustRightInd w:val="0"/>
                    <w:snapToGrid w:val="0"/>
                    <w:jc w:val="center"/>
                    <w:rPr>
                      <w:color w:val="auto"/>
                      <w:kern w:val="0"/>
                      <w:szCs w:val="21"/>
                      <w:highlight w:val="none"/>
                    </w:rPr>
                  </w:pPr>
                  <w:r>
                    <w:rPr>
                      <w:rFonts w:hint="default" w:eastAsia="宋体"/>
                      <w:color w:val="auto"/>
                      <w:kern w:val="0"/>
                      <w:szCs w:val="21"/>
                      <w:highlight w:val="none"/>
                      <w:lang w:val="en-US" w:eastAsia="zh-CN"/>
                    </w:rPr>
                    <w:t>13.97</w:t>
                  </w:r>
                </w:p>
              </w:tc>
              <w:tc>
                <w:tcPr>
                  <w:tcW w:w="867" w:type="pct"/>
                  <w:noWrap w:val="0"/>
                  <w:vAlign w:val="center"/>
                </w:tcPr>
                <w:p>
                  <w:pPr>
                    <w:widowControl/>
                    <w:adjustRightInd w:val="0"/>
                    <w:snapToGrid w:val="0"/>
                    <w:jc w:val="center"/>
                    <w:rPr>
                      <w:rFonts w:hint="eastAsia"/>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5</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color w:val="auto"/>
                      <w:kern w:val="0"/>
                      <w:szCs w:val="21"/>
                      <w:highlight w:val="none"/>
                    </w:rPr>
                  </w:pPr>
                  <w:r>
                    <w:rPr>
                      <w:color w:val="auto"/>
                      <w:kern w:val="0"/>
                      <w:szCs w:val="21"/>
                      <w:highlight w:val="none"/>
                    </w:rPr>
                    <w:t>厂界南</w:t>
                  </w:r>
                </w:p>
              </w:tc>
              <w:tc>
                <w:tcPr>
                  <w:tcW w:w="3571" w:type="dxa"/>
                  <w:noWrap w:val="0"/>
                  <w:vAlign w:val="center"/>
                </w:tcPr>
                <w:p>
                  <w:pPr>
                    <w:widowControl/>
                    <w:adjustRightInd w:val="0"/>
                    <w:snapToGrid w:val="0"/>
                    <w:jc w:val="center"/>
                    <w:rPr>
                      <w:color w:val="auto"/>
                      <w:kern w:val="0"/>
                      <w:szCs w:val="21"/>
                      <w:highlight w:val="none"/>
                    </w:rPr>
                  </w:pPr>
                  <w:r>
                    <w:rPr>
                      <w:rFonts w:hint="eastAsia"/>
                      <w:color w:val="auto"/>
                      <w:kern w:val="0"/>
                      <w:szCs w:val="21"/>
                      <w:highlight w:val="none"/>
                    </w:rPr>
                    <w:t>20.91</w:t>
                  </w:r>
                </w:p>
              </w:tc>
              <w:tc>
                <w:tcPr>
                  <w:tcW w:w="867" w:type="pct"/>
                  <w:noWrap w:val="0"/>
                  <w:vAlign w:val="center"/>
                </w:tcPr>
                <w:p>
                  <w:pPr>
                    <w:widowControl/>
                    <w:adjustRightInd w:val="0"/>
                    <w:snapToGrid w:val="0"/>
                    <w:jc w:val="center"/>
                    <w:rPr>
                      <w:rFonts w:hint="eastAsia"/>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5</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rFonts w:hint="eastAsia"/>
                      <w:color w:val="auto"/>
                      <w:kern w:val="0"/>
                      <w:szCs w:val="21"/>
                      <w:highlight w:val="none"/>
                    </w:rPr>
                  </w:pPr>
                  <w:r>
                    <w:rPr>
                      <w:rFonts w:hint="eastAsia"/>
                      <w:color w:val="auto"/>
                      <w:kern w:val="0"/>
                      <w:szCs w:val="21"/>
                      <w:highlight w:val="none"/>
                    </w:rPr>
                    <w:t>厂界西</w:t>
                  </w:r>
                </w:p>
              </w:tc>
              <w:tc>
                <w:tcPr>
                  <w:tcW w:w="3571" w:type="dxa"/>
                  <w:noWrap w:val="0"/>
                  <w:vAlign w:val="center"/>
                </w:tcPr>
                <w:p>
                  <w:pPr>
                    <w:widowControl/>
                    <w:adjustRightInd w:val="0"/>
                    <w:snapToGrid w:val="0"/>
                    <w:jc w:val="center"/>
                    <w:rPr>
                      <w:color w:val="auto"/>
                      <w:kern w:val="0"/>
                      <w:szCs w:val="21"/>
                      <w:highlight w:val="none"/>
                    </w:rPr>
                  </w:pPr>
                  <w:r>
                    <w:rPr>
                      <w:rFonts w:hint="eastAsia"/>
                      <w:color w:val="auto"/>
                      <w:kern w:val="0"/>
                      <w:szCs w:val="21"/>
                      <w:highlight w:val="none"/>
                    </w:rPr>
                    <w:t>12.04</w:t>
                  </w:r>
                </w:p>
              </w:tc>
              <w:tc>
                <w:tcPr>
                  <w:tcW w:w="867" w:type="pct"/>
                  <w:noWrap w:val="0"/>
                  <w:vAlign w:val="center"/>
                </w:tcPr>
                <w:p>
                  <w:pPr>
                    <w:widowControl/>
                    <w:adjustRightInd w:val="0"/>
                    <w:snapToGrid w:val="0"/>
                    <w:jc w:val="center"/>
                    <w:rPr>
                      <w:rFonts w:hint="eastAsia"/>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5</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color w:val="auto"/>
                      <w:kern w:val="0"/>
                      <w:szCs w:val="21"/>
                      <w:highlight w:val="none"/>
                    </w:rPr>
                  </w:pPr>
                  <w:r>
                    <w:rPr>
                      <w:color w:val="auto"/>
                      <w:kern w:val="0"/>
                      <w:szCs w:val="21"/>
                      <w:highlight w:val="none"/>
                    </w:rPr>
                    <w:t>厂界北</w:t>
                  </w:r>
                </w:p>
              </w:tc>
              <w:tc>
                <w:tcPr>
                  <w:tcW w:w="3571" w:type="dxa"/>
                  <w:noWrap w:val="0"/>
                  <w:vAlign w:val="center"/>
                </w:tcPr>
                <w:p>
                  <w:pPr>
                    <w:widowControl/>
                    <w:adjustRightInd w:val="0"/>
                    <w:snapToGrid w:val="0"/>
                    <w:jc w:val="center"/>
                    <w:rPr>
                      <w:color w:val="auto"/>
                      <w:kern w:val="0"/>
                      <w:szCs w:val="21"/>
                      <w:highlight w:val="none"/>
                    </w:rPr>
                  </w:pPr>
                  <w:r>
                    <w:rPr>
                      <w:rFonts w:hint="eastAsia"/>
                      <w:color w:val="auto"/>
                      <w:kern w:val="0"/>
                      <w:szCs w:val="21"/>
                      <w:highlight w:val="none"/>
                    </w:rPr>
                    <w:t>40</w:t>
                  </w:r>
                </w:p>
              </w:tc>
              <w:tc>
                <w:tcPr>
                  <w:tcW w:w="867" w:type="pct"/>
                  <w:noWrap w:val="0"/>
                  <w:vAlign w:val="center"/>
                </w:tcPr>
                <w:p>
                  <w:pPr>
                    <w:widowControl/>
                    <w:adjustRightInd w:val="0"/>
                    <w:snapToGrid w:val="0"/>
                    <w:jc w:val="center"/>
                    <w:rPr>
                      <w:rFonts w:hint="eastAsia"/>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5</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vMerge w:val="restart"/>
                  <w:noWrap w:val="0"/>
                  <w:vAlign w:val="center"/>
                </w:tcPr>
                <w:p>
                  <w:pPr>
                    <w:widowControl/>
                    <w:adjustRightInd w:val="0"/>
                    <w:snapToGrid w:val="0"/>
                    <w:jc w:val="center"/>
                    <w:rPr>
                      <w:color w:val="auto"/>
                      <w:kern w:val="0"/>
                      <w:szCs w:val="21"/>
                      <w:highlight w:val="none"/>
                    </w:rPr>
                  </w:pPr>
                  <w:r>
                    <w:rPr>
                      <w:b/>
                      <w:bCs/>
                      <w:color w:val="auto"/>
                      <w:kern w:val="0"/>
                      <w:szCs w:val="21"/>
                      <w:highlight w:val="none"/>
                    </w:rPr>
                    <w:t>测点序号</w:t>
                  </w:r>
                </w:p>
              </w:tc>
              <w:tc>
                <w:tcPr>
                  <w:tcW w:w="3781" w:type="pct"/>
                  <w:gridSpan w:val="3"/>
                  <w:noWrap w:val="0"/>
                  <w:vAlign w:val="center"/>
                </w:tcPr>
                <w:p>
                  <w:pPr>
                    <w:widowControl/>
                    <w:adjustRightInd w:val="0"/>
                    <w:snapToGrid w:val="0"/>
                    <w:jc w:val="center"/>
                    <w:rPr>
                      <w:color w:val="auto"/>
                      <w:kern w:val="0"/>
                      <w:szCs w:val="21"/>
                      <w:highlight w:val="none"/>
                    </w:rPr>
                  </w:pPr>
                  <w:r>
                    <w:rPr>
                      <w:rFonts w:hint="eastAsia"/>
                      <w:b/>
                      <w:bCs/>
                      <w:color w:val="auto"/>
                      <w:kern w:val="0"/>
                      <w:szCs w:val="21"/>
                      <w:highlight w:val="none"/>
                      <w:lang w:val="en-US" w:eastAsia="zh-CN"/>
                    </w:rPr>
                    <w:t>夜</w:t>
                  </w:r>
                  <w:r>
                    <w:rPr>
                      <w:b/>
                      <w:bCs/>
                      <w:color w:val="auto"/>
                      <w:kern w:val="0"/>
                      <w:szCs w:val="21"/>
                      <w:highlight w:val="none"/>
                    </w:rPr>
                    <w:t xml:space="preserve">  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vMerge w:val="continue"/>
                  <w:noWrap w:val="0"/>
                  <w:vAlign w:val="center"/>
                </w:tcPr>
                <w:p>
                  <w:pPr>
                    <w:widowControl/>
                    <w:adjustRightInd w:val="0"/>
                    <w:snapToGrid w:val="0"/>
                    <w:jc w:val="center"/>
                    <w:rPr>
                      <w:color w:val="auto"/>
                      <w:kern w:val="0"/>
                      <w:szCs w:val="21"/>
                      <w:highlight w:val="none"/>
                    </w:rPr>
                  </w:pPr>
                </w:p>
              </w:tc>
              <w:tc>
                <w:tcPr>
                  <w:tcW w:w="2008" w:type="pct"/>
                  <w:noWrap w:val="0"/>
                  <w:vAlign w:val="center"/>
                </w:tcPr>
                <w:p>
                  <w:pPr>
                    <w:widowControl/>
                    <w:adjustRightInd w:val="0"/>
                    <w:snapToGrid w:val="0"/>
                    <w:jc w:val="center"/>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预测值</w:t>
                  </w:r>
                </w:p>
              </w:tc>
              <w:tc>
                <w:tcPr>
                  <w:tcW w:w="867" w:type="pct"/>
                  <w:noWrap w:val="0"/>
                  <w:vAlign w:val="center"/>
                </w:tcPr>
                <w:p>
                  <w:pPr>
                    <w:widowControl/>
                    <w:adjustRightInd w:val="0"/>
                    <w:snapToGrid w:val="0"/>
                    <w:jc w:val="center"/>
                    <w:rPr>
                      <w:rFonts w:ascii="Times New Roman" w:hAnsi="Times New Roman" w:eastAsia="宋体" w:cs="Times New Roman"/>
                      <w:b/>
                      <w:bCs/>
                      <w:color w:val="auto"/>
                      <w:kern w:val="0"/>
                      <w:sz w:val="21"/>
                      <w:szCs w:val="21"/>
                      <w:highlight w:val="none"/>
                      <w:lang w:val="en-US" w:eastAsia="zh-CN" w:bidi="ar-SA"/>
                    </w:rPr>
                  </w:pPr>
                  <w:r>
                    <w:rPr>
                      <w:b/>
                      <w:bCs/>
                      <w:color w:val="auto"/>
                      <w:kern w:val="0"/>
                      <w:szCs w:val="21"/>
                      <w:highlight w:val="none"/>
                    </w:rPr>
                    <w:t>标准</w:t>
                  </w:r>
                </w:p>
              </w:tc>
              <w:tc>
                <w:tcPr>
                  <w:tcW w:w="905" w:type="pct"/>
                  <w:noWrap w:val="0"/>
                  <w:vAlign w:val="center"/>
                </w:tcPr>
                <w:p>
                  <w:pPr>
                    <w:widowControl/>
                    <w:adjustRightInd w:val="0"/>
                    <w:snapToGrid w:val="0"/>
                    <w:jc w:val="center"/>
                    <w:rPr>
                      <w:rFonts w:ascii="Times New Roman" w:hAnsi="Times New Roman" w:eastAsia="宋体" w:cs="Times New Roman"/>
                      <w:b/>
                      <w:bCs/>
                      <w:color w:val="auto"/>
                      <w:kern w:val="0"/>
                      <w:sz w:val="21"/>
                      <w:szCs w:val="21"/>
                      <w:highlight w:val="none"/>
                      <w:lang w:val="en-US" w:eastAsia="zh-CN" w:bidi="ar-SA"/>
                    </w:rPr>
                  </w:pPr>
                  <w:r>
                    <w:rPr>
                      <w:b/>
                      <w:bCs/>
                      <w:color w:val="auto"/>
                      <w:kern w:val="0"/>
                      <w:szCs w:val="21"/>
                      <w:highlight w:val="none"/>
                    </w:rPr>
                    <w:t>评价结果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color w:val="auto"/>
                      <w:kern w:val="0"/>
                      <w:szCs w:val="21"/>
                      <w:highlight w:val="none"/>
                    </w:rPr>
                    <w:t>厂界</w:t>
                  </w:r>
                  <w:r>
                    <w:rPr>
                      <w:rFonts w:hint="eastAsia"/>
                      <w:color w:val="auto"/>
                      <w:kern w:val="0"/>
                      <w:szCs w:val="21"/>
                      <w:highlight w:val="none"/>
                    </w:rPr>
                    <w:t>东</w:t>
                  </w:r>
                </w:p>
              </w:tc>
              <w:tc>
                <w:tcPr>
                  <w:tcW w:w="2008" w:type="pct"/>
                  <w:noWrap w:val="0"/>
                  <w:vAlign w:val="center"/>
                </w:tcPr>
                <w:p>
                  <w:pPr>
                    <w:widowControl/>
                    <w:adjustRightInd w:val="0"/>
                    <w:snapToGrid w:val="0"/>
                    <w:jc w:val="center"/>
                    <w:rPr>
                      <w:rFonts w:hint="default" w:eastAsia="宋体"/>
                      <w:color w:val="auto"/>
                      <w:kern w:val="0"/>
                      <w:szCs w:val="21"/>
                      <w:highlight w:val="none"/>
                      <w:lang w:val="en-US" w:eastAsia="zh-CN"/>
                    </w:rPr>
                  </w:pPr>
                  <w:r>
                    <w:rPr>
                      <w:rFonts w:hint="default" w:eastAsia="宋体"/>
                      <w:color w:val="auto"/>
                      <w:kern w:val="0"/>
                      <w:szCs w:val="21"/>
                      <w:highlight w:val="none"/>
                      <w:lang w:val="en-US" w:eastAsia="zh-CN"/>
                    </w:rPr>
                    <w:t>13.97</w:t>
                  </w:r>
                </w:p>
              </w:tc>
              <w:tc>
                <w:tcPr>
                  <w:tcW w:w="867" w:type="pct"/>
                  <w:noWrap w:val="0"/>
                  <w:vAlign w:val="center"/>
                </w:tcPr>
                <w:p>
                  <w:pPr>
                    <w:widowControl/>
                    <w:adjustRightInd w:val="0"/>
                    <w:snapToGrid w:val="0"/>
                    <w:jc w:val="center"/>
                    <w:rPr>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4</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218" w:type="pct"/>
                  <w:noWrap w:val="0"/>
                  <w:vAlign w:val="center"/>
                </w:tcPr>
                <w:p>
                  <w:pPr>
                    <w:widowControl/>
                    <w:adjustRightInd w:val="0"/>
                    <w:snapToGrid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厂界南</w:t>
                  </w:r>
                </w:p>
              </w:tc>
              <w:tc>
                <w:tcPr>
                  <w:tcW w:w="2008" w:type="pct"/>
                  <w:noWrap w:val="0"/>
                  <w:vAlign w:val="center"/>
                </w:tcPr>
                <w:p>
                  <w:pPr>
                    <w:widowControl/>
                    <w:adjustRightInd w:val="0"/>
                    <w:snapToGrid w:val="0"/>
                    <w:jc w:val="center"/>
                    <w:rPr>
                      <w:rFonts w:hint="eastAsia"/>
                      <w:color w:val="auto"/>
                      <w:kern w:val="0"/>
                      <w:szCs w:val="21"/>
                      <w:highlight w:val="none"/>
                    </w:rPr>
                  </w:pPr>
                  <w:r>
                    <w:rPr>
                      <w:rFonts w:hint="eastAsia"/>
                      <w:color w:val="auto"/>
                      <w:kern w:val="0"/>
                      <w:szCs w:val="21"/>
                      <w:highlight w:val="none"/>
                    </w:rPr>
                    <w:t>20.91</w:t>
                  </w:r>
                </w:p>
              </w:tc>
              <w:tc>
                <w:tcPr>
                  <w:tcW w:w="867" w:type="pct"/>
                  <w:noWrap w:val="0"/>
                  <w:vAlign w:val="center"/>
                </w:tcPr>
                <w:p>
                  <w:pPr>
                    <w:widowControl/>
                    <w:adjustRightInd w:val="0"/>
                    <w:snapToGrid w:val="0"/>
                    <w:jc w:val="center"/>
                    <w:rPr>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4</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rPr>
                    <w:t>厂界西</w:t>
                  </w:r>
                </w:p>
              </w:tc>
              <w:tc>
                <w:tcPr>
                  <w:tcW w:w="2008" w:type="pct"/>
                  <w:noWrap w:val="0"/>
                  <w:vAlign w:val="center"/>
                </w:tcPr>
                <w:p>
                  <w:pPr>
                    <w:widowControl/>
                    <w:adjustRightInd w:val="0"/>
                    <w:snapToGrid w:val="0"/>
                    <w:jc w:val="center"/>
                    <w:rPr>
                      <w:rFonts w:hint="eastAsia"/>
                      <w:color w:val="auto"/>
                      <w:kern w:val="0"/>
                      <w:szCs w:val="21"/>
                      <w:highlight w:val="none"/>
                    </w:rPr>
                  </w:pPr>
                  <w:r>
                    <w:rPr>
                      <w:rFonts w:hint="eastAsia"/>
                      <w:color w:val="auto"/>
                      <w:kern w:val="0"/>
                      <w:szCs w:val="21"/>
                      <w:highlight w:val="none"/>
                    </w:rPr>
                    <w:t>12.04</w:t>
                  </w:r>
                </w:p>
              </w:tc>
              <w:tc>
                <w:tcPr>
                  <w:tcW w:w="867" w:type="pct"/>
                  <w:noWrap w:val="0"/>
                  <w:vAlign w:val="center"/>
                </w:tcPr>
                <w:p>
                  <w:pPr>
                    <w:widowControl/>
                    <w:adjustRightInd w:val="0"/>
                    <w:snapToGrid w:val="0"/>
                    <w:jc w:val="center"/>
                    <w:rPr>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4</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8" w:type="pct"/>
                  <w:noWrap w:val="0"/>
                  <w:vAlign w:val="center"/>
                </w:tcPr>
                <w:p>
                  <w:pPr>
                    <w:widowControl/>
                    <w:adjustRightInd w:val="0"/>
                    <w:snapToGrid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厂界北</w:t>
                  </w:r>
                </w:p>
              </w:tc>
              <w:tc>
                <w:tcPr>
                  <w:tcW w:w="2008" w:type="pct"/>
                  <w:noWrap w:val="0"/>
                  <w:vAlign w:val="center"/>
                </w:tcPr>
                <w:p>
                  <w:pPr>
                    <w:widowControl/>
                    <w:adjustRightInd w:val="0"/>
                    <w:snapToGrid w:val="0"/>
                    <w:jc w:val="center"/>
                    <w:rPr>
                      <w:rFonts w:hint="eastAsia"/>
                      <w:color w:val="auto"/>
                      <w:kern w:val="0"/>
                      <w:szCs w:val="21"/>
                      <w:highlight w:val="none"/>
                    </w:rPr>
                  </w:pPr>
                  <w:r>
                    <w:rPr>
                      <w:rFonts w:hint="eastAsia"/>
                      <w:color w:val="auto"/>
                      <w:kern w:val="0"/>
                      <w:szCs w:val="21"/>
                      <w:highlight w:val="none"/>
                    </w:rPr>
                    <w:t>40</w:t>
                  </w:r>
                </w:p>
              </w:tc>
              <w:tc>
                <w:tcPr>
                  <w:tcW w:w="867" w:type="pct"/>
                  <w:noWrap w:val="0"/>
                  <w:vAlign w:val="center"/>
                </w:tcPr>
                <w:p>
                  <w:pPr>
                    <w:widowControl/>
                    <w:adjustRightInd w:val="0"/>
                    <w:snapToGrid w:val="0"/>
                    <w:jc w:val="center"/>
                    <w:rPr>
                      <w:color w:val="auto"/>
                      <w:kern w:val="0"/>
                      <w:szCs w:val="21"/>
                      <w:highlight w:val="none"/>
                    </w:rPr>
                  </w:pPr>
                  <w:r>
                    <w:rPr>
                      <w:color w:val="auto"/>
                      <w:kern w:val="0"/>
                      <w:szCs w:val="21"/>
                      <w:highlight w:val="none"/>
                    </w:rPr>
                    <w:t>≤</w:t>
                  </w:r>
                  <w:r>
                    <w:rPr>
                      <w:rFonts w:hint="eastAsia"/>
                      <w:color w:val="auto"/>
                      <w:kern w:val="0"/>
                      <w:szCs w:val="21"/>
                      <w:highlight w:val="none"/>
                      <w:lang w:val="en-US" w:eastAsia="zh-CN"/>
                    </w:rPr>
                    <w:t>4</w:t>
                  </w:r>
                  <w:r>
                    <w:rPr>
                      <w:rFonts w:hint="eastAsia"/>
                      <w:color w:val="auto"/>
                      <w:kern w:val="0"/>
                      <w:szCs w:val="21"/>
                      <w:highlight w:val="none"/>
                    </w:rPr>
                    <w:t>5</w:t>
                  </w:r>
                </w:p>
              </w:tc>
              <w:tc>
                <w:tcPr>
                  <w:tcW w:w="905" w:type="pct"/>
                  <w:noWrap w:val="0"/>
                  <w:vAlign w:val="center"/>
                </w:tcPr>
                <w:p>
                  <w:pPr>
                    <w:widowControl/>
                    <w:adjustRightInd w:val="0"/>
                    <w:snapToGrid w:val="0"/>
                    <w:jc w:val="center"/>
                    <w:rPr>
                      <w:color w:val="auto"/>
                      <w:kern w:val="0"/>
                      <w:szCs w:val="21"/>
                      <w:highlight w:val="none"/>
                    </w:rPr>
                  </w:pPr>
                  <w:r>
                    <w:rPr>
                      <w:color w:val="auto"/>
                      <w:kern w:val="0"/>
                      <w:szCs w:val="21"/>
                      <w:highlight w:val="none"/>
                    </w:rPr>
                    <w:t>达标</w:t>
                  </w:r>
                </w:p>
              </w:tc>
            </w:tr>
          </w:tbl>
          <w:p>
            <w:pPr>
              <w:spacing w:line="360" w:lineRule="auto"/>
              <w:ind w:firstLine="480" w:firstLineChars="200"/>
              <w:rPr>
                <w:rFonts w:hint="default" w:ascii="Times New Roman" w:hAnsi="Times New Roman" w:eastAsia="宋体" w:cs="Times New Roman"/>
                <w:color w:val="auto"/>
                <w:sz w:val="24"/>
                <w:szCs w:val="32"/>
              </w:rPr>
            </w:pPr>
            <w:r>
              <w:rPr>
                <w:rFonts w:hint="default" w:ascii="Times New Roman" w:hAnsi="Times New Roman" w:cs="Times New Roman"/>
                <w:color w:val="auto"/>
                <w:sz w:val="24"/>
                <w:szCs w:val="32"/>
              </w:rPr>
              <w:t>由表可知，本项目设备采取低噪声设备，基础减振</w:t>
            </w:r>
            <w:r>
              <w:rPr>
                <w:rFonts w:hint="eastAsia" w:ascii="Times New Roman" w:hAnsi="Times New Roman" w:cs="Times New Roman"/>
                <w:color w:val="auto"/>
                <w:sz w:val="24"/>
                <w:szCs w:val="32"/>
                <w:lang w:val="en-US" w:eastAsia="zh-CN"/>
              </w:rPr>
              <w:t>等</w:t>
            </w:r>
            <w:r>
              <w:rPr>
                <w:rFonts w:hint="default" w:ascii="Times New Roman" w:hAnsi="Times New Roman" w:cs="Times New Roman"/>
                <w:color w:val="auto"/>
                <w:sz w:val="24"/>
                <w:szCs w:val="32"/>
              </w:rPr>
              <w:t>措施后，预测各厂界噪声贡献值均能达到《工业企业厂界环境噪声排放标准》（GB12348-2008）中</w:t>
            </w:r>
            <w:r>
              <w:rPr>
                <w:rFonts w:hint="eastAsia" w:ascii="Times New Roman" w:hAnsi="Times New Roman" w:cs="Times New Roman"/>
                <w:color w:val="auto"/>
                <w:sz w:val="24"/>
                <w:szCs w:val="32"/>
                <w:lang w:val="en-US" w:eastAsia="zh-CN"/>
              </w:rPr>
              <w:t>1</w:t>
            </w:r>
            <w:r>
              <w:rPr>
                <w:rFonts w:hint="default" w:ascii="Times New Roman" w:hAnsi="Times New Roman" w:cs="Times New Roman"/>
                <w:color w:val="auto"/>
                <w:sz w:val="24"/>
                <w:szCs w:val="32"/>
              </w:rPr>
              <w:t>类区标准限值</w:t>
            </w:r>
            <w:r>
              <w:rPr>
                <w:rFonts w:hint="default" w:ascii="Times New Roman" w:hAnsi="Times New Roman" w:eastAsia="宋体" w:cs="Times New Roman"/>
                <w:color w:val="auto"/>
                <w:sz w:val="24"/>
                <w:szCs w:val="32"/>
              </w:rPr>
              <w:t>要求，项目正常生产噪声对周围声环境影响较小。</w:t>
            </w:r>
          </w:p>
          <w:p>
            <w:pPr>
              <w:spacing w:line="360" w:lineRule="auto"/>
              <w:ind w:firstLine="480" w:firstLineChars="200"/>
              <w:rPr>
                <w:rFonts w:hint="eastAsia" w:ascii="Times New Roman" w:hAnsi="Times New Roman" w:eastAsia="宋体" w:cs="Times New Roman"/>
                <w:color w:val="auto"/>
                <w:sz w:val="24"/>
                <w:szCs w:val="32"/>
                <w:lang w:eastAsia="zh-CN"/>
              </w:rPr>
            </w:pP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lang w:val="en-US" w:eastAsia="zh-CN"/>
              </w:rPr>
              <w:t>4</w:t>
            </w:r>
            <w:r>
              <w:rPr>
                <w:rFonts w:hint="eastAsia" w:ascii="Times New Roman" w:hAnsi="Times New Roman" w:eastAsia="宋体" w:cs="Times New Roman"/>
                <w:color w:val="auto"/>
                <w:sz w:val="24"/>
                <w:szCs w:val="32"/>
                <w:lang w:eastAsia="zh-CN"/>
              </w:rPr>
              <w:t>）噪声监测计划</w:t>
            </w:r>
          </w:p>
          <w:p>
            <w:pPr>
              <w:spacing w:line="360" w:lineRule="auto"/>
              <w:ind w:firstLine="480" w:firstLineChars="200"/>
              <w:rPr>
                <w:rFonts w:hint="default" w:ascii="Times New Roman" w:hAnsi="Times New Roman" w:eastAsia="宋体" w:cs="Times New Roman"/>
                <w:color w:val="auto"/>
                <w:sz w:val="24"/>
                <w:szCs w:val="32"/>
              </w:rPr>
            </w:pPr>
            <w:r>
              <w:rPr>
                <w:rFonts w:ascii="宋体" w:hAnsi="宋体" w:eastAsia="宋体" w:cs="宋体"/>
                <w:color w:val="auto"/>
                <w:sz w:val="24"/>
                <w:szCs w:val="24"/>
              </w:rPr>
              <w:t>本项目的具体噪声监测计划见下表。</w:t>
            </w:r>
          </w:p>
          <w:p>
            <w:pPr>
              <w:spacing w:line="240" w:lineRule="auto"/>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表4-</w:t>
            </w:r>
            <w:r>
              <w:rPr>
                <w:rFonts w:hint="eastAsia" w:cs="Times New Roman"/>
                <w:b/>
                <w:bCs/>
                <w:color w:val="auto"/>
                <w:sz w:val="24"/>
                <w:szCs w:val="32"/>
                <w:highlight w:val="none"/>
                <w:lang w:val="en-US" w:eastAsia="zh-CN"/>
              </w:rPr>
              <w:t>3</w:t>
            </w:r>
            <w:r>
              <w:rPr>
                <w:rFonts w:hint="eastAsia" w:ascii="Times New Roman" w:hAnsi="Times New Roman" w:eastAsia="宋体" w:cs="Times New Roman"/>
                <w:b/>
                <w:bCs/>
                <w:color w:val="auto"/>
                <w:sz w:val="24"/>
                <w:szCs w:val="32"/>
                <w:highlight w:val="none"/>
                <w:lang w:val="en-US" w:eastAsia="zh-CN"/>
              </w:rPr>
              <w:t xml:space="preserve">  </w:t>
            </w:r>
            <w:r>
              <w:rPr>
                <w:rFonts w:hint="default" w:ascii="Times New Roman" w:hAnsi="Times New Roman" w:eastAsia="宋体" w:cs="Times New Roman"/>
                <w:b/>
                <w:bCs/>
                <w:color w:val="auto"/>
                <w:sz w:val="24"/>
                <w:szCs w:val="32"/>
                <w:highlight w:val="none"/>
              </w:rPr>
              <w:t xml:space="preserve"> 噪声环境监测计</w:t>
            </w:r>
          </w:p>
          <w:tbl>
            <w:tblPr>
              <w:tblStyle w:val="30"/>
              <w:tblW w:w="88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1557"/>
              <w:gridCol w:w="1934"/>
              <w:gridCol w:w="1694"/>
              <w:gridCol w:w="27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9" w:hRule="exact"/>
                <w:tblHeader/>
                <w:jc w:val="center"/>
              </w:trPr>
              <w:tc>
                <w:tcPr>
                  <w:tcW w:w="897" w:type="dxa"/>
                  <w:vAlign w:val="center"/>
                </w:tcPr>
                <w:p>
                  <w:pPr>
                    <w:pStyle w:val="8"/>
                    <w:snapToGrid w:val="0"/>
                    <w:spacing w:after="0"/>
                    <w:ind w:left="0" w:leftChars="0"/>
                    <w:jc w:val="center"/>
                    <w:rPr>
                      <w:b/>
                      <w:color w:val="auto"/>
                      <w:szCs w:val="21"/>
                      <w:highlight w:val="none"/>
                    </w:rPr>
                  </w:pPr>
                  <w:r>
                    <w:rPr>
                      <w:b/>
                      <w:color w:val="auto"/>
                      <w:szCs w:val="21"/>
                      <w:highlight w:val="none"/>
                    </w:rPr>
                    <w:t>名称</w:t>
                  </w:r>
                </w:p>
              </w:tc>
              <w:tc>
                <w:tcPr>
                  <w:tcW w:w="1557" w:type="dxa"/>
                  <w:vAlign w:val="center"/>
                </w:tcPr>
                <w:p>
                  <w:pPr>
                    <w:pStyle w:val="8"/>
                    <w:snapToGrid w:val="0"/>
                    <w:spacing w:after="0"/>
                    <w:ind w:left="0" w:leftChars="0"/>
                    <w:jc w:val="center"/>
                    <w:rPr>
                      <w:b/>
                      <w:color w:val="auto"/>
                      <w:szCs w:val="21"/>
                      <w:highlight w:val="none"/>
                    </w:rPr>
                  </w:pPr>
                  <w:r>
                    <w:rPr>
                      <w:b/>
                      <w:color w:val="auto"/>
                      <w:szCs w:val="21"/>
                      <w:highlight w:val="none"/>
                    </w:rPr>
                    <w:t>监测项目</w:t>
                  </w:r>
                </w:p>
              </w:tc>
              <w:tc>
                <w:tcPr>
                  <w:tcW w:w="1934" w:type="dxa"/>
                  <w:vAlign w:val="center"/>
                </w:tcPr>
                <w:p>
                  <w:pPr>
                    <w:pStyle w:val="8"/>
                    <w:snapToGrid w:val="0"/>
                    <w:spacing w:after="0"/>
                    <w:ind w:left="0" w:leftChars="0"/>
                    <w:jc w:val="center"/>
                    <w:rPr>
                      <w:b/>
                      <w:color w:val="auto"/>
                      <w:szCs w:val="21"/>
                      <w:highlight w:val="none"/>
                    </w:rPr>
                  </w:pPr>
                  <w:r>
                    <w:rPr>
                      <w:b/>
                      <w:color w:val="auto"/>
                      <w:szCs w:val="21"/>
                      <w:highlight w:val="none"/>
                    </w:rPr>
                    <w:t>监测点位</w:t>
                  </w:r>
                </w:p>
              </w:tc>
              <w:tc>
                <w:tcPr>
                  <w:tcW w:w="1694" w:type="dxa"/>
                  <w:vAlign w:val="center"/>
                </w:tcPr>
                <w:p>
                  <w:pPr>
                    <w:pStyle w:val="8"/>
                    <w:snapToGrid w:val="0"/>
                    <w:spacing w:after="0"/>
                    <w:ind w:left="0" w:leftChars="0"/>
                    <w:jc w:val="center"/>
                    <w:rPr>
                      <w:b/>
                      <w:color w:val="auto"/>
                      <w:szCs w:val="21"/>
                      <w:highlight w:val="none"/>
                    </w:rPr>
                  </w:pPr>
                  <w:r>
                    <w:rPr>
                      <w:b/>
                      <w:color w:val="auto"/>
                      <w:szCs w:val="21"/>
                      <w:highlight w:val="none"/>
                    </w:rPr>
                    <w:t>监测因子</w:t>
                  </w:r>
                </w:p>
              </w:tc>
              <w:tc>
                <w:tcPr>
                  <w:tcW w:w="2721" w:type="dxa"/>
                  <w:vAlign w:val="center"/>
                </w:tcPr>
                <w:p>
                  <w:pPr>
                    <w:pStyle w:val="8"/>
                    <w:snapToGrid w:val="0"/>
                    <w:spacing w:after="0"/>
                    <w:ind w:left="0" w:leftChars="0"/>
                    <w:jc w:val="center"/>
                    <w:rPr>
                      <w:b/>
                      <w:color w:val="auto"/>
                      <w:szCs w:val="21"/>
                      <w:highlight w:val="none"/>
                    </w:rPr>
                  </w:pPr>
                  <w:r>
                    <w:rPr>
                      <w:b/>
                      <w:color w:val="auto"/>
                      <w:szCs w:val="21"/>
                      <w:highlight w:val="none"/>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897" w:type="dxa"/>
                  <w:vAlign w:val="center"/>
                </w:tcPr>
                <w:p>
                  <w:pPr>
                    <w:pStyle w:val="8"/>
                    <w:snapToGrid w:val="0"/>
                    <w:spacing w:after="0"/>
                    <w:ind w:left="0" w:leftChars="0"/>
                    <w:jc w:val="center"/>
                    <w:rPr>
                      <w:bCs/>
                      <w:color w:val="auto"/>
                      <w:szCs w:val="21"/>
                      <w:highlight w:val="none"/>
                    </w:rPr>
                  </w:pPr>
                  <w:r>
                    <w:rPr>
                      <w:bCs/>
                      <w:color w:val="auto"/>
                      <w:szCs w:val="21"/>
                      <w:highlight w:val="none"/>
                    </w:rPr>
                    <w:t>噪声</w:t>
                  </w:r>
                </w:p>
              </w:tc>
              <w:tc>
                <w:tcPr>
                  <w:tcW w:w="1557" w:type="dxa"/>
                  <w:vAlign w:val="center"/>
                </w:tcPr>
                <w:p>
                  <w:pPr>
                    <w:pStyle w:val="8"/>
                    <w:snapToGrid w:val="0"/>
                    <w:spacing w:after="0"/>
                    <w:ind w:left="0" w:leftChars="0"/>
                    <w:jc w:val="center"/>
                    <w:rPr>
                      <w:bCs/>
                      <w:color w:val="auto"/>
                      <w:szCs w:val="21"/>
                      <w:highlight w:val="none"/>
                    </w:rPr>
                  </w:pPr>
                  <w:r>
                    <w:rPr>
                      <w:bCs/>
                      <w:color w:val="auto"/>
                      <w:szCs w:val="21"/>
                      <w:highlight w:val="none"/>
                    </w:rPr>
                    <w:t>厂界噪声</w:t>
                  </w:r>
                </w:p>
              </w:tc>
              <w:tc>
                <w:tcPr>
                  <w:tcW w:w="1934" w:type="dxa"/>
                  <w:vAlign w:val="center"/>
                </w:tcPr>
                <w:p>
                  <w:pPr>
                    <w:pStyle w:val="8"/>
                    <w:snapToGrid w:val="0"/>
                    <w:spacing w:after="0"/>
                    <w:ind w:left="0" w:leftChars="0"/>
                    <w:jc w:val="center"/>
                    <w:rPr>
                      <w:bCs/>
                      <w:color w:val="auto"/>
                      <w:szCs w:val="21"/>
                      <w:highlight w:val="none"/>
                    </w:rPr>
                  </w:pPr>
                  <w:r>
                    <w:rPr>
                      <w:bCs/>
                      <w:color w:val="auto"/>
                      <w:szCs w:val="21"/>
                      <w:highlight w:val="none"/>
                    </w:rPr>
                    <w:t>项目厂界外1m</w:t>
                  </w:r>
                </w:p>
              </w:tc>
              <w:tc>
                <w:tcPr>
                  <w:tcW w:w="1694" w:type="dxa"/>
                  <w:vAlign w:val="center"/>
                </w:tcPr>
                <w:p>
                  <w:pPr>
                    <w:pStyle w:val="8"/>
                    <w:snapToGrid w:val="0"/>
                    <w:spacing w:after="0"/>
                    <w:ind w:left="0" w:leftChars="0"/>
                    <w:jc w:val="center"/>
                    <w:rPr>
                      <w:bCs/>
                      <w:color w:val="auto"/>
                      <w:szCs w:val="21"/>
                      <w:highlight w:val="none"/>
                    </w:rPr>
                  </w:pPr>
                  <w:r>
                    <w:rPr>
                      <w:bCs/>
                      <w:color w:val="auto"/>
                      <w:szCs w:val="21"/>
                      <w:highlight w:val="none"/>
                    </w:rPr>
                    <w:t>等效A声级</w:t>
                  </w:r>
                </w:p>
              </w:tc>
              <w:tc>
                <w:tcPr>
                  <w:tcW w:w="2721" w:type="dxa"/>
                  <w:vAlign w:val="center"/>
                </w:tcPr>
                <w:p>
                  <w:pPr>
                    <w:pStyle w:val="8"/>
                    <w:snapToGrid w:val="0"/>
                    <w:spacing w:after="0"/>
                    <w:ind w:left="0" w:leftChars="0"/>
                    <w:jc w:val="center"/>
                    <w:rPr>
                      <w:bCs/>
                      <w:color w:val="auto"/>
                      <w:szCs w:val="21"/>
                      <w:highlight w:val="none"/>
                    </w:rPr>
                  </w:pPr>
                  <w:r>
                    <w:rPr>
                      <w:bCs/>
                      <w:color w:val="auto"/>
                      <w:szCs w:val="21"/>
                      <w:highlight w:val="none"/>
                    </w:rPr>
                    <w:t>1</w:t>
                  </w:r>
                  <w:r>
                    <w:rPr>
                      <w:rFonts w:hint="eastAsia"/>
                      <w:bCs/>
                      <w:color w:val="auto"/>
                      <w:szCs w:val="21"/>
                      <w:highlight w:val="none"/>
                      <w:lang w:val="en-US" w:eastAsia="zh-CN"/>
                    </w:rPr>
                    <w:t>次</w:t>
                  </w:r>
                  <w:r>
                    <w:rPr>
                      <w:bCs/>
                      <w:color w:val="auto"/>
                      <w:szCs w:val="21"/>
                      <w:highlight w:val="none"/>
                    </w:rPr>
                    <w:t>/季，每期昼夜各1次</w:t>
                  </w:r>
                </w:p>
              </w:tc>
            </w:tr>
          </w:tbl>
          <w:p>
            <w:pPr>
              <w:widowControl/>
              <w:spacing w:line="360" w:lineRule="auto"/>
              <w:ind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w:t>
            </w:r>
            <w:r>
              <w:rPr>
                <w:rFonts w:hint="eastAsia" w:cs="Times New Roman"/>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固体废物环境影响和保护措施</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color w:val="auto"/>
                <w:sz w:val="24"/>
              </w:rPr>
            </w:pPr>
            <w:r>
              <w:rPr>
                <w:color w:val="auto"/>
                <w:sz w:val="24"/>
              </w:rPr>
              <w:t>本项目</w:t>
            </w:r>
            <w:r>
              <w:rPr>
                <w:rFonts w:hint="eastAsia"/>
                <w:color w:val="auto"/>
                <w:sz w:val="24"/>
              </w:rPr>
              <w:t>无新增劳动定员，故无生活垃圾产生。产生的固体废物主要有</w:t>
            </w:r>
            <w:r>
              <w:rPr>
                <w:rFonts w:hint="default" w:ascii="Times New Roman" w:hAnsi="Times New Roman" w:cs="Times New Roman"/>
                <w:color w:val="auto"/>
                <w:sz w:val="24"/>
              </w:rPr>
              <w:t>感染性废物、损伤性废物</w:t>
            </w:r>
            <w:r>
              <w:rPr>
                <w:rFonts w:hint="eastAsia"/>
                <w:color w:val="auto"/>
                <w:sz w:val="24"/>
              </w:rPr>
              <w:t>等，以上均属于</w:t>
            </w:r>
            <w:r>
              <w:rPr>
                <w:rFonts w:hint="eastAsia"/>
                <w:color w:val="auto"/>
                <w:sz w:val="24"/>
                <w:lang w:val="en-US" w:eastAsia="zh-CN"/>
              </w:rPr>
              <w:t>医疗</w:t>
            </w:r>
            <w:r>
              <w:rPr>
                <w:rFonts w:hint="eastAsia"/>
                <w:color w:val="auto"/>
                <w:sz w:val="24"/>
              </w:rPr>
              <w:t>废物</w:t>
            </w:r>
            <w:r>
              <w:rPr>
                <w:rFonts w:hint="eastAsia"/>
                <w:color w:val="auto"/>
                <w:sz w:val="24"/>
                <w:lang w:eastAsia="zh-CN"/>
              </w:rPr>
              <w:t>，</w:t>
            </w:r>
            <w:r>
              <w:rPr>
                <w:color w:val="auto"/>
                <w:sz w:val="24"/>
              </w:rPr>
              <w:t>委托</w:t>
            </w:r>
            <w:r>
              <w:rPr>
                <w:rFonts w:hint="default"/>
                <w:color w:val="auto"/>
                <w:sz w:val="24"/>
                <w:lang w:val="en-US" w:eastAsia="zh-CN"/>
              </w:rPr>
              <w:t>锡林郭勒盟环建医疗废弃资源处置有限公司</w:t>
            </w:r>
            <w:r>
              <w:rPr>
                <w:rFonts w:hint="default" w:ascii="Times New Roman" w:hAnsi="Times New Roman" w:cs="Times New Roman"/>
                <w:bCs/>
                <w:color w:val="auto"/>
                <w:sz w:val="24"/>
                <w:highlight w:val="none"/>
              </w:rPr>
              <w:t>处置</w:t>
            </w:r>
            <w:r>
              <w:rPr>
                <w:color w:val="auto"/>
                <w:sz w:val="24"/>
              </w:rPr>
              <w:t>。</w:t>
            </w:r>
          </w:p>
          <w:p>
            <w:pPr>
              <w:adjustRightInd w:val="0"/>
              <w:snapToGrid w:val="0"/>
              <w:spacing w:line="360" w:lineRule="auto"/>
              <w:ind w:firstLine="480" w:firstLineChars="200"/>
              <w:rPr>
                <w:rFonts w:ascii="Times New Roman" w:hAnsi="Times New Roman"/>
                <w:color w:val="0000FF"/>
                <w:sz w:val="24"/>
              </w:rPr>
            </w:pPr>
            <w:r>
              <w:rPr>
                <w:rFonts w:hint="eastAsia" w:ascii="Times New Roman" w:hAnsi="Times New Roman"/>
                <w:color w:val="0000FF"/>
                <w:sz w:val="24"/>
              </w:rPr>
              <w:t>按照《医疗卫生机构医疗废物管理办法》（中华人民共和国卫生部令第36号）、《医疗废物管理条例》（国务院令380号），《医疗废物集中处置技术规范（试行）》（环发〔2003〕206号）、《医疗废物专用包装袋、容器和警示标志标准》（HJ421-2008）、《医疗废物转运车技术要求（试行）》（GB19217-2003）</w:t>
            </w:r>
            <w:r>
              <w:rPr>
                <w:rFonts w:hint="eastAsia"/>
                <w:color w:val="0000FF"/>
                <w:sz w:val="24"/>
                <w:lang w:eastAsia="zh-CN"/>
              </w:rPr>
              <w:t>、</w:t>
            </w:r>
            <w:bookmarkStart w:id="9" w:name="_GoBack"/>
            <w:r>
              <w:rPr>
                <w:rFonts w:hint="eastAsia"/>
                <w:color w:val="FF0000"/>
                <w:sz w:val="24"/>
                <w:lang w:eastAsia="zh-CN"/>
              </w:rPr>
              <w:t>《危险废物收集贮存运输技术规范》（</w:t>
            </w:r>
            <w:r>
              <w:rPr>
                <w:rFonts w:hint="eastAsia" w:ascii="Times New Roman" w:hAnsi="Times New Roman"/>
                <w:color w:val="FF0000"/>
                <w:sz w:val="24"/>
              </w:rPr>
              <w:t>HJ</w:t>
            </w:r>
            <w:r>
              <w:rPr>
                <w:rFonts w:hint="eastAsia"/>
                <w:color w:val="FF0000"/>
                <w:sz w:val="24"/>
                <w:lang w:val="en-US" w:eastAsia="zh-CN"/>
              </w:rPr>
              <w:t>2025</w:t>
            </w:r>
            <w:r>
              <w:rPr>
                <w:rFonts w:hint="eastAsia" w:ascii="Times New Roman" w:hAnsi="Times New Roman"/>
                <w:color w:val="FF0000"/>
                <w:sz w:val="24"/>
              </w:rPr>
              <w:t>-</w:t>
            </w:r>
            <w:r>
              <w:rPr>
                <w:rFonts w:hint="eastAsia"/>
                <w:color w:val="FF0000"/>
                <w:sz w:val="24"/>
                <w:lang w:val="en-US" w:eastAsia="zh-CN"/>
              </w:rPr>
              <w:t>2012</w:t>
            </w:r>
            <w:r>
              <w:rPr>
                <w:rFonts w:hint="eastAsia"/>
                <w:color w:val="FF0000"/>
                <w:sz w:val="24"/>
                <w:lang w:eastAsia="zh-CN"/>
              </w:rPr>
              <w:t>）、《危险废物识别标志设置技术规范》（</w:t>
            </w:r>
            <w:r>
              <w:rPr>
                <w:rFonts w:hint="eastAsia" w:ascii="Times New Roman" w:hAnsi="Times New Roman"/>
                <w:color w:val="FF0000"/>
                <w:sz w:val="24"/>
              </w:rPr>
              <w:t>HJ</w:t>
            </w:r>
            <w:r>
              <w:rPr>
                <w:rFonts w:hint="eastAsia"/>
                <w:color w:val="FF0000"/>
                <w:sz w:val="24"/>
                <w:lang w:val="en-US" w:eastAsia="zh-CN"/>
              </w:rPr>
              <w:t>1276</w:t>
            </w:r>
            <w:r>
              <w:rPr>
                <w:rFonts w:hint="eastAsia" w:ascii="Times New Roman" w:hAnsi="Times New Roman"/>
                <w:color w:val="FF0000"/>
                <w:sz w:val="24"/>
              </w:rPr>
              <w:t>-</w:t>
            </w:r>
            <w:r>
              <w:rPr>
                <w:rFonts w:hint="eastAsia"/>
                <w:color w:val="FF0000"/>
                <w:sz w:val="24"/>
                <w:lang w:val="en-US" w:eastAsia="zh-CN"/>
              </w:rPr>
              <w:t>2022</w:t>
            </w:r>
            <w:r>
              <w:rPr>
                <w:rFonts w:hint="eastAsia"/>
                <w:color w:val="FF0000"/>
                <w:sz w:val="24"/>
                <w:lang w:eastAsia="zh-CN"/>
              </w:rPr>
              <w:t>）、《危险废物贮存污染控制标准》（GB18597-2023）</w:t>
            </w:r>
            <w:r>
              <w:rPr>
                <w:rFonts w:hint="eastAsia" w:ascii="Times New Roman" w:hAnsi="Times New Roman"/>
                <w:color w:val="FF0000"/>
                <w:sz w:val="24"/>
              </w:rPr>
              <w:t>等相关规范，</w:t>
            </w:r>
            <w:bookmarkEnd w:id="9"/>
            <w:r>
              <w:rPr>
                <w:rFonts w:hint="eastAsia" w:ascii="Times New Roman" w:hAnsi="Times New Roman"/>
                <w:color w:val="0000FF"/>
                <w:sz w:val="24"/>
              </w:rPr>
              <w:t>本次环评要求对项目医疗废物的处理过程中的不同环节提出如下措施：</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olor w:val="0000FF"/>
                <w:sz w:val="24"/>
              </w:rPr>
            </w:pPr>
            <w:r>
              <w:rPr>
                <w:rFonts w:hint="eastAsia"/>
                <w:color w:val="0000FF"/>
                <w:sz w:val="24"/>
                <w:lang w:eastAsia="zh-CN"/>
              </w:rPr>
              <w:t>（</w:t>
            </w:r>
            <w:r>
              <w:rPr>
                <w:rFonts w:hint="eastAsia"/>
                <w:color w:val="0000FF"/>
                <w:sz w:val="24"/>
                <w:lang w:val="en-US" w:eastAsia="zh-CN"/>
              </w:rPr>
              <w:t>1</w:t>
            </w:r>
            <w:r>
              <w:rPr>
                <w:rFonts w:hint="eastAsia"/>
                <w:color w:val="0000FF"/>
                <w:sz w:val="24"/>
                <w:lang w:eastAsia="zh-CN"/>
              </w:rPr>
              <w:t>）</w:t>
            </w:r>
            <w:r>
              <w:rPr>
                <w:rFonts w:hint="eastAsia" w:ascii="Times New Roman" w:hAnsi="Times New Roman"/>
                <w:color w:val="0000FF"/>
                <w:sz w:val="24"/>
              </w:rPr>
              <w:t>分类收集</w:t>
            </w:r>
          </w:p>
          <w:p>
            <w:pPr>
              <w:adjustRightInd w:val="0"/>
              <w:snapToGrid w:val="0"/>
              <w:spacing w:line="360" w:lineRule="auto"/>
              <w:ind w:firstLine="480" w:firstLineChars="200"/>
              <w:rPr>
                <w:rFonts w:hint="default" w:ascii="Times New Roman" w:hAnsi="Times New Roman" w:eastAsia="宋体"/>
                <w:color w:val="0000FF"/>
                <w:sz w:val="24"/>
                <w:lang w:val="en-US" w:eastAsia="zh-CN"/>
              </w:rPr>
            </w:pPr>
            <w:r>
              <w:rPr>
                <w:rFonts w:hint="eastAsia"/>
                <w:color w:val="0000FF"/>
                <w:sz w:val="24"/>
                <w:lang w:val="en-US" w:eastAsia="zh-CN"/>
              </w:rPr>
              <w:t>1）按照</w:t>
            </w:r>
            <w:r>
              <w:rPr>
                <w:rFonts w:hint="eastAsia" w:ascii="Times New Roman" w:hAnsi="Times New Roman"/>
                <w:color w:val="0000FF"/>
                <w:sz w:val="24"/>
              </w:rPr>
              <w:t>《医疗卫生机构医疗废物管理办法》（中华人民共和国卫生部令第36号）</w:t>
            </w:r>
            <w:r>
              <w:rPr>
                <w:rFonts w:hint="eastAsia"/>
                <w:color w:val="0000FF"/>
                <w:sz w:val="24"/>
                <w:lang w:val="en-US" w:eastAsia="zh-CN"/>
              </w:rPr>
              <w:t>相关要求，本项目医疗废物应进行分类收集；</w:t>
            </w:r>
          </w:p>
          <w:p>
            <w:pPr>
              <w:adjustRightInd w:val="0"/>
              <w:snapToGrid w:val="0"/>
              <w:spacing w:line="360" w:lineRule="auto"/>
              <w:ind w:firstLine="480" w:firstLineChars="200"/>
              <w:rPr>
                <w:rFonts w:hint="eastAsia" w:ascii="Times New Roman" w:hAnsi="Times New Roman"/>
                <w:color w:val="FF0000"/>
                <w:sz w:val="24"/>
              </w:rPr>
            </w:pPr>
            <w:r>
              <w:rPr>
                <w:rFonts w:hint="eastAsia"/>
                <w:color w:val="0000FF"/>
                <w:sz w:val="24"/>
                <w:lang w:val="en-US" w:eastAsia="zh-CN"/>
              </w:rPr>
              <w:t>2</w:t>
            </w:r>
            <w:r>
              <w:rPr>
                <w:rFonts w:hint="eastAsia" w:ascii="Times New Roman" w:hAnsi="Times New Roman"/>
                <w:color w:val="0000FF"/>
                <w:sz w:val="24"/>
                <w:lang w:eastAsia="zh-CN"/>
              </w:rPr>
              <w:t>）医疗卫生机构应当根据《医疗废物分类目录》，对医疗废物实施分类管理</w:t>
            </w:r>
            <w:r>
              <w:rPr>
                <w:rFonts w:hint="eastAsia" w:ascii="Times New Roman" w:hAnsi="Times New Roman"/>
                <w:color w:val="0000FF"/>
                <w:sz w:val="24"/>
              </w:rPr>
              <w:t>；</w:t>
            </w:r>
            <w:r>
              <w:rPr>
                <w:rFonts w:hint="eastAsia" w:ascii="Times New Roman" w:hAnsi="Times New Roman"/>
                <w:color w:val="FF0000"/>
                <w:sz w:val="24"/>
              </w:rPr>
              <w:t>并按照《危险废物识别标志设置技术规范》(HJ1276-2022)</w:t>
            </w:r>
            <w:r>
              <w:rPr>
                <w:rFonts w:hint="eastAsia"/>
                <w:color w:val="FF0000"/>
                <w:sz w:val="24"/>
                <w:lang w:val="en-US" w:eastAsia="zh-CN"/>
              </w:rPr>
              <w:t>中</w:t>
            </w:r>
            <w:r>
              <w:rPr>
                <w:rFonts w:hint="eastAsia" w:ascii="Times New Roman" w:hAnsi="Times New Roman"/>
                <w:color w:val="FF0000"/>
                <w:sz w:val="24"/>
              </w:rPr>
              <w:t>9.2.6</w:t>
            </w:r>
            <w:r>
              <w:rPr>
                <w:rFonts w:hint="eastAsia"/>
                <w:color w:val="FF0000"/>
                <w:sz w:val="24"/>
                <w:lang w:val="en-US" w:eastAsia="zh-CN"/>
              </w:rPr>
              <w:t xml:space="preserve"> </w:t>
            </w:r>
            <w:r>
              <w:rPr>
                <w:rFonts w:hint="eastAsia" w:ascii="Times New Roman" w:hAnsi="Times New Roman"/>
                <w:color w:val="FF0000"/>
                <w:sz w:val="24"/>
              </w:rPr>
              <w:t>危险废物贮存分区标志的样式进行警示标识。</w:t>
            </w:r>
          </w:p>
          <w:p>
            <w:pPr>
              <w:pStyle w:val="2"/>
              <w:jc w:val="center"/>
              <w:rPr>
                <w:rFonts w:hint="eastAsia" w:ascii="Times New Roman" w:hAnsi="Times New Roman"/>
                <w:color w:val="0000FF"/>
                <w:sz w:val="24"/>
              </w:rPr>
            </w:pPr>
            <w:r>
              <w:drawing>
                <wp:inline distT="0" distB="0" distL="114300" distR="114300">
                  <wp:extent cx="4015105" cy="3377565"/>
                  <wp:effectExtent l="0" t="0" r="8255" b="5715"/>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34"/>
                          <a:stretch>
                            <a:fillRect/>
                          </a:stretch>
                        </pic:blipFill>
                        <pic:spPr>
                          <a:xfrm>
                            <a:off x="0" y="0"/>
                            <a:ext cx="4015105" cy="3377565"/>
                          </a:xfrm>
                          <a:prstGeom prst="rect">
                            <a:avLst/>
                          </a:prstGeom>
                          <a:noFill/>
                          <a:ln>
                            <a:noFill/>
                          </a:ln>
                        </pic:spPr>
                      </pic:pic>
                    </a:graphicData>
                  </a:graphic>
                </wp:inline>
              </w:drawing>
            </w:r>
          </w:p>
          <w:p>
            <w:pPr>
              <w:adjustRightInd w:val="0"/>
              <w:snapToGrid w:val="0"/>
              <w:spacing w:line="360" w:lineRule="auto"/>
              <w:ind w:firstLine="480" w:firstLineChars="200"/>
              <w:rPr>
                <w:rFonts w:hint="eastAsia" w:ascii="Times New Roman" w:hAnsi="Times New Roman"/>
                <w:color w:val="0000FF"/>
                <w:sz w:val="24"/>
              </w:rPr>
            </w:pPr>
            <w:r>
              <w:rPr>
                <w:rFonts w:hint="eastAsia"/>
                <w:color w:val="0000FF"/>
                <w:sz w:val="24"/>
                <w:lang w:val="en-US" w:eastAsia="zh-CN"/>
              </w:rPr>
              <w:t>3</w:t>
            </w:r>
            <w:r>
              <w:rPr>
                <w:rFonts w:hint="eastAsia" w:ascii="Times New Roman" w:hAnsi="Times New Roman"/>
                <w:color w:val="0000FF"/>
                <w:sz w:val="24"/>
                <w:lang w:val="en-US" w:eastAsia="zh-CN"/>
              </w:rPr>
              <w:t>）在盛装医疗废物前，应当对医疗废物包装物或者容器进行认真检查，确保无破损、渗漏和其他缺陷；</w:t>
            </w:r>
          </w:p>
          <w:p>
            <w:pPr>
              <w:adjustRightInd w:val="0"/>
              <w:snapToGrid w:val="0"/>
              <w:spacing w:line="360" w:lineRule="auto"/>
              <w:ind w:firstLine="480" w:firstLineChars="200"/>
              <w:rPr>
                <w:rFonts w:hint="eastAsia" w:ascii="Times New Roman" w:hAnsi="Times New Roman"/>
                <w:color w:val="0000FF"/>
                <w:sz w:val="24"/>
                <w:lang w:val="en-US" w:eastAsia="zh-CN"/>
              </w:rPr>
            </w:pPr>
            <w:r>
              <w:rPr>
                <w:rFonts w:hint="eastAsia"/>
                <w:color w:val="0000FF"/>
                <w:sz w:val="24"/>
                <w:lang w:val="en-US" w:eastAsia="zh-CN"/>
              </w:rPr>
              <w:t>4</w:t>
            </w:r>
            <w:r>
              <w:rPr>
                <w:rFonts w:hint="eastAsia" w:ascii="Times New Roman" w:hAnsi="Times New Roman"/>
                <w:color w:val="0000FF"/>
                <w:sz w:val="24"/>
                <w:lang w:val="en-US" w:eastAsia="zh-CN"/>
              </w:rPr>
              <w:t>）感染性废物、损伤性废物不能混合收集；</w:t>
            </w:r>
          </w:p>
          <w:p>
            <w:pPr>
              <w:adjustRightInd w:val="0"/>
              <w:snapToGrid w:val="0"/>
              <w:spacing w:line="360" w:lineRule="auto"/>
              <w:jc w:val="center"/>
              <w:rPr>
                <w:rFonts w:hint="eastAsia" w:ascii="Times New Roman" w:hAnsi="Times New Roman"/>
                <w:color w:val="0000FF"/>
                <w:sz w:val="24"/>
                <w:lang w:val="en-US" w:eastAsia="zh-CN"/>
              </w:rPr>
            </w:pPr>
            <w:r>
              <w:rPr>
                <w:color w:val="auto"/>
                <w:highlight w:val="none"/>
              </w:rPr>
              <w:drawing>
                <wp:inline distT="0" distB="0" distL="114300" distR="114300">
                  <wp:extent cx="3308985" cy="2432050"/>
                  <wp:effectExtent l="0" t="0" r="13335" b="6350"/>
                  <wp:docPr id="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2"/>
                          <pic:cNvPicPr>
                            <a:picLocks noChangeAspect="1"/>
                          </pic:cNvPicPr>
                        </pic:nvPicPr>
                        <pic:blipFill>
                          <a:blip r:embed="rId35"/>
                          <a:srcRect r="-424" b="49312"/>
                          <a:stretch>
                            <a:fillRect/>
                          </a:stretch>
                        </pic:blipFill>
                        <pic:spPr>
                          <a:xfrm>
                            <a:off x="0" y="0"/>
                            <a:ext cx="3308985" cy="2432050"/>
                          </a:xfrm>
                          <a:prstGeom prst="rect">
                            <a:avLst/>
                          </a:prstGeom>
                          <a:noFill/>
                          <a:ln>
                            <a:noFill/>
                          </a:ln>
                        </pic:spPr>
                      </pic:pic>
                    </a:graphicData>
                  </a:graphic>
                </wp:inline>
              </w:drawing>
            </w:r>
          </w:p>
          <w:p>
            <w:pPr>
              <w:adjustRightInd w:val="0"/>
              <w:snapToGrid w:val="0"/>
              <w:spacing w:line="360" w:lineRule="auto"/>
              <w:ind w:firstLine="480" w:firstLineChars="200"/>
              <w:rPr>
                <w:rFonts w:hint="eastAsia" w:ascii="Times New Roman" w:hAnsi="Times New Roman"/>
                <w:color w:val="0000FF"/>
                <w:sz w:val="24"/>
              </w:rPr>
            </w:pPr>
            <w:r>
              <w:rPr>
                <w:rFonts w:hint="eastAsia"/>
                <w:color w:val="0000FF"/>
                <w:sz w:val="24"/>
                <w:lang w:val="en-US" w:eastAsia="zh-CN"/>
              </w:rPr>
              <w:t>5</w:t>
            </w:r>
            <w:r>
              <w:rPr>
                <w:rFonts w:hint="eastAsia" w:ascii="Times New Roman" w:hAnsi="Times New Roman"/>
                <w:color w:val="0000FF"/>
                <w:sz w:val="24"/>
                <w:lang w:eastAsia="zh-CN"/>
              </w:rPr>
              <w:t>）放入包装物或者容器内的感染性废物、损伤性废物不得取出</w:t>
            </w:r>
            <w:r>
              <w:rPr>
                <w:rFonts w:hint="eastAsia"/>
                <w:color w:val="0000FF"/>
                <w:sz w:val="24"/>
                <w:lang w:eastAsia="zh-CN"/>
              </w:rPr>
              <w:t>；</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6</w:t>
            </w:r>
            <w:r>
              <w:rPr>
                <w:rFonts w:hint="eastAsia"/>
                <w:color w:val="0000FF"/>
                <w:sz w:val="24"/>
                <w:lang w:eastAsia="zh-CN"/>
              </w:rPr>
              <w:t>）医疗卫生机构内医疗废物产生地点应当有医疗废物分类收集方法的示意图或者文字说明；</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7</w:t>
            </w:r>
            <w:r>
              <w:rPr>
                <w:rFonts w:hint="eastAsia"/>
                <w:color w:val="0000FF"/>
                <w:sz w:val="24"/>
                <w:lang w:eastAsia="zh-CN"/>
              </w:rPr>
              <w:t>）盛装的医疗废物达到包装物或者容器的3/4时，应当使用有效的封口方式，使包装物或者容器的封口紧实、严密；</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8</w:t>
            </w:r>
            <w:r>
              <w:rPr>
                <w:rFonts w:hint="eastAsia"/>
                <w:color w:val="0000FF"/>
                <w:sz w:val="24"/>
                <w:lang w:eastAsia="zh-CN"/>
              </w:rPr>
              <w:t>）包装物或者容器的外表面被感染性废物污染时，应当对被污染处进行消毒处理或者增加一层包装；</w:t>
            </w:r>
          </w:p>
          <w:p>
            <w:pPr>
              <w:adjustRightInd w:val="0"/>
              <w:snapToGrid w:val="0"/>
              <w:spacing w:line="360" w:lineRule="auto"/>
              <w:ind w:firstLine="480" w:firstLineChars="200"/>
              <w:rPr>
                <w:rFonts w:hint="eastAsia"/>
                <w:color w:val="FF0000"/>
                <w:sz w:val="24"/>
                <w:lang w:eastAsia="zh-CN"/>
              </w:rPr>
            </w:pPr>
            <w:r>
              <w:rPr>
                <w:rFonts w:hint="eastAsia"/>
                <w:color w:val="0000FF"/>
                <w:sz w:val="24"/>
                <w:lang w:val="en-US" w:eastAsia="zh-CN"/>
              </w:rPr>
              <w:t>9</w:t>
            </w:r>
            <w:r>
              <w:rPr>
                <w:rFonts w:hint="eastAsia"/>
                <w:color w:val="0000FF"/>
                <w:sz w:val="24"/>
                <w:lang w:eastAsia="zh-CN"/>
              </w:rPr>
              <w:t>）</w:t>
            </w:r>
            <w:r>
              <w:rPr>
                <w:rFonts w:hint="eastAsia"/>
                <w:color w:val="0000FF"/>
                <w:sz w:val="24"/>
                <w:lang w:val="en-US" w:eastAsia="zh-CN"/>
              </w:rPr>
              <w:t>按照</w:t>
            </w:r>
            <w:r>
              <w:rPr>
                <w:rFonts w:hint="eastAsia"/>
                <w:color w:val="0000FF"/>
                <w:sz w:val="24"/>
                <w:lang w:eastAsia="zh-CN"/>
              </w:rPr>
              <w:t>《危险废物识别标志设置技术规范》（</w:t>
            </w:r>
            <w:r>
              <w:rPr>
                <w:rFonts w:hint="eastAsia" w:ascii="Times New Roman" w:hAnsi="Times New Roman"/>
                <w:color w:val="0000FF"/>
                <w:sz w:val="24"/>
              </w:rPr>
              <w:t>HJ</w:t>
            </w:r>
            <w:r>
              <w:rPr>
                <w:rFonts w:hint="eastAsia"/>
                <w:color w:val="0000FF"/>
                <w:sz w:val="24"/>
                <w:lang w:val="en-US" w:eastAsia="zh-CN"/>
              </w:rPr>
              <w:t>1276</w:t>
            </w:r>
            <w:r>
              <w:rPr>
                <w:rFonts w:hint="eastAsia" w:ascii="Times New Roman" w:hAnsi="Times New Roman"/>
                <w:color w:val="0000FF"/>
                <w:sz w:val="24"/>
              </w:rPr>
              <w:t>-</w:t>
            </w:r>
            <w:r>
              <w:rPr>
                <w:rFonts w:hint="eastAsia"/>
                <w:color w:val="0000FF"/>
                <w:sz w:val="24"/>
                <w:lang w:val="en-US" w:eastAsia="zh-CN"/>
              </w:rPr>
              <w:t>2022</w:t>
            </w:r>
            <w:r>
              <w:rPr>
                <w:rFonts w:hint="eastAsia"/>
                <w:color w:val="0000FF"/>
                <w:sz w:val="24"/>
                <w:lang w:eastAsia="zh-CN"/>
              </w:rPr>
              <w:t>）、</w:t>
            </w:r>
            <w:r>
              <w:rPr>
                <w:rFonts w:hint="eastAsia" w:ascii="Times New Roman" w:hAnsi="Times New Roman"/>
                <w:color w:val="0000FF"/>
                <w:sz w:val="24"/>
              </w:rPr>
              <w:t>《医疗废物专用包装袋、容器和警示标志标准》（HJ421-2008）</w:t>
            </w:r>
            <w:r>
              <w:rPr>
                <w:rFonts w:hint="eastAsia"/>
                <w:color w:val="0000FF"/>
                <w:sz w:val="24"/>
                <w:lang w:val="en-US" w:eastAsia="zh-CN"/>
              </w:rPr>
              <w:t>等相关要求，</w:t>
            </w:r>
            <w:r>
              <w:rPr>
                <w:rFonts w:hint="eastAsia"/>
                <w:color w:val="0000FF"/>
                <w:sz w:val="24"/>
                <w:lang w:eastAsia="zh-CN"/>
              </w:rPr>
              <w:t>盛装医疗废物的每个包装物、容器外表面应当有警示标识，在每个包装物、容器上应当系中文标签，中文标签的内容应当包括：医疗废物产生单位、产生日期、类别及需要的特别说明等；</w:t>
            </w:r>
            <w:r>
              <w:rPr>
                <w:rFonts w:hint="eastAsia"/>
                <w:color w:val="FF0000"/>
                <w:sz w:val="24"/>
                <w:lang w:eastAsia="zh-CN"/>
              </w:rPr>
              <w:t>并按照</w:t>
            </w:r>
            <w:r>
              <w:rPr>
                <w:rFonts w:hint="eastAsia" w:ascii="Times New Roman" w:hAnsi="Times New Roman"/>
                <w:color w:val="FF0000"/>
                <w:sz w:val="24"/>
              </w:rPr>
              <w:t>《危险废物识别标志设置技术规范》(HJ1276-2022)</w:t>
            </w:r>
            <w:r>
              <w:rPr>
                <w:rFonts w:hint="eastAsia"/>
                <w:color w:val="FF0000"/>
                <w:sz w:val="24"/>
                <w:lang w:val="en-US" w:eastAsia="zh-CN"/>
              </w:rPr>
              <w:t>中</w:t>
            </w:r>
            <w:r>
              <w:rPr>
                <w:rFonts w:hint="eastAsia"/>
                <w:color w:val="FF0000"/>
                <w:sz w:val="24"/>
                <w:lang w:eastAsia="zh-CN"/>
              </w:rPr>
              <w:t>9.1.6危险废物标签的样式进行</w:t>
            </w:r>
            <w:r>
              <w:rPr>
                <w:rFonts w:hint="eastAsia"/>
                <w:color w:val="FF0000"/>
                <w:sz w:val="24"/>
                <w:lang w:val="en-US" w:eastAsia="zh-CN"/>
              </w:rPr>
              <w:t>警示标识</w:t>
            </w:r>
            <w:r>
              <w:rPr>
                <w:rFonts w:hint="eastAsia"/>
                <w:color w:val="FF0000"/>
                <w:sz w:val="24"/>
                <w:lang w:eastAsia="zh-CN"/>
              </w:rPr>
              <w:t>。</w:t>
            </w:r>
          </w:p>
          <w:p>
            <w:pPr>
              <w:adjustRightInd w:val="0"/>
              <w:snapToGrid w:val="0"/>
              <w:spacing w:line="360" w:lineRule="auto"/>
              <w:jc w:val="center"/>
            </w:pPr>
            <w:r>
              <w:drawing>
                <wp:inline distT="0" distB="0" distL="114300" distR="114300">
                  <wp:extent cx="4194175" cy="2875280"/>
                  <wp:effectExtent l="0" t="0" r="12065" b="508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36"/>
                          <a:stretch>
                            <a:fillRect/>
                          </a:stretch>
                        </pic:blipFill>
                        <pic:spPr>
                          <a:xfrm>
                            <a:off x="0" y="0"/>
                            <a:ext cx="4194175" cy="2875280"/>
                          </a:xfrm>
                          <a:prstGeom prst="rect">
                            <a:avLst/>
                          </a:prstGeom>
                          <a:noFill/>
                          <a:ln>
                            <a:noFill/>
                          </a:ln>
                        </pic:spPr>
                      </pic:pic>
                    </a:graphicData>
                  </a:graphic>
                </wp:inline>
              </w:drawing>
            </w:r>
          </w:p>
          <w:p>
            <w:pPr>
              <w:adjustRightInd w:val="0"/>
              <w:snapToGrid w:val="0"/>
              <w:spacing w:line="360" w:lineRule="auto"/>
              <w:jc w:val="center"/>
              <w:rPr>
                <w:rFonts w:hint="eastAsia"/>
                <w:color w:val="0000FF"/>
                <w:sz w:val="24"/>
                <w:lang w:eastAsia="zh-CN"/>
              </w:rPr>
            </w:pPr>
            <w:r>
              <w:drawing>
                <wp:inline distT="0" distB="0" distL="114300" distR="114300">
                  <wp:extent cx="3725545" cy="3720465"/>
                  <wp:effectExtent l="0" t="0" r="8255" b="13335"/>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7"/>
                          <a:stretch>
                            <a:fillRect/>
                          </a:stretch>
                        </pic:blipFill>
                        <pic:spPr>
                          <a:xfrm>
                            <a:off x="0" y="0"/>
                            <a:ext cx="3725545" cy="3720465"/>
                          </a:xfrm>
                          <a:prstGeom prst="rect">
                            <a:avLst/>
                          </a:prstGeom>
                          <a:noFill/>
                          <a:ln>
                            <a:noFill/>
                          </a:ln>
                        </pic:spPr>
                      </pic:pic>
                    </a:graphicData>
                  </a:graphic>
                </wp:inline>
              </w:drawing>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（2）运送</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1</w:t>
            </w:r>
            <w:r>
              <w:rPr>
                <w:rFonts w:hint="eastAsia"/>
                <w:color w:val="0000FF"/>
                <w:sz w:val="24"/>
                <w:lang w:eastAsia="zh-CN"/>
              </w:rPr>
              <w:t>）运送人员每天从医疗废物产生地点将分类包装的医疗废物按照规定的时间和路线运送至内部指定的暂时贮存地点。</w:t>
            </w:r>
          </w:p>
          <w:p>
            <w:pPr>
              <w:adjustRightInd w:val="0"/>
              <w:snapToGrid w:val="0"/>
              <w:spacing w:line="360" w:lineRule="auto"/>
              <w:jc w:val="center"/>
              <w:rPr>
                <w:rFonts w:hint="eastAsia"/>
                <w:color w:val="0000FF"/>
                <w:sz w:val="24"/>
                <w:lang w:eastAsia="zh-CN"/>
              </w:rPr>
            </w:pPr>
            <w:r>
              <w:rPr>
                <w:color w:val="auto"/>
                <w:highlight w:val="none"/>
              </w:rPr>
              <w:drawing>
                <wp:inline distT="0" distB="0" distL="114300" distR="114300">
                  <wp:extent cx="3866515" cy="2758440"/>
                  <wp:effectExtent l="0" t="0" r="4445" b="0"/>
                  <wp:docPr id="1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pic:cNvPicPr>
                            <a:picLocks noChangeAspect="1"/>
                          </pic:cNvPicPr>
                        </pic:nvPicPr>
                        <pic:blipFill>
                          <a:blip r:embed="rId38"/>
                          <a:stretch>
                            <a:fillRect/>
                          </a:stretch>
                        </pic:blipFill>
                        <pic:spPr>
                          <a:xfrm>
                            <a:off x="0" y="0"/>
                            <a:ext cx="3866515" cy="2758440"/>
                          </a:xfrm>
                          <a:prstGeom prst="rect">
                            <a:avLst/>
                          </a:prstGeom>
                          <a:noFill/>
                          <a:ln>
                            <a:noFill/>
                          </a:ln>
                        </pic:spPr>
                      </pic:pic>
                    </a:graphicData>
                  </a:graphic>
                </wp:inline>
              </w:drawing>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2</w:t>
            </w:r>
            <w:r>
              <w:rPr>
                <w:rFonts w:hint="eastAsia"/>
                <w:color w:val="0000FF"/>
                <w:sz w:val="24"/>
                <w:lang w:eastAsia="zh-CN"/>
              </w:rPr>
              <w:t>）运送人员在运送医疗废物前，应当检查包装物或者容器的标识、标签及封口是否符合要求，不得将不符合要求的医疗废物运送至暂时贮存地点。</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3</w:t>
            </w:r>
            <w:r>
              <w:rPr>
                <w:rFonts w:hint="eastAsia"/>
                <w:color w:val="0000FF"/>
                <w:sz w:val="24"/>
                <w:lang w:eastAsia="zh-CN"/>
              </w:rPr>
              <w:t>）运送人员在运送医疗废物时，应当防止造成包装物或容器破损和医疗废物的流失、泄漏和扩散，并防止医疗废物直接接触身体。</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4</w:t>
            </w:r>
            <w:r>
              <w:rPr>
                <w:rFonts w:hint="eastAsia"/>
                <w:color w:val="0000FF"/>
                <w:sz w:val="24"/>
                <w:lang w:eastAsia="zh-CN"/>
              </w:rPr>
              <w:t>）运送医疗废物应当使用防渗漏、防遗撒、无锐利边角、易于装卸和清洁的专用运送工具。每天运送工作结束后，应当对运送工具及时进行清洁和消毒。</w:t>
            </w:r>
          </w:p>
          <w:p>
            <w:pPr>
              <w:adjustRightInd w:val="0"/>
              <w:snapToGrid w:val="0"/>
              <w:spacing w:line="360" w:lineRule="auto"/>
              <w:ind w:firstLine="480" w:firstLineChars="200"/>
              <w:rPr>
                <w:rFonts w:hint="eastAsia" w:ascii="Times New Roman" w:hAnsi="Times New Roman"/>
                <w:color w:val="0000FF"/>
                <w:sz w:val="24"/>
              </w:rPr>
            </w:pPr>
            <w:r>
              <w:rPr>
                <w:rFonts w:hint="eastAsia"/>
                <w:color w:val="0000FF"/>
                <w:sz w:val="24"/>
                <w:lang w:eastAsia="zh-CN"/>
              </w:rPr>
              <w:t>（</w:t>
            </w:r>
            <w:r>
              <w:rPr>
                <w:rFonts w:hint="eastAsia"/>
                <w:color w:val="0000FF"/>
                <w:sz w:val="24"/>
                <w:lang w:val="en-US" w:eastAsia="zh-CN"/>
              </w:rPr>
              <w:t>3</w:t>
            </w:r>
            <w:r>
              <w:rPr>
                <w:rFonts w:hint="eastAsia"/>
                <w:color w:val="0000FF"/>
                <w:sz w:val="24"/>
                <w:lang w:eastAsia="zh-CN"/>
              </w:rPr>
              <w:t>）</w:t>
            </w:r>
            <w:r>
              <w:rPr>
                <w:rFonts w:hint="eastAsia" w:ascii="Times New Roman" w:hAnsi="Times New Roman"/>
                <w:color w:val="0000FF"/>
                <w:sz w:val="24"/>
              </w:rPr>
              <w:t>临时贮存</w:t>
            </w:r>
          </w:p>
          <w:p>
            <w:pPr>
              <w:adjustRightInd w:val="0"/>
              <w:snapToGrid w:val="0"/>
              <w:spacing w:line="360" w:lineRule="auto"/>
              <w:ind w:firstLine="480" w:firstLineChars="200"/>
              <w:rPr>
                <w:rFonts w:hint="eastAsia" w:ascii="Times New Roman" w:hAnsi="Times New Roman"/>
                <w:color w:val="0000FF"/>
                <w:sz w:val="24"/>
              </w:rPr>
            </w:pPr>
            <w:r>
              <w:rPr>
                <w:rFonts w:hint="eastAsia"/>
                <w:color w:val="0000FF"/>
                <w:sz w:val="24"/>
                <w:lang w:val="en-US" w:eastAsia="zh-CN"/>
              </w:rPr>
              <w:t>1</w:t>
            </w:r>
            <w:r>
              <w:rPr>
                <w:rFonts w:hint="eastAsia"/>
                <w:color w:val="0000FF"/>
                <w:sz w:val="24"/>
                <w:lang w:eastAsia="zh-CN"/>
              </w:rPr>
              <w:t>）</w:t>
            </w:r>
            <w:r>
              <w:rPr>
                <w:rFonts w:hint="eastAsia" w:ascii="Times New Roman" w:hAnsi="Times New Roman"/>
                <w:color w:val="0000FF"/>
                <w:sz w:val="24"/>
              </w:rPr>
              <w:t>医疗卫生机构应当建立医疗废物暂时贮存设施、设备，不得露天存放医疗废物；医疗废物暂时贮存的时间不得超过2天。</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2</w:t>
            </w:r>
            <w:r>
              <w:rPr>
                <w:rFonts w:hint="eastAsia"/>
                <w:color w:val="0000FF"/>
                <w:sz w:val="24"/>
                <w:lang w:eastAsia="zh-CN"/>
              </w:rPr>
              <w:t>）远离医疗区、食品加工区、人员活动区和生活垃圾存放场所，方便医疗废物运送人员及运送工具、车辆的出入；</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3</w:t>
            </w:r>
            <w:r>
              <w:rPr>
                <w:rFonts w:hint="eastAsia"/>
                <w:color w:val="0000FF"/>
                <w:sz w:val="24"/>
                <w:lang w:eastAsia="zh-CN"/>
              </w:rPr>
              <w:t>）有严密的封闭措施，设专(兼)职人员管理，防止非工作人员接触医疗废物；</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4</w:t>
            </w:r>
            <w:r>
              <w:rPr>
                <w:rFonts w:hint="eastAsia"/>
                <w:color w:val="0000FF"/>
                <w:sz w:val="24"/>
                <w:lang w:eastAsia="zh-CN"/>
              </w:rPr>
              <w:t>）有防鼠、防蚊蝇、防蟑螂的安全措施；</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5</w:t>
            </w:r>
            <w:r>
              <w:rPr>
                <w:rFonts w:hint="eastAsia"/>
                <w:color w:val="0000FF"/>
                <w:sz w:val="24"/>
                <w:lang w:eastAsia="zh-CN"/>
              </w:rPr>
              <w:t>）防止渗漏和雨水冲刷；</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6</w:t>
            </w:r>
            <w:r>
              <w:rPr>
                <w:rFonts w:hint="eastAsia"/>
                <w:color w:val="0000FF"/>
                <w:sz w:val="24"/>
                <w:lang w:eastAsia="zh-CN"/>
              </w:rPr>
              <w:t>）易于清洁和消毒；</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7</w:t>
            </w:r>
            <w:r>
              <w:rPr>
                <w:rFonts w:hint="eastAsia"/>
                <w:color w:val="0000FF"/>
                <w:sz w:val="24"/>
                <w:lang w:eastAsia="zh-CN"/>
              </w:rPr>
              <w:t>）避免阳光直射；</w:t>
            </w:r>
          </w:p>
          <w:p>
            <w:pPr>
              <w:adjustRightInd w:val="0"/>
              <w:snapToGrid w:val="0"/>
              <w:spacing w:line="360" w:lineRule="auto"/>
              <w:ind w:firstLine="480" w:firstLineChars="200"/>
              <w:rPr>
                <w:rFonts w:hint="eastAsia" w:ascii="Times New Roman" w:hAnsi="Times New Roman" w:eastAsia="宋体"/>
                <w:color w:val="0000FF"/>
                <w:sz w:val="24"/>
                <w:lang w:eastAsia="zh-CN"/>
              </w:rPr>
            </w:pPr>
            <w:r>
              <w:rPr>
                <w:rFonts w:hint="eastAsia"/>
                <w:color w:val="0000FF"/>
                <w:sz w:val="24"/>
                <w:lang w:val="en-US" w:eastAsia="zh-CN"/>
              </w:rPr>
              <w:t>8</w:t>
            </w:r>
            <w:r>
              <w:rPr>
                <w:rFonts w:hint="eastAsia"/>
                <w:color w:val="0000FF"/>
                <w:sz w:val="24"/>
                <w:lang w:eastAsia="zh-CN"/>
              </w:rPr>
              <w:t>）设有明显的医疗废物警示标识和“禁止吸烟、饮食”的警示标识。</w:t>
            </w:r>
          </w:p>
          <w:p>
            <w:pPr>
              <w:adjustRightInd w:val="0"/>
              <w:snapToGrid w:val="0"/>
              <w:spacing w:line="360" w:lineRule="auto"/>
              <w:jc w:val="center"/>
              <w:rPr>
                <w:color w:val="0000FF"/>
                <w:highlight w:val="none"/>
              </w:rPr>
            </w:pPr>
            <w:r>
              <w:rPr>
                <w:color w:val="0000FF"/>
                <w:highlight w:val="none"/>
              </w:rPr>
              <w:drawing>
                <wp:inline distT="0" distB="0" distL="114300" distR="114300">
                  <wp:extent cx="3522980" cy="2305685"/>
                  <wp:effectExtent l="0" t="0" r="12700" b="10795"/>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39"/>
                          <a:stretch>
                            <a:fillRect/>
                          </a:stretch>
                        </pic:blipFill>
                        <pic:spPr>
                          <a:xfrm>
                            <a:off x="0" y="0"/>
                            <a:ext cx="3522980" cy="2305685"/>
                          </a:xfrm>
                          <a:prstGeom prst="rect">
                            <a:avLst/>
                          </a:prstGeom>
                          <a:noFill/>
                          <a:ln>
                            <a:noFill/>
                          </a:ln>
                        </pic:spPr>
                      </pic:pic>
                    </a:graphicData>
                  </a:graphic>
                </wp:inline>
              </w:drawing>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9</w:t>
            </w:r>
            <w:r>
              <w:rPr>
                <w:rFonts w:hint="eastAsia"/>
                <w:color w:val="0000FF"/>
                <w:sz w:val="24"/>
                <w:lang w:eastAsia="zh-CN"/>
              </w:rPr>
              <w:t>）医疗卫生机构应当将医疗废物交由取得县级以上人民政府环境保护行政主管部门许可的医疗废物集中处置单位处置，依照危险废物转移联单制度填写和保存转移联单。</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10</w:t>
            </w:r>
            <w:r>
              <w:rPr>
                <w:rFonts w:hint="eastAsia"/>
                <w:color w:val="0000FF"/>
                <w:sz w:val="24"/>
                <w:lang w:eastAsia="zh-CN"/>
              </w:rPr>
              <w:t>）医疗卫生机构应当对医疗废物进行登记，登记内容应当包括医疗废物的来源、种类、重量或者数量、交接时间、最终去向以及经办人签名等项目。登记资料至少保存3年。</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11</w:t>
            </w:r>
            <w:r>
              <w:rPr>
                <w:rFonts w:hint="eastAsia"/>
                <w:color w:val="0000FF"/>
                <w:sz w:val="24"/>
                <w:lang w:eastAsia="zh-CN"/>
              </w:rPr>
              <w:t>）医疗废物转交出去后，应当对暂时贮存地点、设施及时进行清洁和消毒处理。</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12</w:t>
            </w:r>
            <w:r>
              <w:rPr>
                <w:rFonts w:hint="eastAsia"/>
                <w:color w:val="0000FF"/>
                <w:sz w:val="24"/>
                <w:lang w:eastAsia="zh-CN"/>
              </w:rPr>
              <w:t>）禁止医疗卫生机构及其工作人员转让、买卖医疗废物。禁止在非收集、非暂时贮存地点倾倒、堆放医疗废物，禁止将医疗废物混入其它废物和生活垃圾。</w:t>
            </w:r>
          </w:p>
          <w:p>
            <w:pPr>
              <w:adjustRightInd w:val="0"/>
              <w:snapToGrid w:val="0"/>
              <w:spacing w:line="360" w:lineRule="auto"/>
              <w:ind w:firstLine="480" w:firstLineChars="200"/>
              <w:rPr>
                <w:rFonts w:hint="eastAsia"/>
                <w:color w:val="0000FF"/>
                <w:sz w:val="24"/>
                <w:lang w:eastAsia="zh-CN"/>
              </w:rPr>
            </w:pPr>
            <w:r>
              <w:rPr>
                <w:rFonts w:hint="eastAsia"/>
                <w:color w:val="0000FF"/>
                <w:sz w:val="24"/>
                <w:lang w:val="en-US" w:eastAsia="zh-CN"/>
              </w:rPr>
              <w:t>13</w:t>
            </w:r>
            <w:r>
              <w:rPr>
                <w:rFonts w:hint="eastAsia"/>
                <w:color w:val="0000FF"/>
                <w:sz w:val="24"/>
                <w:lang w:eastAsia="zh-CN"/>
              </w:rPr>
              <w:t>）医疗卫生机构应当对本机构工作人员进行培训，提高全体工作人员对医疗废物管理工作的认识。对从事医疗废物分类收集、运送、暂时贮存、处置等工作的人员和管理人员，进行相关法律和专业技术、安全防护以及紧急处理等知识的培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FF0000"/>
                <w:sz w:val="24"/>
                <w:szCs w:val="32"/>
                <w:highlight w:val="none"/>
                <w:lang w:val="en-US" w:eastAsia="zh-CN"/>
              </w:rPr>
            </w:pPr>
            <w:r>
              <w:rPr>
                <w:rFonts w:hint="eastAsia"/>
                <w:color w:val="FF0000"/>
                <w:sz w:val="24"/>
                <w:szCs w:val="32"/>
                <w:highlight w:val="none"/>
                <w:lang w:val="en-US" w:eastAsia="zh-CN"/>
              </w:rPr>
              <w:t>14）同时按照</w:t>
            </w:r>
            <w:r>
              <w:rPr>
                <w:rFonts w:hint="eastAsia" w:ascii="Times New Roman" w:hAnsi="Times New Roman"/>
                <w:color w:val="FF0000"/>
                <w:sz w:val="24"/>
              </w:rPr>
              <w:t>《危险废物识别标志设置技术规范》(HJ1276-2022)</w:t>
            </w:r>
            <w:r>
              <w:rPr>
                <w:rFonts w:hint="eastAsia"/>
                <w:color w:val="FF0000"/>
                <w:sz w:val="24"/>
                <w:lang w:val="en-US" w:eastAsia="zh-CN"/>
              </w:rPr>
              <w:t>中</w:t>
            </w:r>
            <w:r>
              <w:rPr>
                <w:rFonts w:hint="eastAsia"/>
                <w:color w:val="FF0000"/>
                <w:sz w:val="24"/>
                <w:szCs w:val="32"/>
                <w:highlight w:val="none"/>
                <w:lang w:val="en-US" w:eastAsia="zh-CN"/>
              </w:rPr>
              <w:t>9.3.7危险废物贮存设施标志的样式进行警示标识。</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0000FF"/>
                <w:sz w:val="24"/>
                <w:szCs w:val="32"/>
                <w:highlight w:val="none"/>
                <w:lang w:val="en-US" w:eastAsia="zh-CN"/>
              </w:rPr>
            </w:pPr>
            <w:r>
              <w:drawing>
                <wp:inline distT="0" distB="0" distL="114300" distR="114300">
                  <wp:extent cx="3484880" cy="2208530"/>
                  <wp:effectExtent l="0" t="0" r="5080" b="127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0"/>
                          <a:stretch>
                            <a:fillRect/>
                          </a:stretch>
                        </pic:blipFill>
                        <pic:spPr>
                          <a:xfrm>
                            <a:off x="0" y="0"/>
                            <a:ext cx="3484880" cy="2208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FF"/>
                <w:sz w:val="24"/>
                <w:lang w:val="en-US" w:eastAsia="zh-CN"/>
              </w:rPr>
            </w:pPr>
            <w:r>
              <w:rPr>
                <w:rFonts w:hint="eastAsia"/>
                <w:color w:val="0000FF"/>
                <w:sz w:val="24"/>
                <w:szCs w:val="32"/>
                <w:highlight w:val="none"/>
                <w:lang w:val="en-US" w:eastAsia="zh-CN"/>
              </w:rPr>
              <w:t>本项目</w:t>
            </w:r>
            <w:r>
              <w:rPr>
                <w:color w:val="0000FF"/>
                <w:sz w:val="24"/>
                <w:szCs w:val="32"/>
                <w:highlight w:val="none"/>
              </w:rPr>
              <w:t>医疗废物暂存间的地面和墙裙必须进行防渗处理，且墙裙不低于1.0米高，地面要有良好的排水性能，易于清洁和消毒，如设置清洗池及地漏等。</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（4）医疗废物交接</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医疗废物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环保部门报告。本项目交予处置的医疗废物，采用危险废物转移联单管理，对医疗废物转移计划进行审批。转移计划批准后，医疗废物产生单位和处置单位的日常医疗废物交接可采用简化的《危险废物转移联单》（医疗废物专用）。在医疗卫生机构、处置单位及运送方式变化后，应对医疗废物转移计划进行重新审批。</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（5）医疗废物的运输</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医疗废物运送应当使用专用车辆。车辆厢体应与驾驶室分离并密闭；厢体应达到气密性要求，内壁光滑干整，易于清洗消毒；厢体材料防水、耐腐蚀；厢体底部防液体渗漏，并设清洗污水的排水收集装置。运送车辆应符合《医疗废物转运车技术要求》(GBl9217-2003)要求。运送车辆应配备：《医疗废物集中处置技术规范（实行）》规范文本、《危险废物转移联单》（医疗废物专用）、《医疗废物运送登记卡》、运送路线图、通讯设备、医疗废物产生单位及其管理人员名单与电话号码、事故应急预案及联络单位和人员的名单、电话号码、收集医疗废物的工具、消毒器具与药品、备用的医疗废物专用袋和利器盒、备用的人员防护用品。</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（6）最终处置</w:t>
            </w:r>
          </w:p>
          <w:p>
            <w:pPr>
              <w:adjustRightInd w:val="0"/>
              <w:snapToGrid w:val="0"/>
              <w:spacing w:line="360" w:lineRule="auto"/>
              <w:ind w:firstLine="480" w:firstLineChars="200"/>
              <w:rPr>
                <w:rFonts w:hint="eastAsia" w:ascii="Times New Roman" w:hAnsi="Times New Roman"/>
                <w:color w:val="0000FF"/>
                <w:sz w:val="24"/>
              </w:rPr>
            </w:pPr>
            <w:r>
              <w:rPr>
                <w:rFonts w:hint="eastAsia" w:ascii="Times New Roman" w:hAnsi="Times New Roman"/>
                <w:color w:val="0000FF"/>
                <w:sz w:val="24"/>
              </w:rPr>
              <w:t>医疗废物最终送往</w:t>
            </w:r>
            <w:r>
              <w:rPr>
                <w:rFonts w:hint="eastAsia" w:ascii="Times New Roman" w:hAnsi="Times New Roman"/>
                <w:color w:val="0000FF"/>
                <w:sz w:val="24"/>
                <w:lang w:val="en-US" w:eastAsia="zh-CN"/>
              </w:rPr>
              <w:t>锡林郭勒盟环建医疗废弃资源处置有限</w:t>
            </w:r>
            <w:r>
              <w:rPr>
                <w:rFonts w:hint="eastAsia" w:ascii="Times New Roman" w:hAnsi="Times New Roman"/>
                <w:color w:val="0000FF"/>
                <w:sz w:val="24"/>
                <w:highlight w:val="none"/>
                <w:lang w:val="en-US" w:eastAsia="zh-CN"/>
              </w:rPr>
              <w:t>公司</w:t>
            </w:r>
            <w:r>
              <w:rPr>
                <w:rFonts w:hint="eastAsia" w:ascii="Times New Roman" w:hAnsi="Times New Roman"/>
                <w:color w:val="0000FF"/>
                <w:sz w:val="24"/>
                <w:highlight w:val="none"/>
              </w:rPr>
              <w:t>进行处</w:t>
            </w:r>
            <w:r>
              <w:rPr>
                <w:rFonts w:hint="eastAsia" w:ascii="Times New Roman" w:hAnsi="Times New Roman"/>
                <w:color w:val="0000FF"/>
                <w:sz w:val="24"/>
              </w:rPr>
              <w:t>理，本项目仅对医疗危废进行收集、暂存，不对医疗危废进行处置。</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rPr>
              <w:t>（7）事故应急措施</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rPr>
              <w:t>发生医疗废物流失、泄漏、扩散和意外事故时，应当按照以下要求及时采取紧急处理措施：确定流失、泄漏、扩散的医疗废物的类别、数量、发生时间、影响范围及严重程度；组织有关人员尽快按照应急方案，对发生医疗废物泄漏、扩散的现场进行处理；对被医疗废物污染的区域进行处理时，应当尽可能减少对病人、医务人员、其它现场人员及环境的影响；采取适当的安全处置措施，对泄漏物及受污染的区域、物品进行消毒或者其他无害化处置，必要时封锁污染区域，以防扩大污染；对感染性废物污染区域进行消毒时，消毒工作从污染最轻区域向污染最严重区域进行，对可能被污染的所有使用过的工具也应当进行消毒；工作人员应当做好卫生安全防护后进行工作。处理工作结束后，医疗卫生机构应当对事件的起因进行调查，并采取有效的防范措施预防类似事件的发生。</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rPr>
              <w:t>注意事项：由于医疗废弃物是属于危险固废，具有高度传染性，因此在其储运过程中还应注意以下几点：</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lang w:val="en-US" w:eastAsia="zh-CN"/>
              </w:rPr>
              <w:t>1）</w:t>
            </w:r>
            <w:r>
              <w:rPr>
                <w:rFonts w:hint="eastAsia" w:ascii="Times New Roman" w:hAnsi="Times New Roman"/>
                <w:color w:val="auto"/>
                <w:sz w:val="24"/>
              </w:rPr>
              <w:t>在病房、诊室等高危区必须采用双层废物袋或可密封处理的塑料桶。针头等锐器不应和其他废物混放，使用后要稳妥安全地放入防漏、防刺的专用锐器容器中。锐器容器要求有盖，并做好明显的标识，防止转运人员被锐器划伤引起疾病感染。</w:t>
            </w:r>
          </w:p>
          <w:p>
            <w:pPr>
              <w:adjustRightInd w:val="0"/>
              <w:snapToGrid w:val="0"/>
              <w:spacing w:line="360" w:lineRule="auto"/>
              <w:ind w:firstLine="480" w:firstLineChars="200"/>
              <w:jc w:val="left"/>
              <w:rPr>
                <w:rFonts w:hint="eastAsia" w:ascii="Times New Roman" w:hAnsi="Times New Roman"/>
                <w:color w:val="auto"/>
                <w:sz w:val="24"/>
              </w:rPr>
            </w:pPr>
            <w:r>
              <w:rPr>
                <w:rFonts w:hint="eastAsia" w:ascii="Times New Roman" w:hAnsi="Times New Roman"/>
                <w:color w:val="auto"/>
                <w:sz w:val="24"/>
                <w:lang w:val="en-US" w:eastAsia="zh-CN"/>
              </w:rPr>
              <w:t>2）</w:t>
            </w:r>
            <w:r>
              <w:rPr>
                <w:rFonts w:hint="eastAsia" w:ascii="Times New Roman" w:hAnsi="Times New Roman"/>
                <w:color w:val="auto"/>
                <w:sz w:val="24"/>
              </w:rPr>
              <w:t>对医疗废物必须按照卫生部和国家环境保护总局制定的《医疗废物分类目录》进行分类收集，并及时浸泡、消毒。废物袋的颜色为黄色，印有盛装医疗废物的文字说明和医疗废物警示标识。</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lang w:val="en-US" w:eastAsia="zh-CN"/>
              </w:rPr>
              <w:t>3）</w:t>
            </w:r>
            <w:r>
              <w:rPr>
                <w:rFonts w:hint="eastAsia" w:ascii="Times New Roman" w:hAnsi="Times New Roman"/>
                <w:color w:val="auto"/>
                <w:sz w:val="24"/>
              </w:rPr>
              <w:t>要求使用专用手推车，要装卸方便、密封良好，废物袋破裂时不至于外漏，还要易于消毒和清洁。</w:t>
            </w:r>
          </w:p>
          <w:p>
            <w:pPr>
              <w:adjustRightInd w:val="0"/>
              <w:snapToGrid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lang w:val="en-US" w:eastAsia="zh-CN"/>
              </w:rPr>
              <w:t>4）</w:t>
            </w:r>
            <w:r>
              <w:rPr>
                <w:rFonts w:hint="eastAsia" w:ascii="Times New Roman" w:hAnsi="Times New Roman"/>
                <w:color w:val="auto"/>
                <w:sz w:val="24"/>
              </w:rPr>
              <w:t>卫生院必须严格遵守中华人民共和国国务院令第380号《医疗废物管理条例》中的禁止性规定：禁止任何单位和个人转让、买卖医疗废物。禁止在运送过程中丢弃医疗废物；禁止在非贮存地点倾倒、堆放医疗废物或者将医疗废物混入其他废物和生活垃圾。禁止邮寄医疗废物。禁止通过铁路、航空运输医疗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rPr>
            </w:pPr>
            <w:r>
              <w:rPr>
                <w:color w:val="auto"/>
                <w:sz w:val="24"/>
              </w:rPr>
              <w:t>综上所述，本项目固体废物在加强管理、严格按照环保要求处置的前提下，不会对环境造成明显的不利影响。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color w:val="auto"/>
                <w:sz w:val="24"/>
              </w:rPr>
            </w:pPr>
            <w:r>
              <w:rPr>
                <w:rFonts w:hint="eastAsia"/>
                <w:b w:val="0"/>
                <w:bCs/>
                <w:color w:val="auto"/>
                <w:sz w:val="24"/>
              </w:rPr>
              <w:t>（</w:t>
            </w:r>
            <w:r>
              <w:rPr>
                <w:rFonts w:hint="eastAsia"/>
                <w:b w:val="0"/>
                <w:bCs/>
                <w:color w:val="auto"/>
                <w:sz w:val="24"/>
                <w:lang w:val="en-US" w:eastAsia="zh-CN"/>
              </w:rPr>
              <w:t>8</w:t>
            </w:r>
            <w:r>
              <w:rPr>
                <w:rFonts w:hint="eastAsia"/>
                <w:b w:val="0"/>
                <w:bCs/>
                <w:color w:val="auto"/>
                <w:sz w:val="24"/>
              </w:rPr>
              <w:t>）固体废物管理计划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32"/>
                <w:highlight w:val="none"/>
                <w:lang w:val="en-US" w:eastAsia="zh-CN"/>
              </w:rPr>
            </w:pPr>
            <w:r>
              <w:rPr>
                <w:color w:val="auto"/>
                <w:sz w:val="24"/>
              </w:rPr>
              <w:t>定期检查台帐统计资料，每月统计向</w:t>
            </w:r>
            <w:r>
              <w:rPr>
                <w:rFonts w:hint="eastAsia"/>
                <w:color w:val="auto"/>
                <w:sz w:val="24"/>
                <w:lang w:val="en-US" w:eastAsia="zh-CN"/>
              </w:rPr>
              <w:t>生态环境</w:t>
            </w:r>
            <w:r>
              <w:rPr>
                <w:color w:val="auto"/>
                <w:sz w:val="24"/>
              </w:rPr>
              <w:t>部门报告，</w:t>
            </w:r>
            <w:r>
              <w:rPr>
                <w:rFonts w:hint="eastAsia"/>
                <w:color w:val="auto"/>
                <w:sz w:val="24"/>
              </w:rPr>
              <w:t>做</w:t>
            </w:r>
            <w:r>
              <w:rPr>
                <w:color w:val="auto"/>
                <w:sz w:val="24"/>
              </w:rPr>
              <w:t>好固体废物的产生量、处理量、贮存量、处置量等运行记录清单</w:t>
            </w:r>
            <w:r>
              <w:rPr>
                <w:rFonts w:hint="eastAsia"/>
                <w:color w:val="auto"/>
                <w:sz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5</w:t>
            </w:r>
            <w:r>
              <w:rPr>
                <w:rFonts w:hint="eastAsia"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地下水</w:t>
            </w:r>
            <w:r>
              <w:rPr>
                <w:rFonts w:hint="eastAsia" w:cs="Times New Roman"/>
                <w:b/>
                <w:bCs/>
                <w:color w:val="auto"/>
                <w:sz w:val="24"/>
                <w:szCs w:val="24"/>
                <w:lang w:val="en-US" w:eastAsia="zh-CN"/>
              </w:rPr>
              <w:t>、土壤</w:t>
            </w:r>
            <w:r>
              <w:rPr>
                <w:rFonts w:hint="eastAsia" w:ascii="Times New Roman" w:hAnsi="Times New Roman" w:eastAsia="宋体" w:cs="Times New Roman"/>
                <w:b/>
                <w:bCs/>
                <w:color w:val="auto"/>
                <w:sz w:val="24"/>
                <w:szCs w:val="24"/>
                <w:lang w:val="en-US" w:eastAsia="zh-CN"/>
              </w:rPr>
              <w:t>环境影响分析及污染防治措施</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eastAsiaTheme="minorEastAsia"/>
                <w:color w:val="auto"/>
                <w:sz w:val="24"/>
                <w:lang w:eastAsia="zh-CN"/>
              </w:rPr>
            </w:pPr>
            <w:r>
              <w:rPr>
                <w:rFonts w:hint="eastAsia" w:eastAsiaTheme="minorEastAsia"/>
                <w:color w:val="auto"/>
                <w:sz w:val="24"/>
              </w:rPr>
              <w:t>项目对地下水及土壤的污染源主要为：医疗废物暂存间存放的医疗废物周转箱，污染途径是医疗废物包装袋和周转箱破损导致废液流出，防渗地面破损的情况下，垂直入渗进入土壤，造成土壤、地下水的污染</w:t>
            </w:r>
            <w:r>
              <w:rPr>
                <w:rFonts w:hint="eastAsia" w:eastAsiaTheme="minorEastAsia"/>
                <w:color w:val="auto"/>
                <w:sz w:val="24"/>
                <w:lang w:eastAsia="zh-CN"/>
              </w:rPr>
              <w:t>。</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b/>
                <w:bCs/>
                <w:color w:val="auto"/>
                <w:sz w:val="24"/>
              </w:rPr>
            </w:pP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b/>
                <w:bCs/>
                <w:color w:val="auto"/>
                <w:sz w:val="24"/>
              </w:rPr>
            </w:pP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b/>
                <w:bCs/>
                <w:color w:val="auto"/>
                <w:sz w:val="24"/>
              </w:rPr>
            </w:pP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b/>
                <w:bCs/>
                <w:color w:val="auto"/>
                <w:sz w:val="24"/>
              </w:rPr>
            </w:pPr>
            <w:r>
              <w:rPr>
                <w:rFonts w:hint="eastAsia" w:eastAsiaTheme="minorEastAsia"/>
                <w:b/>
                <w:bCs/>
                <w:color w:val="auto"/>
                <w:sz w:val="24"/>
              </w:rPr>
              <w:t>表4-</w:t>
            </w:r>
            <w:r>
              <w:rPr>
                <w:rFonts w:hint="eastAsia" w:eastAsiaTheme="minorEastAsia"/>
                <w:b/>
                <w:bCs/>
                <w:color w:val="auto"/>
                <w:sz w:val="24"/>
                <w:lang w:val="en-US" w:eastAsia="zh-CN"/>
              </w:rPr>
              <w:t>4</w:t>
            </w:r>
            <w:r>
              <w:rPr>
                <w:rFonts w:hint="eastAsia" w:eastAsiaTheme="minorEastAsia"/>
                <w:b/>
                <w:bCs/>
                <w:color w:val="auto"/>
                <w:sz w:val="24"/>
              </w:rPr>
              <w:t xml:space="preserve"> </w:t>
            </w:r>
            <w:r>
              <w:rPr>
                <w:rFonts w:hint="eastAsia" w:eastAsiaTheme="minorEastAsia"/>
                <w:b/>
                <w:bCs/>
                <w:color w:val="auto"/>
                <w:sz w:val="24"/>
                <w:lang w:val="en-US" w:eastAsia="zh-CN"/>
              </w:rPr>
              <w:t xml:space="preserve">  </w:t>
            </w:r>
            <w:r>
              <w:rPr>
                <w:rFonts w:hint="eastAsia" w:eastAsiaTheme="minorEastAsia"/>
                <w:b/>
                <w:bCs/>
                <w:color w:val="auto"/>
                <w:sz w:val="24"/>
              </w:rPr>
              <w:t>项目土壤环境影响与影响途径表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371"/>
              <w:gridCol w:w="1436"/>
              <w:gridCol w:w="1501"/>
              <w:gridCol w:w="816"/>
              <w:gridCol w:w="676"/>
              <w:gridCol w:w="675"/>
              <w:gridCol w:w="708"/>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3"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不同时段</w:t>
                  </w:r>
                </w:p>
              </w:tc>
              <w:tc>
                <w:tcPr>
                  <w:tcW w:w="5138" w:type="dxa"/>
                  <w:gridSpan w:val="4"/>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污染影响</w:t>
                  </w:r>
                </w:p>
              </w:tc>
              <w:tc>
                <w:tcPr>
                  <w:tcW w:w="2715" w:type="dxa"/>
                  <w:gridSpan w:val="4"/>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生态影响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13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大气沉降</w:t>
                  </w:r>
                </w:p>
              </w:tc>
              <w:tc>
                <w:tcPr>
                  <w:tcW w:w="1440"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地面浸流</w:t>
                  </w:r>
                </w:p>
              </w:tc>
              <w:tc>
                <w:tcPr>
                  <w:tcW w:w="150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垂直入渗</w:t>
                  </w:r>
                </w:p>
              </w:tc>
              <w:tc>
                <w:tcPr>
                  <w:tcW w:w="818"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其他</w:t>
                  </w:r>
                </w:p>
              </w:tc>
              <w:tc>
                <w:tcPr>
                  <w:tcW w:w="677"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盐化</w:t>
                  </w:r>
                </w:p>
              </w:tc>
              <w:tc>
                <w:tcPr>
                  <w:tcW w:w="67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碱化</w:t>
                  </w:r>
                </w:p>
              </w:tc>
              <w:tc>
                <w:tcPr>
                  <w:tcW w:w="709"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酸化</w:t>
                  </w:r>
                </w:p>
              </w:tc>
              <w:tc>
                <w:tcPr>
                  <w:tcW w:w="65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运营期</w:t>
                  </w:r>
                </w:p>
              </w:tc>
              <w:tc>
                <w:tcPr>
                  <w:tcW w:w="137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1440"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1505"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r>
                    <w:rPr>
                      <w:rFonts w:hint="eastAsia" w:eastAsiaTheme="minorEastAsia"/>
                      <w:color w:val="auto"/>
                      <w:sz w:val="21"/>
                      <w:szCs w:val="21"/>
                      <w:vertAlign w:val="baseline"/>
                    </w:rPr>
                    <w:t>√</w:t>
                  </w:r>
                </w:p>
              </w:tc>
              <w:tc>
                <w:tcPr>
                  <w:tcW w:w="818"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677"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67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709"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c>
                <w:tcPr>
                  <w:tcW w:w="653"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sz w:val="21"/>
                      <w:szCs w:val="21"/>
                      <w:vertAlign w:val="baseline"/>
                    </w:rPr>
                  </w:pPr>
                </w:p>
              </w:tc>
            </w:tr>
          </w:tbl>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rPr>
            </w:pPr>
            <w:r>
              <w:rPr>
                <w:rFonts w:hint="eastAsia" w:eastAsiaTheme="minorEastAsia"/>
                <w:color w:val="auto"/>
                <w:sz w:val="24"/>
              </w:rPr>
              <w:t>污染物进入土壤后会发生一系列的物理、化学和生物学过程。污染物在土壤中的主要迁移和转化过程包括：扩散、浓缩、吸附、降解、淋溶、径流迁移、植物吸收和生物</w:t>
            </w:r>
            <w:r>
              <w:rPr>
                <w:rFonts w:hint="eastAsia" w:ascii="Times New Roman" w:hAnsi="Times New Roman" w:cs="Times New Roman" w:eastAsiaTheme="minorEastAsia"/>
                <w:color w:val="auto"/>
                <w:sz w:val="24"/>
              </w:rPr>
              <w:t>迁移、沉淀溶解、氧化还原造成的污染物形态变化。</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rPr>
            </w:pPr>
            <w:r>
              <w:rPr>
                <w:rFonts w:hint="eastAsia" w:ascii="Times New Roman" w:hAnsi="Times New Roman" w:cs="Times New Roman" w:eastAsiaTheme="minorEastAsia"/>
                <w:color w:val="auto"/>
                <w:sz w:val="24"/>
              </w:rPr>
              <w:t>本项目从污染物的产生、入渗、扩散、应急响应进行控制，坚持以防为主、以治为辅的原则，采取防治结合的方式对地下水和土壤进行保护。具体措施如下：</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rPr>
            </w:pPr>
            <w:r>
              <w:rPr>
                <w:rFonts w:hint="eastAsia" w:ascii="Times New Roman" w:hAnsi="Times New Roman" w:cs="Times New Roman" w:eastAsiaTheme="minorEastAsia"/>
                <w:color w:val="auto"/>
                <w:sz w:val="24"/>
              </w:rPr>
              <w:t>（1）在医疗废物转运过程中及时查看包装是否系紧，周转箱是否完好，底部是否出现裂纹破损的迹象，如有发现及时更换，从源头控制可能存在的污染风险。</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rPr>
            </w:pPr>
            <w:r>
              <w:rPr>
                <w:rFonts w:hint="eastAsia" w:ascii="Times New Roman" w:hAnsi="Times New Roman" w:cs="Times New Roman" w:eastAsiaTheme="minorEastAsia"/>
                <w:color w:val="auto"/>
                <w:sz w:val="24"/>
              </w:rPr>
              <w:t>（2）对</w:t>
            </w:r>
            <w:r>
              <w:rPr>
                <w:rFonts w:hint="eastAsia" w:ascii="Times New Roman" w:hAnsi="Times New Roman" w:cs="Times New Roman" w:eastAsiaTheme="minorEastAsia"/>
                <w:color w:val="auto"/>
                <w:sz w:val="24"/>
                <w:lang w:val="en-US" w:eastAsia="zh-CN"/>
              </w:rPr>
              <w:t>医疗废物暂存间</w:t>
            </w:r>
            <w:r>
              <w:rPr>
                <w:rFonts w:hint="eastAsia" w:ascii="Times New Roman" w:hAnsi="Times New Roman" w:cs="Times New Roman" w:eastAsiaTheme="minorEastAsia"/>
                <w:color w:val="auto"/>
                <w:sz w:val="24"/>
              </w:rPr>
              <w:t>采取防渗</w:t>
            </w:r>
            <w:r>
              <w:rPr>
                <w:rFonts w:hint="eastAsia" w:ascii="Times New Roman" w:hAnsi="Times New Roman" w:cs="Times New Roman" w:eastAsiaTheme="minorEastAsia"/>
                <w:color w:val="auto"/>
                <w:sz w:val="24"/>
                <w:lang w:val="en-US" w:eastAsia="zh-CN"/>
              </w:rPr>
              <w:t>措施</w:t>
            </w:r>
            <w:r>
              <w:rPr>
                <w:rFonts w:hint="eastAsia" w:ascii="Times New Roman" w:hAnsi="Times New Roman" w:cs="Times New Roman" w:eastAsiaTheme="minorEastAsia"/>
                <w:color w:val="auto"/>
                <w:sz w:val="24"/>
              </w:rPr>
              <w:t>，定期对地面防渗进行检漏，建立防渗设施的检漏系统。</w:t>
            </w:r>
          </w:p>
          <w:p>
            <w:pPr>
              <w:pStyle w:val="2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Theme="minorEastAsia"/>
                <w:b/>
                <w:bCs/>
                <w:color w:val="auto"/>
                <w:sz w:val="24"/>
              </w:rPr>
            </w:pPr>
            <w:r>
              <w:rPr>
                <w:rFonts w:hint="eastAsia" w:eastAsiaTheme="minorEastAsia"/>
                <w:b/>
                <w:bCs/>
                <w:color w:val="auto"/>
                <w:sz w:val="24"/>
              </w:rPr>
              <w:t>表4-</w:t>
            </w:r>
            <w:r>
              <w:rPr>
                <w:rFonts w:hint="eastAsia" w:eastAsiaTheme="minorEastAsia"/>
                <w:b/>
                <w:bCs/>
                <w:color w:val="auto"/>
                <w:sz w:val="24"/>
                <w:lang w:val="en-US" w:eastAsia="zh-CN"/>
              </w:rPr>
              <w:t>5</w:t>
            </w:r>
            <w:r>
              <w:rPr>
                <w:rFonts w:hint="eastAsia" w:eastAsiaTheme="minorEastAsia"/>
                <w:b/>
                <w:bCs/>
                <w:color w:val="auto"/>
                <w:sz w:val="24"/>
              </w:rPr>
              <w:t xml:space="preserve"> </w:t>
            </w:r>
            <w:r>
              <w:rPr>
                <w:rFonts w:hint="eastAsia" w:eastAsiaTheme="minorEastAsia"/>
                <w:b/>
                <w:bCs/>
                <w:color w:val="auto"/>
                <w:sz w:val="24"/>
                <w:lang w:val="en-US" w:eastAsia="zh-CN"/>
              </w:rPr>
              <w:t xml:space="preserve">   </w:t>
            </w:r>
            <w:r>
              <w:rPr>
                <w:rFonts w:hint="eastAsia" w:eastAsiaTheme="minorEastAsia"/>
                <w:b/>
                <w:bCs/>
                <w:color w:val="auto"/>
                <w:sz w:val="24"/>
              </w:rPr>
              <w:t>分区防渗措施一览表</w:t>
            </w:r>
          </w:p>
          <w:tbl>
            <w:tblPr>
              <w:tblStyle w:val="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1995"/>
              <w:gridCol w:w="58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0" w:type="pct"/>
                  <w:vAlign w:val="center"/>
                </w:tcPr>
                <w:p>
                  <w:pPr>
                    <w:tabs>
                      <w:tab w:val="left" w:pos="525"/>
                      <w:tab w:val="left" w:pos="9720"/>
                    </w:tabs>
                    <w:autoSpaceDE w:val="0"/>
                    <w:autoSpaceDN w:val="0"/>
                    <w:snapToGrid w:val="0"/>
                    <w:jc w:val="center"/>
                    <w:rPr>
                      <w:color w:val="auto"/>
                      <w:highlight w:val="none"/>
                    </w:rPr>
                  </w:pPr>
                  <w:r>
                    <w:rPr>
                      <w:color w:val="auto"/>
                      <w:highlight w:val="none"/>
                    </w:rPr>
                    <w:t>防渗分区</w:t>
                  </w:r>
                </w:p>
              </w:tc>
              <w:tc>
                <w:tcPr>
                  <w:tcW w:w="1121" w:type="pct"/>
                  <w:vAlign w:val="center"/>
                </w:tcPr>
                <w:p>
                  <w:pPr>
                    <w:tabs>
                      <w:tab w:val="left" w:pos="525"/>
                      <w:tab w:val="left" w:pos="9720"/>
                    </w:tabs>
                    <w:autoSpaceDE w:val="0"/>
                    <w:autoSpaceDN w:val="0"/>
                    <w:snapToGrid w:val="0"/>
                    <w:jc w:val="center"/>
                    <w:rPr>
                      <w:color w:val="auto"/>
                      <w:highlight w:val="none"/>
                    </w:rPr>
                  </w:pPr>
                  <w:r>
                    <w:rPr>
                      <w:color w:val="auto"/>
                      <w:highlight w:val="none"/>
                    </w:rPr>
                    <w:t>单元名称</w:t>
                  </w:r>
                </w:p>
              </w:tc>
              <w:tc>
                <w:tcPr>
                  <w:tcW w:w="3278" w:type="pct"/>
                  <w:vAlign w:val="center"/>
                </w:tcPr>
                <w:p>
                  <w:pPr>
                    <w:tabs>
                      <w:tab w:val="left" w:pos="525"/>
                      <w:tab w:val="left" w:pos="9720"/>
                    </w:tabs>
                    <w:autoSpaceDE w:val="0"/>
                    <w:autoSpaceDN w:val="0"/>
                    <w:snapToGrid w:val="0"/>
                    <w:jc w:val="center"/>
                    <w:rPr>
                      <w:color w:val="auto"/>
                      <w:highlight w:val="none"/>
                    </w:rPr>
                  </w:pPr>
                  <w:r>
                    <w:rPr>
                      <w:color w:val="auto"/>
                      <w:highlight w:val="none"/>
                    </w:rPr>
                    <w:t>防渗技术要求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600" w:type="pct"/>
                  <w:vAlign w:val="center"/>
                </w:tcPr>
                <w:p>
                  <w:pPr>
                    <w:tabs>
                      <w:tab w:val="left" w:pos="525"/>
                      <w:tab w:val="left" w:pos="9720"/>
                    </w:tabs>
                    <w:autoSpaceDE w:val="0"/>
                    <w:autoSpaceDN w:val="0"/>
                    <w:snapToGrid w:val="0"/>
                    <w:jc w:val="center"/>
                    <w:rPr>
                      <w:color w:val="auto"/>
                      <w:highlight w:val="none"/>
                    </w:rPr>
                  </w:pPr>
                  <w:r>
                    <w:rPr>
                      <w:color w:val="auto"/>
                      <w:highlight w:val="none"/>
                    </w:rPr>
                    <w:t>重点防渗区</w:t>
                  </w:r>
                </w:p>
              </w:tc>
              <w:tc>
                <w:tcPr>
                  <w:tcW w:w="1121" w:type="pct"/>
                  <w:vAlign w:val="center"/>
                </w:tcPr>
                <w:p>
                  <w:pPr>
                    <w:tabs>
                      <w:tab w:val="left" w:pos="525"/>
                      <w:tab w:val="left" w:pos="9720"/>
                    </w:tabs>
                    <w:autoSpaceDE w:val="0"/>
                    <w:autoSpaceDN w:val="0"/>
                    <w:snapToGrid w:val="0"/>
                    <w:jc w:val="center"/>
                    <w:rPr>
                      <w:color w:val="auto"/>
                      <w:highlight w:val="none"/>
                    </w:rPr>
                  </w:pPr>
                  <w:r>
                    <w:rPr>
                      <w:rFonts w:hint="eastAsia"/>
                      <w:color w:val="auto"/>
                      <w:highlight w:val="none"/>
                      <w:lang w:val="en-US" w:eastAsia="zh-CN"/>
                    </w:rPr>
                    <w:t>医疗废物暂存间</w:t>
                  </w:r>
                </w:p>
              </w:tc>
              <w:tc>
                <w:tcPr>
                  <w:tcW w:w="3278" w:type="pct"/>
                  <w:vAlign w:val="center"/>
                </w:tcPr>
                <w:p>
                  <w:pPr>
                    <w:tabs>
                      <w:tab w:val="left" w:pos="525"/>
                      <w:tab w:val="left" w:pos="9720"/>
                    </w:tabs>
                    <w:autoSpaceDE w:val="0"/>
                    <w:autoSpaceDN w:val="0"/>
                    <w:snapToGrid w:val="0"/>
                    <w:jc w:val="left"/>
                    <w:rPr>
                      <w:color w:val="auto"/>
                      <w:highlight w:val="none"/>
                    </w:rPr>
                  </w:pPr>
                  <w:r>
                    <w:rPr>
                      <w:color w:val="0000FF"/>
                      <w:highlight w:val="none"/>
                    </w:rPr>
                    <w:t>基础必须防渗，防渗层至少1m厚粘土层（渗透系数≤10</w:t>
                  </w:r>
                  <w:r>
                    <w:rPr>
                      <w:color w:val="0000FF"/>
                      <w:highlight w:val="none"/>
                      <w:vertAlign w:val="superscript"/>
                    </w:rPr>
                    <w:t>-7</w:t>
                  </w:r>
                  <w:r>
                    <w:rPr>
                      <w:color w:val="0000FF"/>
                      <w:highlight w:val="none"/>
                    </w:rPr>
                    <w:t>cm/s），或2mm厚高密度聚乙烯，或至少2mm厚其它人工材料）</w:t>
                  </w:r>
                </w:p>
              </w:tc>
            </w:tr>
          </w:tbl>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rPr>
            </w:pPr>
            <w:r>
              <w:rPr>
                <w:rFonts w:hint="eastAsia" w:ascii="Times New Roman" w:hAnsi="Times New Roman" w:cs="Times New Roman" w:eastAsiaTheme="minorEastAsia"/>
                <w:color w:val="auto"/>
                <w:sz w:val="24"/>
              </w:rPr>
              <w:t>综上所述，项目运营期间通过加强管理、源头控制、防渗等措施后，对地下水环境和土壤环境影响较小。</w:t>
            </w:r>
          </w:p>
          <w:p>
            <w:pPr>
              <w:spacing w:line="360" w:lineRule="auto"/>
              <w:ind w:firstLine="482" w:firstLineChars="200"/>
              <w:rPr>
                <w:rFonts w:hint="eastAsia" w:eastAsia="宋体"/>
                <w:b/>
                <w:bCs/>
                <w:color w:val="auto"/>
                <w:sz w:val="24"/>
                <w:lang w:eastAsia="zh-CN"/>
              </w:rPr>
            </w:pPr>
            <w:r>
              <w:rPr>
                <w:rFonts w:hint="eastAsia"/>
                <w:b/>
                <w:bCs/>
                <w:color w:val="auto"/>
                <w:sz w:val="24"/>
                <w:lang w:val="en-US" w:eastAsia="zh-CN"/>
              </w:rPr>
              <w:t>6.</w:t>
            </w:r>
            <w:r>
              <w:rPr>
                <w:rFonts w:hint="eastAsia"/>
                <w:b/>
                <w:bCs/>
                <w:color w:val="auto"/>
                <w:sz w:val="24"/>
              </w:rPr>
              <w:t>环境风险</w:t>
            </w:r>
            <w:r>
              <w:rPr>
                <w:rFonts w:hint="eastAsia"/>
                <w:b/>
                <w:bCs/>
                <w:color w:val="auto"/>
                <w:sz w:val="24"/>
                <w:lang w:val="en-US" w:eastAsia="zh-CN"/>
              </w:rPr>
              <w:t>影响分析</w:t>
            </w:r>
            <w:r>
              <w:rPr>
                <w:rFonts w:hint="eastAsia"/>
                <w:b/>
                <w:bCs/>
                <w:color w:val="auto"/>
                <w:sz w:val="24"/>
              </w:rPr>
              <w:t>及环境风险</w:t>
            </w:r>
            <w:r>
              <w:rPr>
                <w:rFonts w:hint="eastAsia"/>
                <w:b/>
                <w:bCs/>
                <w:color w:val="auto"/>
                <w:sz w:val="24"/>
                <w:lang w:val="en-US" w:eastAsia="zh-CN"/>
              </w:rPr>
              <w:t>防范措施</w:t>
            </w:r>
          </w:p>
          <w:p>
            <w:pPr>
              <w:spacing w:line="360" w:lineRule="auto"/>
              <w:ind w:firstLine="480" w:firstLineChars="200"/>
              <w:rPr>
                <w:color w:val="auto"/>
                <w:kern w:val="0"/>
                <w:sz w:val="24"/>
              </w:rPr>
            </w:pPr>
            <w:r>
              <w:rPr>
                <w:color w:val="auto"/>
                <w:sz w:val="24"/>
              </w:rPr>
              <w:t>根据《建设项目环境风险评价技术导则》（HJ169-2018），对本项目环境风险进行评价。</w:t>
            </w:r>
          </w:p>
          <w:p>
            <w:pPr>
              <w:pStyle w:val="7"/>
              <w:spacing w:after="0" w:line="360" w:lineRule="auto"/>
              <w:ind w:left="0" w:leftChars="0" w:firstLine="482"/>
              <w:rPr>
                <w:b/>
                <w:bCs/>
                <w:color w:val="auto"/>
                <w:sz w:val="24"/>
              </w:rPr>
            </w:pPr>
            <w:r>
              <w:rPr>
                <w:b/>
                <w:bCs/>
                <w:color w:val="auto"/>
                <w:sz w:val="24"/>
              </w:rPr>
              <w:t>（1）风险调查</w:t>
            </w:r>
          </w:p>
          <w:p>
            <w:pPr>
              <w:spacing w:line="360" w:lineRule="auto"/>
              <w:ind w:firstLine="480" w:firstLineChars="200"/>
              <w:rPr>
                <w:rFonts w:hint="eastAsia" w:eastAsia="宋体"/>
                <w:color w:val="auto"/>
                <w:sz w:val="24"/>
                <w:lang w:eastAsia="zh-CN"/>
              </w:rPr>
            </w:pPr>
            <w:r>
              <w:rPr>
                <w:color w:val="auto"/>
                <w:sz w:val="24"/>
              </w:rPr>
              <w:t>本项目主要暂存</w:t>
            </w:r>
            <w:r>
              <w:rPr>
                <w:rFonts w:hint="default" w:ascii="Times New Roman" w:hAnsi="Times New Roman" w:cs="Times New Roman"/>
                <w:color w:val="auto"/>
                <w:sz w:val="24"/>
              </w:rPr>
              <w:t>感染性废物、损伤性废物</w:t>
            </w:r>
            <w:r>
              <w:rPr>
                <w:rFonts w:hint="eastAsia"/>
                <w:color w:val="auto"/>
                <w:sz w:val="24"/>
              </w:rPr>
              <w:t>等</w:t>
            </w:r>
            <w:r>
              <w:rPr>
                <w:rFonts w:hint="eastAsia"/>
                <w:color w:val="auto"/>
                <w:sz w:val="24"/>
                <w:lang w:eastAsia="zh-CN"/>
              </w:rPr>
              <w:t>，</w:t>
            </w:r>
            <w:r>
              <w:rPr>
                <w:rFonts w:hint="eastAsia"/>
                <w:color w:val="auto"/>
                <w:sz w:val="24"/>
                <w:lang w:val="en-US" w:eastAsia="zh-CN"/>
              </w:rPr>
              <w:t>因此，</w:t>
            </w:r>
            <w:r>
              <w:rPr>
                <w:rFonts w:hint="eastAsia"/>
                <w:color w:val="auto"/>
                <w:sz w:val="24"/>
                <w:lang w:eastAsia="zh-CN"/>
              </w:rPr>
              <w:t>主要的环境风险物质为医疗废物暂存间存放的医疗废物。</w:t>
            </w:r>
          </w:p>
          <w:p>
            <w:pPr>
              <w:spacing w:line="360" w:lineRule="auto"/>
              <w:ind w:firstLine="482" w:firstLineChars="200"/>
              <w:rPr>
                <w:b/>
                <w:bCs/>
                <w:color w:val="auto"/>
                <w:sz w:val="24"/>
              </w:rPr>
            </w:pPr>
            <w:r>
              <w:rPr>
                <w:b/>
                <w:bCs/>
                <w:color w:val="auto"/>
                <w:sz w:val="24"/>
              </w:rPr>
              <w:t>（</w:t>
            </w:r>
            <w:r>
              <w:rPr>
                <w:rFonts w:hint="eastAsia"/>
                <w:b/>
                <w:bCs/>
                <w:color w:val="auto"/>
                <w:sz w:val="24"/>
                <w:lang w:val="en-US" w:eastAsia="zh-CN"/>
              </w:rPr>
              <w:t>2</w:t>
            </w:r>
            <w:r>
              <w:rPr>
                <w:b/>
                <w:bCs/>
                <w:color w:val="auto"/>
                <w:sz w:val="24"/>
              </w:rPr>
              <w:t>）</w:t>
            </w:r>
            <w:r>
              <w:rPr>
                <w:rFonts w:hint="eastAsia"/>
                <w:b/>
                <w:bCs/>
                <w:color w:val="auto"/>
                <w:sz w:val="24"/>
              </w:rPr>
              <w:t>环境风险分析</w:t>
            </w:r>
          </w:p>
          <w:p>
            <w:pPr>
              <w:spacing w:line="360" w:lineRule="auto"/>
              <w:ind w:firstLine="480" w:firstLineChars="200"/>
              <w:rPr>
                <w:rFonts w:hint="eastAsia"/>
                <w:color w:val="auto"/>
                <w:sz w:val="24"/>
                <w:lang w:val="en-US" w:eastAsia="zh-CN"/>
              </w:rPr>
            </w:pPr>
            <w:r>
              <w:rPr>
                <w:rFonts w:hint="eastAsia"/>
                <w:color w:val="auto"/>
                <w:sz w:val="24"/>
                <w:lang w:val="en-US" w:eastAsia="zh-CN"/>
              </w:rPr>
              <w:t>1）</w:t>
            </w:r>
            <w:r>
              <w:rPr>
                <w:rFonts w:ascii="宋体" w:hAnsi="宋体" w:eastAsia="宋体" w:cs="宋体"/>
                <w:color w:val="auto"/>
                <w:sz w:val="24"/>
                <w:szCs w:val="24"/>
              </w:rPr>
              <w:t>医疗废物</w:t>
            </w:r>
            <w:r>
              <w:rPr>
                <w:rFonts w:hint="eastAsia" w:ascii="宋体" w:hAnsi="宋体" w:cs="宋体"/>
                <w:color w:val="auto"/>
                <w:sz w:val="24"/>
                <w:szCs w:val="24"/>
                <w:lang w:val="en-US" w:eastAsia="zh-CN"/>
              </w:rPr>
              <w:t>收集</w:t>
            </w:r>
            <w:r>
              <w:rPr>
                <w:rFonts w:hint="eastAsia"/>
                <w:color w:val="auto"/>
                <w:sz w:val="24"/>
                <w:lang w:val="en-US" w:eastAsia="zh-CN"/>
              </w:rPr>
              <w:t>过程环境风险</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①</w:t>
            </w:r>
            <w:r>
              <w:rPr>
                <w:rFonts w:hint="eastAsia"/>
                <w:color w:val="auto"/>
                <w:sz w:val="24"/>
                <w:lang w:val="en-US" w:eastAsia="zh-CN"/>
              </w:rPr>
              <w:t>在对医疗废物分类收集时，不按规定容器分类盛装造成医疗废物装车时收集袋封闭不好或造成损伤性废物刺穿专用收集袋而使收集袋破损，导致装车时破损的收集袋使带菌废物散落或在运输途中废物发生车内散落，从而使收集者、运输者、装卸者有可能受到感染的风险。</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②</w:t>
            </w:r>
            <w:r>
              <w:rPr>
                <w:rFonts w:hint="eastAsia"/>
                <w:color w:val="auto"/>
                <w:sz w:val="24"/>
                <w:lang w:val="en-US" w:eastAsia="zh-CN"/>
              </w:rPr>
              <w:t>医疗卫生机构及其工作人员转让、买卖医疗废物造成致病菌传播，对人群健康产生影响。</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③</w:t>
            </w:r>
            <w:r>
              <w:rPr>
                <w:rFonts w:hint="eastAsia"/>
                <w:color w:val="auto"/>
                <w:sz w:val="24"/>
                <w:lang w:val="en-US" w:eastAsia="zh-CN"/>
              </w:rPr>
              <w:t>在非收集、非暂存地点倾倒、堆放医疗废物，或混入其它废物和生活垃圾，不能保证医疗废物正常、安全的收集，造成医疗废物散失引起疾病传播。</w:t>
            </w:r>
          </w:p>
          <w:p>
            <w:pPr>
              <w:spacing w:line="360" w:lineRule="auto"/>
              <w:ind w:firstLine="480" w:firstLineChars="200"/>
              <w:rPr>
                <w:rFonts w:hint="eastAsia"/>
                <w:color w:val="auto"/>
                <w:sz w:val="24"/>
                <w:lang w:val="en-US" w:eastAsia="zh-CN"/>
              </w:rPr>
            </w:pPr>
            <w:r>
              <w:rPr>
                <w:rFonts w:hint="eastAsia"/>
                <w:color w:val="auto"/>
                <w:sz w:val="24"/>
                <w:lang w:val="en-US" w:eastAsia="zh-CN"/>
              </w:rPr>
              <w:t>2）医疗废物运输过程环境风险</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①</w:t>
            </w:r>
            <w:r>
              <w:rPr>
                <w:rFonts w:hint="eastAsia"/>
                <w:color w:val="auto"/>
                <w:sz w:val="24"/>
                <w:lang w:val="en-US" w:eastAsia="zh-CN"/>
              </w:rPr>
              <w:t>医疗废物暂存车在运输过程中，医疗废物散落对周围环境的污染风险，并对接触人员的健康产生影响。</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②</w:t>
            </w:r>
            <w:r>
              <w:rPr>
                <w:rFonts w:hint="eastAsia"/>
                <w:color w:val="auto"/>
                <w:sz w:val="24"/>
                <w:lang w:val="en-US" w:eastAsia="zh-CN"/>
              </w:rPr>
              <w:t>医疗废物在运输途中遗失、泄露。</w:t>
            </w:r>
          </w:p>
          <w:p>
            <w:pPr>
              <w:spacing w:line="360" w:lineRule="auto"/>
              <w:ind w:firstLine="480" w:firstLineChars="200"/>
              <w:rPr>
                <w:rFonts w:hint="eastAsia"/>
                <w:color w:val="auto"/>
                <w:sz w:val="24"/>
                <w:lang w:val="en-US" w:eastAsia="zh-CN"/>
              </w:rPr>
            </w:pPr>
            <w:r>
              <w:rPr>
                <w:rFonts w:hint="eastAsia" w:ascii="宋体" w:hAnsi="宋体" w:eastAsia="宋体" w:cs="宋体"/>
                <w:color w:val="auto"/>
                <w:sz w:val="24"/>
                <w:lang w:val="en-US" w:eastAsia="zh-CN"/>
              </w:rPr>
              <w:t>③</w:t>
            </w:r>
            <w:r>
              <w:rPr>
                <w:rFonts w:hint="eastAsia"/>
                <w:color w:val="auto"/>
                <w:sz w:val="24"/>
                <w:lang w:val="en-US" w:eastAsia="zh-CN"/>
              </w:rPr>
              <w:t>运输暂存车消毒不彻底致使有毒物质和病菌扩散，影响车辆所经地区环境及人群健康。</w:t>
            </w:r>
          </w:p>
          <w:p>
            <w:pPr>
              <w:spacing w:line="360" w:lineRule="auto"/>
              <w:ind w:firstLine="480" w:firstLineChars="200"/>
              <w:rPr>
                <w:rFonts w:hint="eastAsia"/>
                <w:color w:val="auto"/>
                <w:sz w:val="24"/>
                <w:lang w:val="en-US" w:eastAsia="zh-CN"/>
              </w:rPr>
            </w:pPr>
            <w:r>
              <w:rPr>
                <w:rFonts w:hint="eastAsia"/>
                <w:color w:val="auto"/>
                <w:sz w:val="24"/>
                <w:lang w:val="en-US" w:eastAsia="zh-CN"/>
              </w:rPr>
              <w:t>3）疫病流行期间环境风险</w:t>
            </w:r>
          </w:p>
          <w:p>
            <w:pPr>
              <w:spacing w:line="360" w:lineRule="auto"/>
              <w:ind w:firstLine="480" w:firstLineChars="200"/>
              <w:rPr>
                <w:rFonts w:hint="eastAsia"/>
                <w:color w:val="auto"/>
                <w:sz w:val="24"/>
                <w:lang w:val="en-US" w:eastAsia="zh-CN"/>
              </w:rPr>
            </w:pPr>
            <w:r>
              <w:rPr>
                <w:rFonts w:hint="eastAsia"/>
                <w:color w:val="auto"/>
                <w:sz w:val="24"/>
                <w:lang w:val="en-US" w:eastAsia="zh-CN"/>
              </w:rPr>
              <w:t>在疫病流行期间，医疗废物的危险性更为突出，医疗废物产生数量突增对其控制措施不当，会使接触者、运输者等暴露在疫病流行快速散播的风险中更会使此时间的医疗废物产生单位成为首要的疫病散播区。</w:t>
            </w:r>
          </w:p>
          <w:p>
            <w:pPr>
              <w:spacing w:line="360" w:lineRule="auto"/>
              <w:ind w:firstLine="480" w:firstLineChars="200"/>
              <w:rPr>
                <w:rFonts w:hint="default"/>
                <w:color w:val="auto"/>
                <w:sz w:val="24"/>
                <w:lang w:val="en-US" w:eastAsia="zh-CN"/>
              </w:rPr>
            </w:pPr>
            <w:r>
              <w:rPr>
                <w:rFonts w:hint="eastAsia"/>
                <w:color w:val="auto"/>
                <w:sz w:val="24"/>
                <w:lang w:val="en-US" w:eastAsia="zh-CN"/>
              </w:rPr>
              <w:t>因此建设单位要采取环境风险防范措施及应急措施，最大限度减小事故影响。</w:t>
            </w:r>
          </w:p>
          <w:p>
            <w:pPr>
              <w:spacing w:line="360" w:lineRule="auto"/>
              <w:ind w:firstLine="482" w:firstLineChars="200"/>
              <w:rPr>
                <w:b/>
                <w:bCs/>
                <w:color w:val="auto"/>
                <w:sz w:val="24"/>
              </w:rPr>
            </w:pPr>
            <w:r>
              <w:rPr>
                <w:b/>
                <w:bCs/>
                <w:color w:val="auto"/>
                <w:sz w:val="24"/>
              </w:rPr>
              <w:t>（3）风险防范措施</w:t>
            </w:r>
          </w:p>
          <w:p>
            <w:pPr>
              <w:spacing w:line="360" w:lineRule="auto"/>
              <w:ind w:firstLine="480" w:firstLineChars="200"/>
              <w:rPr>
                <w:b w:val="0"/>
                <w:bCs w:val="0"/>
                <w:color w:val="auto"/>
                <w:sz w:val="24"/>
              </w:rPr>
            </w:pPr>
            <w:r>
              <w:rPr>
                <w:b w:val="0"/>
                <w:bCs w:val="0"/>
                <w:color w:val="auto"/>
                <w:sz w:val="24"/>
              </w:rPr>
              <w:t>为保证项目产生的医疗废物得到有效处置，使其风险减少到最小程度，而不会对周围环境造成不良影响，应具体采取如下的措施进行防范：</w:t>
            </w:r>
          </w:p>
          <w:p>
            <w:pPr>
              <w:spacing w:line="360" w:lineRule="auto"/>
              <w:ind w:firstLine="480" w:firstLineChars="200"/>
              <w:rPr>
                <w:rFonts w:hint="eastAsia" w:ascii="Times New Roman" w:hAnsi="Times New Roman" w:eastAsia="宋体" w:cs="Times New Roman"/>
                <w:b w:val="0"/>
                <w:bCs w:val="0"/>
                <w:color w:val="auto"/>
                <w:sz w:val="24"/>
              </w:rPr>
            </w:pPr>
            <w:r>
              <w:rPr>
                <w:rFonts w:hint="eastAsia" w:ascii="Times New Roman" w:hAnsi="Times New Roman" w:eastAsia="宋体" w:cs="Times New Roman"/>
                <w:b w:val="0"/>
                <w:bCs w:val="0"/>
                <w:color w:val="auto"/>
                <w:sz w:val="24"/>
              </w:rPr>
              <w:t>1）</w:t>
            </w:r>
            <w:r>
              <w:rPr>
                <w:rFonts w:hint="eastAsia" w:ascii="Times New Roman" w:hAnsi="Times New Roman" w:eastAsia="宋体" w:cs="Times New Roman"/>
                <w:b w:val="0"/>
                <w:bCs w:val="0"/>
                <w:color w:val="auto"/>
                <w:sz w:val="24"/>
                <w:lang w:val="en-US" w:eastAsia="zh-CN"/>
              </w:rPr>
              <w:t>医疗</w:t>
            </w:r>
            <w:r>
              <w:rPr>
                <w:rFonts w:hint="eastAsia" w:ascii="Times New Roman" w:hAnsi="Times New Roman" w:eastAsia="宋体" w:cs="Times New Roman"/>
                <w:b w:val="0"/>
                <w:bCs w:val="0"/>
                <w:color w:val="auto"/>
                <w:sz w:val="24"/>
              </w:rPr>
              <w:t>废物</w:t>
            </w:r>
            <w:r>
              <w:rPr>
                <w:rFonts w:hint="eastAsia" w:ascii="Times New Roman" w:hAnsi="Times New Roman" w:eastAsia="宋体" w:cs="Times New Roman"/>
                <w:b w:val="0"/>
                <w:bCs w:val="0"/>
                <w:color w:val="auto"/>
                <w:sz w:val="24"/>
                <w:lang w:val="en-US" w:eastAsia="zh-CN"/>
              </w:rPr>
              <w:t>感染致病菌</w:t>
            </w:r>
            <w:r>
              <w:rPr>
                <w:rFonts w:hint="eastAsia" w:ascii="Times New Roman" w:hAnsi="Times New Roman" w:eastAsia="宋体" w:cs="Times New Roman"/>
                <w:b w:val="0"/>
                <w:bCs w:val="0"/>
                <w:color w:val="auto"/>
                <w:sz w:val="24"/>
              </w:rPr>
              <w:t>风险及防范施</w:t>
            </w:r>
          </w:p>
          <w:p>
            <w:pPr>
              <w:spacing w:line="360" w:lineRule="auto"/>
              <w:ind w:firstLine="480" w:firstLineChars="200"/>
              <w:rPr>
                <w:rFonts w:hint="eastAsia" w:ascii="Times New Roman" w:hAnsi="Times New Roman" w:eastAsia="宋体" w:cs="Times New Roman"/>
                <w:b w:val="0"/>
                <w:bCs w:val="0"/>
                <w:color w:val="auto"/>
                <w:sz w:val="24"/>
              </w:rPr>
            </w:pPr>
            <w:r>
              <w:rPr>
                <w:rFonts w:hint="eastAsia" w:ascii="Times New Roman" w:hAnsi="Times New Roman" w:eastAsia="宋体" w:cs="Times New Roman"/>
                <w:b w:val="0"/>
                <w:bCs w:val="0"/>
                <w:color w:val="auto"/>
                <w:sz w:val="24"/>
              </w:rPr>
              <w:t>医疗废物为特殊的固体废物，含有大量的致病菌。本项目在收运、贮存管理等采取了严格的防护措施，保证医疗废物的致病感染菌不对周边环境造成污染和危害。</w:t>
            </w:r>
          </w:p>
          <w:p>
            <w:pPr>
              <w:spacing w:line="360" w:lineRule="auto"/>
              <w:ind w:firstLine="480" w:firstLineChars="200"/>
              <w:rPr>
                <w:rFonts w:hint="default"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2</w:t>
            </w:r>
            <w:r>
              <w:rPr>
                <w:rFonts w:hint="eastAsia" w:ascii="Times New Roman" w:hAnsi="Times New Roman" w:eastAsia="宋体" w:cs="Times New Roman"/>
                <w:b w:val="0"/>
                <w:bCs w:val="0"/>
                <w:color w:val="auto"/>
                <w:sz w:val="24"/>
                <w:lang w:eastAsia="zh-CN"/>
              </w:rPr>
              <w:t>）</w:t>
            </w:r>
            <w:r>
              <w:rPr>
                <w:rFonts w:hint="eastAsia" w:ascii="Times New Roman" w:hAnsi="Times New Roman" w:eastAsia="宋体" w:cs="Times New Roman"/>
                <w:b w:val="0"/>
                <w:bCs w:val="0"/>
                <w:color w:val="auto"/>
                <w:sz w:val="24"/>
                <w:lang w:val="en-US" w:eastAsia="zh-CN"/>
              </w:rPr>
              <w:t>收集系统</w:t>
            </w:r>
          </w:p>
          <w:p>
            <w:pPr>
              <w:spacing w:line="360" w:lineRule="auto"/>
              <w:ind w:firstLine="480" w:firstLineChars="200"/>
              <w:rPr>
                <w:rFonts w:hint="eastAsia" w:ascii="Times New Roman" w:hAnsi="Times New Roman" w:eastAsia="宋体" w:cs="Times New Roman"/>
                <w:b w:val="0"/>
                <w:bCs w:val="0"/>
                <w:color w:val="auto"/>
                <w:sz w:val="24"/>
              </w:rPr>
            </w:pPr>
            <w:r>
              <w:rPr>
                <w:rFonts w:hint="eastAsia" w:ascii="宋体" w:hAnsi="宋体" w:eastAsia="宋体" w:cs="宋体"/>
                <w:b w:val="0"/>
                <w:bCs w:val="0"/>
                <w:color w:val="auto"/>
                <w:sz w:val="24"/>
              </w:rPr>
              <w:t>①</w:t>
            </w:r>
            <w:r>
              <w:rPr>
                <w:rFonts w:hint="eastAsia" w:ascii="Times New Roman" w:hAnsi="Times New Roman" w:eastAsia="宋体" w:cs="Times New Roman"/>
                <w:b w:val="0"/>
                <w:bCs w:val="0"/>
                <w:color w:val="auto"/>
                <w:sz w:val="24"/>
              </w:rPr>
              <w:t>医疗机构医疗废物的收集及暂存</w:t>
            </w:r>
          </w:p>
          <w:p>
            <w:pPr>
              <w:spacing w:line="360" w:lineRule="auto"/>
              <w:ind w:firstLine="480" w:firstLineChars="200"/>
              <w:rPr>
                <w:rFonts w:hint="eastAsia" w:cs="Times New Roman"/>
                <w:b w:val="0"/>
                <w:bCs w:val="0"/>
                <w:color w:val="auto"/>
                <w:sz w:val="24"/>
                <w:lang w:eastAsia="zh-CN"/>
              </w:rPr>
            </w:pPr>
            <w:r>
              <w:rPr>
                <w:rFonts w:hint="eastAsia" w:ascii="Times New Roman" w:hAnsi="Times New Roman" w:eastAsia="宋体" w:cs="Times New Roman"/>
                <w:b w:val="0"/>
                <w:bCs w:val="0"/>
                <w:color w:val="auto"/>
                <w:sz w:val="24"/>
              </w:rPr>
              <w:t>每日</w:t>
            </w:r>
            <w:r>
              <w:rPr>
                <w:rFonts w:hint="eastAsia" w:cs="Times New Roman"/>
                <w:b w:val="0"/>
                <w:bCs w:val="0"/>
                <w:color w:val="auto"/>
                <w:sz w:val="24"/>
                <w:lang w:val="en-US" w:eastAsia="zh-CN"/>
              </w:rPr>
              <w:t>对医疗废物暂存间</w:t>
            </w:r>
            <w:r>
              <w:rPr>
                <w:rFonts w:hint="eastAsia" w:ascii="Times New Roman" w:hAnsi="Times New Roman" w:eastAsia="宋体" w:cs="Times New Roman"/>
                <w:b w:val="0"/>
                <w:bCs w:val="0"/>
                <w:color w:val="auto"/>
                <w:sz w:val="24"/>
              </w:rPr>
              <w:t>进行定时消毒，收运单位对其提供盛装容器、专用包装袋，分类收集。整个过程中医疗废物不暴露、不与外界接触。医疗机构医疗废物暂存室设有可靠的防雨、防蛀咬、通风及消毒等手段，有醒目的危险警告标志，有专人管理，禁止</w:t>
            </w:r>
            <w:r>
              <w:rPr>
                <w:rFonts w:hint="eastAsia" w:cs="Times New Roman"/>
                <w:b w:val="0"/>
                <w:bCs w:val="0"/>
                <w:color w:val="auto"/>
                <w:sz w:val="24"/>
                <w:lang w:eastAsia="zh-CN"/>
              </w:rPr>
              <w:t>无关人员误入；便于周转箱的回取和转运车辆的通行。</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eastAsia="zh-CN"/>
              </w:rPr>
              <w:t>②</w:t>
            </w:r>
            <w:r>
              <w:rPr>
                <w:rFonts w:hint="eastAsia" w:cs="Times New Roman"/>
                <w:b w:val="0"/>
                <w:bCs w:val="0"/>
                <w:color w:val="auto"/>
                <w:sz w:val="24"/>
                <w:lang w:val="en-US" w:eastAsia="zh-CN"/>
              </w:rPr>
              <w:t>收集容器</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项目采用专门定做的周转箱进行医疗废物收集，颜色全部为黄色，并标注醒目的“医疗废物”标志。专用容器及其标识应满足</w:t>
            </w:r>
            <w:r>
              <w:rPr>
                <w:rFonts w:hint="eastAsia" w:ascii="Times New Roman" w:hAnsi="Times New Roman"/>
                <w:color w:val="auto"/>
                <w:sz w:val="24"/>
              </w:rPr>
              <w:t>《医疗废物专用包装物、容器的标准和警示标识的规定》（HJ421-2008）</w:t>
            </w:r>
            <w:r>
              <w:rPr>
                <w:rFonts w:hint="eastAsia" w:cs="Times New Roman"/>
                <w:b w:val="0"/>
                <w:bCs w:val="0"/>
                <w:color w:val="auto"/>
                <w:sz w:val="24"/>
                <w:lang w:val="en-US" w:eastAsia="zh-CN"/>
              </w:rPr>
              <w:t>的要求。</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专用容器中包装袋和利器盒为一次性使用，直接和废物一起处理；周转箱为重复使用，每次卸出医疗废物后和医疗废物转运车一起进行严格的消毒处理后才能再次使用，发现质量有问题的周转箱将不允许使用，应和医疗废物一起进行处理。</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3）医疗废物的运输</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医疗废物转运人员严格按照收集人员的同等要求穿戴相应的防护衣具；转运车辆配备有应急消毒用具以防备运输过程中可能发生的废物泄漏事故，如适当的容器、消毒剂、粒状吸收剂、刷子、拖布等。车上还备有急救药箱。所有使用过的物品均按医疗废物进行收集和处理。</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周转箱和转运车辆每次卸下医疗废物后，均按照有关规程进行严格的消毒处理后才能再次使用。转运车停用时，必须将车厢内外进行彻底消毒、清洗、晾干，停放在通风、防潮、防暴晒、无腐蚀性气体侵害的场所，停用期间不得用于其他用途的运输。</w:t>
            </w:r>
          </w:p>
          <w:p>
            <w:pPr>
              <w:spacing w:line="360" w:lineRule="auto"/>
              <w:ind w:firstLine="480" w:firstLineChars="200"/>
              <w:rPr>
                <w:rFonts w:hint="eastAsia" w:cs="Times New Roman"/>
                <w:b w:val="0"/>
                <w:bCs w:val="0"/>
                <w:color w:val="auto"/>
                <w:sz w:val="24"/>
                <w:lang w:val="en-US" w:eastAsia="zh-CN"/>
              </w:rPr>
            </w:pPr>
            <w:r>
              <w:rPr>
                <w:rFonts w:hint="eastAsia" w:cs="Times New Roman"/>
                <w:b w:val="0"/>
                <w:bCs w:val="0"/>
                <w:color w:val="auto"/>
                <w:sz w:val="24"/>
                <w:lang w:val="en-US" w:eastAsia="zh-CN"/>
              </w:rPr>
              <w:t>在医疗废物装车时，医院内工作人员应负责办理废物的交接手续，按时将所收存的医疗废物如数装进运往处理场的运输车厢，并责成运输者负责途中安全，使医疗废物处于全程监控之下，避免医疗废物流入社会造成危害。医疗废物运输车应为专用车，密封盛装的医疗废物必须放置在运输车辆的密封仓内。医用垃圾运输车不允许配备压缩装置，以免收集容器被挤压破裂。在医疗废物运输上，主管部门应加强管理，最大限度地减小运输过程中可能出现的失误。</w:t>
            </w:r>
          </w:p>
          <w:p>
            <w:pPr>
              <w:spacing w:line="360" w:lineRule="auto"/>
              <w:ind w:firstLine="480" w:firstLineChars="200"/>
              <w:rPr>
                <w:rFonts w:hint="default" w:cs="Times New Roman"/>
                <w:b w:val="0"/>
                <w:bCs w:val="0"/>
                <w:color w:val="auto"/>
                <w:sz w:val="24"/>
                <w:lang w:val="en-US" w:eastAsia="zh-CN"/>
              </w:rPr>
            </w:pPr>
            <w:r>
              <w:rPr>
                <w:rFonts w:hint="default" w:cs="Times New Roman"/>
                <w:b w:val="0"/>
                <w:bCs w:val="0"/>
                <w:color w:val="auto"/>
                <w:sz w:val="24"/>
                <w:lang w:val="en-US" w:eastAsia="zh-CN"/>
              </w:rPr>
              <w:t>为了保证危险废物运输的安全无误，医疗废物的转接文件设跟踪系统，并形成制度。在其开始即由医疗废物生产者记录医疗废物的产地、类型、数量等然后交由运输部门清点并填写装货日期、签名并随身携带，运输至处理厂后再行交接手续。使医疗废物在产生、运输、处理全过程中处于完全的控制之下彻底杜绝医疗废物被不法分子利用牟取暴利、危害社会的可能性。垃圾的运输时间应避开上下班的高峰时间。运输完成后，运输车辆应在厂区内规定的地点对车辆进行清洗消毒。</w:t>
            </w:r>
          </w:p>
          <w:p>
            <w:pPr>
              <w:spacing w:line="360" w:lineRule="auto"/>
              <w:ind w:firstLine="482" w:firstLineChars="200"/>
              <w:rPr>
                <w:b/>
                <w:bCs/>
                <w:color w:val="auto"/>
                <w:sz w:val="24"/>
              </w:rPr>
            </w:pPr>
            <w:r>
              <w:rPr>
                <w:b/>
                <w:bCs/>
                <w:color w:val="auto"/>
                <w:sz w:val="24"/>
              </w:rPr>
              <w:t>（</w:t>
            </w:r>
            <w:r>
              <w:rPr>
                <w:rFonts w:hint="eastAsia"/>
                <w:b/>
                <w:bCs/>
                <w:color w:val="auto"/>
                <w:sz w:val="24"/>
                <w:lang w:val="en-US" w:eastAsia="zh-CN"/>
              </w:rPr>
              <w:t>4</w:t>
            </w:r>
            <w:r>
              <w:rPr>
                <w:b/>
                <w:bCs/>
                <w:color w:val="auto"/>
                <w:sz w:val="24"/>
              </w:rPr>
              <w:t>）环境风险应急预案</w:t>
            </w:r>
          </w:p>
          <w:p>
            <w:pPr>
              <w:spacing w:line="360" w:lineRule="auto"/>
              <w:ind w:firstLine="480" w:firstLineChars="200"/>
              <w:rPr>
                <w:rFonts w:hint="eastAsia" w:ascii="宋体" w:hAnsi="宋体" w:cs="宋体"/>
                <w:color w:val="auto"/>
                <w:sz w:val="24"/>
                <w:szCs w:val="24"/>
                <w:lang w:eastAsia="zh-CN"/>
              </w:rPr>
            </w:pPr>
            <w:r>
              <w:rPr>
                <w:rFonts w:ascii="宋体" w:hAnsi="宋体" w:eastAsia="宋体" w:cs="宋体"/>
                <w:color w:val="auto"/>
                <w:sz w:val="24"/>
                <w:szCs w:val="24"/>
              </w:rPr>
              <w:t>根据《关于印发&lt;企业事业单位突发环境事件应急预案备案管理办法（试行）&gt;的通知》（环发[2015]4号），</w:t>
            </w:r>
            <w:r>
              <w:rPr>
                <w:rFonts w:hint="eastAsia"/>
                <w:color w:val="auto"/>
                <w:sz w:val="24"/>
              </w:rPr>
              <w:t>锡林浩特市宝力根街道办事处社区卫生服务中心</w:t>
            </w:r>
            <w:r>
              <w:rPr>
                <w:rFonts w:hint="eastAsia"/>
                <w:color w:val="auto"/>
                <w:sz w:val="24"/>
                <w:lang w:val="en-US" w:eastAsia="zh-CN"/>
              </w:rPr>
              <w:t>正在</w:t>
            </w:r>
            <w:r>
              <w:rPr>
                <w:rFonts w:hint="eastAsia" w:ascii="宋体" w:hAnsi="宋体" w:cs="宋体"/>
                <w:color w:val="auto"/>
                <w:sz w:val="24"/>
                <w:szCs w:val="24"/>
                <w:lang w:val="en-US" w:eastAsia="zh-CN"/>
              </w:rPr>
              <w:t>编制《</w:t>
            </w:r>
            <w:r>
              <w:rPr>
                <w:rFonts w:ascii="宋体" w:hAnsi="宋体" w:eastAsia="宋体" w:cs="宋体"/>
                <w:color w:val="auto"/>
                <w:sz w:val="24"/>
                <w:szCs w:val="24"/>
              </w:rPr>
              <w:t>突发环境事件应急预案</w:t>
            </w:r>
            <w:r>
              <w:rPr>
                <w:rFonts w:hint="eastAsia" w:ascii="宋体" w:hAnsi="宋体" w:cs="宋体"/>
                <w:color w:val="auto"/>
                <w:sz w:val="24"/>
                <w:szCs w:val="24"/>
                <w:lang w:val="en-US" w:eastAsia="zh-CN"/>
              </w:rPr>
              <w:t>》并</w:t>
            </w:r>
            <w:r>
              <w:rPr>
                <w:rFonts w:ascii="宋体" w:hAnsi="宋体" w:eastAsia="宋体" w:cs="宋体"/>
                <w:color w:val="auto"/>
                <w:sz w:val="24"/>
                <w:szCs w:val="24"/>
              </w:rPr>
              <w:t>向建设项目所在地受理部门备案。</w:t>
            </w:r>
          </w:p>
          <w:p>
            <w:pPr>
              <w:pStyle w:val="6"/>
              <w:rPr>
                <w:rFonts w:hint="eastAsia"/>
                <w:color w:val="auto"/>
                <w:lang w:val="en-US" w:eastAsia="zh-CN"/>
              </w:rPr>
            </w:pPr>
          </w:p>
        </w:tc>
      </w:tr>
    </w:tbl>
    <w:p>
      <w:pPr>
        <w:tabs>
          <w:tab w:val="left" w:pos="0"/>
        </w:tabs>
        <w:snapToGrid w:val="0"/>
        <w:outlineLvl w:val="0"/>
        <w:rPr>
          <w:b/>
          <w:color w:val="auto"/>
          <w:sz w:val="32"/>
        </w:rPr>
        <w:sectPr>
          <w:headerReference r:id="rId6" w:type="default"/>
          <w:footerReference r:id="rId7"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tabs>
          <w:tab w:val="left" w:pos="0"/>
        </w:tabs>
        <w:snapToGrid w:val="0"/>
        <w:jc w:val="center"/>
        <w:outlineLvl w:val="0"/>
        <w:rPr>
          <w:b/>
          <w:color w:val="auto"/>
          <w:sz w:val="32"/>
        </w:rPr>
      </w:pPr>
      <w:bookmarkStart w:id="8" w:name="_Hlk54167917"/>
      <w:r>
        <w:rPr>
          <w:b/>
          <w:color w:val="auto"/>
          <w:sz w:val="32"/>
        </w:rPr>
        <w:t>环境保护措施监督检查清单</w:t>
      </w:r>
      <w:bookmarkEnd w:id="8"/>
    </w:p>
    <w:tbl>
      <w:tblPr>
        <w:tblStyle w:val="30"/>
        <w:tblW w:w="95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649"/>
        <w:gridCol w:w="1462"/>
        <w:gridCol w:w="2226"/>
        <w:gridCol w:w="26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545" w:type="dxa"/>
            <w:tcBorders>
              <w:tl2br w:val="single" w:color="auto" w:sz="4" w:space="0"/>
            </w:tcBorders>
          </w:tcPr>
          <w:p>
            <w:pPr>
              <w:adjustRightInd w:val="0"/>
              <w:snapToGrid w:val="0"/>
              <w:ind w:firstLine="840"/>
              <w:rPr>
                <w:b/>
                <w:bCs/>
                <w:color w:val="auto"/>
                <w:sz w:val="21"/>
                <w:szCs w:val="21"/>
              </w:rPr>
            </w:pPr>
            <w:r>
              <w:rPr>
                <w:b/>
                <w:bCs/>
                <w:color w:val="auto"/>
                <w:sz w:val="21"/>
                <w:szCs w:val="21"/>
              </w:rPr>
              <w:t>内容</w:t>
            </w:r>
          </w:p>
          <w:p>
            <w:pPr>
              <w:adjustRightInd w:val="0"/>
              <w:snapToGrid w:val="0"/>
              <w:rPr>
                <w:b/>
                <w:bCs/>
                <w:color w:val="auto"/>
                <w:sz w:val="21"/>
                <w:szCs w:val="21"/>
              </w:rPr>
            </w:pPr>
            <w:r>
              <w:rPr>
                <w:b/>
                <w:bCs/>
                <w:color w:val="auto"/>
                <w:sz w:val="21"/>
                <w:szCs w:val="21"/>
              </w:rPr>
              <w:t>要素</w:t>
            </w:r>
          </w:p>
        </w:tc>
        <w:tc>
          <w:tcPr>
            <w:tcW w:w="1649" w:type="dxa"/>
            <w:vAlign w:val="center"/>
          </w:tcPr>
          <w:p>
            <w:pPr>
              <w:adjustRightInd w:val="0"/>
              <w:snapToGrid w:val="0"/>
              <w:jc w:val="center"/>
              <w:rPr>
                <w:b/>
                <w:bCs/>
                <w:color w:val="auto"/>
                <w:sz w:val="21"/>
                <w:szCs w:val="21"/>
              </w:rPr>
            </w:pPr>
            <w:r>
              <w:rPr>
                <w:b/>
                <w:bCs/>
                <w:color w:val="auto"/>
                <w:sz w:val="21"/>
                <w:szCs w:val="21"/>
              </w:rPr>
              <w:t>排放口(编号、</w:t>
            </w:r>
          </w:p>
          <w:p>
            <w:pPr>
              <w:adjustRightInd w:val="0"/>
              <w:snapToGrid w:val="0"/>
              <w:jc w:val="center"/>
              <w:rPr>
                <w:b/>
                <w:bCs/>
                <w:color w:val="auto"/>
                <w:sz w:val="21"/>
                <w:szCs w:val="21"/>
              </w:rPr>
            </w:pPr>
            <w:r>
              <w:rPr>
                <w:b/>
                <w:bCs/>
                <w:color w:val="auto"/>
                <w:sz w:val="21"/>
                <w:szCs w:val="21"/>
              </w:rPr>
              <w:t>名称)/污染源</w:t>
            </w:r>
          </w:p>
        </w:tc>
        <w:tc>
          <w:tcPr>
            <w:tcW w:w="1462" w:type="dxa"/>
            <w:vAlign w:val="center"/>
          </w:tcPr>
          <w:p>
            <w:pPr>
              <w:adjustRightInd w:val="0"/>
              <w:snapToGrid w:val="0"/>
              <w:jc w:val="center"/>
              <w:rPr>
                <w:b/>
                <w:bCs/>
                <w:color w:val="auto"/>
                <w:sz w:val="21"/>
                <w:szCs w:val="21"/>
              </w:rPr>
            </w:pPr>
            <w:r>
              <w:rPr>
                <w:b/>
                <w:bCs/>
                <w:color w:val="auto"/>
                <w:sz w:val="21"/>
                <w:szCs w:val="21"/>
              </w:rPr>
              <w:t>污染物项目</w:t>
            </w:r>
          </w:p>
        </w:tc>
        <w:tc>
          <w:tcPr>
            <w:tcW w:w="2226" w:type="dxa"/>
            <w:vAlign w:val="center"/>
          </w:tcPr>
          <w:p>
            <w:pPr>
              <w:adjustRightInd w:val="0"/>
              <w:snapToGrid w:val="0"/>
              <w:jc w:val="center"/>
              <w:rPr>
                <w:b/>
                <w:bCs/>
                <w:color w:val="auto"/>
                <w:sz w:val="21"/>
                <w:szCs w:val="21"/>
              </w:rPr>
            </w:pPr>
            <w:r>
              <w:rPr>
                <w:b/>
                <w:bCs/>
                <w:color w:val="auto"/>
                <w:sz w:val="21"/>
                <w:szCs w:val="21"/>
              </w:rPr>
              <w:t>环境保护措施</w:t>
            </w:r>
          </w:p>
        </w:tc>
        <w:tc>
          <w:tcPr>
            <w:tcW w:w="2645" w:type="dxa"/>
            <w:vAlign w:val="center"/>
          </w:tcPr>
          <w:p>
            <w:pPr>
              <w:adjustRightInd w:val="0"/>
              <w:snapToGrid w:val="0"/>
              <w:jc w:val="center"/>
              <w:rPr>
                <w:b/>
                <w:bCs/>
                <w:color w:val="auto"/>
                <w:sz w:val="21"/>
                <w:szCs w:val="21"/>
              </w:rPr>
            </w:pPr>
            <w:r>
              <w:rPr>
                <w:b/>
                <w:bCs/>
                <w:color w:val="auto"/>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545" w:type="dxa"/>
            <w:vAlign w:val="center"/>
          </w:tcPr>
          <w:p>
            <w:pPr>
              <w:adjustRightInd w:val="0"/>
              <w:snapToGrid w:val="0"/>
              <w:jc w:val="center"/>
              <w:rPr>
                <w:color w:val="auto"/>
                <w:sz w:val="21"/>
                <w:szCs w:val="21"/>
              </w:rPr>
            </w:pPr>
            <w:r>
              <w:rPr>
                <w:color w:val="auto"/>
                <w:sz w:val="21"/>
                <w:szCs w:val="21"/>
              </w:rPr>
              <w:t>大气环境</w:t>
            </w:r>
          </w:p>
        </w:tc>
        <w:tc>
          <w:tcPr>
            <w:tcW w:w="1649" w:type="dxa"/>
            <w:vAlign w:val="center"/>
          </w:tcPr>
          <w:p>
            <w:pPr>
              <w:jc w:val="center"/>
              <w:rPr>
                <w:rFonts w:hint="default" w:eastAsia="宋体"/>
                <w:bCs/>
                <w:color w:val="auto"/>
                <w:sz w:val="21"/>
                <w:szCs w:val="21"/>
                <w:lang w:val="en-US" w:eastAsia="zh-CN"/>
              </w:rPr>
            </w:pPr>
            <w:r>
              <w:rPr>
                <w:rFonts w:hint="eastAsia"/>
                <w:bCs/>
                <w:color w:val="auto"/>
                <w:sz w:val="21"/>
                <w:szCs w:val="21"/>
                <w:lang w:val="en-US" w:eastAsia="zh-CN"/>
              </w:rPr>
              <w:t>医疗废物暂存间</w:t>
            </w:r>
          </w:p>
        </w:tc>
        <w:tc>
          <w:tcPr>
            <w:tcW w:w="1462" w:type="dxa"/>
            <w:vAlign w:val="center"/>
          </w:tcPr>
          <w:p>
            <w:pPr>
              <w:pStyle w:val="8"/>
              <w:snapToGrid w:val="0"/>
              <w:spacing w:after="0"/>
              <w:ind w:left="0" w:leftChars="0"/>
              <w:jc w:val="center"/>
              <w:rPr>
                <w:rFonts w:hint="eastAsia" w:eastAsia="宋体"/>
                <w:bCs/>
                <w:color w:val="auto"/>
                <w:sz w:val="21"/>
                <w:szCs w:val="21"/>
                <w:lang w:val="en-US" w:eastAsia="zh-CN"/>
              </w:rPr>
            </w:pPr>
            <w:r>
              <w:rPr>
                <w:rFonts w:hint="eastAsia"/>
                <w:bCs/>
                <w:color w:val="auto"/>
                <w:sz w:val="21"/>
                <w:szCs w:val="21"/>
                <w:lang w:val="en-US" w:eastAsia="zh-CN"/>
              </w:rPr>
              <w:t>/</w:t>
            </w:r>
          </w:p>
        </w:tc>
        <w:tc>
          <w:tcPr>
            <w:tcW w:w="2226" w:type="dxa"/>
            <w:vAlign w:val="center"/>
          </w:tcPr>
          <w:p>
            <w:pPr>
              <w:adjustRightInd w:val="0"/>
              <w:snapToGrid w:val="0"/>
              <w:jc w:val="center"/>
              <w:rPr>
                <w:color w:val="auto"/>
                <w:sz w:val="21"/>
                <w:szCs w:val="21"/>
              </w:rPr>
            </w:pPr>
            <w:r>
              <w:rPr>
                <w:color w:val="auto"/>
                <w:sz w:val="21"/>
                <w:szCs w:val="21"/>
              </w:rPr>
              <w:t>定期</w:t>
            </w:r>
            <w:r>
              <w:rPr>
                <w:rFonts w:hint="eastAsia"/>
                <w:color w:val="auto"/>
                <w:sz w:val="21"/>
                <w:szCs w:val="21"/>
                <w:lang w:val="en-US" w:eastAsia="zh-CN"/>
              </w:rPr>
              <w:t>喷洒</w:t>
            </w:r>
            <w:r>
              <w:rPr>
                <w:color w:val="auto"/>
                <w:sz w:val="21"/>
                <w:szCs w:val="21"/>
              </w:rPr>
              <w:t>消毒</w:t>
            </w:r>
            <w:r>
              <w:rPr>
                <w:rFonts w:hint="eastAsia"/>
                <w:color w:val="auto"/>
                <w:sz w:val="21"/>
                <w:szCs w:val="21"/>
                <w:lang w:val="en-US" w:eastAsia="zh-CN"/>
              </w:rPr>
              <w:t>水</w:t>
            </w:r>
            <w:r>
              <w:rPr>
                <w:color w:val="auto"/>
                <w:sz w:val="21"/>
                <w:szCs w:val="21"/>
              </w:rPr>
              <w:t>杀菌，</w:t>
            </w:r>
            <w:r>
              <w:rPr>
                <w:rFonts w:hint="eastAsia"/>
                <w:color w:val="auto"/>
                <w:sz w:val="21"/>
                <w:szCs w:val="21"/>
                <w:lang w:val="en-US" w:eastAsia="zh-CN"/>
              </w:rPr>
              <w:t>风机</w:t>
            </w:r>
            <w:r>
              <w:rPr>
                <w:color w:val="auto"/>
                <w:sz w:val="21"/>
                <w:szCs w:val="21"/>
              </w:rPr>
              <w:t>加强通风</w:t>
            </w:r>
          </w:p>
        </w:tc>
        <w:tc>
          <w:tcPr>
            <w:tcW w:w="2645" w:type="dxa"/>
            <w:vAlign w:val="center"/>
          </w:tcPr>
          <w:p>
            <w:pPr>
              <w:adjustRightInd w:val="0"/>
              <w:snapToGrid w:val="0"/>
              <w:jc w:val="center"/>
              <w:rPr>
                <w:rFonts w:hint="eastAsia" w:eastAsia="宋体"/>
                <w:color w:val="auto"/>
                <w:sz w:val="21"/>
                <w:szCs w:val="21"/>
                <w:lang w:eastAsia="zh-CN"/>
              </w:rPr>
            </w:pPr>
            <w:r>
              <w:rPr>
                <w:rFonts w:hint="eastAsia"/>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545" w:type="dxa"/>
            <w:vAlign w:val="center"/>
          </w:tcPr>
          <w:p>
            <w:pPr>
              <w:adjustRightInd w:val="0"/>
              <w:snapToGrid w:val="0"/>
              <w:jc w:val="center"/>
              <w:rPr>
                <w:color w:val="auto"/>
                <w:sz w:val="21"/>
                <w:szCs w:val="21"/>
              </w:rPr>
            </w:pPr>
            <w:r>
              <w:rPr>
                <w:color w:val="auto"/>
                <w:sz w:val="21"/>
                <w:szCs w:val="21"/>
              </w:rPr>
              <w:t>地表水环境</w:t>
            </w:r>
          </w:p>
        </w:tc>
        <w:tc>
          <w:tcPr>
            <w:tcW w:w="1649" w:type="dxa"/>
            <w:vAlign w:val="center"/>
          </w:tcPr>
          <w:p>
            <w:pPr>
              <w:adjustRightInd w:val="0"/>
              <w:snapToGrid w:val="0"/>
              <w:jc w:val="center"/>
              <w:rPr>
                <w:color w:val="auto"/>
                <w:sz w:val="21"/>
                <w:szCs w:val="21"/>
              </w:rPr>
            </w:pPr>
            <w:r>
              <w:rPr>
                <w:color w:val="auto"/>
                <w:sz w:val="21"/>
                <w:szCs w:val="21"/>
              </w:rPr>
              <w:t>/</w:t>
            </w:r>
          </w:p>
        </w:tc>
        <w:tc>
          <w:tcPr>
            <w:tcW w:w="1462" w:type="dxa"/>
            <w:vAlign w:val="center"/>
          </w:tcPr>
          <w:p>
            <w:pPr>
              <w:snapToGrid w:val="0"/>
              <w:jc w:val="center"/>
              <w:rPr>
                <w:color w:val="auto"/>
                <w:sz w:val="21"/>
                <w:szCs w:val="21"/>
              </w:rPr>
            </w:pPr>
            <w:r>
              <w:rPr>
                <w:color w:val="auto"/>
                <w:sz w:val="21"/>
                <w:szCs w:val="21"/>
              </w:rPr>
              <w:t>/</w:t>
            </w:r>
          </w:p>
        </w:tc>
        <w:tc>
          <w:tcPr>
            <w:tcW w:w="2226" w:type="dxa"/>
            <w:vAlign w:val="center"/>
          </w:tcPr>
          <w:p>
            <w:pPr>
              <w:snapToGrid w:val="0"/>
              <w:jc w:val="center"/>
              <w:rPr>
                <w:color w:val="auto"/>
                <w:sz w:val="21"/>
                <w:szCs w:val="21"/>
              </w:rPr>
            </w:pPr>
            <w:r>
              <w:rPr>
                <w:rFonts w:hint="eastAsia"/>
                <w:color w:val="auto"/>
                <w:sz w:val="21"/>
                <w:szCs w:val="21"/>
              </w:rPr>
              <w:t>/</w:t>
            </w:r>
          </w:p>
        </w:tc>
        <w:tc>
          <w:tcPr>
            <w:tcW w:w="2645" w:type="dxa"/>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1545" w:type="dxa"/>
            <w:vAlign w:val="center"/>
          </w:tcPr>
          <w:p>
            <w:pPr>
              <w:adjustRightInd w:val="0"/>
              <w:snapToGrid w:val="0"/>
              <w:jc w:val="center"/>
              <w:rPr>
                <w:color w:val="auto"/>
                <w:sz w:val="21"/>
                <w:szCs w:val="21"/>
              </w:rPr>
            </w:pPr>
            <w:r>
              <w:rPr>
                <w:color w:val="auto"/>
                <w:sz w:val="21"/>
                <w:szCs w:val="21"/>
              </w:rPr>
              <w:t>声环境</w:t>
            </w:r>
          </w:p>
        </w:tc>
        <w:tc>
          <w:tcPr>
            <w:tcW w:w="1649" w:type="dxa"/>
            <w:vAlign w:val="center"/>
          </w:tcPr>
          <w:p>
            <w:pPr>
              <w:widowControl/>
              <w:snapToGrid w:val="0"/>
              <w:contextualSpacing/>
              <w:jc w:val="center"/>
              <w:rPr>
                <w:color w:val="auto"/>
                <w:kern w:val="0"/>
                <w:sz w:val="21"/>
                <w:szCs w:val="21"/>
              </w:rPr>
            </w:pPr>
            <w:r>
              <w:rPr>
                <w:rFonts w:hint="eastAsia"/>
                <w:color w:val="auto"/>
                <w:kern w:val="0"/>
                <w:sz w:val="21"/>
                <w:szCs w:val="21"/>
                <w:lang w:val="en-US" w:eastAsia="zh-CN"/>
              </w:rPr>
              <w:t>运输</w:t>
            </w:r>
            <w:r>
              <w:rPr>
                <w:color w:val="auto"/>
                <w:kern w:val="0"/>
                <w:sz w:val="21"/>
                <w:szCs w:val="21"/>
              </w:rPr>
              <w:t>设备及</w:t>
            </w:r>
          </w:p>
          <w:p>
            <w:pPr>
              <w:widowControl/>
              <w:snapToGrid w:val="0"/>
              <w:contextualSpacing/>
              <w:jc w:val="center"/>
              <w:rPr>
                <w:color w:val="auto"/>
                <w:kern w:val="0"/>
                <w:sz w:val="21"/>
                <w:szCs w:val="21"/>
              </w:rPr>
            </w:pPr>
            <w:r>
              <w:rPr>
                <w:color w:val="auto"/>
                <w:kern w:val="0"/>
                <w:sz w:val="21"/>
                <w:szCs w:val="21"/>
              </w:rPr>
              <w:t>风机</w:t>
            </w:r>
          </w:p>
        </w:tc>
        <w:tc>
          <w:tcPr>
            <w:tcW w:w="1462" w:type="dxa"/>
            <w:vAlign w:val="center"/>
          </w:tcPr>
          <w:p>
            <w:pPr>
              <w:widowControl/>
              <w:snapToGrid w:val="0"/>
              <w:contextualSpacing/>
              <w:jc w:val="center"/>
              <w:rPr>
                <w:color w:val="auto"/>
                <w:kern w:val="0"/>
                <w:sz w:val="21"/>
                <w:szCs w:val="21"/>
              </w:rPr>
            </w:pPr>
            <w:r>
              <w:rPr>
                <w:color w:val="auto"/>
                <w:kern w:val="0"/>
                <w:sz w:val="21"/>
                <w:szCs w:val="21"/>
              </w:rPr>
              <w:t>等效连续A声级</w:t>
            </w:r>
          </w:p>
        </w:tc>
        <w:tc>
          <w:tcPr>
            <w:tcW w:w="2226" w:type="dxa"/>
            <w:vAlign w:val="center"/>
          </w:tcPr>
          <w:p>
            <w:pPr>
              <w:adjustRightInd w:val="0"/>
              <w:snapToGrid w:val="0"/>
              <w:jc w:val="center"/>
              <w:rPr>
                <w:color w:val="auto"/>
                <w:sz w:val="21"/>
                <w:szCs w:val="21"/>
              </w:rPr>
            </w:pPr>
            <w:r>
              <w:rPr>
                <w:rFonts w:hint="eastAsia"/>
                <w:color w:val="auto"/>
                <w:sz w:val="21"/>
                <w:szCs w:val="21"/>
              </w:rPr>
              <w:t>选取低噪设备，基础减振</w:t>
            </w:r>
          </w:p>
        </w:tc>
        <w:tc>
          <w:tcPr>
            <w:tcW w:w="2645" w:type="dxa"/>
            <w:vAlign w:val="center"/>
          </w:tcPr>
          <w:p>
            <w:pPr>
              <w:adjustRightInd w:val="0"/>
              <w:snapToGrid w:val="0"/>
              <w:jc w:val="center"/>
              <w:rPr>
                <w:color w:val="auto"/>
                <w:sz w:val="21"/>
                <w:szCs w:val="21"/>
              </w:rPr>
            </w:pPr>
            <w:r>
              <w:rPr>
                <w:color w:val="auto"/>
                <w:sz w:val="21"/>
                <w:szCs w:val="21"/>
              </w:rPr>
              <w:t>《工业企业厂界环境噪声标准》（GB12348-2008）</w:t>
            </w:r>
            <w:r>
              <w:rPr>
                <w:rFonts w:hint="eastAsia"/>
                <w:color w:val="auto"/>
                <w:sz w:val="21"/>
                <w:szCs w:val="21"/>
              </w:rPr>
              <w:t>1类</w:t>
            </w:r>
            <w:r>
              <w:rPr>
                <w:color w:val="auto"/>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45" w:type="dxa"/>
            <w:vAlign w:val="center"/>
          </w:tcPr>
          <w:p>
            <w:pPr>
              <w:adjustRightInd w:val="0"/>
              <w:snapToGrid w:val="0"/>
              <w:jc w:val="center"/>
              <w:rPr>
                <w:color w:val="auto"/>
                <w:sz w:val="21"/>
                <w:szCs w:val="21"/>
              </w:rPr>
            </w:pPr>
            <w:r>
              <w:rPr>
                <w:color w:val="auto"/>
                <w:sz w:val="21"/>
                <w:szCs w:val="21"/>
              </w:rPr>
              <w:t>电磁辐射</w:t>
            </w:r>
          </w:p>
        </w:tc>
        <w:tc>
          <w:tcPr>
            <w:tcW w:w="1649" w:type="dxa"/>
            <w:vAlign w:val="center"/>
          </w:tcPr>
          <w:p>
            <w:pPr>
              <w:adjustRightInd w:val="0"/>
              <w:snapToGrid w:val="0"/>
              <w:jc w:val="center"/>
              <w:rPr>
                <w:color w:val="auto"/>
                <w:sz w:val="21"/>
                <w:szCs w:val="21"/>
              </w:rPr>
            </w:pPr>
            <w:r>
              <w:rPr>
                <w:color w:val="auto"/>
                <w:sz w:val="21"/>
                <w:szCs w:val="21"/>
              </w:rPr>
              <w:t>/</w:t>
            </w:r>
          </w:p>
        </w:tc>
        <w:tc>
          <w:tcPr>
            <w:tcW w:w="1462" w:type="dxa"/>
            <w:vAlign w:val="center"/>
          </w:tcPr>
          <w:p>
            <w:pPr>
              <w:adjustRightInd w:val="0"/>
              <w:snapToGrid w:val="0"/>
              <w:jc w:val="center"/>
              <w:rPr>
                <w:color w:val="auto"/>
                <w:sz w:val="21"/>
                <w:szCs w:val="21"/>
              </w:rPr>
            </w:pPr>
            <w:r>
              <w:rPr>
                <w:color w:val="auto"/>
                <w:sz w:val="21"/>
                <w:szCs w:val="21"/>
              </w:rPr>
              <w:t>/</w:t>
            </w:r>
          </w:p>
        </w:tc>
        <w:tc>
          <w:tcPr>
            <w:tcW w:w="2226" w:type="dxa"/>
            <w:vAlign w:val="center"/>
          </w:tcPr>
          <w:p>
            <w:pPr>
              <w:adjustRightInd w:val="0"/>
              <w:snapToGrid w:val="0"/>
              <w:jc w:val="center"/>
              <w:rPr>
                <w:color w:val="auto"/>
                <w:sz w:val="21"/>
                <w:szCs w:val="21"/>
              </w:rPr>
            </w:pPr>
            <w:r>
              <w:rPr>
                <w:color w:val="auto"/>
                <w:sz w:val="21"/>
                <w:szCs w:val="21"/>
              </w:rPr>
              <w:t>/</w:t>
            </w:r>
          </w:p>
        </w:tc>
        <w:tc>
          <w:tcPr>
            <w:tcW w:w="2645"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545" w:type="dxa"/>
            <w:vAlign w:val="center"/>
          </w:tcPr>
          <w:p>
            <w:pPr>
              <w:adjustRightInd w:val="0"/>
              <w:snapToGrid w:val="0"/>
              <w:jc w:val="center"/>
              <w:rPr>
                <w:color w:val="auto"/>
                <w:sz w:val="21"/>
                <w:szCs w:val="21"/>
              </w:rPr>
            </w:pPr>
            <w:r>
              <w:rPr>
                <w:color w:val="auto"/>
                <w:sz w:val="21"/>
                <w:szCs w:val="21"/>
              </w:rPr>
              <w:t>固体废物</w:t>
            </w:r>
          </w:p>
        </w:tc>
        <w:tc>
          <w:tcPr>
            <w:tcW w:w="7982" w:type="dxa"/>
            <w:gridSpan w:val="4"/>
            <w:vAlign w:val="center"/>
          </w:tcPr>
          <w:p>
            <w:pPr>
              <w:adjustRightInd w:val="0"/>
              <w:snapToGrid w:val="0"/>
              <w:jc w:val="left"/>
              <w:rPr>
                <w:color w:val="auto"/>
                <w:sz w:val="21"/>
                <w:szCs w:val="21"/>
              </w:rPr>
            </w:pPr>
            <w:r>
              <w:rPr>
                <w:rFonts w:hint="eastAsia"/>
                <w:color w:val="auto"/>
                <w:spacing w:val="-6"/>
                <w:sz w:val="21"/>
                <w:szCs w:val="21"/>
              </w:rPr>
              <w:t>本项</w:t>
            </w:r>
            <w:r>
              <w:rPr>
                <w:rFonts w:hint="eastAsia"/>
                <w:color w:val="auto"/>
                <w:spacing w:val="-6"/>
                <w:sz w:val="21"/>
                <w:szCs w:val="21"/>
                <w:highlight w:val="none"/>
              </w:rPr>
              <w:t>目固体废物主要有感染性废物、损伤性废物，以上均属于</w:t>
            </w:r>
            <w:r>
              <w:rPr>
                <w:rFonts w:hint="eastAsia"/>
                <w:color w:val="auto"/>
                <w:spacing w:val="-6"/>
                <w:sz w:val="21"/>
                <w:szCs w:val="21"/>
                <w:highlight w:val="none"/>
                <w:lang w:val="en-US" w:eastAsia="zh-CN"/>
              </w:rPr>
              <w:t>医疗</w:t>
            </w:r>
            <w:r>
              <w:rPr>
                <w:rFonts w:hint="eastAsia"/>
                <w:color w:val="auto"/>
                <w:spacing w:val="-6"/>
                <w:sz w:val="21"/>
                <w:szCs w:val="21"/>
                <w:highlight w:val="none"/>
              </w:rPr>
              <w:t>废物</w:t>
            </w:r>
            <w:r>
              <w:rPr>
                <w:rFonts w:hint="eastAsia"/>
                <w:color w:val="auto"/>
                <w:spacing w:val="-6"/>
                <w:sz w:val="21"/>
                <w:szCs w:val="21"/>
                <w:highlight w:val="none"/>
                <w:lang w:eastAsia="zh-CN"/>
              </w:rPr>
              <w:t>，</w:t>
            </w:r>
            <w:r>
              <w:rPr>
                <w:rFonts w:hint="eastAsia"/>
                <w:color w:val="auto"/>
                <w:spacing w:val="-6"/>
                <w:sz w:val="21"/>
                <w:szCs w:val="21"/>
                <w:highlight w:val="none"/>
              </w:rPr>
              <w:t>委托</w:t>
            </w:r>
            <w:r>
              <w:rPr>
                <w:rFonts w:hint="default" w:ascii="Times New Roman" w:hAnsi="Times New Roman" w:cs="Times New Roman"/>
                <w:color w:val="auto"/>
                <w:sz w:val="21"/>
                <w:szCs w:val="21"/>
                <w:highlight w:val="none"/>
                <w:lang w:val="en-US" w:eastAsia="zh-CN"/>
              </w:rPr>
              <w:t>锡林郭勒盟环建医疗废弃资源处置有限公司</w:t>
            </w:r>
            <w:r>
              <w:rPr>
                <w:rFonts w:hint="eastAsia"/>
                <w:color w:val="auto"/>
                <w:spacing w:val="-6"/>
                <w:sz w:val="21"/>
                <w:szCs w:val="21"/>
                <w:highlight w:val="none"/>
              </w:rPr>
              <w:t>处置</w:t>
            </w:r>
            <w:r>
              <w:rPr>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1545" w:type="dxa"/>
            <w:vAlign w:val="center"/>
          </w:tcPr>
          <w:p>
            <w:pPr>
              <w:adjustRightInd w:val="0"/>
              <w:snapToGrid w:val="0"/>
              <w:jc w:val="center"/>
              <w:rPr>
                <w:color w:val="auto"/>
                <w:sz w:val="21"/>
                <w:szCs w:val="21"/>
              </w:rPr>
            </w:pPr>
            <w:r>
              <w:rPr>
                <w:color w:val="auto"/>
                <w:sz w:val="21"/>
                <w:szCs w:val="21"/>
              </w:rPr>
              <w:t>土壤及地下水污染防治措施</w:t>
            </w:r>
          </w:p>
        </w:tc>
        <w:tc>
          <w:tcPr>
            <w:tcW w:w="7982" w:type="dxa"/>
            <w:gridSpan w:val="4"/>
            <w:vAlign w:val="center"/>
          </w:tcPr>
          <w:p>
            <w:pPr>
              <w:adjustRightInd w:val="0"/>
              <w:snapToGrid w:val="0"/>
              <w:jc w:val="left"/>
              <w:rPr>
                <w:rFonts w:hint="eastAsia" w:eastAsia="宋体"/>
                <w:color w:val="auto"/>
                <w:sz w:val="21"/>
                <w:szCs w:val="21"/>
                <w:lang w:eastAsia="zh-CN"/>
              </w:rPr>
            </w:pPr>
            <w:r>
              <w:rPr>
                <w:rFonts w:hint="default" w:ascii="Times New Roman" w:hAnsi="Times New Roman" w:eastAsia="宋体" w:cs="Times New Roman"/>
                <w:color w:val="auto"/>
                <w:sz w:val="21"/>
                <w:szCs w:val="21"/>
              </w:rPr>
              <w:t>医疗废物</w:t>
            </w:r>
            <w:r>
              <w:rPr>
                <w:rFonts w:hint="default" w:ascii="Times New Roman" w:hAnsi="Times New Roman" w:eastAsia="宋体" w:cs="Times New Roman"/>
                <w:color w:val="auto"/>
                <w:sz w:val="21"/>
                <w:szCs w:val="21"/>
                <w:highlight w:val="none"/>
              </w:rPr>
              <w:t>暂存</w:t>
            </w:r>
            <w:r>
              <w:rPr>
                <w:rFonts w:hint="default" w:ascii="Times New Roman" w:hAnsi="Times New Roman" w:eastAsia="宋体" w:cs="Times New Roman"/>
                <w:color w:val="auto"/>
                <w:sz w:val="21"/>
                <w:szCs w:val="21"/>
                <w:highlight w:val="none"/>
                <w:lang w:val="en-US" w:eastAsia="zh-CN"/>
              </w:rPr>
              <w:t>间</w:t>
            </w:r>
            <w:r>
              <w:rPr>
                <w:rFonts w:hint="default" w:ascii="Times New Roman" w:hAnsi="Times New Roman" w:eastAsia="宋体" w:cs="Times New Roman"/>
                <w:color w:val="auto"/>
                <w:sz w:val="21"/>
                <w:szCs w:val="21"/>
                <w:highlight w:val="none"/>
              </w:rPr>
              <w:t>地面铺设</w:t>
            </w:r>
            <w:r>
              <w:rPr>
                <w:rFonts w:hint="default" w:ascii="Times New Roman" w:hAnsi="Times New Roman" w:cs="Times New Roman"/>
                <w:color w:val="auto"/>
                <w:kern w:val="0"/>
                <w:szCs w:val="21"/>
              </w:rPr>
              <w:t>2mm厚高密度聚乙烯</w:t>
            </w:r>
            <w:r>
              <w:rPr>
                <w:rFonts w:hint="default" w:ascii="Times New Roman" w:hAnsi="Times New Roman" w:eastAsia="宋体" w:cs="Times New Roman"/>
                <w:color w:val="auto"/>
                <w:sz w:val="21"/>
                <w:szCs w:val="21"/>
                <w:highlight w:val="none"/>
              </w:rPr>
              <w:t>，并且设1.0m高的防渗墙裙，其地面和裙脚按坚固、防渗、耐腐蚀的材料建造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医废暂存</w:t>
            </w:r>
            <w:r>
              <w:rPr>
                <w:rFonts w:hint="default" w:ascii="Times New Roman" w:hAnsi="Times New Roman" w:eastAsia="宋体" w:cs="Times New Roman"/>
                <w:color w:val="auto"/>
                <w:sz w:val="21"/>
                <w:szCs w:val="21"/>
                <w:highlight w:val="none"/>
                <w:lang w:val="en-US" w:eastAsia="zh-CN"/>
              </w:rPr>
              <w:t>间</w:t>
            </w:r>
            <w:r>
              <w:rPr>
                <w:rFonts w:hint="default" w:ascii="Times New Roman" w:hAnsi="Times New Roman" w:eastAsia="宋体" w:cs="Times New Roman"/>
                <w:color w:val="auto"/>
                <w:sz w:val="21"/>
                <w:szCs w:val="21"/>
                <w:highlight w:val="none"/>
              </w:rPr>
              <w:t>为密闭房间，实现了防风、防雨和防晒</w:t>
            </w:r>
            <w:r>
              <w:rPr>
                <w:rFonts w:hint="eastAsia" w:cs="Times New Roman"/>
                <w:color w:val="auto"/>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545" w:type="dxa"/>
            <w:vAlign w:val="center"/>
          </w:tcPr>
          <w:p>
            <w:pPr>
              <w:adjustRightInd w:val="0"/>
              <w:snapToGrid w:val="0"/>
              <w:jc w:val="center"/>
              <w:rPr>
                <w:color w:val="auto"/>
                <w:sz w:val="21"/>
                <w:szCs w:val="21"/>
              </w:rPr>
            </w:pPr>
            <w:r>
              <w:rPr>
                <w:color w:val="auto"/>
                <w:sz w:val="21"/>
                <w:szCs w:val="21"/>
              </w:rPr>
              <w:t>生态保护</w:t>
            </w:r>
          </w:p>
          <w:p>
            <w:pPr>
              <w:adjustRightInd w:val="0"/>
              <w:snapToGrid w:val="0"/>
              <w:jc w:val="center"/>
              <w:rPr>
                <w:color w:val="auto"/>
                <w:sz w:val="21"/>
                <w:szCs w:val="21"/>
              </w:rPr>
            </w:pPr>
            <w:r>
              <w:rPr>
                <w:color w:val="auto"/>
                <w:sz w:val="21"/>
                <w:szCs w:val="21"/>
              </w:rPr>
              <w:t>措施</w:t>
            </w:r>
          </w:p>
        </w:tc>
        <w:tc>
          <w:tcPr>
            <w:tcW w:w="7982" w:type="dxa"/>
            <w:gridSpan w:val="4"/>
            <w:vAlign w:val="center"/>
          </w:tcPr>
          <w:p>
            <w:pPr>
              <w:adjustRightInd w:val="0"/>
              <w:snapToGrid w:val="0"/>
              <w:jc w:val="center"/>
              <w:rPr>
                <w:color w:val="auto"/>
                <w:sz w:val="21"/>
                <w:szCs w:val="21"/>
              </w:rPr>
            </w:pPr>
            <w:r>
              <w:rPr>
                <w:rFonts w:hint="eastAsia"/>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5" w:type="dxa"/>
            <w:vAlign w:val="center"/>
          </w:tcPr>
          <w:p>
            <w:pPr>
              <w:adjustRightInd w:val="0"/>
              <w:snapToGrid w:val="0"/>
              <w:jc w:val="center"/>
              <w:rPr>
                <w:color w:val="auto"/>
                <w:spacing w:val="-8"/>
                <w:sz w:val="21"/>
                <w:szCs w:val="21"/>
              </w:rPr>
            </w:pPr>
            <w:r>
              <w:rPr>
                <w:color w:val="auto"/>
                <w:spacing w:val="-8"/>
                <w:sz w:val="21"/>
                <w:szCs w:val="21"/>
              </w:rPr>
              <w:t>环境风险</w:t>
            </w:r>
          </w:p>
          <w:p>
            <w:pPr>
              <w:adjustRightInd w:val="0"/>
              <w:snapToGrid w:val="0"/>
              <w:jc w:val="center"/>
              <w:rPr>
                <w:color w:val="auto"/>
                <w:spacing w:val="-8"/>
                <w:sz w:val="21"/>
                <w:szCs w:val="21"/>
              </w:rPr>
            </w:pPr>
            <w:r>
              <w:rPr>
                <w:color w:val="auto"/>
                <w:spacing w:val="-8"/>
                <w:sz w:val="21"/>
                <w:szCs w:val="21"/>
              </w:rPr>
              <w:t>防范措施</w:t>
            </w:r>
          </w:p>
        </w:tc>
        <w:tc>
          <w:tcPr>
            <w:tcW w:w="7982" w:type="dxa"/>
            <w:gridSpan w:val="4"/>
            <w:vAlign w:val="center"/>
          </w:tcPr>
          <w:p>
            <w:pPr>
              <w:pStyle w:val="72"/>
              <w:spacing w:line="240" w:lineRule="auto"/>
              <w:ind w:firstLine="0" w:firstLineChars="0"/>
              <w:jc w:val="left"/>
              <w:rPr>
                <w:rFonts w:hint="eastAsia"/>
                <w:color w:val="auto"/>
                <w:sz w:val="21"/>
                <w:szCs w:val="21"/>
              </w:rPr>
            </w:pPr>
            <w:r>
              <w:rPr>
                <w:rFonts w:hint="eastAsia"/>
                <w:color w:val="auto"/>
                <w:sz w:val="21"/>
                <w:szCs w:val="21"/>
              </w:rPr>
              <w:t>1）</w:t>
            </w:r>
            <w:r>
              <w:rPr>
                <w:rFonts w:hint="eastAsia"/>
                <w:color w:val="auto"/>
                <w:sz w:val="21"/>
                <w:szCs w:val="21"/>
                <w:lang w:val="en-US" w:eastAsia="zh-CN"/>
              </w:rPr>
              <w:t>医疗</w:t>
            </w:r>
            <w:r>
              <w:rPr>
                <w:rFonts w:hint="eastAsia"/>
                <w:color w:val="auto"/>
                <w:sz w:val="21"/>
                <w:szCs w:val="21"/>
              </w:rPr>
              <w:t>废物</w:t>
            </w:r>
            <w:r>
              <w:rPr>
                <w:rFonts w:hint="eastAsia"/>
                <w:color w:val="auto"/>
                <w:sz w:val="21"/>
                <w:szCs w:val="21"/>
                <w:lang w:val="en-US" w:eastAsia="zh-CN"/>
              </w:rPr>
              <w:t>感染致病菌</w:t>
            </w:r>
            <w:r>
              <w:rPr>
                <w:rFonts w:hint="eastAsia"/>
                <w:color w:val="auto"/>
                <w:sz w:val="21"/>
                <w:szCs w:val="21"/>
              </w:rPr>
              <w:t>风险及防范施</w:t>
            </w:r>
          </w:p>
          <w:p>
            <w:pPr>
              <w:pStyle w:val="72"/>
              <w:spacing w:line="240" w:lineRule="auto"/>
              <w:ind w:firstLine="0" w:firstLineChars="0"/>
              <w:jc w:val="left"/>
              <w:rPr>
                <w:rFonts w:hint="eastAsia"/>
                <w:color w:val="auto"/>
                <w:sz w:val="21"/>
                <w:szCs w:val="21"/>
              </w:rPr>
            </w:pPr>
            <w:r>
              <w:rPr>
                <w:rFonts w:hint="eastAsia"/>
                <w:color w:val="auto"/>
                <w:sz w:val="21"/>
                <w:szCs w:val="21"/>
              </w:rPr>
              <w:t>医疗废物为特殊的固体废物，含有大量的致病菌。本项目在收运、贮存管理等采取了严格的防护措施，保证医疗废物的致病感染菌不对周边环境造成污染和危害。</w:t>
            </w:r>
          </w:p>
          <w:p>
            <w:pPr>
              <w:pStyle w:val="72"/>
              <w:spacing w:line="240" w:lineRule="auto"/>
              <w:ind w:firstLine="0" w:firstLineChars="0"/>
              <w:jc w:val="left"/>
              <w:rPr>
                <w:rFonts w:hint="default"/>
                <w:color w:val="auto"/>
                <w:sz w:val="21"/>
                <w:szCs w:val="21"/>
                <w:lang w:val="en-US" w:eastAsia="zh-CN"/>
              </w:rPr>
            </w:pPr>
            <w:r>
              <w:rPr>
                <w:rFonts w:hint="eastAsia"/>
                <w:color w:val="auto"/>
                <w:sz w:val="21"/>
                <w:szCs w:val="21"/>
                <w:lang w:val="en-US" w:eastAsia="zh-CN"/>
              </w:rPr>
              <w:t>2</w:t>
            </w:r>
            <w:r>
              <w:rPr>
                <w:rFonts w:hint="eastAsia"/>
                <w:color w:val="auto"/>
                <w:sz w:val="21"/>
                <w:szCs w:val="21"/>
                <w:lang w:eastAsia="zh-CN"/>
              </w:rPr>
              <w:t>）</w:t>
            </w:r>
            <w:r>
              <w:rPr>
                <w:rFonts w:hint="eastAsia"/>
                <w:color w:val="auto"/>
                <w:sz w:val="21"/>
                <w:szCs w:val="21"/>
                <w:lang w:val="en-US" w:eastAsia="zh-CN"/>
              </w:rPr>
              <w:t>收集系统</w:t>
            </w:r>
          </w:p>
          <w:p>
            <w:pPr>
              <w:pStyle w:val="72"/>
              <w:spacing w:line="240" w:lineRule="auto"/>
              <w:ind w:firstLine="0" w:firstLineChars="0"/>
              <w:jc w:val="left"/>
              <w:rPr>
                <w:rFonts w:hint="eastAsia"/>
                <w:color w:val="auto"/>
                <w:sz w:val="21"/>
                <w:szCs w:val="21"/>
              </w:rPr>
            </w:pPr>
            <w:r>
              <w:rPr>
                <w:rFonts w:hint="eastAsia"/>
                <w:color w:val="auto"/>
                <w:sz w:val="21"/>
                <w:szCs w:val="21"/>
              </w:rPr>
              <w:t>①医疗机构医疗废物的收集及暂存</w:t>
            </w:r>
          </w:p>
          <w:p>
            <w:pPr>
              <w:pStyle w:val="72"/>
              <w:spacing w:line="240" w:lineRule="auto"/>
              <w:ind w:firstLine="0" w:firstLineChars="0"/>
              <w:jc w:val="left"/>
              <w:rPr>
                <w:rFonts w:hint="eastAsia"/>
                <w:color w:val="auto"/>
                <w:sz w:val="21"/>
                <w:szCs w:val="21"/>
                <w:lang w:eastAsia="zh-CN"/>
              </w:rPr>
            </w:pPr>
            <w:r>
              <w:rPr>
                <w:rFonts w:hint="eastAsia"/>
                <w:color w:val="auto"/>
                <w:sz w:val="21"/>
                <w:szCs w:val="21"/>
              </w:rPr>
              <w:t>每日</w:t>
            </w:r>
            <w:r>
              <w:rPr>
                <w:rFonts w:hint="eastAsia"/>
                <w:color w:val="auto"/>
                <w:sz w:val="21"/>
                <w:szCs w:val="21"/>
                <w:lang w:val="en-US" w:eastAsia="zh-CN"/>
              </w:rPr>
              <w:t>对医疗废物暂存间</w:t>
            </w:r>
            <w:r>
              <w:rPr>
                <w:rFonts w:hint="eastAsia"/>
                <w:color w:val="auto"/>
                <w:sz w:val="21"/>
                <w:szCs w:val="21"/>
              </w:rPr>
              <w:t>进行定时消毒，收运单位对其提供盛装容器、专用包装袋，分类收集。整个过程中医疗废物不暴露、不与外界接触。医疗机构医疗废物暂存室设有可靠的防雨、防蛀咬、通风及消毒等手段，有醒目的危险警告标志，有专人管理，禁止</w:t>
            </w:r>
            <w:r>
              <w:rPr>
                <w:rFonts w:hint="eastAsia"/>
                <w:color w:val="auto"/>
                <w:sz w:val="21"/>
                <w:szCs w:val="21"/>
                <w:lang w:eastAsia="zh-CN"/>
              </w:rPr>
              <w:t>无关人员误入；便于周转箱的回取和转运车辆的通行。</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eastAsia="zh-CN"/>
              </w:rPr>
              <w:t>②</w:t>
            </w:r>
            <w:r>
              <w:rPr>
                <w:rFonts w:hint="eastAsia"/>
                <w:color w:val="auto"/>
                <w:sz w:val="21"/>
                <w:szCs w:val="21"/>
                <w:lang w:val="en-US" w:eastAsia="zh-CN"/>
              </w:rPr>
              <w:t>收集容器</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val="en-US" w:eastAsia="zh-CN"/>
              </w:rPr>
              <w:t>项目采用专门定做的周转箱进行医疗废物收集，颜色全部为黄色，并标注醒目的“医疗废物”标志。专用容器及其标识应满足</w:t>
            </w:r>
            <w:r>
              <w:rPr>
                <w:rFonts w:hint="eastAsia"/>
                <w:color w:val="auto"/>
                <w:sz w:val="21"/>
                <w:szCs w:val="21"/>
              </w:rPr>
              <w:t>《医疗废物专用包装物、容器的标准和警示标识的规定》（HJ421-2008）</w:t>
            </w:r>
            <w:r>
              <w:rPr>
                <w:rFonts w:hint="eastAsia"/>
                <w:color w:val="auto"/>
                <w:sz w:val="21"/>
                <w:szCs w:val="21"/>
                <w:lang w:val="en-US" w:eastAsia="zh-CN"/>
              </w:rPr>
              <w:t>的要求。</w:t>
            </w:r>
          </w:p>
          <w:p>
            <w:pPr>
              <w:pStyle w:val="72"/>
              <w:spacing w:line="240" w:lineRule="auto"/>
              <w:ind w:firstLine="0" w:firstLineChars="0"/>
              <w:jc w:val="left"/>
              <w:rPr>
                <w:rFonts w:hint="default"/>
                <w:color w:val="auto"/>
                <w:sz w:val="21"/>
                <w:szCs w:val="21"/>
                <w:lang w:val="en-US" w:eastAsia="zh-CN"/>
              </w:rPr>
            </w:pPr>
            <w:r>
              <w:rPr>
                <w:rFonts w:hint="eastAsia"/>
                <w:color w:val="auto"/>
                <w:sz w:val="21"/>
                <w:szCs w:val="21"/>
                <w:lang w:val="en-US" w:eastAsia="zh-CN"/>
              </w:rPr>
              <w:t>专用容器中包装袋和利器盒为一次性使用，直接和废物一起处理；周转箱为重复使用，每次卸出医疗废物后和医疗废物转运车一起进行严格的消毒处理后才能再次使用，发现质量有问题的周转箱将不允许使用，应和医疗废物一起进行处理。</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val="en-US" w:eastAsia="zh-CN"/>
              </w:rPr>
              <w:t>3）医疗废物的运输</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val="en-US" w:eastAsia="zh-CN"/>
              </w:rPr>
              <w:t>医疗废物转运人员严格按照收集人员的同等要求穿戴相应的防护衣具；转运车辆配备有应急消毒用具以防备运输过程中可能发生的废物泄漏事故，如适当的容器、消毒剂、粒状吸收剂、刷子、拖布等。车上还备有急救药箱。所有使用过的物品均按医疗废物进行收集和处理。</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val="en-US" w:eastAsia="zh-CN"/>
              </w:rPr>
              <w:t>周转箱和转运车辆每次卸下医疗废物后，均按照有关规程进行严格的消毒处理后才能再次使用。转运车停用时，必须将车厢内外进行彻底消毒、清洗、晾干，停放在通风、防潮、防暴晒、无腐蚀性气体侵害的场所，停用期间不得用于其他用途的运输。</w:t>
            </w:r>
          </w:p>
          <w:p>
            <w:pPr>
              <w:pStyle w:val="72"/>
              <w:spacing w:line="240" w:lineRule="auto"/>
              <w:ind w:firstLine="0" w:firstLineChars="0"/>
              <w:jc w:val="left"/>
              <w:rPr>
                <w:rFonts w:hint="eastAsia"/>
                <w:color w:val="auto"/>
                <w:sz w:val="21"/>
                <w:szCs w:val="21"/>
                <w:lang w:val="en-US" w:eastAsia="zh-CN"/>
              </w:rPr>
            </w:pPr>
            <w:r>
              <w:rPr>
                <w:rFonts w:hint="eastAsia"/>
                <w:color w:val="auto"/>
                <w:sz w:val="21"/>
                <w:szCs w:val="21"/>
                <w:lang w:val="en-US" w:eastAsia="zh-CN"/>
              </w:rPr>
              <w:t>在医疗废物装车时，医院内工作人员应负责办理废物的交接手续，按时将所收存的医疗废物如数装进运往处理场的运输车厢，并责成运输者负责途中安全，使医疗废物处于全程监控之下，避免医疗废物流入社会造成危害。医疗废物运输车应为专用车，密封盛装的医疗废物必须放置在运输车辆的密封仓内。医用垃圾运输车不允许配备压缩装置，以免收集容器被挤压破裂。在医疗废物运输上，主管部门应加强管理，最大限度地减小运输过程中可能出现的失误。</w:t>
            </w:r>
          </w:p>
          <w:p>
            <w:pPr>
              <w:pStyle w:val="72"/>
              <w:spacing w:line="240" w:lineRule="auto"/>
              <w:ind w:firstLine="0" w:firstLineChars="0"/>
              <w:jc w:val="left"/>
              <w:rPr>
                <w:color w:val="auto"/>
                <w:sz w:val="21"/>
                <w:szCs w:val="21"/>
              </w:rPr>
            </w:pPr>
            <w:r>
              <w:rPr>
                <w:rFonts w:hint="default"/>
                <w:color w:val="auto"/>
                <w:sz w:val="21"/>
                <w:szCs w:val="21"/>
                <w:lang w:val="en-US" w:eastAsia="zh-CN"/>
              </w:rPr>
              <w:t>为了保证危险废物运输的安全无误，医疗废物的转接文件设跟踪系统，并形成制度。在其开始即由医疗废物生产者记录医疗废物的产地、类型、数量等然后交由运输部门清点并填写装货日期、签名并随身携带，运输至处理厂后再行交接手续。使医疗废物在产生、运输、处理全过程中处于完全的控制之下彻底杜绝医疗废物被不法分子利用牟取暴利、危害社会的可能性。垃圾的运输时间应避开上下班的高峰时间。运输完成后，运输车辆应在厂区内规定的地点对车辆进行清洗消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46" w:hRule="atLeast"/>
          <w:jc w:val="center"/>
        </w:trPr>
        <w:tc>
          <w:tcPr>
            <w:tcW w:w="1545" w:type="dxa"/>
            <w:vAlign w:val="center"/>
          </w:tcPr>
          <w:p>
            <w:pPr>
              <w:adjustRightInd w:val="0"/>
              <w:snapToGrid w:val="0"/>
              <w:jc w:val="center"/>
              <w:rPr>
                <w:color w:val="auto"/>
                <w:spacing w:val="-8"/>
                <w:sz w:val="21"/>
                <w:szCs w:val="21"/>
              </w:rPr>
            </w:pPr>
            <w:r>
              <w:rPr>
                <w:color w:val="auto"/>
                <w:spacing w:val="-8"/>
                <w:sz w:val="21"/>
                <w:szCs w:val="21"/>
              </w:rPr>
              <w:t>其他环境</w:t>
            </w:r>
          </w:p>
          <w:p>
            <w:pPr>
              <w:adjustRightInd w:val="0"/>
              <w:snapToGrid w:val="0"/>
              <w:jc w:val="center"/>
              <w:rPr>
                <w:color w:val="auto"/>
                <w:spacing w:val="-8"/>
                <w:sz w:val="21"/>
                <w:szCs w:val="21"/>
              </w:rPr>
            </w:pPr>
            <w:r>
              <w:rPr>
                <w:color w:val="auto"/>
                <w:spacing w:val="-8"/>
                <w:sz w:val="21"/>
                <w:szCs w:val="21"/>
              </w:rPr>
              <w:t>管理要求</w:t>
            </w:r>
          </w:p>
        </w:tc>
        <w:tc>
          <w:tcPr>
            <w:tcW w:w="7982" w:type="dxa"/>
            <w:gridSpan w:val="4"/>
            <w:vAlign w:val="center"/>
          </w:tcPr>
          <w:p>
            <w:pPr>
              <w:adjustRightInd w:val="0"/>
              <w:snapToGrid w:val="0"/>
              <w:ind w:firstLine="420" w:firstLineChars="200"/>
              <w:jc w:val="left"/>
              <w:rPr>
                <w:rFonts w:hint="default"/>
                <w:color w:val="auto"/>
                <w:sz w:val="21"/>
                <w:szCs w:val="21"/>
                <w:lang w:val="en-US" w:eastAsia="zh-CN"/>
              </w:rPr>
            </w:pPr>
            <w:r>
              <w:rPr>
                <w:rFonts w:hint="eastAsia"/>
                <w:color w:val="auto"/>
                <w:sz w:val="21"/>
                <w:szCs w:val="21"/>
                <w:lang w:val="en-US" w:eastAsia="zh-CN"/>
              </w:rPr>
              <w:t>1.日常</w:t>
            </w:r>
            <w:r>
              <w:rPr>
                <w:rFonts w:hint="eastAsia"/>
                <w:color w:val="auto"/>
                <w:sz w:val="21"/>
                <w:szCs w:val="21"/>
              </w:rPr>
              <w:t>管理要求</w:t>
            </w:r>
          </w:p>
          <w:p>
            <w:pPr>
              <w:adjustRightInd w:val="0"/>
              <w:snapToGrid w:val="0"/>
              <w:ind w:firstLine="420" w:firstLineChars="200"/>
              <w:jc w:val="left"/>
              <w:rPr>
                <w:rFonts w:hint="eastAsia"/>
                <w:color w:val="auto"/>
                <w:sz w:val="21"/>
                <w:szCs w:val="21"/>
                <w:lang w:val="en-US" w:eastAsia="zh-CN"/>
              </w:rPr>
            </w:pPr>
            <w:r>
              <w:rPr>
                <w:rFonts w:hint="eastAsia"/>
                <w:color w:val="auto"/>
                <w:sz w:val="21"/>
                <w:szCs w:val="21"/>
                <w:lang w:val="en-US" w:eastAsia="zh-CN"/>
              </w:rPr>
              <w:t>项目运营期应设专人进行环境管理工作，正确处理发展生产与环境保护的关系，监控环保工程的运行，并检查其效果，了解场内环境质量与影响环境质量的污染因子变化情况，建立健全环保档案，为保护和改善区域环境质量作好组织和监督工作，环境管理具体内容如下：</w:t>
            </w:r>
          </w:p>
          <w:p>
            <w:pPr>
              <w:adjustRightInd w:val="0"/>
              <w:snapToGrid w:val="0"/>
              <w:ind w:firstLine="420" w:firstLineChars="200"/>
              <w:jc w:val="left"/>
              <w:rPr>
                <w:rFonts w:hint="eastAsia"/>
                <w:color w:val="auto"/>
                <w:sz w:val="21"/>
                <w:szCs w:val="21"/>
                <w:lang w:val="en-US" w:eastAsia="zh-CN"/>
              </w:rPr>
            </w:pPr>
            <w:r>
              <w:rPr>
                <w:rFonts w:hint="eastAsia"/>
                <w:color w:val="auto"/>
                <w:sz w:val="21"/>
                <w:szCs w:val="21"/>
                <w:lang w:val="en-US" w:eastAsia="zh-CN"/>
              </w:rPr>
              <w:t>1）建立、健全环境管理制度，设置专职或兼职环保人员，负责日常环保安全，定期检查环保管理和环境监测工作。</w:t>
            </w:r>
          </w:p>
          <w:p>
            <w:pPr>
              <w:adjustRightInd w:val="0"/>
              <w:snapToGrid w:val="0"/>
              <w:ind w:firstLine="420" w:firstLineChars="200"/>
              <w:jc w:val="left"/>
              <w:rPr>
                <w:rFonts w:hint="eastAsia"/>
                <w:color w:val="auto"/>
                <w:sz w:val="21"/>
                <w:szCs w:val="21"/>
                <w:lang w:val="en-US" w:eastAsia="zh-CN"/>
              </w:rPr>
            </w:pPr>
            <w:r>
              <w:rPr>
                <w:rFonts w:hint="eastAsia"/>
                <w:color w:val="auto"/>
                <w:sz w:val="21"/>
                <w:szCs w:val="21"/>
                <w:lang w:val="en-US" w:eastAsia="zh-CN"/>
              </w:rPr>
              <w:t>2）制定各种可能发生事故的应急计划，定期对职工进行培训演练，配备各种必要的维护、抢修器材和设备，保证发生事故时能及时到位。</w:t>
            </w:r>
          </w:p>
          <w:p>
            <w:pPr>
              <w:adjustRightInd w:val="0"/>
              <w:snapToGrid w:val="0"/>
              <w:ind w:firstLine="420" w:firstLineChars="200"/>
              <w:jc w:val="left"/>
              <w:rPr>
                <w:rFonts w:hint="eastAsia"/>
                <w:color w:val="auto"/>
                <w:sz w:val="21"/>
                <w:szCs w:val="21"/>
                <w:lang w:val="en-US" w:eastAsia="zh-CN"/>
              </w:rPr>
            </w:pPr>
            <w:r>
              <w:rPr>
                <w:rFonts w:hint="eastAsia"/>
                <w:color w:val="auto"/>
                <w:sz w:val="21"/>
                <w:szCs w:val="21"/>
                <w:lang w:val="en-US" w:eastAsia="zh-CN"/>
              </w:rPr>
              <w:t>3）收集、储存医疗废物，必须按照医疗废物特性进行分类进行。禁止混合收集、储存、运输、处置性质不相容而未经安全性处置的危险废物。</w:t>
            </w:r>
          </w:p>
          <w:p>
            <w:pPr>
              <w:adjustRightInd w:val="0"/>
              <w:snapToGrid w:val="0"/>
              <w:ind w:firstLine="420" w:firstLineChars="200"/>
              <w:jc w:val="left"/>
              <w:rPr>
                <w:rFonts w:hint="eastAsia"/>
                <w:color w:val="auto"/>
                <w:sz w:val="21"/>
                <w:szCs w:val="21"/>
                <w:lang w:val="en-US" w:eastAsia="zh-CN"/>
              </w:rPr>
            </w:pPr>
            <w:r>
              <w:rPr>
                <w:rFonts w:hint="eastAsia"/>
                <w:color w:val="auto"/>
                <w:sz w:val="21"/>
                <w:szCs w:val="21"/>
                <w:lang w:val="en-US" w:eastAsia="zh-CN"/>
              </w:rPr>
              <w:t>4）医疗废物收集、储存及转运要建立医疗废物进出管理台账。</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2.验收要求</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按照《建设项目竣工环境保护验收暂行办法》（国环规环评【2017】4号）中要求实施环保竣工验收。</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竣工验收以现场调查与监测相结合的方式对工程“三同时”建设情况进行验收，通过现场调查项目“三同时”建设情况，主要环保设施的建设与环评批复文件的符合性检查及验收；</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环保设施建设及运行情况，包括：废气、废水、噪声污染防治设施的建设及运行情况及运行处理效果，生态保护措施的落实情况；防止固废废物污染环境的措施；场区绿化等；</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3.突发环境事件应急预案</w:t>
            </w:r>
          </w:p>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rPr>
                <w:rFonts w:hint="eastAsia"/>
                <w:color w:val="auto"/>
                <w:sz w:val="21"/>
                <w:szCs w:val="21"/>
                <w:lang w:val="en-US" w:eastAsia="zh-CN"/>
              </w:rPr>
            </w:pPr>
            <w:r>
              <w:rPr>
                <w:rFonts w:hint="eastAsia"/>
                <w:color w:val="auto"/>
                <w:sz w:val="21"/>
                <w:szCs w:val="21"/>
                <w:lang w:val="en-US" w:eastAsia="zh-CN"/>
              </w:rPr>
              <w:t>根据《关于印发&lt;企业事业单位突发环境事件应急预案备案管理办法（试行）&gt;的通知》（环发[2015]4号），锡林浩特市宝力根街道办事处社区卫生服务中心正在编制《突发环境事件应急预案备》并向建设项目所在地受理部门备案。</w:t>
            </w: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p>
            <w:pPr>
              <w:adjustRightInd w:val="0"/>
              <w:snapToGrid w:val="0"/>
              <w:ind w:firstLine="420" w:firstLineChars="200"/>
              <w:jc w:val="left"/>
              <w:rPr>
                <w:rFonts w:hint="default"/>
                <w:color w:val="auto"/>
                <w:sz w:val="21"/>
                <w:szCs w:val="21"/>
                <w:lang w:val="en-US" w:eastAsia="zh-CN"/>
              </w:rPr>
            </w:pPr>
          </w:p>
        </w:tc>
      </w:tr>
    </w:tbl>
    <w:p>
      <w:pPr>
        <w:bidi w:val="0"/>
        <w:rPr>
          <w:color w:val="auto"/>
        </w:rPr>
        <w:sectPr>
          <w:footerReference r:id="rId9" w:type="first"/>
          <w:footerReference r:id="rId8" w:type="default"/>
          <w:pgSz w:w="11907" w:h="16840"/>
          <w:pgMar w:top="1418" w:right="1418" w:bottom="1418" w:left="1418" w:header="850" w:footer="992" w:gutter="0"/>
          <w:pgBorders>
            <w:top w:val="none" w:sz="0" w:space="0"/>
            <w:left w:val="none" w:sz="0" w:space="0"/>
            <w:bottom w:val="none" w:sz="0" w:space="0"/>
            <w:right w:val="none" w:sz="0" w:space="0"/>
          </w:pgBorders>
          <w:cols w:space="720" w:num="1"/>
          <w:titlePg/>
          <w:docGrid w:linePitch="312" w:charSpace="0"/>
        </w:sectPr>
      </w:pPr>
    </w:p>
    <w:p>
      <w:pPr>
        <w:tabs>
          <w:tab w:val="left" w:pos="0"/>
        </w:tabs>
        <w:snapToGrid w:val="0"/>
        <w:jc w:val="center"/>
        <w:outlineLvl w:val="0"/>
        <w:rPr>
          <w:b/>
          <w:color w:val="auto"/>
          <w:sz w:val="32"/>
        </w:rPr>
      </w:pPr>
      <w:r>
        <w:rPr>
          <w:b/>
          <w:color w:val="auto"/>
          <w:sz w:val="32"/>
        </w:rPr>
        <w:t>结论</w:t>
      </w:r>
    </w:p>
    <w:tbl>
      <w:tblPr>
        <w:tblStyle w:val="31"/>
        <w:tblW w:w="9531" w:type="dxa"/>
        <w:tblInd w:w="-13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531" w:type="dxa"/>
          </w:tcPr>
          <w:p>
            <w:pPr>
              <w:spacing w:line="360" w:lineRule="auto"/>
              <w:ind w:firstLine="482" w:firstLineChars="200"/>
              <w:rPr>
                <w:b/>
                <w:bCs/>
                <w:color w:val="auto"/>
                <w:sz w:val="24"/>
              </w:rPr>
            </w:pPr>
            <w:r>
              <w:rPr>
                <w:b/>
                <w:bCs/>
                <w:color w:val="auto"/>
                <w:sz w:val="24"/>
              </w:rPr>
              <w:t>1</w:t>
            </w:r>
            <w:r>
              <w:rPr>
                <w:rFonts w:hint="eastAsia"/>
                <w:b/>
                <w:bCs/>
                <w:color w:val="auto"/>
                <w:sz w:val="24"/>
              </w:rPr>
              <w:t>.</w:t>
            </w:r>
            <w:r>
              <w:rPr>
                <w:b/>
                <w:bCs/>
                <w:color w:val="auto"/>
                <w:sz w:val="24"/>
              </w:rPr>
              <w:t>结论</w:t>
            </w:r>
          </w:p>
          <w:p>
            <w:pPr>
              <w:spacing w:line="360" w:lineRule="auto"/>
              <w:ind w:firstLine="480" w:firstLineChars="200"/>
              <w:rPr>
                <w:color w:val="auto"/>
                <w:sz w:val="24"/>
                <w:highlight w:val="none"/>
              </w:rPr>
            </w:pPr>
            <w:r>
              <w:rPr>
                <w:rFonts w:hint="eastAsia"/>
                <w:color w:val="auto"/>
                <w:sz w:val="24"/>
              </w:rPr>
              <w:t>锡林浩特市宝力根街道办事处社区卫生服务中心</w:t>
            </w:r>
            <w:r>
              <w:rPr>
                <w:color w:val="auto"/>
                <w:sz w:val="24"/>
              </w:rPr>
              <w:t>医疗废物暂存间建设项目</w:t>
            </w:r>
            <w:r>
              <w:rPr>
                <w:rFonts w:hint="eastAsia"/>
                <w:color w:val="auto"/>
                <w:sz w:val="24"/>
                <w:highlight w:val="none"/>
                <w:lang w:val="en-US" w:eastAsia="zh-CN"/>
              </w:rPr>
              <w:t>补办了环境影响评价手续，所采取的</w:t>
            </w:r>
            <w:r>
              <w:rPr>
                <w:color w:val="auto"/>
                <w:sz w:val="24"/>
                <w:highlight w:val="none"/>
              </w:rPr>
              <w:t>污染</w:t>
            </w:r>
            <w:r>
              <w:rPr>
                <w:rFonts w:hint="eastAsia"/>
                <w:color w:val="auto"/>
                <w:sz w:val="24"/>
                <w:highlight w:val="none"/>
                <w:lang w:val="en-US" w:eastAsia="zh-CN"/>
              </w:rPr>
              <w:t>防治</w:t>
            </w:r>
            <w:r>
              <w:rPr>
                <w:color w:val="auto"/>
                <w:sz w:val="24"/>
                <w:highlight w:val="none"/>
              </w:rPr>
              <w:t>措施</w:t>
            </w:r>
            <w:r>
              <w:rPr>
                <w:rFonts w:hint="eastAsia"/>
                <w:color w:val="auto"/>
                <w:sz w:val="24"/>
                <w:highlight w:val="none"/>
                <w:lang w:val="en-US" w:eastAsia="zh-CN"/>
              </w:rPr>
              <w:t>基本可行</w:t>
            </w:r>
            <w:r>
              <w:rPr>
                <w:color w:val="auto"/>
                <w:sz w:val="24"/>
                <w:highlight w:val="none"/>
              </w:rPr>
              <w:t>，可实现污染物的达标排放，不会对周围环境产生明显影响</w:t>
            </w:r>
            <w:r>
              <w:rPr>
                <w:rFonts w:hint="eastAsia"/>
                <w:color w:val="auto"/>
                <w:sz w:val="24"/>
                <w:highlight w:val="none"/>
                <w:lang w:eastAsia="zh-CN"/>
              </w:rPr>
              <w:t>，</w:t>
            </w:r>
            <w:r>
              <w:rPr>
                <w:color w:val="auto"/>
                <w:sz w:val="24"/>
                <w:highlight w:val="none"/>
              </w:rPr>
              <w:t>从环保角度</w:t>
            </w:r>
            <w:r>
              <w:rPr>
                <w:rFonts w:hint="eastAsia"/>
                <w:color w:val="auto"/>
                <w:sz w:val="24"/>
                <w:highlight w:val="none"/>
                <w:lang w:val="en-US" w:eastAsia="zh-CN"/>
              </w:rPr>
              <w:t>分析</w:t>
            </w:r>
            <w:r>
              <w:rPr>
                <w:color w:val="auto"/>
                <w:sz w:val="24"/>
                <w:highlight w:val="none"/>
              </w:rPr>
              <w:t>项目建设可行。</w:t>
            </w:r>
          </w:p>
          <w:p>
            <w:pPr>
              <w:spacing w:line="360" w:lineRule="auto"/>
              <w:ind w:firstLine="482" w:firstLineChars="200"/>
              <w:rPr>
                <w:b/>
                <w:bCs/>
                <w:color w:val="auto"/>
                <w:sz w:val="24"/>
              </w:rPr>
            </w:pPr>
            <w:r>
              <w:rPr>
                <w:b/>
                <w:bCs/>
                <w:color w:val="auto"/>
                <w:sz w:val="24"/>
              </w:rPr>
              <w:t>2</w:t>
            </w:r>
            <w:r>
              <w:rPr>
                <w:rFonts w:hint="eastAsia"/>
                <w:b/>
                <w:bCs/>
                <w:color w:val="auto"/>
                <w:sz w:val="24"/>
              </w:rPr>
              <w:t>.</w:t>
            </w:r>
            <w:r>
              <w:rPr>
                <w:b/>
                <w:bCs/>
                <w:color w:val="auto"/>
                <w:sz w:val="24"/>
              </w:rPr>
              <w:t>建议</w:t>
            </w:r>
          </w:p>
          <w:p>
            <w:pPr>
              <w:spacing w:line="360" w:lineRule="auto"/>
              <w:ind w:firstLine="480" w:firstLineChars="200"/>
              <w:rPr>
                <w:color w:val="auto"/>
                <w:sz w:val="24"/>
                <w:highlight w:val="none"/>
              </w:rPr>
            </w:pPr>
            <w:r>
              <w:rPr>
                <w:color w:val="auto"/>
                <w:sz w:val="24"/>
              </w:rPr>
              <w:t>为保护环境，确保环保设施正常运行和污染物达标排放，针对工程特点，本评价提出如下要</w:t>
            </w:r>
            <w:r>
              <w:rPr>
                <w:color w:val="auto"/>
                <w:sz w:val="24"/>
                <w:highlight w:val="none"/>
              </w:rPr>
              <w:t>求与建议：</w:t>
            </w:r>
          </w:p>
          <w:p>
            <w:pPr>
              <w:numPr>
                <w:ilvl w:val="0"/>
                <w:numId w:val="1"/>
              </w:numPr>
              <w:spacing w:line="360" w:lineRule="auto"/>
              <w:ind w:firstLine="480" w:firstLineChars="200"/>
              <w:rPr>
                <w:color w:val="auto"/>
                <w:sz w:val="24"/>
                <w:highlight w:val="none"/>
              </w:rPr>
            </w:pPr>
            <w:r>
              <w:rPr>
                <w:rFonts w:hint="eastAsia"/>
                <w:color w:val="auto"/>
                <w:sz w:val="24"/>
                <w:highlight w:val="none"/>
                <w:lang w:val="en-US" w:eastAsia="zh-CN"/>
              </w:rPr>
              <w:t>加强服务中心的</w:t>
            </w:r>
            <w:r>
              <w:rPr>
                <w:color w:val="auto"/>
                <w:sz w:val="24"/>
                <w:highlight w:val="none"/>
              </w:rPr>
              <w:t>日常环境管理工作</w:t>
            </w:r>
            <w:r>
              <w:rPr>
                <w:rFonts w:hint="eastAsia"/>
                <w:color w:val="auto"/>
                <w:sz w:val="24"/>
                <w:highlight w:val="none"/>
                <w:lang w:eastAsia="zh-CN"/>
              </w:rPr>
              <w:t>，</w:t>
            </w:r>
            <w:r>
              <w:rPr>
                <w:rFonts w:hint="eastAsia"/>
                <w:color w:val="auto"/>
                <w:sz w:val="24"/>
                <w:highlight w:val="none"/>
                <w:lang w:val="en-US" w:eastAsia="zh-CN"/>
              </w:rPr>
              <w:t>按照国家相关法律法规要求，做好医疗废物收集、暂存、转运工作，建立健全医疗废物管理</w:t>
            </w:r>
            <w:r>
              <w:rPr>
                <w:rFonts w:hint="eastAsia"/>
                <w:color w:val="auto"/>
                <w:sz w:val="24"/>
                <w:highlight w:val="none"/>
              </w:rPr>
              <w:t>台账</w:t>
            </w:r>
            <w:r>
              <w:rPr>
                <w:color w:val="auto"/>
                <w:sz w:val="24"/>
                <w:highlight w:val="none"/>
              </w:rPr>
              <w:t>。</w:t>
            </w:r>
          </w:p>
          <w:p>
            <w:pPr>
              <w:numPr>
                <w:ilvl w:val="0"/>
                <w:numId w:val="1"/>
              </w:numPr>
              <w:spacing w:line="360" w:lineRule="auto"/>
              <w:ind w:firstLine="480" w:firstLineChars="200"/>
              <w:rPr>
                <w:color w:val="auto"/>
                <w:sz w:val="24"/>
                <w:highlight w:val="none"/>
              </w:rPr>
            </w:pPr>
            <w:r>
              <w:rPr>
                <w:rFonts w:hint="eastAsia"/>
                <w:color w:val="auto"/>
                <w:sz w:val="24"/>
                <w:highlight w:val="none"/>
                <w:lang w:val="en-US" w:eastAsia="zh-CN"/>
              </w:rPr>
              <w:t>项目防渗工程影像资料及防渗内容均纳入竣工验收进行管理。</w:t>
            </w:r>
          </w:p>
          <w:p>
            <w:pPr>
              <w:spacing w:line="360" w:lineRule="auto"/>
              <w:ind w:firstLine="480" w:firstLineChars="200"/>
              <w:rPr>
                <w:rFonts w:hint="default"/>
                <w:color w:val="auto"/>
                <w:sz w:val="24"/>
                <w:lang w:val="en-US"/>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pStyle w:val="38"/>
              <w:ind w:firstLine="480"/>
              <w:rPr>
                <w:rFonts w:cs="Times New Roman"/>
                <w:color w:val="auto"/>
                <w:szCs w:val="24"/>
              </w:rPr>
            </w:pPr>
          </w:p>
          <w:p>
            <w:pPr>
              <w:tabs>
                <w:tab w:val="left" w:pos="0"/>
              </w:tabs>
              <w:snapToGrid w:val="0"/>
              <w:outlineLvl w:val="0"/>
              <w:rPr>
                <w:b/>
                <w:color w:val="auto"/>
                <w:sz w:val="32"/>
              </w:rPr>
            </w:pPr>
          </w:p>
        </w:tc>
      </w:tr>
    </w:tbl>
    <w:p>
      <w:pPr>
        <w:pStyle w:val="7"/>
        <w:ind w:left="0" w:leftChars="0" w:firstLine="0" w:firstLineChars="0"/>
        <w:rPr>
          <w:color w:val="auto"/>
        </w:rPr>
        <w:sectPr>
          <w:footerReference r:id="rId10"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tabs>
          <w:tab w:val="left" w:pos="0"/>
        </w:tabs>
        <w:snapToGrid w:val="0"/>
        <w:outlineLvl w:val="0"/>
        <w:rPr>
          <w:b/>
          <w:color w:val="auto"/>
          <w:sz w:val="32"/>
        </w:rPr>
      </w:pPr>
      <w:r>
        <w:rPr>
          <w:b/>
          <w:color w:val="auto"/>
          <w:sz w:val="32"/>
        </w:rPr>
        <w:t>附表</w:t>
      </w:r>
    </w:p>
    <w:p>
      <w:pPr>
        <w:tabs>
          <w:tab w:val="left" w:pos="0"/>
        </w:tabs>
        <w:snapToGrid w:val="0"/>
        <w:jc w:val="center"/>
        <w:outlineLvl w:val="0"/>
        <w:rPr>
          <w:b/>
          <w:color w:val="auto"/>
          <w:sz w:val="32"/>
        </w:rPr>
      </w:pPr>
      <w:r>
        <w:rPr>
          <w:b/>
          <w:color w:val="auto"/>
          <w:sz w:val="32"/>
        </w:rPr>
        <w:t>建设项目污染物排放量汇总表</w:t>
      </w:r>
    </w:p>
    <w:tbl>
      <w:tblPr>
        <w:tblStyle w:val="30"/>
        <w:tblW w:w="1414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1500"/>
        <w:gridCol w:w="1740"/>
        <w:gridCol w:w="1501"/>
        <w:gridCol w:w="1701"/>
        <w:gridCol w:w="1559"/>
        <w:gridCol w:w="1761"/>
        <w:gridCol w:w="1959"/>
        <w:gridCol w:w="11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9" w:hRule="atLeast"/>
        </w:trPr>
        <w:tc>
          <w:tcPr>
            <w:tcW w:w="1241" w:type="dxa"/>
            <w:tcBorders>
              <w:tl2br w:val="single" w:color="auto" w:sz="4" w:space="0"/>
            </w:tcBorders>
            <w:tcMar>
              <w:left w:w="28" w:type="dxa"/>
              <w:right w:w="28" w:type="dxa"/>
            </w:tcMar>
            <w:vAlign w:val="center"/>
          </w:tcPr>
          <w:p>
            <w:pPr>
              <w:pStyle w:val="45"/>
              <w:jc w:val="right"/>
              <w:rPr>
                <w:snapToGrid w:val="0"/>
                <w:color w:val="auto"/>
                <w:spacing w:val="-6"/>
                <w:kern w:val="21"/>
                <w:sz w:val="21"/>
                <w:szCs w:val="21"/>
              </w:rPr>
            </w:pPr>
            <w:r>
              <w:rPr>
                <w:snapToGrid w:val="0"/>
                <w:color w:val="auto"/>
                <w:spacing w:val="-6"/>
                <w:kern w:val="21"/>
                <w:sz w:val="21"/>
                <w:szCs w:val="21"/>
              </w:rPr>
              <w:t>项目</w:t>
            </w:r>
          </w:p>
          <w:p>
            <w:pPr>
              <w:pStyle w:val="45"/>
              <w:jc w:val="left"/>
              <w:rPr>
                <w:snapToGrid w:val="0"/>
                <w:color w:val="auto"/>
                <w:spacing w:val="-6"/>
                <w:kern w:val="21"/>
                <w:sz w:val="21"/>
                <w:szCs w:val="21"/>
              </w:rPr>
            </w:pPr>
            <w:r>
              <w:rPr>
                <w:snapToGrid w:val="0"/>
                <w:color w:val="auto"/>
                <w:spacing w:val="-6"/>
                <w:kern w:val="21"/>
                <w:sz w:val="21"/>
                <w:szCs w:val="21"/>
              </w:rPr>
              <w:t>分类</w:t>
            </w:r>
          </w:p>
        </w:tc>
        <w:tc>
          <w:tcPr>
            <w:tcW w:w="1500"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污染物名称</w:t>
            </w:r>
          </w:p>
        </w:tc>
        <w:tc>
          <w:tcPr>
            <w:tcW w:w="1740"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现有工程</w:t>
            </w:r>
          </w:p>
          <w:p>
            <w:pPr>
              <w:pStyle w:val="45"/>
              <w:rPr>
                <w:snapToGrid w:val="0"/>
                <w:color w:val="auto"/>
                <w:spacing w:val="-6"/>
                <w:kern w:val="21"/>
                <w:sz w:val="21"/>
                <w:szCs w:val="21"/>
              </w:rPr>
            </w:pPr>
            <w:r>
              <w:rPr>
                <w:snapToGrid w:val="0"/>
                <w:color w:val="auto"/>
                <w:spacing w:val="-6"/>
                <w:kern w:val="21"/>
                <w:sz w:val="21"/>
                <w:szCs w:val="21"/>
              </w:rPr>
              <w:t>排放量（固体废物产生量）</w:t>
            </w:r>
            <w:r>
              <w:rPr>
                <w:snapToGrid w:val="0"/>
                <w:color w:val="auto"/>
                <w:spacing w:val="-6"/>
                <w:kern w:val="21"/>
                <w:sz w:val="21"/>
                <w:szCs w:val="21"/>
              </w:rPr>
              <w:fldChar w:fldCharType="begin"/>
            </w:r>
            <w:r>
              <w:rPr>
                <w:snapToGrid w:val="0"/>
                <w:color w:val="auto"/>
                <w:spacing w:val="-6"/>
                <w:kern w:val="21"/>
                <w:sz w:val="21"/>
                <w:szCs w:val="21"/>
              </w:rPr>
              <w:instrText xml:space="preserve"> = 1 \* GB3 \* MERGEFORMAT </w:instrText>
            </w:r>
            <w:r>
              <w:rPr>
                <w:snapToGrid w:val="0"/>
                <w:color w:val="auto"/>
                <w:spacing w:val="-6"/>
                <w:kern w:val="21"/>
                <w:sz w:val="21"/>
                <w:szCs w:val="21"/>
              </w:rPr>
              <w:fldChar w:fldCharType="separate"/>
            </w:r>
            <w:r>
              <w:rPr>
                <w:color w:val="auto"/>
                <w:kern w:val="2"/>
                <w:sz w:val="21"/>
                <w:szCs w:val="21"/>
              </w:rPr>
              <w:t>①</w:t>
            </w:r>
            <w:r>
              <w:rPr>
                <w:snapToGrid w:val="0"/>
                <w:color w:val="auto"/>
                <w:spacing w:val="-6"/>
                <w:kern w:val="21"/>
                <w:sz w:val="21"/>
                <w:szCs w:val="21"/>
              </w:rPr>
              <w:fldChar w:fldCharType="end"/>
            </w:r>
          </w:p>
        </w:tc>
        <w:tc>
          <w:tcPr>
            <w:tcW w:w="1501"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现有工程</w:t>
            </w:r>
          </w:p>
          <w:p>
            <w:pPr>
              <w:pStyle w:val="45"/>
              <w:rPr>
                <w:snapToGrid w:val="0"/>
                <w:color w:val="auto"/>
                <w:spacing w:val="-6"/>
                <w:kern w:val="21"/>
                <w:sz w:val="21"/>
                <w:szCs w:val="21"/>
              </w:rPr>
            </w:pPr>
            <w:r>
              <w:rPr>
                <w:snapToGrid w:val="0"/>
                <w:color w:val="auto"/>
                <w:spacing w:val="-6"/>
                <w:kern w:val="21"/>
                <w:sz w:val="21"/>
                <w:szCs w:val="21"/>
              </w:rPr>
              <w:t>许可排放量</w:t>
            </w:r>
          </w:p>
          <w:p>
            <w:pPr>
              <w:pStyle w:val="45"/>
              <w:rPr>
                <w:snapToGrid w:val="0"/>
                <w:color w:val="auto"/>
                <w:spacing w:val="-6"/>
                <w:kern w:val="21"/>
                <w:sz w:val="21"/>
                <w:szCs w:val="21"/>
              </w:rPr>
            </w:pPr>
            <w:r>
              <w:rPr>
                <w:snapToGrid w:val="0"/>
                <w:color w:val="auto"/>
                <w:spacing w:val="-6"/>
                <w:kern w:val="21"/>
                <w:sz w:val="21"/>
                <w:szCs w:val="21"/>
              </w:rPr>
              <w:fldChar w:fldCharType="begin"/>
            </w:r>
            <w:r>
              <w:rPr>
                <w:snapToGrid w:val="0"/>
                <w:color w:val="auto"/>
                <w:spacing w:val="-6"/>
                <w:kern w:val="21"/>
                <w:sz w:val="21"/>
                <w:szCs w:val="21"/>
              </w:rPr>
              <w:instrText xml:space="preserve"> = 2 \* GB3 \* MERGEFORMAT </w:instrText>
            </w:r>
            <w:r>
              <w:rPr>
                <w:snapToGrid w:val="0"/>
                <w:color w:val="auto"/>
                <w:spacing w:val="-6"/>
                <w:kern w:val="21"/>
                <w:sz w:val="21"/>
                <w:szCs w:val="21"/>
              </w:rPr>
              <w:fldChar w:fldCharType="separate"/>
            </w:r>
            <w:r>
              <w:rPr>
                <w:snapToGrid w:val="0"/>
                <w:color w:val="auto"/>
                <w:spacing w:val="-6"/>
                <w:kern w:val="21"/>
                <w:sz w:val="21"/>
                <w:szCs w:val="21"/>
              </w:rPr>
              <w:t>②</w:t>
            </w:r>
            <w:r>
              <w:rPr>
                <w:snapToGrid w:val="0"/>
                <w:color w:val="auto"/>
                <w:spacing w:val="-6"/>
                <w:kern w:val="21"/>
                <w:sz w:val="21"/>
                <w:szCs w:val="21"/>
              </w:rPr>
              <w:fldChar w:fldCharType="end"/>
            </w:r>
          </w:p>
        </w:tc>
        <w:tc>
          <w:tcPr>
            <w:tcW w:w="1701"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在建工程</w:t>
            </w:r>
          </w:p>
          <w:p>
            <w:pPr>
              <w:pStyle w:val="45"/>
              <w:rPr>
                <w:snapToGrid w:val="0"/>
                <w:color w:val="auto"/>
                <w:spacing w:val="-6"/>
                <w:kern w:val="21"/>
                <w:sz w:val="21"/>
                <w:szCs w:val="21"/>
              </w:rPr>
            </w:pPr>
            <w:r>
              <w:rPr>
                <w:snapToGrid w:val="0"/>
                <w:color w:val="auto"/>
                <w:spacing w:val="-6"/>
                <w:kern w:val="21"/>
                <w:sz w:val="21"/>
                <w:szCs w:val="21"/>
              </w:rPr>
              <w:t>排放量（固体废物产生量）</w:t>
            </w:r>
            <w:r>
              <w:rPr>
                <w:snapToGrid w:val="0"/>
                <w:color w:val="auto"/>
                <w:spacing w:val="-6"/>
                <w:kern w:val="21"/>
                <w:sz w:val="21"/>
                <w:szCs w:val="21"/>
              </w:rPr>
              <w:fldChar w:fldCharType="begin"/>
            </w:r>
            <w:r>
              <w:rPr>
                <w:snapToGrid w:val="0"/>
                <w:color w:val="auto"/>
                <w:spacing w:val="-6"/>
                <w:kern w:val="21"/>
                <w:sz w:val="21"/>
                <w:szCs w:val="21"/>
              </w:rPr>
              <w:instrText xml:space="preserve"> = 3 \* GB3 \* MERGEFORMAT </w:instrText>
            </w:r>
            <w:r>
              <w:rPr>
                <w:snapToGrid w:val="0"/>
                <w:color w:val="auto"/>
                <w:spacing w:val="-6"/>
                <w:kern w:val="21"/>
                <w:sz w:val="21"/>
                <w:szCs w:val="21"/>
              </w:rPr>
              <w:fldChar w:fldCharType="separate"/>
            </w:r>
            <w:r>
              <w:rPr>
                <w:color w:val="auto"/>
                <w:kern w:val="2"/>
                <w:sz w:val="21"/>
                <w:szCs w:val="21"/>
              </w:rPr>
              <w:t>③</w:t>
            </w:r>
            <w:r>
              <w:rPr>
                <w:snapToGrid w:val="0"/>
                <w:color w:val="auto"/>
                <w:spacing w:val="-6"/>
                <w:kern w:val="21"/>
                <w:sz w:val="21"/>
                <w:szCs w:val="21"/>
              </w:rPr>
              <w:fldChar w:fldCharType="end"/>
            </w:r>
          </w:p>
        </w:tc>
        <w:tc>
          <w:tcPr>
            <w:tcW w:w="1559"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本项目</w:t>
            </w:r>
          </w:p>
          <w:p>
            <w:pPr>
              <w:pStyle w:val="45"/>
              <w:rPr>
                <w:snapToGrid w:val="0"/>
                <w:color w:val="auto"/>
                <w:spacing w:val="-6"/>
                <w:kern w:val="21"/>
                <w:sz w:val="21"/>
                <w:szCs w:val="21"/>
              </w:rPr>
            </w:pPr>
            <w:r>
              <w:rPr>
                <w:snapToGrid w:val="0"/>
                <w:color w:val="auto"/>
                <w:spacing w:val="-6"/>
                <w:kern w:val="21"/>
                <w:sz w:val="21"/>
                <w:szCs w:val="21"/>
              </w:rPr>
              <w:t>排放量（固体废物产生量）</w:t>
            </w:r>
            <w:r>
              <w:rPr>
                <w:snapToGrid w:val="0"/>
                <w:color w:val="auto"/>
                <w:spacing w:val="-6"/>
                <w:kern w:val="21"/>
                <w:sz w:val="21"/>
                <w:szCs w:val="21"/>
              </w:rPr>
              <w:fldChar w:fldCharType="begin"/>
            </w:r>
            <w:r>
              <w:rPr>
                <w:snapToGrid w:val="0"/>
                <w:color w:val="auto"/>
                <w:spacing w:val="-6"/>
                <w:kern w:val="21"/>
                <w:sz w:val="21"/>
                <w:szCs w:val="21"/>
              </w:rPr>
              <w:instrText xml:space="preserve"> = 4 \* GB3 \* MERGEFORMAT </w:instrText>
            </w:r>
            <w:r>
              <w:rPr>
                <w:snapToGrid w:val="0"/>
                <w:color w:val="auto"/>
                <w:spacing w:val="-6"/>
                <w:kern w:val="21"/>
                <w:sz w:val="21"/>
                <w:szCs w:val="21"/>
              </w:rPr>
              <w:fldChar w:fldCharType="separate"/>
            </w:r>
            <w:r>
              <w:rPr>
                <w:color w:val="auto"/>
                <w:kern w:val="2"/>
                <w:sz w:val="21"/>
                <w:szCs w:val="21"/>
              </w:rPr>
              <w:t>④</w:t>
            </w:r>
            <w:r>
              <w:rPr>
                <w:snapToGrid w:val="0"/>
                <w:color w:val="auto"/>
                <w:spacing w:val="-6"/>
                <w:kern w:val="21"/>
                <w:sz w:val="21"/>
                <w:szCs w:val="21"/>
              </w:rPr>
              <w:fldChar w:fldCharType="end"/>
            </w:r>
          </w:p>
        </w:tc>
        <w:tc>
          <w:tcPr>
            <w:tcW w:w="1761" w:type="dxa"/>
            <w:tcMar>
              <w:left w:w="28" w:type="dxa"/>
              <w:right w:w="28" w:type="dxa"/>
            </w:tcMar>
            <w:vAlign w:val="center"/>
          </w:tcPr>
          <w:p>
            <w:pPr>
              <w:pStyle w:val="45"/>
              <w:rPr>
                <w:snapToGrid w:val="0"/>
                <w:color w:val="auto"/>
                <w:spacing w:val="-16"/>
                <w:kern w:val="21"/>
                <w:sz w:val="21"/>
                <w:szCs w:val="21"/>
              </w:rPr>
            </w:pPr>
            <w:r>
              <w:rPr>
                <w:snapToGrid w:val="0"/>
                <w:color w:val="auto"/>
                <w:spacing w:val="-16"/>
                <w:kern w:val="21"/>
                <w:sz w:val="21"/>
                <w:szCs w:val="21"/>
              </w:rPr>
              <w:t>以新带老削减量</w:t>
            </w:r>
          </w:p>
          <w:p>
            <w:pPr>
              <w:pStyle w:val="45"/>
              <w:rPr>
                <w:snapToGrid w:val="0"/>
                <w:color w:val="auto"/>
                <w:spacing w:val="-16"/>
                <w:kern w:val="21"/>
                <w:sz w:val="21"/>
                <w:szCs w:val="21"/>
              </w:rPr>
            </w:pPr>
            <w:r>
              <w:rPr>
                <w:snapToGrid w:val="0"/>
                <w:color w:val="auto"/>
                <w:spacing w:val="-16"/>
                <w:kern w:val="21"/>
                <w:sz w:val="21"/>
                <w:szCs w:val="21"/>
              </w:rPr>
              <w:t>（新建项目不填）</w:t>
            </w:r>
            <w:r>
              <w:rPr>
                <w:snapToGrid w:val="0"/>
                <w:color w:val="auto"/>
                <w:spacing w:val="-16"/>
                <w:kern w:val="21"/>
                <w:sz w:val="21"/>
                <w:szCs w:val="21"/>
              </w:rPr>
              <w:fldChar w:fldCharType="begin"/>
            </w:r>
            <w:r>
              <w:rPr>
                <w:snapToGrid w:val="0"/>
                <w:color w:val="auto"/>
                <w:spacing w:val="-16"/>
                <w:kern w:val="21"/>
                <w:sz w:val="21"/>
                <w:szCs w:val="21"/>
              </w:rPr>
              <w:instrText xml:space="preserve"> = 5 \* GB3 \* MERGEFORMAT </w:instrText>
            </w:r>
            <w:r>
              <w:rPr>
                <w:snapToGrid w:val="0"/>
                <w:color w:val="auto"/>
                <w:spacing w:val="-16"/>
                <w:kern w:val="21"/>
                <w:sz w:val="21"/>
                <w:szCs w:val="21"/>
              </w:rPr>
              <w:fldChar w:fldCharType="separate"/>
            </w:r>
            <w:r>
              <w:rPr>
                <w:color w:val="auto"/>
                <w:kern w:val="2"/>
                <w:sz w:val="21"/>
                <w:szCs w:val="21"/>
              </w:rPr>
              <w:t>⑤</w:t>
            </w:r>
            <w:r>
              <w:rPr>
                <w:snapToGrid w:val="0"/>
                <w:color w:val="auto"/>
                <w:spacing w:val="-16"/>
                <w:kern w:val="21"/>
                <w:sz w:val="21"/>
                <w:szCs w:val="21"/>
              </w:rPr>
              <w:fldChar w:fldCharType="end"/>
            </w:r>
          </w:p>
        </w:tc>
        <w:tc>
          <w:tcPr>
            <w:tcW w:w="1959" w:type="dxa"/>
            <w:tcMar>
              <w:left w:w="28" w:type="dxa"/>
              <w:right w:w="28" w:type="dxa"/>
            </w:tcMar>
            <w:vAlign w:val="center"/>
          </w:tcPr>
          <w:p>
            <w:pPr>
              <w:pStyle w:val="45"/>
              <w:rPr>
                <w:snapToGrid w:val="0"/>
                <w:color w:val="auto"/>
                <w:spacing w:val="-16"/>
                <w:kern w:val="21"/>
                <w:sz w:val="21"/>
                <w:szCs w:val="21"/>
              </w:rPr>
            </w:pPr>
            <w:r>
              <w:rPr>
                <w:snapToGrid w:val="0"/>
                <w:color w:val="auto"/>
                <w:spacing w:val="-16"/>
                <w:kern w:val="21"/>
                <w:sz w:val="21"/>
                <w:szCs w:val="21"/>
              </w:rPr>
              <w:t>本项目建成后</w:t>
            </w:r>
          </w:p>
          <w:p>
            <w:pPr>
              <w:pStyle w:val="45"/>
              <w:rPr>
                <w:snapToGrid w:val="0"/>
                <w:color w:val="auto"/>
                <w:spacing w:val="-16"/>
                <w:kern w:val="21"/>
                <w:sz w:val="21"/>
                <w:szCs w:val="21"/>
              </w:rPr>
            </w:pPr>
            <w:r>
              <w:rPr>
                <w:snapToGrid w:val="0"/>
                <w:color w:val="auto"/>
                <w:spacing w:val="-16"/>
                <w:kern w:val="21"/>
                <w:sz w:val="21"/>
                <w:szCs w:val="21"/>
              </w:rPr>
              <w:t>全厂排放量（固体废物产生量）</w:t>
            </w:r>
            <w:r>
              <w:rPr>
                <w:snapToGrid w:val="0"/>
                <w:color w:val="auto"/>
                <w:spacing w:val="-16"/>
                <w:kern w:val="21"/>
                <w:sz w:val="21"/>
                <w:szCs w:val="21"/>
              </w:rPr>
              <w:fldChar w:fldCharType="begin"/>
            </w:r>
            <w:r>
              <w:rPr>
                <w:snapToGrid w:val="0"/>
                <w:color w:val="auto"/>
                <w:spacing w:val="-16"/>
                <w:kern w:val="21"/>
                <w:sz w:val="21"/>
                <w:szCs w:val="21"/>
              </w:rPr>
              <w:instrText xml:space="preserve"> = 6 \* GB3 \* MERGEFORMAT </w:instrText>
            </w:r>
            <w:r>
              <w:rPr>
                <w:snapToGrid w:val="0"/>
                <w:color w:val="auto"/>
                <w:spacing w:val="-16"/>
                <w:kern w:val="21"/>
                <w:sz w:val="21"/>
                <w:szCs w:val="21"/>
              </w:rPr>
              <w:fldChar w:fldCharType="separate"/>
            </w:r>
            <w:r>
              <w:rPr>
                <w:color w:val="auto"/>
                <w:kern w:val="2"/>
                <w:sz w:val="21"/>
                <w:szCs w:val="21"/>
              </w:rPr>
              <w:t>⑥</w:t>
            </w:r>
            <w:r>
              <w:rPr>
                <w:snapToGrid w:val="0"/>
                <w:color w:val="auto"/>
                <w:spacing w:val="-16"/>
                <w:kern w:val="21"/>
                <w:sz w:val="21"/>
                <w:szCs w:val="21"/>
              </w:rPr>
              <w:fldChar w:fldCharType="end"/>
            </w:r>
          </w:p>
        </w:tc>
        <w:tc>
          <w:tcPr>
            <w:tcW w:w="1187" w:type="dxa"/>
            <w:tcMar>
              <w:left w:w="28" w:type="dxa"/>
              <w:right w:w="28" w:type="dxa"/>
            </w:tcMar>
            <w:vAlign w:val="center"/>
          </w:tcPr>
          <w:p>
            <w:pPr>
              <w:pStyle w:val="45"/>
              <w:rPr>
                <w:snapToGrid w:val="0"/>
                <w:color w:val="auto"/>
                <w:spacing w:val="-6"/>
                <w:kern w:val="21"/>
                <w:sz w:val="21"/>
                <w:szCs w:val="21"/>
              </w:rPr>
            </w:pPr>
            <w:r>
              <w:rPr>
                <w:snapToGrid w:val="0"/>
                <w:color w:val="auto"/>
                <w:spacing w:val="-6"/>
                <w:kern w:val="21"/>
                <w:sz w:val="21"/>
                <w:szCs w:val="21"/>
              </w:rPr>
              <w:t>变化量</w:t>
            </w:r>
          </w:p>
          <w:p>
            <w:pPr>
              <w:pStyle w:val="45"/>
              <w:rPr>
                <w:snapToGrid w:val="0"/>
                <w:color w:val="auto"/>
                <w:spacing w:val="-6"/>
                <w:kern w:val="21"/>
                <w:sz w:val="21"/>
                <w:szCs w:val="21"/>
              </w:rPr>
            </w:pPr>
            <w:r>
              <w:rPr>
                <w:snapToGrid w:val="0"/>
                <w:color w:val="auto"/>
                <w:spacing w:val="-6"/>
                <w:kern w:val="21"/>
                <w:sz w:val="21"/>
                <w:szCs w:val="21"/>
              </w:rPr>
              <w:fldChar w:fldCharType="begin"/>
            </w:r>
            <w:r>
              <w:rPr>
                <w:snapToGrid w:val="0"/>
                <w:color w:val="auto"/>
                <w:spacing w:val="-6"/>
                <w:kern w:val="21"/>
                <w:sz w:val="21"/>
                <w:szCs w:val="21"/>
              </w:rPr>
              <w:instrText xml:space="preserve"> = 7 \* GB3 \* MERGEFORMAT </w:instrText>
            </w:r>
            <w:r>
              <w:rPr>
                <w:snapToGrid w:val="0"/>
                <w:color w:val="auto"/>
                <w:spacing w:val="-6"/>
                <w:kern w:val="21"/>
                <w:sz w:val="21"/>
                <w:szCs w:val="21"/>
              </w:rPr>
              <w:fldChar w:fldCharType="separate"/>
            </w:r>
            <w:r>
              <w:rPr>
                <w:color w:val="auto"/>
                <w:kern w:val="2"/>
                <w:sz w:val="21"/>
                <w:szCs w:val="21"/>
              </w:rPr>
              <w:t>⑦</w:t>
            </w:r>
            <w:r>
              <w:rPr>
                <w:snapToGrid w:val="0"/>
                <w:color w:val="auto"/>
                <w:spacing w:val="-6"/>
                <w:kern w:val="21"/>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41" w:type="dxa"/>
            <w:vMerge w:val="restart"/>
            <w:vAlign w:val="center"/>
          </w:tcPr>
          <w:p>
            <w:pPr>
              <w:pStyle w:val="45"/>
              <w:rPr>
                <w:snapToGrid w:val="0"/>
                <w:color w:val="auto"/>
                <w:kern w:val="21"/>
                <w:sz w:val="21"/>
                <w:szCs w:val="21"/>
              </w:rPr>
            </w:pPr>
            <w:r>
              <w:rPr>
                <w:rFonts w:hint="eastAsia"/>
                <w:snapToGrid w:val="0"/>
                <w:color w:val="auto"/>
                <w:kern w:val="21"/>
                <w:sz w:val="21"/>
                <w:szCs w:val="21"/>
                <w:lang w:val="en-US" w:eastAsia="zh-CN"/>
              </w:rPr>
              <w:t>医疗</w:t>
            </w:r>
            <w:r>
              <w:rPr>
                <w:rFonts w:hint="eastAsia"/>
                <w:snapToGrid w:val="0"/>
                <w:color w:val="auto"/>
                <w:kern w:val="21"/>
                <w:sz w:val="21"/>
                <w:szCs w:val="21"/>
              </w:rPr>
              <w:t>废物</w:t>
            </w:r>
          </w:p>
        </w:tc>
        <w:tc>
          <w:tcPr>
            <w:tcW w:w="1500" w:type="dxa"/>
            <w:vAlign w:val="center"/>
          </w:tcPr>
          <w:p>
            <w:pPr>
              <w:jc w:val="center"/>
              <w:rPr>
                <w:snapToGrid w:val="0"/>
                <w:color w:val="auto"/>
                <w:kern w:val="21"/>
                <w:szCs w:val="21"/>
              </w:rPr>
            </w:pPr>
            <w:r>
              <w:rPr>
                <w:rFonts w:hint="default"/>
                <w:snapToGrid w:val="0"/>
                <w:color w:val="auto"/>
                <w:kern w:val="21"/>
                <w:szCs w:val="21"/>
              </w:rPr>
              <w:t>感染性废物</w:t>
            </w:r>
          </w:p>
        </w:tc>
        <w:tc>
          <w:tcPr>
            <w:tcW w:w="1740" w:type="dxa"/>
            <w:vAlign w:val="center"/>
          </w:tcPr>
          <w:p>
            <w:pPr>
              <w:jc w:val="center"/>
              <w:rPr>
                <w:rFonts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0</w:t>
            </w:r>
          </w:p>
        </w:tc>
        <w:tc>
          <w:tcPr>
            <w:tcW w:w="1501" w:type="dxa"/>
            <w:vAlign w:val="center"/>
          </w:tcPr>
          <w:p>
            <w:pPr>
              <w:jc w:val="center"/>
              <w:rPr>
                <w:snapToGrid w:val="0"/>
                <w:color w:val="auto"/>
                <w:kern w:val="21"/>
                <w:szCs w:val="21"/>
              </w:rPr>
            </w:pPr>
            <w:r>
              <w:rPr>
                <w:rFonts w:hint="eastAsia"/>
                <w:snapToGrid w:val="0"/>
                <w:color w:val="auto"/>
                <w:kern w:val="21"/>
                <w:szCs w:val="21"/>
              </w:rPr>
              <w:t>0</w:t>
            </w:r>
          </w:p>
        </w:tc>
        <w:tc>
          <w:tcPr>
            <w:tcW w:w="1701" w:type="dxa"/>
            <w:vAlign w:val="center"/>
          </w:tcPr>
          <w:p>
            <w:pPr>
              <w:jc w:val="center"/>
              <w:rPr>
                <w:snapToGrid w:val="0"/>
                <w:color w:val="auto"/>
                <w:kern w:val="21"/>
                <w:szCs w:val="21"/>
              </w:rPr>
            </w:pPr>
            <w:r>
              <w:rPr>
                <w:rFonts w:hint="eastAsia"/>
                <w:snapToGrid w:val="0"/>
                <w:color w:val="auto"/>
                <w:kern w:val="21"/>
                <w:szCs w:val="21"/>
              </w:rPr>
              <w:t>0</w:t>
            </w:r>
          </w:p>
        </w:tc>
        <w:tc>
          <w:tcPr>
            <w:tcW w:w="1559" w:type="dxa"/>
            <w:vAlign w:val="center"/>
          </w:tcPr>
          <w:p>
            <w:pPr>
              <w:jc w:val="center"/>
              <w:rPr>
                <w:snapToGrid w:val="0"/>
                <w:color w:val="auto"/>
                <w:kern w:val="21"/>
                <w:szCs w:val="21"/>
                <w:highlight w:val="none"/>
              </w:rPr>
            </w:pPr>
            <w:r>
              <w:rPr>
                <w:rFonts w:hint="eastAsia"/>
                <w:color w:val="auto"/>
                <w:szCs w:val="21"/>
                <w:highlight w:val="none"/>
              </w:rPr>
              <w:t>1t</w:t>
            </w:r>
            <w:r>
              <w:rPr>
                <w:rFonts w:hint="eastAsia"/>
                <w:color w:val="auto"/>
                <w:kern w:val="0"/>
                <w:szCs w:val="21"/>
                <w:highlight w:val="none"/>
                <w:lang w:bidi="ar"/>
              </w:rPr>
              <w:t>/a</w:t>
            </w:r>
          </w:p>
        </w:tc>
        <w:tc>
          <w:tcPr>
            <w:tcW w:w="1761" w:type="dxa"/>
            <w:vAlign w:val="center"/>
          </w:tcPr>
          <w:p>
            <w:pPr>
              <w:jc w:val="center"/>
              <w:rPr>
                <w:snapToGrid w:val="0"/>
                <w:color w:val="auto"/>
                <w:kern w:val="21"/>
                <w:szCs w:val="21"/>
              </w:rPr>
            </w:pPr>
            <w:r>
              <w:rPr>
                <w:rFonts w:hint="eastAsia"/>
                <w:snapToGrid w:val="0"/>
                <w:color w:val="auto"/>
                <w:kern w:val="21"/>
                <w:szCs w:val="21"/>
              </w:rPr>
              <w:t>0</w:t>
            </w:r>
          </w:p>
        </w:tc>
        <w:tc>
          <w:tcPr>
            <w:tcW w:w="1959" w:type="dxa"/>
            <w:vAlign w:val="center"/>
          </w:tcPr>
          <w:p>
            <w:pPr>
              <w:jc w:val="center"/>
              <w:rPr>
                <w:snapToGrid w:val="0"/>
                <w:color w:val="auto"/>
                <w:kern w:val="21"/>
                <w:szCs w:val="21"/>
              </w:rPr>
            </w:pPr>
            <w:r>
              <w:rPr>
                <w:rFonts w:hint="eastAsia"/>
                <w:color w:val="auto"/>
                <w:szCs w:val="21"/>
              </w:rPr>
              <w:t>1t</w:t>
            </w:r>
            <w:r>
              <w:rPr>
                <w:rFonts w:hint="eastAsia"/>
                <w:color w:val="auto"/>
                <w:kern w:val="0"/>
                <w:szCs w:val="21"/>
                <w:lang w:bidi="ar"/>
              </w:rPr>
              <w:t>/a</w:t>
            </w:r>
          </w:p>
        </w:tc>
        <w:tc>
          <w:tcPr>
            <w:tcW w:w="1187" w:type="dxa"/>
            <w:vAlign w:val="center"/>
          </w:tcPr>
          <w:p>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41" w:type="dxa"/>
            <w:vMerge w:val="continue"/>
            <w:vAlign w:val="center"/>
          </w:tcPr>
          <w:p>
            <w:pPr>
              <w:pStyle w:val="45"/>
              <w:rPr>
                <w:snapToGrid w:val="0"/>
                <w:color w:val="auto"/>
                <w:kern w:val="21"/>
                <w:sz w:val="21"/>
                <w:szCs w:val="21"/>
              </w:rPr>
            </w:pPr>
          </w:p>
        </w:tc>
        <w:tc>
          <w:tcPr>
            <w:tcW w:w="1500" w:type="dxa"/>
            <w:vAlign w:val="center"/>
          </w:tcPr>
          <w:p>
            <w:pPr>
              <w:jc w:val="center"/>
              <w:rPr>
                <w:snapToGrid w:val="0"/>
                <w:color w:val="auto"/>
                <w:kern w:val="21"/>
                <w:szCs w:val="21"/>
              </w:rPr>
            </w:pPr>
            <w:r>
              <w:rPr>
                <w:rFonts w:hint="default"/>
                <w:snapToGrid w:val="0"/>
                <w:color w:val="auto"/>
                <w:kern w:val="21"/>
                <w:szCs w:val="21"/>
              </w:rPr>
              <w:t>损伤性废物</w:t>
            </w:r>
          </w:p>
        </w:tc>
        <w:tc>
          <w:tcPr>
            <w:tcW w:w="1740" w:type="dxa"/>
            <w:vAlign w:val="center"/>
          </w:tcPr>
          <w:p>
            <w:pPr>
              <w:jc w:val="center"/>
              <w:rPr>
                <w:rFonts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0</w:t>
            </w:r>
          </w:p>
        </w:tc>
        <w:tc>
          <w:tcPr>
            <w:tcW w:w="1501" w:type="dxa"/>
            <w:vAlign w:val="center"/>
          </w:tcPr>
          <w:p>
            <w:pPr>
              <w:jc w:val="center"/>
              <w:rPr>
                <w:snapToGrid w:val="0"/>
                <w:color w:val="auto"/>
                <w:kern w:val="21"/>
                <w:szCs w:val="21"/>
              </w:rPr>
            </w:pPr>
            <w:r>
              <w:rPr>
                <w:rFonts w:hint="eastAsia"/>
                <w:snapToGrid w:val="0"/>
                <w:color w:val="auto"/>
                <w:kern w:val="21"/>
                <w:szCs w:val="21"/>
              </w:rPr>
              <w:t>0</w:t>
            </w:r>
          </w:p>
        </w:tc>
        <w:tc>
          <w:tcPr>
            <w:tcW w:w="1701" w:type="dxa"/>
            <w:vAlign w:val="center"/>
          </w:tcPr>
          <w:p>
            <w:pPr>
              <w:jc w:val="center"/>
              <w:rPr>
                <w:snapToGrid w:val="0"/>
                <w:color w:val="auto"/>
                <w:kern w:val="21"/>
                <w:szCs w:val="21"/>
              </w:rPr>
            </w:pPr>
            <w:r>
              <w:rPr>
                <w:rFonts w:hint="eastAsia"/>
                <w:snapToGrid w:val="0"/>
                <w:color w:val="auto"/>
                <w:kern w:val="21"/>
                <w:szCs w:val="21"/>
              </w:rPr>
              <w:t>0</w:t>
            </w:r>
          </w:p>
        </w:tc>
        <w:tc>
          <w:tcPr>
            <w:tcW w:w="1559" w:type="dxa"/>
            <w:vAlign w:val="center"/>
          </w:tcPr>
          <w:p>
            <w:pPr>
              <w:jc w:val="center"/>
              <w:rPr>
                <w:snapToGrid w:val="0"/>
                <w:color w:val="auto"/>
                <w:kern w:val="21"/>
                <w:szCs w:val="21"/>
                <w:highlight w:val="none"/>
              </w:rPr>
            </w:pPr>
            <w:r>
              <w:rPr>
                <w:rFonts w:hint="eastAsia"/>
                <w:color w:val="auto"/>
                <w:szCs w:val="21"/>
                <w:highlight w:val="none"/>
              </w:rPr>
              <w:t>1t</w:t>
            </w:r>
            <w:r>
              <w:rPr>
                <w:rFonts w:hint="eastAsia"/>
                <w:color w:val="auto"/>
                <w:kern w:val="0"/>
                <w:szCs w:val="21"/>
                <w:highlight w:val="none"/>
                <w:lang w:bidi="ar"/>
              </w:rPr>
              <w:t>/a</w:t>
            </w:r>
          </w:p>
        </w:tc>
        <w:tc>
          <w:tcPr>
            <w:tcW w:w="1761" w:type="dxa"/>
            <w:vAlign w:val="center"/>
          </w:tcPr>
          <w:p>
            <w:pPr>
              <w:jc w:val="center"/>
              <w:rPr>
                <w:snapToGrid w:val="0"/>
                <w:color w:val="auto"/>
                <w:kern w:val="21"/>
                <w:szCs w:val="21"/>
              </w:rPr>
            </w:pPr>
            <w:r>
              <w:rPr>
                <w:rFonts w:hint="eastAsia"/>
                <w:snapToGrid w:val="0"/>
                <w:color w:val="auto"/>
                <w:kern w:val="21"/>
                <w:szCs w:val="21"/>
              </w:rPr>
              <w:t>0</w:t>
            </w:r>
          </w:p>
        </w:tc>
        <w:tc>
          <w:tcPr>
            <w:tcW w:w="1959" w:type="dxa"/>
            <w:vAlign w:val="center"/>
          </w:tcPr>
          <w:p>
            <w:pPr>
              <w:jc w:val="center"/>
              <w:rPr>
                <w:snapToGrid w:val="0"/>
                <w:color w:val="auto"/>
                <w:kern w:val="21"/>
                <w:szCs w:val="21"/>
              </w:rPr>
            </w:pPr>
            <w:r>
              <w:rPr>
                <w:rFonts w:hint="eastAsia"/>
                <w:color w:val="auto"/>
                <w:szCs w:val="21"/>
              </w:rPr>
              <w:t>1t</w:t>
            </w:r>
            <w:r>
              <w:rPr>
                <w:rFonts w:hint="eastAsia"/>
                <w:color w:val="auto"/>
                <w:kern w:val="0"/>
                <w:szCs w:val="21"/>
                <w:lang w:bidi="ar"/>
              </w:rPr>
              <w:t>/a</w:t>
            </w:r>
          </w:p>
        </w:tc>
        <w:tc>
          <w:tcPr>
            <w:tcW w:w="1187" w:type="dxa"/>
            <w:vAlign w:val="center"/>
          </w:tcPr>
          <w:p>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0</w:t>
            </w:r>
          </w:p>
        </w:tc>
      </w:tr>
    </w:tbl>
    <w:p>
      <w:pPr>
        <w:pStyle w:val="45"/>
        <w:spacing w:after="24"/>
        <w:jc w:val="left"/>
        <w:rPr>
          <w:snapToGrid w:val="0"/>
          <w:color w:val="auto"/>
          <w:spacing w:val="-6"/>
          <w:kern w:val="21"/>
          <w:sz w:val="22"/>
        </w:rPr>
      </w:pPr>
      <w:r>
        <w:rPr>
          <w:snapToGrid w:val="0"/>
          <w:color w:val="auto"/>
          <w:kern w:val="21"/>
          <w:sz w:val="22"/>
        </w:rPr>
        <w:t>注：</w:t>
      </w:r>
      <w:r>
        <w:rPr>
          <w:snapToGrid w:val="0"/>
          <w:color w:val="auto"/>
          <w:spacing w:val="-16"/>
          <w:kern w:val="21"/>
          <w:sz w:val="22"/>
        </w:rPr>
        <w:fldChar w:fldCharType="begin"/>
      </w:r>
      <w:r>
        <w:rPr>
          <w:snapToGrid w:val="0"/>
          <w:color w:val="auto"/>
          <w:spacing w:val="-16"/>
          <w:kern w:val="21"/>
          <w:sz w:val="22"/>
        </w:rPr>
        <w:instrText xml:space="preserve"> = 6 \* GB3 \* MERGEFORMAT </w:instrText>
      </w:r>
      <w:r>
        <w:rPr>
          <w:snapToGrid w:val="0"/>
          <w:color w:val="auto"/>
          <w:spacing w:val="-16"/>
          <w:kern w:val="21"/>
          <w:sz w:val="22"/>
        </w:rPr>
        <w:fldChar w:fldCharType="separate"/>
      </w:r>
      <w:r>
        <w:rPr>
          <w:color w:val="auto"/>
          <w:sz w:val="22"/>
        </w:rPr>
        <w:t>⑥</w:t>
      </w:r>
      <w:r>
        <w:rPr>
          <w:snapToGrid w:val="0"/>
          <w:color w:val="auto"/>
          <w:spacing w:val="-16"/>
          <w:kern w:val="21"/>
          <w:sz w:val="22"/>
        </w:rPr>
        <w:fldChar w:fldCharType="end"/>
      </w:r>
      <w:r>
        <w:rPr>
          <w:snapToGrid w:val="0"/>
          <w:color w:val="auto"/>
          <w:spacing w:val="-16"/>
          <w:kern w:val="21"/>
          <w:sz w:val="22"/>
        </w:rPr>
        <w:t>=</w:t>
      </w:r>
      <w:r>
        <w:rPr>
          <w:snapToGrid w:val="0"/>
          <w:color w:val="auto"/>
          <w:spacing w:val="-6"/>
          <w:kern w:val="21"/>
          <w:sz w:val="22"/>
        </w:rPr>
        <w:fldChar w:fldCharType="begin"/>
      </w:r>
      <w:r>
        <w:rPr>
          <w:snapToGrid w:val="0"/>
          <w:color w:val="auto"/>
          <w:spacing w:val="-6"/>
          <w:kern w:val="21"/>
          <w:sz w:val="22"/>
        </w:rPr>
        <w:instrText xml:space="preserve"> = 1 \* GB3 \* MERGEFORMAT </w:instrText>
      </w:r>
      <w:r>
        <w:rPr>
          <w:snapToGrid w:val="0"/>
          <w:color w:val="auto"/>
          <w:spacing w:val="-6"/>
          <w:kern w:val="21"/>
          <w:sz w:val="22"/>
        </w:rPr>
        <w:fldChar w:fldCharType="separate"/>
      </w:r>
      <w:r>
        <w:rPr>
          <w:color w:val="auto"/>
          <w:sz w:val="22"/>
        </w:rPr>
        <w:t>①</w:t>
      </w:r>
      <w:r>
        <w:rPr>
          <w:snapToGrid w:val="0"/>
          <w:color w:val="auto"/>
          <w:spacing w:val="-6"/>
          <w:kern w:val="21"/>
          <w:sz w:val="22"/>
        </w:rPr>
        <w:fldChar w:fldCharType="end"/>
      </w:r>
      <w:r>
        <w:rPr>
          <w:snapToGrid w:val="0"/>
          <w:color w:val="auto"/>
          <w:spacing w:val="-6"/>
          <w:kern w:val="21"/>
          <w:sz w:val="22"/>
        </w:rPr>
        <w:t>+</w:t>
      </w:r>
      <w:r>
        <w:rPr>
          <w:snapToGrid w:val="0"/>
          <w:color w:val="auto"/>
          <w:spacing w:val="-6"/>
          <w:kern w:val="21"/>
          <w:sz w:val="22"/>
        </w:rPr>
        <w:fldChar w:fldCharType="begin"/>
      </w:r>
      <w:r>
        <w:rPr>
          <w:snapToGrid w:val="0"/>
          <w:color w:val="auto"/>
          <w:spacing w:val="-6"/>
          <w:kern w:val="21"/>
          <w:sz w:val="22"/>
        </w:rPr>
        <w:instrText xml:space="preserve"> = 3 \* GB3 \* MERGEFORMAT </w:instrText>
      </w:r>
      <w:r>
        <w:rPr>
          <w:snapToGrid w:val="0"/>
          <w:color w:val="auto"/>
          <w:spacing w:val="-6"/>
          <w:kern w:val="21"/>
          <w:sz w:val="22"/>
        </w:rPr>
        <w:fldChar w:fldCharType="separate"/>
      </w:r>
      <w:r>
        <w:rPr>
          <w:color w:val="auto"/>
          <w:sz w:val="22"/>
        </w:rPr>
        <w:t>③</w:t>
      </w:r>
      <w:r>
        <w:rPr>
          <w:snapToGrid w:val="0"/>
          <w:color w:val="auto"/>
          <w:spacing w:val="-6"/>
          <w:kern w:val="21"/>
          <w:sz w:val="22"/>
        </w:rPr>
        <w:fldChar w:fldCharType="end"/>
      </w:r>
      <w:r>
        <w:rPr>
          <w:snapToGrid w:val="0"/>
          <w:color w:val="auto"/>
          <w:spacing w:val="-6"/>
          <w:kern w:val="21"/>
          <w:sz w:val="22"/>
        </w:rPr>
        <w:t>+</w:t>
      </w:r>
      <w:r>
        <w:rPr>
          <w:snapToGrid w:val="0"/>
          <w:color w:val="auto"/>
          <w:spacing w:val="-6"/>
          <w:kern w:val="21"/>
          <w:sz w:val="22"/>
        </w:rPr>
        <w:fldChar w:fldCharType="begin"/>
      </w:r>
      <w:r>
        <w:rPr>
          <w:snapToGrid w:val="0"/>
          <w:color w:val="auto"/>
          <w:spacing w:val="-6"/>
          <w:kern w:val="21"/>
          <w:sz w:val="22"/>
        </w:rPr>
        <w:instrText xml:space="preserve"> = 4 \* GB3 \* MERGEFORMAT </w:instrText>
      </w:r>
      <w:r>
        <w:rPr>
          <w:snapToGrid w:val="0"/>
          <w:color w:val="auto"/>
          <w:spacing w:val="-6"/>
          <w:kern w:val="21"/>
          <w:sz w:val="22"/>
        </w:rPr>
        <w:fldChar w:fldCharType="separate"/>
      </w:r>
      <w:r>
        <w:rPr>
          <w:color w:val="auto"/>
          <w:sz w:val="22"/>
        </w:rPr>
        <w:t>④</w:t>
      </w:r>
      <w:r>
        <w:rPr>
          <w:snapToGrid w:val="0"/>
          <w:color w:val="auto"/>
          <w:spacing w:val="-6"/>
          <w:kern w:val="21"/>
          <w:sz w:val="22"/>
        </w:rPr>
        <w:fldChar w:fldCharType="end"/>
      </w:r>
      <w:r>
        <w:rPr>
          <w:snapToGrid w:val="0"/>
          <w:color w:val="auto"/>
          <w:spacing w:val="-6"/>
          <w:kern w:val="21"/>
          <w:sz w:val="22"/>
        </w:rPr>
        <w:t>-</w:t>
      </w:r>
      <w:r>
        <w:rPr>
          <w:snapToGrid w:val="0"/>
          <w:color w:val="auto"/>
          <w:spacing w:val="-16"/>
          <w:kern w:val="21"/>
          <w:sz w:val="22"/>
        </w:rPr>
        <w:fldChar w:fldCharType="begin"/>
      </w:r>
      <w:r>
        <w:rPr>
          <w:snapToGrid w:val="0"/>
          <w:color w:val="auto"/>
          <w:spacing w:val="-16"/>
          <w:kern w:val="21"/>
          <w:sz w:val="22"/>
        </w:rPr>
        <w:instrText xml:space="preserve"> = 5 \* GB3 \* MERGEFORMAT </w:instrText>
      </w:r>
      <w:r>
        <w:rPr>
          <w:snapToGrid w:val="0"/>
          <w:color w:val="auto"/>
          <w:spacing w:val="-16"/>
          <w:kern w:val="21"/>
          <w:sz w:val="22"/>
        </w:rPr>
        <w:fldChar w:fldCharType="separate"/>
      </w:r>
      <w:r>
        <w:rPr>
          <w:color w:val="auto"/>
          <w:sz w:val="22"/>
        </w:rPr>
        <w:t>⑤</w:t>
      </w:r>
      <w:r>
        <w:rPr>
          <w:snapToGrid w:val="0"/>
          <w:color w:val="auto"/>
          <w:spacing w:val="-16"/>
          <w:kern w:val="21"/>
          <w:sz w:val="22"/>
        </w:rPr>
        <w:fldChar w:fldCharType="end"/>
      </w:r>
      <w:r>
        <w:rPr>
          <w:snapToGrid w:val="0"/>
          <w:color w:val="auto"/>
          <w:spacing w:val="-16"/>
          <w:kern w:val="21"/>
          <w:sz w:val="22"/>
        </w:rPr>
        <w:t>；</w:t>
      </w:r>
      <w:r>
        <w:rPr>
          <w:snapToGrid w:val="0"/>
          <w:color w:val="auto"/>
          <w:spacing w:val="-6"/>
          <w:kern w:val="21"/>
          <w:sz w:val="22"/>
        </w:rPr>
        <w:fldChar w:fldCharType="begin"/>
      </w:r>
      <w:r>
        <w:rPr>
          <w:snapToGrid w:val="0"/>
          <w:color w:val="auto"/>
          <w:spacing w:val="-6"/>
          <w:kern w:val="21"/>
          <w:sz w:val="22"/>
        </w:rPr>
        <w:instrText xml:space="preserve"> = 7 \* GB3 \* MERGEFORMAT </w:instrText>
      </w:r>
      <w:r>
        <w:rPr>
          <w:snapToGrid w:val="0"/>
          <w:color w:val="auto"/>
          <w:spacing w:val="-6"/>
          <w:kern w:val="21"/>
          <w:sz w:val="22"/>
        </w:rPr>
        <w:fldChar w:fldCharType="separate"/>
      </w:r>
      <w:r>
        <w:rPr>
          <w:color w:val="auto"/>
          <w:sz w:val="22"/>
        </w:rPr>
        <w:t>⑦</w:t>
      </w:r>
      <w:r>
        <w:rPr>
          <w:snapToGrid w:val="0"/>
          <w:color w:val="auto"/>
          <w:spacing w:val="-6"/>
          <w:kern w:val="21"/>
          <w:sz w:val="22"/>
        </w:rPr>
        <w:fldChar w:fldCharType="end"/>
      </w:r>
      <w:r>
        <w:rPr>
          <w:snapToGrid w:val="0"/>
          <w:color w:val="auto"/>
          <w:spacing w:val="-6"/>
          <w:kern w:val="21"/>
          <w:sz w:val="22"/>
        </w:rPr>
        <w:t>=</w:t>
      </w:r>
      <w:r>
        <w:rPr>
          <w:snapToGrid w:val="0"/>
          <w:color w:val="auto"/>
          <w:spacing w:val="-16"/>
          <w:kern w:val="21"/>
          <w:sz w:val="22"/>
        </w:rPr>
        <w:fldChar w:fldCharType="begin"/>
      </w:r>
      <w:r>
        <w:rPr>
          <w:snapToGrid w:val="0"/>
          <w:color w:val="auto"/>
          <w:spacing w:val="-16"/>
          <w:kern w:val="21"/>
          <w:sz w:val="22"/>
        </w:rPr>
        <w:instrText xml:space="preserve"> = 6 \* GB3 \* MERGEFORMAT </w:instrText>
      </w:r>
      <w:r>
        <w:rPr>
          <w:snapToGrid w:val="0"/>
          <w:color w:val="auto"/>
          <w:spacing w:val="-16"/>
          <w:kern w:val="21"/>
          <w:sz w:val="22"/>
        </w:rPr>
        <w:fldChar w:fldCharType="separate"/>
      </w:r>
      <w:r>
        <w:rPr>
          <w:color w:val="auto"/>
          <w:sz w:val="22"/>
        </w:rPr>
        <w:t>⑥</w:t>
      </w:r>
      <w:r>
        <w:rPr>
          <w:snapToGrid w:val="0"/>
          <w:color w:val="auto"/>
          <w:spacing w:val="-16"/>
          <w:kern w:val="21"/>
          <w:sz w:val="22"/>
        </w:rPr>
        <w:fldChar w:fldCharType="end"/>
      </w:r>
      <w:r>
        <w:rPr>
          <w:snapToGrid w:val="0"/>
          <w:color w:val="auto"/>
          <w:spacing w:val="-16"/>
          <w:kern w:val="21"/>
          <w:sz w:val="22"/>
        </w:rPr>
        <w:t>-</w:t>
      </w:r>
      <w:r>
        <w:rPr>
          <w:snapToGrid w:val="0"/>
          <w:color w:val="auto"/>
          <w:spacing w:val="-6"/>
          <w:kern w:val="21"/>
          <w:sz w:val="22"/>
        </w:rPr>
        <w:fldChar w:fldCharType="begin"/>
      </w:r>
      <w:r>
        <w:rPr>
          <w:snapToGrid w:val="0"/>
          <w:color w:val="auto"/>
          <w:spacing w:val="-6"/>
          <w:kern w:val="21"/>
          <w:sz w:val="22"/>
        </w:rPr>
        <w:instrText xml:space="preserve"> = 1 \* GB3 \* MERGEFORMAT </w:instrText>
      </w:r>
      <w:r>
        <w:rPr>
          <w:snapToGrid w:val="0"/>
          <w:color w:val="auto"/>
          <w:spacing w:val="-6"/>
          <w:kern w:val="21"/>
          <w:sz w:val="22"/>
        </w:rPr>
        <w:fldChar w:fldCharType="separate"/>
      </w:r>
      <w:r>
        <w:rPr>
          <w:color w:val="auto"/>
          <w:sz w:val="22"/>
        </w:rPr>
        <w:t>①</w:t>
      </w:r>
      <w:r>
        <w:rPr>
          <w:snapToGrid w:val="0"/>
          <w:color w:val="auto"/>
          <w:spacing w:val="-6"/>
          <w:kern w:val="21"/>
          <w:sz w:val="22"/>
        </w:rPr>
        <w:fldChar w:fldCharType="end"/>
      </w:r>
    </w:p>
    <w:p>
      <w:pPr>
        <w:pStyle w:val="38"/>
        <w:ind w:firstLine="480"/>
        <w:rPr>
          <w:rFonts w:cs="Times New Roman"/>
          <w:color w:val="auto"/>
        </w:rPr>
        <w:sectPr>
          <w:footerReference r:id="rId11" w:type="default"/>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tabs>
          <w:tab w:val="left" w:pos="0"/>
        </w:tabs>
        <w:snapToGrid w:val="0"/>
        <w:outlineLvl w:val="0"/>
        <w:rPr>
          <w:b/>
          <w:color w:val="auto"/>
          <w:sz w:val="28"/>
          <w:szCs w:val="22"/>
        </w:rPr>
      </w:pPr>
      <w:r>
        <w:rPr>
          <w:rFonts w:hint="eastAsia"/>
          <w:b/>
          <w:color w:val="auto"/>
          <w:sz w:val="28"/>
          <w:szCs w:val="22"/>
        </w:rPr>
        <w:t>附件1：项目环评委托书</w:t>
      </w:r>
    </w:p>
    <w:p>
      <w:pPr>
        <w:pStyle w:val="38"/>
        <w:ind w:firstLine="0" w:firstLineChars="0"/>
        <w:rPr>
          <w:rFonts w:cs="Times New Roman"/>
          <w:b/>
          <w:color w:val="auto"/>
          <w:sz w:val="32"/>
        </w:rPr>
      </w:pPr>
    </w:p>
    <w:p>
      <w:pPr>
        <w:jc w:val="center"/>
        <w:rPr>
          <w:b/>
          <w:bCs/>
          <w:color w:val="auto"/>
          <w:sz w:val="36"/>
        </w:rPr>
      </w:pPr>
      <w:r>
        <w:rPr>
          <w:rFonts w:hint="eastAsia"/>
          <w:b/>
          <w:bCs/>
          <w:color w:val="auto"/>
          <w:sz w:val="36"/>
        </w:rPr>
        <w:t>环境影响评价委托书</w:t>
      </w:r>
    </w:p>
    <w:p>
      <w:pPr>
        <w:rPr>
          <w:color w:val="auto"/>
        </w:rPr>
      </w:pPr>
    </w:p>
    <w:p>
      <w:pPr>
        <w:pStyle w:val="7"/>
        <w:rPr>
          <w:color w:val="auto"/>
        </w:rPr>
      </w:pPr>
    </w:p>
    <w:p>
      <w:pPr>
        <w:spacing w:line="360" w:lineRule="auto"/>
        <w:rPr>
          <w:color w:val="auto"/>
          <w:sz w:val="28"/>
          <w:szCs w:val="21"/>
        </w:rPr>
      </w:pPr>
      <w:r>
        <w:rPr>
          <w:rFonts w:hint="eastAsia"/>
          <w:color w:val="auto"/>
          <w:sz w:val="28"/>
          <w:szCs w:val="21"/>
        </w:rPr>
        <w:t>内蒙古</w:t>
      </w:r>
      <w:r>
        <w:rPr>
          <w:rFonts w:hint="eastAsia"/>
          <w:color w:val="auto"/>
          <w:sz w:val="28"/>
          <w:szCs w:val="21"/>
          <w:lang w:val="en-US" w:eastAsia="zh-CN"/>
        </w:rPr>
        <w:t>智合项目管理</w:t>
      </w:r>
      <w:r>
        <w:rPr>
          <w:rFonts w:hint="eastAsia"/>
          <w:color w:val="auto"/>
          <w:sz w:val="28"/>
          <w:szCs w:val="21"/>
        </w:rPr>
        <w:t>有限公司：</w:t>
      </w:r>
    </w:p>
    <w:p>
      <w:pPr>
        <w:spacing w:line="360" w:lineRule="auto"/>
        <w:ind w:firstLine="560" w:firstLineChars="200"/>
        <w:rPr>
          <w:color w:val="auto"/>
          <w:sz w:val="28"/>
          <w:szCs w:val="21"/>
        </w:rPr>
      </w:pPr>
      <w:r>
        <w:rPr>
          <w:rFonts w:hint="eastAsia"/>
          <w:color w:val="auto"/>
          <w:sz w:val="28"/>
          <w:szCs w:val="21"/>
        </w:rPr>
        <w:t>我单位拟在</w:t>
      </w:r>
      <w:r>
        <w:rPr>
          <w:rFonts w:hint="eastAsia"/>
          <w:color w:val="auto"/>
          <w:sz w:val="28"/>
          <w:szCs w:val="21"/>
          <w:lang w:val="en-US" w:eastAsia="zh-CN"/>
        </w:rPr>
        <w:t>内蒙古自治区锡林郭勒盟锡林浩特市贝子庙街359号</w:t>
      </w:r>
      <w:r>
        <w:rPr>
          <w:rFonts w:hint="eastAsia"/>
          <w:color w:val="auto"/>
          <w:sz w:val="28"/>
          <w:szCs w:val="21"/>
        </w:rPr>
        <w:t>建设《锡林浩特市宝力根街道办事处社区卫生服务中心医疗废物暂存间建设项目》。</w:t>
      </w:r>
    </w:p>
    <w:p>
      <w:pPr>
        <w:spacing w:line="360" w:lineRule="auto"/>
        <w:ind w:firstLine="560" w:firstLineChars="200"/>
        <w:rPr>
          <w:color w:val="auto"/>
          <w:sz w:val="28"/>
          <w:szCs w:val="21"/>
        </w:rPr>
      </w:pPr>
      <w:r>
        <w:rPr>
          <w:rFonts w:hint="eastAsia"/>
          <w:color w:val="auto"/>
          <w:sz w:val="28"/>
          <w:szCs w:val="21"/>
        </w:rPr>
        <w:t>根据《中华人民共和国环境保护法》、《中华人民共和国环境影响评价法》和国务院《建设项目环境保护管理条例》等有关规定，现委托贵单位进行该建设项目的环境影响评价工作。请贵单位按照建设项目环境影响评价有关技术规范的要求尽快开展工作。</w:t>
      </w:r>
    </w:p>
    <w:p>
      <w:pPr>
        <w:spacing w:line="360" w:lineRule="auto"/>
        <w:ind w:firstLine="560" w:firstLineChars="200"/>
        <w:rPr>
          <w:color w:val="auto"/>
          <w:sz w:val="28"/>
          <w:szCs w:val="21"/>
        </w:rPr>
      </w:pPr>
      <w:r>
        <w:rPr>
          <w:rFonts w:hint="eastAsia"/>
          <w:color w:val="auto"/>
          <w:sz w:val="28"/>
          <w:szCs w:val="21"/>
        </w:rPr>
        <w:t>特此委托。</w:t>
      </w:r>
    </w:p>
    <w:p>
      <w:pPr>
        <w:spacing w:line="360" w:lineRule="auto"/>
        <w:rPr>
          <w:color w:val="auto"/>
          <w:sz w:val="28"/>
          <w:szCs w:val="21"/>
        </w:rPr>
      </w:pPr>
    </w:p>
    <w:p>
      <w:pPr>
        <w:spacing w:line="360" w:lineRule="auto"/>
        <w:rPr>
          <w:color w:val="auto"/>
          <w:sz w:val="28"/>
          <w:szCs w:val="21"/>
        </w:rPr>
      </w:pPr>
    </w:p>
    <w:p>
      <w:pPr>
        <w:spacing w:line="360" w:lineRule="auto"/>
        <w:jc w:val="right"/>
        <w:rPr>
          <w:color w:val="auto"/>
          <w:sz w:val="28"/>
          <w:szCs w:val="21"/>
        </w:rPr>
      </w:pPr>
      <w:r>
        <w:rPr>
          <w:rFonts w:hint="eastAsia"/>
          <w:color w:val="auto"/>
          <w:sz w:val="28"/>
          <w:szCs w:val="21"/>
        </w:rPr>
        <w:t>锡林浩特市宝力根街道办事处社区卫生服务中心</w:t>
      </w:r>
    </w:p>
    <w:p>
      <w:pPr>
        <w:pStyle w:val="38"/>
        <w:ind w:firstLine="560"/>
        <w:jc w:val="right"/>
        <w:rPr>
          <w:rFonts w:cs="Times New Roman"/>
          <w:b/>
          <w:color w:val="auto"/>
          <w:sz w:val="32"/>
        </w:rPr>
        <w:sectPr>
          <w:footerReference r:id="rId12"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auto"/>
          <w:sz w:val="28"/>
          <w:szCs w:val="21"/>
        </w:rPr>
        <w:t>2023年</w:t>
      </w:r>
      <w:r>
        <w:rPr>
          <w:rFonts w:hint="eastAsia"/>
          <w:color w:val="auto"/>
          <w:sz w:val="28"/>
          <w:szCs w:val="21"/>
          <w:lang w:val="en-US" w:eastAsia="zh-CN"/>
        </w:rPr>
        <w:t>9</w:t>
      </w:r>
      <w:r>
        <w:rPr>
          <w:rFonts w:hint="eastAsia"/>
          <w:color w:val="auto"/>
          <w:sz w:val="28"/>
          <w:szCs w:val="21"/>
        </w:rPr>
        <w:t>月</w:t>
      </w:r>
      <w:r>
        <w:rPr>
          <w:rFonts w:hint="eastAsia"/>
          <w:color w:val="auto"/>
          <w:sz w:val="28"/>
          <w:szCs w:val="21"/>
          <w:lang w:val="en-US" w:eastAsia="zh-CN"/>
        </w:rPr>
        <w:t>15</w:t>
      </w:r>
      <w:r>
        <w:rPr>
          <w:rFonts w:hint="eastAsia"/>
          <w:color w:val="auto"/>
          <w:sz w:val="28"/>
          <w:szCs w:val="21"/>
        </w:rPr>
        <w:t>日</w:t>
      </w:r>
    </w:p>
    <w:p>
      <w:pPr>
        <w:tabs>
          <w:tab w:val="left" w:pos="0"/>
        </w:tabs>
        <w:snapToGrid w:val="0"/>
        <w:outlineLvl w:val="0"/>
        <w:rPr>
          <w:rFonts w:hint="eastAsia" w:ascii="宋体" w:hAnsi="宋体" w:cs="宋体"/>
          <w:b/>
          <w:bCs/>
          <w:color w:val="auto"/>
          <w:sz w:val="28"/>
          <w:szCs w:val="28"/>
        </w:rPr>
      </w:pPr>
      <w:r>
        <w:rPr>
          <w:rFonts w:hint="eastAsia" w:ascii="宋体" w:hAnsi="宋体" w:cs="宋体"/>
          <w:b/>
          <w:bCs/>
          <w:color w:val="auto"/>
          <w:sz w:val="28"/>
          <w:szCs w:val="28"/>
        </w:rPr>
        <w:t>附件2：执业许可证</w:t>
      </w:r>
    </w:p>
    <w:p>
      <w:pPr>
        <w:pStyle w:val="6"/>
        <w:rPr>
          <w:rFonts w:hint="eastAsia" w:eastAsia="宋体"/>
          <w:color w:val="auto"/>
          <w:lang w:eastAsia="zh-CN"/>
        </w:rPr>
      </w:pPr>
      <w:r>
        <w:rPr>
          <w:rFonts w:hint="eastAsia" w:eastAsiaTheme="minorEastAsia"/>
          <w:color w:val="auto"/>
          <w:lang w:eastAsia="zh-CN"/>
        </w:rPr>
        <w:drawing>
          <wp:inline distT="0" distB="0" distL="114300" distR="114300">
            <wp:extent cx="8220075" cy="5121910"/>
            <wp:effectExtent l="0" t="0" r="2540" b="9525"/>
            <wp:docPr id="1" name="图片 1" descr="30bb8a2b520b7674cefde99d121cc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0bb8a2b520b7674cefde99d121cc4e"/>
                    <pic:cNvPicPr>
                      <a:picLocks noChangeAspect="1"/>
                    </pic:cNvPicPr>
                  </pic:nvPicPr>
                  <pic:blipFill>
                    <a:blip r:embed="rId41"/>
                    <a:stretch>
                      <a:fillRect/>
                    </a:stretch>
                  </pic:blipFill>
                  <pic:spPr>
                    <a:xfrm rot="16200000">
                      <a:off x="0" y="0"/>
                      <a:ext cx="8220075" cy="5121910"/>
                    </a:xfrm>
                    <a:prstGeom prst="rect">
                      <a:avLst/>
                    </a:prstGeom>
                  </pic:spPr>
                </pic:pic>
              </a:graphicData>
            </a:graphic>
          </wp:inline>
        </w:drawing>
      </w:r>
    </w:p>
    <w:p>
      <w:pPr>
        <w:pStyle w:val="38"/>
        <w:ind w:firstLine="0" w:firstLineChars="0"/>
        <w:jc w:val="center"/>
        <w:rPr>
          <w:color w:val="auto"/>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tabs>
          <w:tab w:val="left" w:pos="0"/>
        </w:tabs>
        <w:snapToGrid w:val="0"/>
        <w:outlineLvl w:val="0"/>
        <w:rPr>
          <w:rFonts w:hint="default"/>
          <w:color w:val="auto"/>
          <w:lang w:val="en-US"/>
        </w:rPr>
      </w:pPr>
      <w:r>
        <w:rPr>
          <w:rFonts w:hint="eastAsia" w:ascii="宋体" w:hAnsi="宋体" w:cs="宋体"/>
          <w:b/>
          <w:bCs/>
          <w:color w:val="auto"/>
          <w:sz w:val="28"/>
          <w:szCs w:val="28"/>
        </w:rPr>
        <w:t>附件3：锡林浩特市宝力根街道办事处社区卫生服务中心</w:t>
      </w:r>
      <w:r>
        <w:rPr>
          <w:rFonts w:hint="eastAsia" w:ascii="宋体" w:hAnsi="宋体" w:cs="宋体"/>
          <w:b/>
          <w:bCs/>
          <w:color w:val="auto"/>
          <w:sz w:val="28"/>
          <w:szCs w:val="28"/>
          <w:lang w:val="en-US" w:eastAsia="zh-CN"/>
        </w:rPr>
        <w:t>环评登记管理</w:t>
      </w:r>
    </w:p>
    <w:p>
      <w:pPr>
        <w:jc w:val="center"/>
        <w:rPr>
          <w:color w:val="auto"/>
        </w:rPr>
      </w:pPr>
      <w:r>
        <w:rPr>
          <w:color w:val="auto"/>
        </w:rPr>
        <w:drawing>
          <wp:inline distT="0" distB="0" distL="114300" distR="114300">
            <wp:extent cx="5457825" cy="7572375"/>
            <wp:effectExtent l="0" t="0" r="9525" b="952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42"/>
                    <a:stretch>
                      <a:fillRect/>
                    </a:stretch>
                  </pic:blipFill>
                  <pic:spPr>
                    <a:xfrm>
                      <a:off x="0" y="0"/>
                      <a:ext cx="5457825" cy="7572375"/>
                    </a:xfrm>
                    <a:prstGeom prst="rect">
                      <a:avLst/>
                    </a:prstGeom>
                    <a:noFill/>
                    <a:ln>
                      <a:noFill/>
                    </a:ln>
                  </pic:spPr>
                </pic:pic>
              </a:graphicData>
            </a:graphic>
          </wp:inline>
        </w:drawing>
      </w:r>
      <w:r>
        <w:rPr>
          <w:color w:val="auto"/>
        </w:rPr>
        <w:drawing>
          <wp:inline distT="0" distB="0" distL="114300" distR="114300">
            <wp:extent cx="5438775" cy="7753350"/>
            <wp:effectExtent l="0" t="0" r="9525" b="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43"/>
                    <a:stretch>
                      <a:fillRect/>
                    </a:stretch>
                  </pic:blipFill>
                  <pic:spPr>
                    <a:xfrm>
                      <a:off x="0" y="0"/>
                      <a:ext cx="5438775" cy="7753350"/>
                    </a:xfrm>
                    <a:prstGeom prst="rect">
                      <a:avLst/>
                    </a:prstGeom>
                    <a:noFill/>
                    <a:ln>
                      <a:noFill/>
                    </a:ln>
                  </pic:spPr>
                </pic:pic>
              </a:graphicData>
            </a:graphic>
          </wp:inline>
        </w:drawing>
      </w:r>
    </w:p>
    <w:p>
      <w:pPr>
        <w:rPr>
          <w:color w:val="auto"/>
        </w:rPr>
      </w:pPr>
      <w:r>
        <w:rPr>
          <w:color w:val="auto"/>
        </w:rPr>
        <w:br w:type="page"/>
      </w:r>
    </w:p>
    <w:p>
      <w:pPr>
        <w:tabs>
          <w:tab w:val="left" w:pos="0"/>
        </w:tabs>
        <w:snapToGrid w:val="0"/>
        <w:outlineLvl w:val="0"/>
        <w:rPr>
          <w:rStyle w:val="128"/>
          <w:rFonts w:hint="eastAsia"/>
          <w:b/>
          <w:color w:val="auto"/>
          <w:sz w:val="28"/>
          <w:szCs w:val="32"/>
          <w:highlight w:val="none"/>
          <w:lang w:val="en-US" w:eastAsia="zh-CN"/>
        </w:rPr>
      </w:pPr>
      <w:r>
        <w:rPr>
          <w:rFonts w:hint="eastAsia" w:ascii="宋体" w:hAnsi="宋体" w:cs="宋体"/>
          <w:b/>
          <w:bCs/>
          <w:color w:val="auto"/>
          <w:sz w:val="28"/>
          <w:szCs w:val="28"/>
          <w:highlight w:val="none"/>
        </w:rPr>
        <w:t>附件4：</w:t>
      </w:r>
      <w:r>
        <w:rPr>
          <w:rStyle w:val="128"/>
          <w:rFonts w:hint="eastAsia"/>
          <w:b/>
          <w:color w:val="auto"/>
          <w:sz w:val="28"/>
          <w:szCs w:val="32"/>
          <w:highlight w:val="none"/>
          <w:lang w:val="en-US" w:eastAsia="zh-CN"/>
        </w:rPr>
        <w:t>医疗废物处置协议</w:t>
      </w:r>
    </w:p>
    <w:p>
      <w:pPr>
        <w:tabs>
          <w:tab w:val="left" w:pos="0"/>
        </w:tabs>
        <w:snapToGrid w:val="0"/>
        <w:outlineLvl w:val="0"/>
        <w:rPr>
          <w:rStyle w:val="128"/>
          <w:rFonts w:hint="eastAsia"/>
          <w:b/>
          <w:color w:val="auto"/>
          <w:sz w:val="28"/>
          <w:szCs w:val="32"/>
          <w:highlight w:val="yellow"/>
          <w:lang w:val="en-US" w:eastAsia="zh-CN"/>
        </w:rPr>
      </w:pPr>
    </w:p>
    <w:p>
      <w:pPr>
        <w:tabs>
          <w:tab w:val="left" w:pos="0"/>
        </w:tabs>
        <w:snapToGrid w:val="0"/>
        <w:outlineLvl w:val="0"/>
        <w:rPr>
          <w:rStyle w:val="128"/>
          <w:rFonts w:hint="eastAsia"/>
          <w:b/>
          <w:color w:val="auto"/>
          <w:sz w:val="28"/>
          <w:szCs w:val="32"/>
          <w:highlight w:val="yellow"/>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rPr>
        <w:drawing>
          <wp:inline distT="0" distB="0" distL="114300" distR="114300">
            <wp:extent cx="5636260" cy="8028940"/>
            <wp:effectExtent l="0" t="0" r="2540" b="1016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44"/>
                    <a:stretch>
                      <a:fillRect/>
                    </a:stretch>
                  </pic:blipFill>
                  <pic:spPr>
                    <a:xfrm>
                      <a:off x="0" y="0"/>
                      <a:ext cx="5636260" cy="8028940"/>
                    </a:xfrm>
                    <a:prstGeom prst="rect">
                      <a:avLst/>
                    </a:prstGeom>
                    <a:noFill/>
                    <a:ln>
                      <a:noFill/>
                    </a:ln>
                  </pic:spPr>
                </pic:pic>
              </a:graphicData>
            </a:graphic>
          </wp:inline>
        </w:drawing>
      </w:r>
      <w:r>
        <w:rPr>
          <w:color w:val="auto"/>
        </w:rPr>
        <w:drawing>
          <wp:inline distT="0" distB="0" distL="114300" distR="114300">
            <wp:extent cx="5603875" cy="7905115"/>
            <wp:effectExtent l="0" t="0" r="15875" b="63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45"/>
                    <a:stretch>
                      <a:fillRect/>
                    </a:stretch>
                  </pic:blipFill>
                  <pic:spPr>
                    <a:xfrm>
                      <a:off x="0" y="0"/>
                      <a:ext cx="5603875" cy="7905115"/>
                    </a:xfrm>
                    <a:prstGeom prst="rect">
                      <a:avLst/>
                    </a:prstGeom>
                    <a:noFill/>
                    <a:ln>
                      <a:noFill/>
                    </a:ln>
                  </pic:spPr>
                </pic:pic>
              </a:graphicData>
            </a:graphic>
          </wp:inline>
        </w:drawing>
      </w:r>
    </w:p>
    <w:p>
      <w:pPr>
        <w:tabs>
          <w:tab w:val="left" w:pos="0"/>
        </w:tabs>
        <w:snapToGrid w:val="0"/>
        <w:outlineLvl w:val="0"/>
        <w:rPr>
          <w:rFonts w:ascii="宋体" w:hAnsi="宋体" w:cs="宋体"/>
          <w:b/>
          <w:bCs/>
          <w:color w:val="auto"/>
          <w:sz w:val="32"/>
          <w:szCs w:val="32"/>
          <w:highlight w:val="none"/>
        </w:rPr>
      </w:pPr>
      <w:r>
        <w:rPr>
          <w:rFonts w:hint="eastAsia" w:ascii="宋体" w:hAnsi="宋体" w:cs="宋体"/>
          <w:b/>
          <w:bCs/>
          <w:color w:val="auto"/>
          <w:sz w:val="28"/>
          <w:szCs w:val="28"/>
          <w:highlight w:val="none"/>
        </w:rPr>
        <w:t>附件</w:t>
      </w:r>
      <w:r>
        <w:rPr>
          <w:rFonts w:hint="eastAsia" w:ascii="宋体" w:hAnsi="宋体" w:cs="宋体"/>
          <w:b/>
          <w:bCs/>
          <w:color w:val="auto"/>
          <w:sz w:val="28"/>
          <w:szCs w:val="28"/>
          <w:highlight w:val="none"/>
          <w:lang w:val="en-US" w:eastAsia="zh-CN"/>
        </w:rPr>
        <w:t>5</w:t>
      </w:r>
      <w:r>
        <w:rPr>
          <w:rFonts w:hint="eastAsia" w:ascii="宋体" w:hAnsi="宋体" w:cs="宋体"/>
          <w:b/>
          <w:bCs/>
          <w:color w:val="auto"/>
          <w:sz w:val="28"/>
          <w:szCs w:val="28"/>
          <w:highlight w:val="none"/>
        </w:rPr>
        <w:t>：监测报告</w:t>
      </w:r>
    </w:p>
    <w:p>
      <w:pPr>
        <w:bidi w:val="0"/>
        <w:rPr>
          <w:rFonts w:hint="eastAsia"/>
          <w:color w:val="auto"/>
          <w:lang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753100" cy="8162290"/>
            <wp:effectExtent l="0" t="0" r="7620" b="635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46"/>
                    <a:stretch>
                      <a:fillRect/>
                    </a:stretch>
                  </pic:blipFill>
                  <pic:spPr>
                    <a:xfrm>
                      <a:off x="0" y="0"/>
                      <a:ext cx="5753100" cy="8162290"/>
                    </a:xfrm>
                    <a:prstGeom prst="rect">
                      <a:avLst/>
                    </a:prstGeom>
                    <a:noFill/>
                    <a:ln>
                      <a:noFill/>
                    </a:ln>
                  </pic:spPr>
                </pic:pic>
              </a:graphicData>
            </a:graphic>
          </wp:inline>
        </w:drawing>
      </w:r>
      <w:r>
        <w:drawing>
          <wp:inline distT="0" distB="0" distL="114300" distR="114300">
            <wp:extent cx="5753100" cy="8162290"/>
            <wp:effectExtent l="0" t="0" r="7620" b="635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47"/>
                    <a:stretch>
                      <a:fillRect/>
                    </a:stretch>
                  </pic:blipFill>
                  <pic:spPr>
                    <a:xfrm>
                      <a:off x="0" y="0"/>
                      <a:ext cx="5753100" cy="8162290"/>
                    </a:xfrm>
                    <a:prstGeom prst="rect">
                      <a:avLst/>
                    </a:prstGeom>
                    <a:noFill/>
                    <a:ln>
                      <a:noFill/>
                    </a:ln>
                  </pic:spPr>
                </pic:pic>
              </a:graphicData>
            </a:graphic>
          </wp:inline>
        </w:drawing>
      </w:r>
      <w:r>
        <w:drawing>
          <wp:inline distT="0" distB="0" distL="114300" distR="114300">
            <wp:extent cx="5755005" cy="8187690"/>
            <wp:effectExtent l="0" t="0" r="5715" b="11430"/>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48"/>
                    <a:stretch>
                      <a:fillRect/>
                    </a:stretch>
                  </pic:blipFill>
                  <pic:spPr>
                    <a:xfrm>
                      <a:off x="0" y="0"/>
                      <a:ext cx="5755005" cy="8187690"/>
                    </a:xfrm>
                    <a:prstGeom prst="rect">
                      <a:avLst/>
                    </a:prstGeom>
                    <a:noFill/>
                    <a:ln>
                      <a:noFill/>
                    </a:ln>
                  </pic:spPr>
                </pic:pic>
              </a:graphicData>
            </a:graphic>
          </wp:inline>
        </w:drawing>
      </w:r>
      <w:r>
        <w:drawing>
          <wp:inline distT="0" distB="0" distL="114300" distR="114300">
            <wp:extent cx="5755005" cy="8180705"/>
            <wp:effectExtent l="0" t="0" r="5715" b="3175"/>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49"/>
                    <a:stretch>
                      <a:fillRect/>
                    </a:stretch>
                  </pic:blipFill>
                  <pic:spPr>
                    <a:xfrm>
                      <a:off x="0" y="0"/>
                      <a:ext cx="5755005" cy="8180705"/>
                    </a:xfrm>
                    <a:prstGeom prst="rect">
                      <a:avLst/>
                    </a:prstGeom>
                    <a:noFill/>
                    <a:ln>
                      <a:noFill/>
                    </a:ln>
                  </pic:spPr>
                </pic:pic>
              </a:graphicData>
            </a:graphic>
          </wp:inline>
        </w:drawing>
      </w:r>
      <w:r>
        <w:drawing>
          <wp:inline distT="0" distB="0" distL="114300" distR="114300">
            <wp:extent cx="5753100" cy="8169275"/>
            <wp:effectExtent l="0" t="0" r="7620" b="1460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50"/>
                    <a:stretch>
                      <a:fillRect/>
                    </a:stretch>
                  </pic:blipFill>
                  <pic:spPr>
                    <a:xfrm>
                      <a:off x="0" y="0"/>
                      <a:ext cx="5753100" cy="8169275"/>
                    </a:xfrm>
                    <a:prstGeom prst="rect">
                      <a:avLst/>
                    </a:prstGeom>
                    <a:noFill/>
                    <a:ln>
                      <a:noFill/>
                    </a:ln>
                  </pic:spPr>
                </pic:pic>
              </a:graphicData>
            </a:graphic>
          </wp:inline>
        </w:drawing>
      </w:r>
      <w:r>
        <w:drawing>
          <wp:inline distT="0" distB="0" distL="114300" distR="114300">
            <wp:extent cx="5753100" cy="8162290"/>
            <wp:effectExtent l="0" t="0" r="7620" b="635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51"/>
                    <a:stretch>
                      <a:fillRect/>
                    </a:stretch>
                  </pic:blipFill>
                  <pic:spPr>
                    <a:xfrm>
                      <a:off x="0" y="0"/>
                      <a:ext cx="5753100" cy="8162290"/>
                    </a:xfrm>
                    <a:prstGeom prst="rect">
                      <a:avLst/>
                    </a:prstGeom>
                    <a:noFill/>
                    <a:ln>
                      <a:noFill/>
                    </a:ln>
                  </pic:spPr>
                </pic:pic>
              </a:graphicData>
            </a:graphic>
          </wp:inline>
        </w:drawing>
      </w:r>
      <w:r>
        <w:drawing>
          <wp:inline distT="0" distB="0" distL="114300" distR="114300">
            <wp:extent cx="5753100" cy="8180070"/>
            <wp:effectExtent l="0" t="0" r="7620" b="381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52"/>
                    <a:stretch>
                      <a:fillRect/>
                    </a:stretch>
                  </pic:blipFill>
                  <pic:spPr>
                    <a:xfrm>
                      <a:off x="0" y="0"/>
                      <a:ext cx="5753100" cy="8180070"/>
                    </a:xfrm>
                    <a:prstGeom prst="rect">
                      <a:avLst/>
                    </a:prstGeom>
                    <a:noFill/>
                    <a:ln>
                      <a:noFill/>
                    </a:ln>
                  </pic:spPr>
                </pic:pic>
              </a:graphicData>
            </a:graphic>
          </wp:inline>
        </w:drawing>
      </w:r>
    </w:p>
    <w:p>
      <w:pPr>
        <w:tabs>
          <w:tab w:val="left" w:pos="0"/>
        </w:tabs>
        <w:snapToGrid w:val="0"/>
        <w:outlineLvl w:val="0"/>
        <w:rPr>
          <w:rFonts w:ascii="宋体" w:hAnsi="宋体" w:cs="宋体"/>
          <w:b/>
          <w:bCs/>
          <w:color w:val="auto"/>
          <w:sz w:val="32"/>
          <w:szCs w:val="32"/>
          <w:highlight w:val="none"/>
        </w:rPr>
      </w:pPr>
      <w:r>
        <w:rPr>
          <w:rFonts w:hint="eastAsia" w:ascii="宋体" w:hAnsi="宋体" w:cs="宋体"/>
          <w:b/>
          <w:bCs/>
          <w:color w:val="auto"/>
          <w:sz w:val="28"/>
          <w:szCs w:val="28"/>
          <w:highlight w:val="none"/>
        </w:rPr>
        <w:t>附件</w:t>
      </w:r>
      <w:r>
        <w:rPr>
          <w:rFonts w:hint="eastAsia" w:ascii="宋体" w:hAnsi="宋体" w:cs="宋体"/>
          <w:b/>
          <w:bCs/>
          <w:color w:val="auto"/>
          <w:sz w:val="28"/>
          <w:szCs w:val="28"/>
          <w:highlight w:val="none"/>
          <w:lang w:val="en-US" w:eastAsia="zh-CN"/>
        </w:rPr>
        <w:t>6</w:t>
      </w:r>
      <w:r>
        <w:rPr>
          <w:rFonts w:hint="eastAsia" w:ascii="宋体" w:hAnsi="宋体" w:cs="宋体"/>
          <w:b/>
          <w:bCs/>
          <w:color w:val="auto"/>
          <w:sz w:val="28"/>
          <w:szCs w:val="28"/>
          <w:highlight w:val="none"/>
        </w:rPr>
        <w:t>：</w:t>
      </w:r>
      <w:r>
        <w:rPr>
          <w:rFonts w:hint="eastAsia" w:ascii="宋体" w:hAnsi="宋体" w:cs="宋体"/>
          <w:b/>
          <w:bCs/>
          <w:color w:val="auto"/>
          <w:sz w:val="28"/>
          <w:szCs w:val="28"/>
          <w:highlight w:val="none"/>
          <w:lang w:val="en-US" w:eastAsia="zh-CN"/>
        </w:rPr>
        <w:t>锡林郭勒盟生态环境综合行政执法支队关于锡林浩特市部分建设项目未批先建违法行为处理意见</w:t>
      </w:r>
    </w:p>
    <w:p>
      <w:pPr>
        <w:bidi w:val="0"/>
        <w:rPr>
          <w:rFonts w:hint="eastAsia"/>
          <w:color w:val="auto"/>
          <w:lang w:eastAsia="zh-CN"/>
        </w:rPr>
      </w:pPr>
    </w:p>
    <w:p>
      <w:pPr>
        <w:bidi w:val="0"/>
        <w:rPr>
          <w:rFonts w:hint="eastAsia"/>
          <w:color w:val="auto"/>
          <w:lang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olor w:val="auto"/>
          <w:lang w:eastAsia="zh-CN"/>
        </w:rPr>
        <w:drawing>
          <wp:inline distT="0" distB="0" distL="114300" distR="114300">
            <wp:extent cx="5396230" cy="7626350"/>
            <wp:effectExtent l="0" t="0" r="13970" b="12700"/>
            <wp:docPr id="18" name="图片 18" descr="20240202_17080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40202_170804_00"/>
                    <pic:cNvPicPr>
                      <a:picLocks noChangeAspect="1"/>
                    </pic:cNvPicPr>
                  </pic:nvPicPr>
                  <pic:blipFill>
                    <a:blip r:embed="rId53"/>
                    <a:stretch>
                      <a:fillRect/>
                    </a:stretch>
                  </pic:blipFill>
                  <pic:spPr>
                    <a:xfrm>
                      <a:off x="0" y="0"/>
                      <a:ext cx="5396230" cy="7626350"/>
                    </a:xfrm>
                    <a:prstGeom prst="rect">
                      <a:avLst/>
                    </a:prstGeom>
                  </pic:spPr>
                </pic:pic>
              </a:graphicData>
            </a:graphic>
          </wp:inline>
        </w:drawing>
      </w:r>
      <w:r>
        <w:rPr>
          <w:rFonts w:hint="eastAsia"/>
          <w:color w:val="auto"/>
          <w:lang w:eastAsia="zh-CN"/>
        </w:rPr>
        <w:drawing>
          <wp:inline distT="0" distB="0" distL="114300" distR="114300">
            <wp:extent cx="5758815" cy="8138160"/>
            <wp:effectExtent l="0" t="0" r="13335" b="15240"/>
            <wp:docPr id="19" name="图片 19" descr="20240202_17080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40202_170804_01"/>
                    <pic:cNvPicPr>
                      <a:picLocks noChangeAspect="1"/>
                    </pic:cNvPicPr>
                  </pic:nvPicPr>
                  <pic:blipFill>
                    <a:blip r:embed="rId54"/>
                    <a:stretch>
                      <a:fillRect/>
                    </a:stretch>
                  </pic:blipFill>
                  <pic:spPr>
                    <a:xfrm>
                      <a:off x="0" y="0"/>
                      <a:ext cx="5758815" cy="8138160"/>
                    </a:xfrm>
                    <a:prstGeom prst="rect">
                      <a:avLst/>
                    </a:prstGeom>
                  </pic:spPr>
                </pic:pic>
              </a:graphicData>
            </a:graphic>
          </wp:inline>
        </w:drawing>
      </w:r>
      <w:r>
        <w:rPr>
          <w:rFonts w:hint="eastAsia"/>
          <w:color w:val="auto"/>
          <w:lang w:eastAsia="zh-CN"/>
        </w:rPr>
        <w:drawing>
          <wp:inline distT="0" distB="0" distL="114300" distR="114300">
            <wp:extent cx="5758815" cy="8138160"/>
            <wp:effectExtent l="0" t="0" r="13335" b="15240"/>
            <wp:docPr id="28" name="图片 28" descr="20240202_17080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40202_170804_02"/>
                    <pic:cNvPicPr>
                      <a:picLocks noChangeAspect="1"/>
                    </pic:cNvPicPr>
                  </pic:nvPicPr>
                  <pic:blipFill>
                    <a:blip r:embed="rId55"/>
                    <a:stretch>
                      <a:fillRect/>
                    </a:stretch>
                  </pic:blipFill>
                  <pic:spPr>
                    <a:xfrm>
                      <a:off x="0" y="0"/>
                      <a:ext cx="5758815" cy="8138160"/>
                    </a:xfrm>
                    <a:prstGeom prst="rect">
                      <a:avLst/>
                    </a:prstGeom>
                  </pic:spPr>
                </pic:pic>
              </a:graphicData>
            </a:graphic>
          </wp:inline>
        </w:drawing>
      </w:r>
    </w:p>
    <w:p>
      <w:pPr>
        <w:tabs>
          <w:tab w:val="left" w:pos="0"/>
        </w:tabs>
        <w:snapToGrid w:val="0"/>
        <w:outlineLvl w:val="0"/>
        <w:rPr>
          <w:rFonts w:ascii="宋体" w:hAnsi="宋体" w:cs="宋体"/>
          <w:b/>
          <w:bCs/>
          <w:color w:val="auto"/>
          <w:sz w:val="28"/>
          <w:szCs w:val="28"/>
        </w:rPr>
      </w:pPr>
      <w:r>
        <w:rPr>
          <w:rFonts w:hint="eastAsia" w:ascii="宋体" w:hAnsi="宋体" w:cs="宋体"/>
          <w:b/>
          <w:bCs/>
          <w:color w:val="auto"/>
          <w:sz w:val="28"/>
          <w:szCs w:val="28"/>
        </w:rPr>
        <w:t>附图1：项目地理位置图</w:t>
      </w:r>
    </w:p>
    <w:p>
      <w:pPr>
        <w:pStyle w:val="38"/>
        <w:ind w:firstLine="0" w:firstLineChars="0"/>
        <w:jc w:val="center"/>
        <w:rPr>
          <w:color w:val="auto"/>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rPr>
        <mc:AlternateContent>
          <mc:Choice Requires="wps">
            <w:drawing>
              <wp:anchor distT="0" distB="0" distL="114300" distR="114300" simplePos="0" relativeHeight="251664384" behindDoc="0" locked="0" layoutInCell="1" allowOverlap="1">
                <wp:simplePos x="0" y="0"/>
                <wp:positionH relativeFrom="column">
                  <wp:posOffset>5355590</wp:posOffset>
                </wp:positionH>
                <wp:positionV relativeFrom="paragraph">
                  <wp:posOffset>2894965</wp:posOffset>
                </wp:positionV>
                <wp:extent cx="1032510" cy="280035"/>
                <wp:effectExtent l="558165" t="6350" r="9525" b="18415"/>
                <wp:wrapNone/>
                <wp:docPr id="17" name="矩形标注 17"/>
                <wp:cNvGraphicFramePr/>
                <a:graphic xmlns:a="http://schemas.openxmlformats.org/drawingml/2006/main">
                  <a:graphicData uri="http://schemas.microsoft.com/office/word/2010/wordprocessingShape">
                    <wps:wsp>
                      <wps:cNvSpPr/>
                      <wps:spPr>
                        <a:xfrm>
                          <a:off x="3869055" y="3718560"/>
                          <a:ext cx="1032510" cy="280035"/>
                        </a:xfrm>
                        <a:prstGeom prst="wedgeRectCallout">
                          <a:avLst>
                            <a:gd name="adj1" fmla="val -99138"/>
                            <a:gd name="adj2" fmla="val 2755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1.7pt;margin-top:227.95pt;height:22.05pt;width:81.3pt;z-index:251664384;v-text-anchor:middle;mso-width-relative:page;mso-height-relative:page;" filled="f" stroked="t" coordsize="21600,21600" o:gfxdata="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w+Gx8tsAAAAMAQAADwAAAAAAAAABACAA&#10;AAAiAAAAZHJzL2Rvd25yZXYueG1sUEsBAhQAFAAAAAgAh07iQJWvbk61AgAASAUAAA4AAAAAAAAA&#10;AQAgAAAAKgEAAGRycy9lMm9Eb2MueG1sUEsFBgAAAAAGAAYAWQEAAFEGAAAAAA==&#10;" adj="-10614,16751">
                <v:fill on="f" focussize="0,0"/>
                <v:stroke weight="1pt" color="#FF0000 [3204]" miterlimit="8" joinstyle="miter"/>
                <v:imagedata o:title=""/>
                <o:lock v:ext="edit" aspectratio="f"/>
                <v:textbox>
                  <w:txbxContent>
                    <w:p>
                      <w:pPr>
                        <w:jc w:val="center"/>
                        <w:rPr>
                          <w:b/>
                          <w:bCs/>
                          <w:color w:val="FF0000"/>
                        </w:rPr>
                      </w:pPr>
                      <w:r>
                        <w:rPr>
                          <w:rFonts w:hint="eastAsia"/>
                          <w:b/>
                          <w:bCs/>
                          <w:color w:val="FF0000"/>
                        </w:rPr>
                        <w:t>项目所在地</w:t>
                      </w:r>
                    </w:p>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4786630</wp:posOffset>
                </wp:positionH>
                <wp:positionV relativeFrom="paragraph">
                  <wp:posOffset>3051810</wp:posOffset>
                </wp:positionV>
                <wp:extent cx="86360" cy="75565"/>
                <wp:effectExtent l="6350" t="6350" r="21590" b="13335"/>
                <wp:wrapNone/>
                <wp:docPr id="16" name="矩形 16"/>
                <wp:cNvGraphicFramePr/>
                <a:graphic xmlns:a="http://schemas.openxmlformats.org/drawingml/2006/main">
                  <a:graphicData uri="http://schemas.microsoft.com/office/word/2010/wordprocessingShape">
                    <wps:wsp>
                      <wps:cNvSpPr/>
                      <wps:spPr>
                        <a:xfrm>
                          <a:off x="3359785" y="4756150"/>
                          <a:ext cx="86360" cy="75565"/>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6.9pt;margin-top:240.3pt;height:5.95pt;width:6.8pt;z-index:251663360;v-text-anchor:middle;mso-width-relative:page;mso-height-relative:page;" fillcolor="#FF0000" filled="t" stroked="t" coordsize="21600,21600" o:gfxdata="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EeRwtoAAAALAQAADwAAAAAAAAABACAAAAAi&#10;AAAAZHJzL2Rvd25yZXYueG1sUEsBAhQAFAAAAAgAh07iQIzSCet6AgAA/wQAAA4AAAAAAAAAAQAg&#10;AAAAKQEAAGRycy9lMm9Eb2MueG1sUEsFBgAAAAAGAAYAWQEAABUGAAAAAA==&#10;">
                <v:fill on="t" focussize="0,0"/>
                <v:stroke weight="1pt" color="#000000 [3213]" miterlimit="8" joinstyle="miter"/>
                <v:imagedata o:title=""/>
                <o:lock v:ext="edit" aspectratio="f"/>
              </v:rect>
            </w:pict>
          </mc:Fallback>
        </mc:AlternateContent>
      </w:r>
      <w:r>
        <w:rPr>
          <w:color w:val="auto"/>
        </w:rPr>
        <w:drawing>
          <wp:inline distT="0" distB="0" distL="114300" distR="114300">
            <wp:extent cx="7342505" cy="5384800"/>
            <wp:effectExtent l="0" t="0" r="10795" b="635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56"/>
                    <a:stretch>
                      <a:fillRect/>
                    </a:stretch>
                  </pic:blipFill>
                  <pic:spPr>
                    <a:xfrm>
                      <a:off x="0" y="0"/>
                      <a:ext cx="7342505" cy="5384800"/>
                    </a:xfrm>
                    <a:prstGeom prst="rect">
                      <a:avLst/>
                    </a:prstGeom>
                    <a:noFill/>
                    <a:ln>
                      <a:noFill/>
                    </a:ln>
                  </pic:spPr>
                </pic:pic>
              </a:graphicData>
            </a:graphic>
          </wp:inline>
        </w:drawing>
      </w:r>
    </w:p>
    <w:p>
      <w:pPr>
        <w:pStyle w:val="38"/>
        <w:ind w:firstLine="0" w:firstLineChars="0"/>
        <w:jc w:val="both"/>
        <w:rPr>
          <w:rFonts w:hint="eastAsia" w:ascii="宋体" w:hAnsi="宋体" w:cs="宋体"/>
          <w:b/>
          <w:bCs/>
          <w:color w:val="auto"/>
          <w:sz w:val="28"/>
          <w:szCs w:val="28"/>
          <w:lang w:val="en-US" w:eastAsia="zh-CN"/>
        </w:rPr>
      </w:pPr>
      <w:r>
        <w:rPr>
          <w:rFonts w:hint="eastAsia" w:ascii="宋体" w:hAnsi="宋体" w:cs="宋体"/>
          <w:b/>
          <w:bCs/>
          <w:color w:val="auto"/>
          <w:sz w:val="28"/>
          <w:szCs w:val="28"/>
        </w:rPr>
        <w:t>附图</w:t>
      </w:r>
      <w:r>
        <w:rPr>
          <w:rFonts w:hint="eastAsia" w:ascii="宋体" w:hAnsi="宋体" w:cs="宋体"/>
          <w:b/>
          <w:bCs/>
          <w:color w:val="auto"/>
          <w:sz w:val="28"/>
          <w:szCs w:val="28"/>
          <w:lang w:val="en-US" w:eastAsia="zh-CN"/>
        </w:rPr>
        <w:t>2</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本</w:t>
      </w:r>
      <w:r>
        <w:rPr>
          <w:rFonts w:hint="eastAsia" w:ascii="宋体" w:hAnsi="宋体" w:cs="宋体"/>
          <w:b/>
          <w:bCs/>
          <w:color w:val="auto"/>
          <w:sz w:val="28"/>
          <w:szCs w:val="28"/>
        </w:rPr>
        <w:t>项目</w:t>
      </w:r>
      <w:r>
        <w:rPr>
          <w:rFonts w:hint="eastAsia" w:ascii="宋体" w:hAnsi="宋体" w:cs="宋体"/>
          <w:b/>
          <w:bCs/>
          <w:color w:val="auto"/>
          <w:sz w:val="28"/>
          <w:szCs w:val="28"/>
          <w:lang w:val="en-US" w:eastAsia="zh-CN"/>
        </w:rPr>
        <w:t>在社区卫生服务中心位置图</w:t>
      </w:r>
    </w:p>
    <w:p>
      <w:pPr>
        <w:pStyle w:val="38"/>
        <w:ind w:firstLine="0" w:firstLineChars="0"/>
        <w:jc w:val="center"/>
        <w:rPr>
          <w:color w:val="auto"/>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eastAsia="宋体" w:cs="宋体"/>
          <w:b/>
          <w:bCs/>
          <w:color w:val="auto"/>
          <w:sz w:val="28"/>
          <w:szCs w:val="28"/>
          <w:lang w:val="en-US" w:eastAsia="zh-CN"/>
        </w:rPr>
        <w:drawing>
          <wp:anchor distT="0" distB="0" distL="114300" distR="114300" simplePos="0" relativeHeight="251666432" behindDoc="0" locked="0" layoutInCell="1" allowOverlap="1">
            <wp:simplePos x="0" y="0"/>
            <wp:positionH relativeFrom="column">
              <wp:posOffset>8029575</wp:posOffset>
            </wp:positionH>
            <wp:positionV relativeFrom="paragraph">
              <wp:posOffset>177165</wp:posOffset>
            </wp:positionV>
            <wp:extent cx="670560" cy="875665"/>
            <wp:effectExtent l="0" t="0" r="0" b="8255"/>
            <wp:wrapNone/>
            <wp:docPr id="11" name="图片 11" descr="e78c9505086c584c67719e5322e5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78c9505086c584c67719e5322e5cb5"/>
                    <pic:cNvPicPr>
                      <a:picLocks noChangeAspect="1"/>
                    </pic:cNvPicPr>
                  </pic:nvPicPr>
                  <pic:blipFill>
                    <a:blip r:embed="rId57"/>
                    <a:stretch>
                      <a:fillRect/>
                    </a:stretch>
                  </pic:blipFill>
                  <pic:spPr>
                    <a:xfrm>
                      <a:off x="0" y="0"/>
                      <a:ext cx="670560" cy="875665"/>
                    </a:xfrm>
                    <a:prstGeom prst="rect">
                      <a:avLst/>
                    </a:prstGeom>
                  </pic:spPr>
                </pic:pic>
              </a:graphicData>
            </a:graphic>
          </wp:anchor>
        </w:drawing>
      </w:r>
      <w:r>
        <w:rPr>
          <w:color w:val="auto"/>
        </w:rPr>
        <w:drawing>
          <wp:inline distT="0" distB="0" distL="114300" distR="114300">
            <wp:extent cx="8887460" cy="5258435"/>
            <wp:effectExtent l="0" t="0" r="8890" b="1841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58"/>
                    <a:stretch>
                      <a:fillRect/>
                    </a:stretch>
                  </pic:blipFill>
                  <pic:spPr>
                    <a:xfrm>
                      <a:off x="0" y="0"/>
                      <a:ext cx="8887460" cy="5258435"/>
                    </a:xfrm>
                    <a:prstGeom prst="rect">
                      <a:avLst/>
                    </a:prstGeom>
                    <a:noFill/>
                    <a:ln>
                      <a:noFill/>
                    </a:ln>
                  </pic:spPr>
                </pic:pic>
              </a:graphicData>
            </a:graphic>
          </wp:inline>
        </w:drawing>
      </w:r>
    </w:p>
    <w:p>
      <w:pPr>
        <w:pStyle w:val="38"/>
        <w:ind w:firstLine="0" w:firstLineChars="0"/>
        <w:jc w:val="both"/>
        <w:rPr>
          <w:rFonts w:hint="default" w:ascii="宋体" w:hAnsi="宋体" w:cs="宋体"/>
          <w:b/>
          <w:bCs/>
          <w:color w:val="auto"/>
          <w:sz w:val="28"/>
          <w:szCs w:val="28"/>
          <w:lang w:val="en-US" w:eastAsia="zh-CN"/>
        </w:rPr>
      </w:pPr>
      <w:r>
        <w:rPr>
          <w:rFonts w:hint="eastAsia" w:ascii="宋体" w:hAnsi="宋体" w:cs="宋体"/>
          <w:b/>
          <w:bCs/>
          <w:color w:val="auto"/>
          <w:sz w:val="28"/>
          <w:szCs w:val="28"/>
        </w:rPr>
        <w:t>附图</w:t>
      </w:r>
      <w:r>
        <w:rPr>
          <w:rFonts w:hint="eastAsia" w:ascii="宋体" w:hAnsi="宋体" w:cs="宋体"/>
          <w:b/>
          <w:bCs/>
          <w:color w:val="auto"/>
          <w:sz w:val="28"/>
          <w:szCs w:val="28"/>
          <w:lang w:val="en-US" w:eastAsia="zh-CN"/>
        </w:rPr>
        <w:t>3</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环境保护目标图</w:t>
      </w:r>
    </w:p>
    <w:p>
      <w:pPr>
        <w:pStyle w:val="38"/>
        <w:ind w:firstLine="0" w:firstLineChars="0"/>
        <w:jc w:val="center"/>
        <w:rPr>
          <w:rFonts w:hint="eastAsia"/>
          <w:color w:val="auto"/>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rPr>
        <w:drawing>
          <wp:inline distT="0" distB="0" distL="114300" distR="114300">
            <wp:extent cx="6669405" cy="5222240"/>
            <wp:effectExtent l="0" t="0" r="17145" b="1651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59"/>
                    <a:stretch>
                      <a:fillRect/>
                    </a:stretch>
                  </pic:blipFill>
                  <pic:spPr>
                    <a:xfrm>
                      <a:off x="0" y="0"/>
                      <a:ext cx="6669405" cy="5222240"/>
                    </a:xfrm>
                    <a:prstGeom prst="rect">
                      <a:avLst/>
                    </a:prstGeom>
                    <a:noFill/>
                    <a:ln>
                      <a:noFill/>
                    </a:ln>
                  </pic:spPr>
                </pic:pic>
              </a:graphicData>
            </a:graphic>
          </wp:inline>
        </w:drawing>
      </w:r>
    </w:p>
    <w:p>
      <w:pPr>
        <w:pStyle w:val="38"/>
        <w:ind w:firstLine="0" w:firstLineChars="0"/>
        <w:rPr>
          <w:rFonts w:hint="default" w:ascii="宋体" w:hAnsi="宋体" w:eastAsia="宋体"/>
          <w:b/>
          <w:bCs/>
          <w:color w:val="auto"/>
          <w:sz w:val="28"/>
          <w:szCs w:val="28"/>
          <w:highlight w:val="none"/>
          <w:lang w:val="en-US" w:eastAsia="zh-CN"/>
        </w:rPr>
      </w:pPr>
      <w:r>
        <w:rPr>
          <w:rFonts w:hint="eastAsia" w:ascii="宋体" w:hAnsi="宋体"/>
          <w:b/>
          <w:bCs/>
          <w:color w:val="auto"/>
          <w:sz w:val="28"/>
          <w:szCs w:val="28"/>
          <w:highlight w:val="none"/>
        </w:rPr>
        <w:t>附图</w:t>
      </w:r>
      <w:r>
        <w:rPr>
          <w:rFonts w:hint="eastAsia" w:ascii="宋体" w:hAnsi="宋体"/>
          <w:b/>
          <w:bCs/>
          <w:color w:val="auto"/>
          <w:sz w:val="28"/>
          <w:szCs w:val="28"/>
          <w:highlight w:val="none"/>
          <w:lang w:val="en-US" w:eastAsia="zh-CN"/>
        </w:rPr>
        <w:t>4</w:t>
      </w:r>
      <w:r>
        <w:rPr>
          <w:rFonts w:hint="eastAsia" w:ascii="宋体" w:hAnsi="宋体"/>
          <w:b/>
          <w:bCs/>
          <w:color w:val="auto"/>
          <w:sz w:val="28"/>
          <w:szCs w:val="28"/>
          <w:highlight w:val="none"/>
        </w:rPr>
        <w:t>：</w:t>
      </w:r>
      <w:r>
        <w:rPr>
          <w:rFonts w:hint="eastAsia" w:ascii="宋体" w:hAnsi="宋体"/>
          <w:b/>
          <w:bCs/>
          <w:color w:val="auto"/>
          <w:sz w:val="28"/>
          <w:szCs w:val="28"/>
          <w:highlight w:val="none"/>
          <w:lang w:val="en-US" w:eastAsia="zh-CN"/>
        </w:rPr>
        <w:t>项目四邻图</w:t>
      </w:r>
    </w:p>
    <w:p>
      <w:pPr>
        <w:pStyle w:val="38"/>
        <w:ind w:firstLine="0" w:firstLineChars="0"/>
        <w:jc w:val="center"/>
        <w:rPr>
          <w:rFonts w:hint="eastAsia" w:ascii="宋体" w:hAnsi="宋体"/>
          <w:b/>
          <w:bCs/>
          <w:color w:val="auto"/>
          <w:sz w:val="28"/>
          <w:szCs w:val="28"/>
          <w:highlight w:val="yellow"/>
        </w:rPr>
      </w:pPr>
      <w:r>
        <w:rPr>
          <w:color w:val="auto"/>
        </w:rPr>
        <w:drawing>
          <wp:inline distT="0" distB="0" distL="114300" distR="114300">
            <wp:extent cx="6892290" cy="5063490"/>
            <wp:effectExtent l="0" t="0" r="3810" b="381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60"/>
                    <a:stretch>
                      <a:fillRect/>
                    </a:stretch>
                  </pic:blipFill>
                  <pic:spPr>
                    <a:xfrm>
                      <a:off x="0" y="0"/>
                      <a:ext cx="6892290" cy="5063490"/>
                    </a:xfrm>
                    <a:prstGeom prst="rect">
                      <a:avLst/>
                    </a:prstGeom>
                    <a:noFill/>
                    <a:ln>
                      <a:noFill/>
                    </a:ln>
                  </pic:spPr>
                </pic:pic>
              </a:graphicData>
            </a:graphic>
          </wp:inline>
        </w:drawing>
      </w:r>
    </w:p>
    <w:p>
      <w:pPr>
        <w:pStyle w:val="38"/>
        <w:ind w:firstLine="0" w:firstLineChars="0"/>
        <w:rPr>
          <w:rFonts w:hint="eastAsia" w:ascii="宋体" w:hAnsi="宋体"/>
          <w:b/>
          <w:bCs/>
          <w:color w:val="auto"/>
          <w:sz w:val="28"/>
          <w:szCs w:val="28"/>
          <w:highlight w:val="yellow"/>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8"/>
        <w:ind w:firstLine="0" w:firstLineChars="0"/>
        <w:rPr>
          <w:color w:val="auto"/>
          <w:sz w:val="22"/>
          <w:szCs w:val="18"/>
          <w:highlight w:val="none"/>
        </w:rPr>
      </w:pPr>
      <w:r>
        <w:rPr>
          <w:rFonts w:hint="eastAsia" w:ascii="宋体" w:hAnsi="宋体"/>
          <w:b/>
          <w:bCs/>
          <w:color w:val="auto"/>
          <w:sz w:val="28"/>
          <w:szCs w:val="28"/>
          <w:highlight w:val="none"/>
        </w:rPr>
        <w:t>附图</w:t>
      </w:r>
      <w:r>
        <w:rPr>
          <w:rFonts w:hint="eastAsia" w:ascii="宋体" w:hAnsi="宋体"/>
          <w:b/>
          <w:bCs/>
          <w:color w:val="auto"/>
          <w:sz w:val="28"/>
          <w:szCs w:val="28"/>
          <w:highlight w:val="none"/>
          <w:lang w:val="en-US" w:eastAsia="zh-CN"/>
        </w:rPr>
        <w:t>5</w:t>
      </w:r>
      <w:r>
        <w:rPr>
          <w:rFonts w:hint="eastAsia" w:ascii="宋体" w:hAnsi="宋体"/>
          <w:b/>
          <w:bCs/>
          <w:color w:val="auto"/>
          <w:sz w:val="28"/>
          <w:szCs w:val="28"/>
          <w:highlight w:val="none"/>
        </w:rPr>
        <w:t>：现状监测布点图</w:t>
      </w:r>
    </w:p>
    <w:p>
      <w:pPr>
        <w:pStyle w:val="38"/>
        <w:ind w:firstLine="0" w:firstLineChars="0"/>
        <w:jc w:val="center"/>
        <w:rPr>
          <w:rFonts w:hint="eastAsia" w:ascii="宋体" w:hAnsi="宋体"/>
          <w:b/>
          <w:bCs/>
          <w:color w:val="auto"/>
          <w:sz w:val="28"/>
          <w:szCs w:val="28"/>
          <w:highlight w:val="yellow"/>
        </w:rPr>
      </w:pPr>
      <w:r>
        <w:rPr>
          <w:color w:val="auto"/>
        </w:rPr>
        <w:drawing>
          <wp:inline distT="0" distB="0" distL="114300" distR="114300">
            <wp:extent cx="7686040" cy="4676140"/>
            <wp:effectExtent l="0" t="0" r="10160" b="10160"/>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1"/>
                    <a:stretch>
                      <a:fillRect/>
                    </a:stretch>
                  </pic:blipFill>
                  <pic:spPr>
                    <a:xfrm>
                      <a:off x="0" y="0"/>
                      <a:ext cx="7686040" cy="4676140"/>
                    </a:xfrm>
                    <a:prstGeom prst="rect">
                      <a:avLst/>
                    </a:prstGeom>
                    <a:noFill/>
                    <a:ln>
                      <a:noFill/>
                    </a:ln>
                  </pic:spPr>
                </pic:pic>
              </a:graphicData>
            </a:graphic>
          </wp:inline>
        </w:drawing>
      </w:r>
    </w:p>
    <w:p>
      <w:pPr>
        <w:pStyle w:val="38"/>
        <w:ind w:firstLine="0" w:firstLineChars="0"/>
        <w:jc w:val="center"/>
        <w:rPr>
          <w:color w:val="auto"/>
        </w:rPr>
      </w:pPr>
    </w:p>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Century">
    <w:panose1 w:val="02040604050505020304"/>
    <w:charset w:val="00"/>
    <w:family w:val="roman"/>
    <w:pitch w:val="default"/>
    <w:sig w:usb0="00000287" w:usb1="00000000" w:usb2="00000000" w:usb3="00000000" w:csb0="2000009F" w:csb1="DFD70000"/>
  </w:font>
  <w:font w:name="仿宋_GB2312">
    <w:altName w:val="仿宋"/>
    <w:panose1 w:val="02010609030101010101"/>
    <w:charset w:val="86"/>
    <w:family w:val="modern"/>
    <w:pitch w:val="default"/>
    <w:sig w:usb0="00000000" w:usb1="00000000" w:usb2="00000000" w:usb3="00000000" w:csb0="00040000" w:csb1="00000000"/>
  </w:font>
  <w:font w:name="华康简仿宋">
    <w:altName w:val="宋体"/>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CG Times (W1)">
    <w:altName w:val="微软雅黑"/>
    <w:panose1 w:val="00000000000000000000"/>
    <w:charset w:val="00"/>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outside" w:y="1"/>
      <w:rPr>
        <w:rStyle w:val="34"/>
      </w:rPr>
    </w:pPr>
    <w:r>
      <w:fldChar w:fldCharType="begin"/>
    </w:r>
    <w:r>
      <w:rPr>
        <w:rStyle w:val="34"/>
      </w:rPr>
      <w:instrText xml:space="preserve">PAGE  </w:instrText>
    </w:r>
    <w:r>
      <w:fldChar w:fldCharType="end"/>
    </w:r>
  </w:p>
  <w:p>
    <w:pPr>
      <w:pStyle w:val="2"/>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tabs>
        <w:tab w:val="left" w:pos="3885"/>
        <w:tab w:val="left" w:pos="4153"/>
        <w:tab w:val="clear" w:pos="8306"/>
      </w:tabs>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right="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38yactAgAAV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38yactAgAAVwQAAA4AAAAAAAAAAQAgAAAAHwEAAGRycy9lMm9Eb2MueG1sUEsFBgAAAAAG&#10;AAYAWQEAAL4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34</w:t>
                    </w:r>
                    <w:r>
                      <w:fldChar w:fldCharType="end"/>
                    </w:r>
                  </w:p>
                </w:txbxContent>
              </v:textbox>
            </v:shape>
          </w:pict>
        </mc:Fallback>
      </mc:AlternateContent>
    </w:r>
  </w:p>
  <w:p>
    <w:pPr>
      <w:pStyle w:val="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w:rPr>
        <w:sz w:val="2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41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0E18A9"/>
    <w:multiLevelType w:val="singleLevel"/>
    <w:tmpl w:val="9F0E18A9"/>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MxNGFiZjJiMTlkNWFkZjU3YjVjM2U2OGFjNTBhY2QifQ=="/>
    <w:docVar w:name="KSO_WPS_MARK_KEY" w:val="946f3ee7-4157-4d03-80e2-cb37e55aaa45"/>
  </w:docVars>
  <w:rsids>
    <w:rsidRoot w:val="00172A27"/>
    <w:rsid w:val="00006A99"/>
    <w:rsid w:val="000B3A7A"/>
    <w:rsid w:val="00172A27"/>
    <w:rsid w:val="001A1855"/>
    <w:rsid w:val="001E2803"/>
    <w:rsid w:val="001E7404"/>
    <w:rsid w:val="0021575E"/>
    <w:rsid w:val="002254A5"/>
    <w:rsid w:val="002448DF"/>
    <w:rsid w:val="00315BFD"/>
    <w:rsid w:val="003B6D7C"/>
    <w:rsid w:val="004D5128"/>
    <w:rsid w:val="005518EA"/>
    <w:rsid w:val="005A6241"/>
    <w:rsid w:val="0061570B"/>
    <w:rsid w:val="00624492"/>
    <w:rsid w:val="00681474"/>
    <w:rsid w:val="006F27A4"/>
    <w:rsid w:val="007C481E"/>
    <w:rsid w:val="007E2538"/>
    <w:rsid w:val="00867B0F"/>
    <w:rsid w:val="00871661"/>
    <w:rsid w:val="00887663"/>
    <w:rsid w:val="008B0F41"/>
    <w:rsid w:val="009653E4"/>
    <w:rsid w:val="009B6A40"/>
    <w:rsid w:val="009D7A2A"/>
    <w:rsid w:val="00A237F2"/>
    <w:rsid w:val="00A43ABF"/>
    <w:rsid w:val="00AA0EEA"/>
    <w:rsid w:val="00B55583"/>
    <w:rsid w:val="00BA7BFA"/>
    <w:rsid w:val="00C1446A"/>
    <w:rsid w:val="00CD702A"/>
    <w:rsid w:val="00CF56AE"/>
    <w:rsid w:val="00E173F3"/>
    <w:rsid w:val="00E174A9"/>
    <w:rsid w:val="00E80374"/>
    <w:rsid w:val="00EE0833"/>
    <w:rsid w:val="00FC27A3"/>
    <w:rsid w:val="00FF0544"/>
    <w:rsid w:val="00FF5610"/>
    <w:rsid w:val="012E0D1C"/>
    <w:rsid w:val="01380414"/>
    <w:rsid w:val="013D230E"/>
    <w:rsid w:val="015E5849"/>
    <w:rsid w:val="016D69F0"/>
    <w:rsid w:val="01791F62"/>
    <w:rsid w:val="017D1C5A"/>
    <w:rsid w:val="01975EE3"/>
    <w:rsid w:val="01A31E80"/>
    <w:rsid w:val="01B56C37"/>
    <w:rsid w:val="01E86D64"/>
    <w:rsid w:val="01EA17E7"/>
    <w:rsid w:val="01EA1E0C"/>
    <w:rsid w:val="01FA3080"/>
    <w:rsid w:val="02383931"/>
    <w:rsid w:val="026D2059"/>
    <w:rsid w:val="028D6901"/>
    <w:rsid w:val="02A51E2F"/>
    <w:rsid w:val="02D6610D"/>
    <w:rsid w:val="02E944A7"/>
    <w:rsid w:val="03386F94"/>
    <w:rsid w:val="034B453F"/>
    <w:rsid w:val="03564263"/>
    <w:rsid w:val="035F3924"/>
    <w:rsid w:val="038E47DD"/>
    <w:rsid w:val="039750FB"/>
    <w:rsid w:val="03992B46"/>
    <w:rsid w:val="039F07E7"/>
    <w:rsid w:val="03CB62A0"/>
    <w:rsid w:val="03E53491"/>
    <w:rsid w:val="04041DAC"/>
    <w:rsid w:val="040468BE"/>
    <w:rsid w:val="040C44D4"/>
    <w:rsid w:val="04117365"/>
    <w:rsid w:val="043527D0"/>
    <w:rsid w:val="043B5A8A"/>
    <w:rsid w:val="043C5628"/>
    <w:rsid w:val="043D3D2C"/>
    <w:rsid w:val="04495B5D"/>
    <w:rsid w:val="046E7031"/>
    <w:rsid w:val="04A83FC6"/>
    <w:rsid w:val="04B50E8B"/>
    <w:rsid w:val="04CF544C"/>
    <w:rsid w:val="04DB10D3"/>
    <w:rsid w:val="04E20C36"/>
    <w:rsid w:val="04E624FD"/>
    <w:rsid w:val="04E62C51"/>
    <w:rsid w:val="04E90BAD"/>
    <w:rsid w:val="05033A98"/>
    <w:rsid w:val="052153A7"/>
    <w:rsid w:val="05485269"/>
    <w:rsid w:val="054B039A"/>
    <w:rsid w:val="054E64C0"/>
    <w:rsid w:val="05740860"/>
    <w:rsid w:val="058B55ED"/>
    <w:rsid w:val="05A1056A"/>
    <w:rsid w:val="05B06057"/>
    <w:rsid w:val="05EC7C21"/>
    <w:rsid w:val="05F46511"/>
    <w:rsid w:val="06293315"/>
    <w:rsid w:val="06310519"/>
    <w:rsid w:val="0631459D"/>
    <w:rsid w:val="064F4EB9"/>
    <w:rsid w:val="06612290"/>
    <w:rsid w:val="067E5477"/>
    <w:rsid w:val="06C37FA0"/>
    <w:rsid w:val="06C74FB9"/>
    <w:rsid w:val="06E97422"/>
    <w:rsid w:val="06FD7219"/>
    <w:rsid w:val="07005A51"/>
    <w:rsid w:val="07084361"/>
    <w:rsid w:val="07121477"/>
    <w:rsid w:val="0716031B"/>
    <w:rsid w:val="071D215D"/>
    <w:rsid w:val="072B7B85"/>
    <w:rsid w:val="07416DCF"/>
    <w:rsid w:val="076522AE"/>
    <w:rsid w:val="07677E3C"/>
    <w:rsid w:val="07971FB4"/>
    <w:rsid w:val="07A12F55"/>
    <w:rsid w:val="07E573B2"/>
    <w:rsid w:val="080A397F"/>
    <w:rsid w:val="082555F2"/>
    <w:rsid w:val="08303946"/>
    <w:rsid w:val="083D7D39"/>
    <w:rsid w:val="084B1653"/>
    <w:rsid w:val="084D73BE"/>
    <w:rsid w:val="08880735"/>
    <w:rsid w:val="088916B9"/>
    <w:rsid w:val="08A95CC1"/>
    <w:rsid w:val="08B3788E"/>
    <w:rsid w:val="09012639"/>
    <w:rsid w:val="0909052F"/>
    <w:rsid w:val="090D4318"/>
    <w:rsid w:val="09265726"/>
    <w:rsid w:val="093B4A0F"/>
    <w:rsid w:val="09481484"/>
    <w:rsid w:val="095216C7"/>
    <w:rsid w:val="098034D8"/>
    <w:rsid w:val="09920C14"/>
    <w:rsid w:val="09A624FA"/>
    <w:rsid w:val="09AB3597"/>
    <w:rsid w:val="09DA47AC"/>
    <w:rsid w:val="09E12EC3"/>
    <w:rsid w:val="09F764A2"/>
    <w:rsid w:val="0A216AAC"/>
    <w:rsid w:val="0A266534"/>
    <w:rsid w:val="0A3C77B6"/>
    <w:rsid w:val="0A5528CC"/>
    <w:rsid w:val="0A5E5414"/>
    <w:rsid w:val="0A777A5E"/>
    <w:rsid w:val="0A7B7F0E"/>
    <w:rsid w:val="0AA208FB"/>
    <w:rsid w:val="0AD22FB3"/>
    <w:rsid w:val="0AD65247"/>
    <w:rsid w:val="0AE50DAF"/>
    <w:rsid w:val="0AE71BC6"/>
    <w:rsid w:val="0AEA5B60"/>
    <w:rsid w:val="0B2F4BAC"/>
    <w:rsid w:val="0B36683D"/>
    <w:rsid w:val="0B4576B0"/>
    <w:rsid w:val="0B4A2E5C"/>
    <w:rsid w:val="0B904DC6"/>
    <w:rsid w:val="0B9D42A1"/>
    <w:rsid w:val="0BD25E54"/>
    <w:rsid w:val="0C101164"/>
    <w:rsid w:val="0C2738A4"/>
    <w:rsid w:val="0C345B14"/>
    <w:rsid w:val="0C43162C"/>
    <w:rsid w:val="0C643B08"/>
    <w:rsid w:val="0C767D26"/>
    <w:rsid w:val="0C7E7F06"/>
    <w:rsid w:val="0CA74D88"/>
    <w:rsid w:val="0D3B55DA"/>
    <w:rsid w:val="0D4629CF"/>
    <w:rsid w:val="0D4F04DD"/>
    <w:rsid w:val="0D5506B1"/>
    <w:rsid w:val="0D981F2A"/>
    <w:rsid w:val="0DBA67AA"/>
    <w:rsid w:val="0DBC3126"/>
    <w:rsid w:val="0DC37A9F"/>
    <w:rsid w:val="0E061DA9"/>
    <w:rsid w:val="0E120F97"/>
    <w:rsid w:val="0E123B71"/>
    <w:rsid w:val="0E292A8F"/>
    <w:rsid w:val="0E4C3854"/>
    <w:rsid w:val="0E4E189D"/>
    <w:rsid w:val="0E6E3CB8"/>
    <w:rsid w:val="0E7E6C56"/>
    <w:rsid w:val="0ED2304F"/>
    <w:rsid w:val="0ED92764"/>
    <w:rsid w:val="0EDC0228"/>
    <w:rsid w:val="0EE765D6"/>
    <w:rsid w:val="0F045DED"/>
    <w:rsid w:val="0F1C2994"/>
    <w:rsid w:val="0F6E281F"/>
    <w:rsid w:val="0F782476"/>
    <w:rsid w:val="0FA77C35"/>
    <w:rsid w:val="0FB27E47"/>
    <w:rsid w:val="0FBE5C95"/>
    <w:rsid w:val="0FCE64B5"/>
    <w:rsid w:val="0FD302B1"/>
    <w:rsid w:val="0FDC0F5F"/>
    <w:rsid w:val="0FE02DA2"/>
    <w:rsid w:val="0FF90F49"/>
    <w:rsid w:val="0FFA1E10"/>
    <w:rsid w:val="100E5B96"/>
    <w:rsid w:val="101A42BE"/>
    <w:rsid w:val="101F3B26"/>
    <w:rsid w:val="105E525A"/>
    <w:rsid w:val="10713913"/>
    <w:rsid w:val="10B75FA1"/>
    <w:rsid w:val="10B90F04"/>
    <w:rsid w:val="10CE5AD2"/>
    <w:rsid w:val="10FB734D"/>
    <w:rsid w:val="111C65FD"/>
    <w:rsid w:val="11482537"/>
    <w:rsid w:val="117512BD"/>
    <w:rsid w:val="11862D52"/>
    <w:rsid w:val="11C10F8C"/>
    <w:rsid w:val="11D261A7"/>
    <w:rsid w:val="11E3559B"/>
    <w:rsid w:val="12256EA4"/>
    <w:rsid w:val="12345A66"/>
    <w:rsid w:val="125A44B5"/>
    <w:rsid w:val="127C0276"/>
    <w:rsid w:val="12A843B1"/>
    <w:rsid w:val="12D258D9"/>
    <w:rsid w:val="12D3158C"/>
    <w:rsid w:val="12EA3545"/>
    <w:rsid w:val="12F11514"/>
    <w:rsid w:val="12FA0782"/>
    <w:rsid w:val="13337729"/>
    <w:rsid w:val="140349A6"/>
    <w:rsid w:val="140B70C1"/>
    <w:rsid w:val="143955AB"/>
    <w:rsid w:val="14660620"/>
    <w:rsid w:val="14B136BB"/>
    <w:rsid w:val="14C92F02"/>
    <w:rsid w:val="14D94BDC"/>
    <w:rsid w:val="14E34236"/>
    <w:rsid w:val="14FE235A"/>
    <w:rsid w:val="150B0C97"/>
    <w:rsid w:val="152456D1"/>
    <w:rsid w:val="152C3791"/>
    <w:rsid w:val="154A0D7B"/>
    <w:rsid w:val="154C1C8F"/>
    <w:rsid w:val="155E614E"/>
    <w:rsid w:val="15670A56"/>
    <w:rsid w:val="156B5E66"/>
    <w:rsid w:val="15844ABF"/>
    <w:rsid w:val="15B62177"/>
    <w:rsid w:val="16357437"/>
    <w:rsid w:val="16730394"/>
    <w:rsid w:val="16BB72BD"/>
    <w:rsid w:val="16E03F43"/>
    <w:rsid w:val="16E05E3B"/>
    <w:rsid w:val="16E17922"/>
    <w:rsid w:val="16F21CF2"/>
    <w:rsid w:val="16F81DDB"/>
    <w:rsid w:val="171E02FE"/>
    <w:rsid w:val="17295D12"/>
    <w:rsid w:val="17395138"/>
    <w:rsid w:val="175851B5"/>
    <w:rsid w:val="17614581"/>
    <w:rsid w:val="1781413B"/>
    <w:rsid w:val="17A201AD"/>
    <w:rsid w:val="17A97A39"/>
    <w:rsid w:val="17BF46CE"/>
    <w:rsid w:val="17C75817"/>
    <w:rsid w:val="17D14EAF"/>
    <w:rsid w:val="17EA3E9E"/>
    <w:rsid w:val="17EB4560"/>
    <w:rsid w:val="1809334A"/>
    <w:rsid w:val="1820288C"/>
    <w:rsid w:val="186C04B0"/>
    <w:rsid w:val="18771A56"/>
    <w:rsid w:val="187C1066"/>
    <w:rsid w:val="189B3F46"/>
    <w:rsid w:val="189B65DB"/>
    <w:rsid w:val="18DA37FA"/>
    <w:rsid w:val="18E74A18"/>
    <w:rsid w:val="195121C1"/>
    <w:rsid w:val="195533D5"/>
    <w:rsid w:val="1969029C"/>
    <w:rsid w:val="19B06B88"/>
    <w:rsid w:val="19BD1EBF"/>
    <w:rsid w:val="1A1E4A1A"/>
    <w:rsid w:val="1A547A80"/>
    <w:rsid w:val="1A59458E"/>
    <w:rsid w:val="1A632D8F"/>
    <w:rsid w:val="1A69364D"/>
    <w:rsid w:val="1A7132E8"/>
    <w:rsid w:val="1A7B741B"/>
    <w:rsid w:val="1A805372"/>
    <w:rsid w:val="1AAE5C93"/>
    <w:rsid w:val="1AB13E1A"/>
    <w:rsid w:val="1AB33914"/>
    <w:rsid w:val="1AC61090"/>
    <w:rsid w:val="1ACA4A56"/>
    <w:rsid w:val="1ADA69A0"/>
    <w:rsid w:val="1B304458"/>
    <w:rsid w:val="1B4108AF"/>
    <w:rsid w:val="1B43323D"/>
    <w:rsid w:val="1B814037"/>
    <w:rsid w:val="1B83205F"/>
    <w:rsid w:val="1B961434"/>
    <w:rsid w:val="1BDA63BB"/>
    <w:rsid w:val="1BFB0DFE"/>
    <w:rsid w:val="1C4B3790"/>
    <w:rsid w:val="1C7455ED"/>
    <w:rsid w:val="1C80102F"/>
    <w:rsid w:val="1CA324C6"/>
    <w:rsid w:val="1CF06EE6"/>
    <w:rsid w:val="1D0C1DD8"/>
    <w:rsid w:val="1D161D2B"/>
    <w:rsid w:val="1D2A48B9"/>
    <w:rsid w:val="1D320CC9"/>
    <w:rsid w:val="1D3B1801"/>
    <w:rsid w:val="1D3D1990"/>
    <w:rsid w:val="1D5D7C5B"/>
    <w:rsid w:val="1D7E7B56"/>
    <w:rsid w:val="1D910A90"/>
    <w:rsid w:val="1D994A41"/>
    <w:rsid w:val="1DA60867"/>
    <w:rsid w:val="1DFA15B5"/>
    <w:rsid w:val="1E092927"/>
    <w:rsid w:val="1E1E5ED4"/>
    <w:rsid w:val="1E362D99"/>
    <w:rsid w:val="1E5E05A9"/>
    <w:rsid w:val="1E6836C1"/>
    <w:rsid w:val="1E6D60D2"/>
    <w:rsid w:val="1E7A4290"/>
    <w:rsid w:val="1E9C14E3"/>
    <w:rsid w:val="1EB66B45"/>
    <w:rsid w:val="1ECA6EA3"/>
    <w:rsid w:val="1F032E6A"/>
    <w:rsid w:val="1F1B4FA2"/>
    <w:rsid w:val="1F1D0FB1"/>
    <w:rsid w:val="1F570E26"/>
    <w:rsid w:val="1FDE71B1"/>
    <w:rsid w:val="1FFF77AB"/>
    <w:rsid w:val="202479E1"/>
    <w:rsid w:val="204007E3"/>
    <w:rsid w:val="209D247D"/>
    <w:rsid w:val="20E54FEF"/>
    <w:rsid w:val="20FC5B3B"/>
    <w:rsid w:val="21057CC1"/>
    <w:rsid w:val="21092A5F"/>
    <w:rsid w:val="212C41EA"/>
    <w:rsid w:val="213D5738"/>
    <w:rsid w:val="214017DA"/>
    <w:rsid w:val="21416069"/>
    <w:rsid w:val="21CE4E6C"/>
    <w:rsid w:val="221D2F90"/>
    <w:rsid w:val="224443F0"/>
    <w:rsid w:val="22451038"/>
    <w:rsid w:val="224C7071"/>
    <w:rsid w:val="22660862"/>
    <w:rsid w:val="226D7905"/>
    <w:rsid w:val="228E591B"/>
    <w:rsid w:val="22953DA1"/>
    <w:rsid w:val="229F17FC"/>
    <w:rsid w:val="22C02297"/>
    <w:rsid w:val="22CA05A7"/>
    <w:rsid w:val="22CD5B1C"/>
    <w:rsid w:val="22E70030"/>
    <w:rsid w:val="23085D60"/>
    <w:rsid w:val="231C6523"/>
    <w:rsid w:val="23552774"/>
    <w:rsid w:val="23624D6A"/>
    <w:rsid w:val="238632DC"/>
    <w:rsid w:val="23D7043C"/>
    <w:rsid w:val="23EF7AC6"/>
    <w:rsid w:val="24032372"/>
    <w:rsid w:val="24097C6F"/>
    <w:rsid w:val="240C25AA"/>
    <w:rsid w:val="24170CEB"/>
    <w:rsid w:val="241B24B0"/>
    <w:rsid w:val="24386BBB"/>
    <w:rsid w:val="243C048B"/>
    <w:rsid w:val="246251F0"/>
    <w:rsid w:val="24C47314"/>
    <w:rsid w:val="24DA5C6F"/>
    <w:rsid w:val="25010B4B"/>
    <w:rsid w:val="250D0211"/>
    <w:rsid w:val="25477366"/>
    <w:rsid w:val="25596B4F"/>
    <w:rsid w:val="2573667D"/>
    <w:rsid w:val="258B69D6"/>
    <w:rsid w:val="25A95488"/>
    <w:rsid w:val="25CA6CC1"/>
    <w:rsid w:val="25D9764C"/>
    <w:rsid w:val="25F36D31"/>
    <w:rsid w:val="25F8025A"/>
    <w:rsid w:val="25FC57D0"/>
    <w:rsid w:val="26140663"/>
    <w:rsid w:val="264C4BB5"/>
    <w:rsid w:val="26622041"/>
    <w:rsid w:val="26694ACD"/>
    <w:rsid w:val="267B0B06"/>
    <w:rsid w:val="267B1146"/>
    <w:rsid w:val="26D84CA7"/>
    <w:rsid w:val="26DE5673"/>
    <w:rsid w:val="26F852A6"/>
    <w:rsid w:val="275B1F9A"/>
    <w:rsid w:val="27631DE1"/>
    <w:rsid w:val="27632DC0"/>
    <w:rsid w:val="27641F95"/>
    <w:rsid w:val="278A2ACF"/>
    <w:rsid w:val="278C6B81"/>
    <w:rsid w:val="27C40DF0"/>
    <w:rsid w:val="27D91385"/>
    <w:rsid w:val="27EF55E6"/>
    <w:rsid w:val="27F53C31"/>
    <w:rsid w:val="27FE437A"/>
    <w:rsid w:val="281B58C6"/>
    <w:rsid w:val="281C5CD0"/>
    <w:rsid w:val="28225891"/>
    <w:rsid w:val="2822705D"/>
    <w:rsid w:val="28413DBB"/>
    <w:rsid w:val="284D1F87"/>
    <w:rsid w:val="285912C5"/>
    <w:rsid w:val="28B61DBF"/>
    <w:rsid w:val="28FE17DC"/>
    <w:rsid w:val="291A28F3"/>
    <w:rsid w:val="292535BA"/>
    <w:rsid w:val="29440C90"/>
    <w:rsid w:val="29484AD1"/>
    <w:rsid w:val="299B01B7"/>
    <w:rsid w:val="299C26D3"/>
    <w:rsid w:val="29A03359"/>
    <w:rsid w:val="29AE5DB5"/>
    <w:rsid w:val="29B26B8C"/>
    <w:rsid w:val="29C64882"/>
    <w:rsid w:val="29ED3A0E"/>
    <w:rsid w:val="29FB7596"/>
    <w:rsid w:val="2A224E8B"/>
    <w:rsid w:val="2A524F56"/>
    <w:rsid w:val="2A6F3AA2"/>
    <w:rsid w:val="2A7A6C32"/>
    <w:rsid w:val="2A9B251D"/>
    <w:rsid w:val="2ACC66EF"/>
    <w:rsid w:val="2AE80B2C"/>
    <w:rsid w:val="2B5C51B3"/>
    <w:rsid w:val="2B6764EE"/>
    <w:rsid w:val="2BCA090E"/>
    <w:rsid w:val="2BF57A07"/>
    <w:rsid w:val="2BFA6347"/>
    <w:rsid w:val="2BFC0FF6"/>
    <w:rsid w:val="2C6A75CA"/>
    <w:rsid w:val="2C6E4352"/>
    <w:rsid w:val="2CA34892"/>
    <w:rsid w:val="2CCD2C42"/>
    <w:rsid w:val="2CD06F4A"/>
    <w:rsid w:val="2CD473C0"/>
    <w:rsid w:val="2CD92559"/>
    <w:rsid w:val="2CDD58BD"/>
    <w:rsid w:val="2CE95962"/>
    <w:rsid w:val="2D4E7332"/>
    <w:rsid w:val="2D6438AF"/>
    <w:rsid w:val="2D9D7840"/>
    <w:rsid w:val="2DA566DF"/>
    <w:rsid w:val="2DB63C94"/>
    <w:rsid w:val="2DD76DB6"/>
    <w:rsid w:val="2DE45D1F"/>
    <w:rsid w:val="2DEB334C"/>
    <w:rsid w:val="2DF66C64"/>
    <w:rsid w:val="2E3725A0"/>
    <w:rsid w:val="2E654401"/>
    <w:rsid w:val="2E8946A1"/>
    <w:rsid w:val="2E904C4F"/>
    <w:rsid w:val="2E9A3D15"/>
    <w:rsid w:val="2EC777DD"/>
    <w:rsid w:val="2EC9521E"/>
    <w:rsid w:val="2ED33FE2"/>
    <w:rsid w:val="2ED537EF"/>
    <w:rsid w:val="2EDA2559"/>
    <w:rsid w:val="2EEF2D0C"/>
    <w:rsid w:val="2EFD144A"/>
    <w:rsid w:val="2F3D6B45"/>
    <w:rsid w:val="2F753F35"/>
    <w:rsid w:val="2FA1242C"/>
    <w:rsid w:val="2FB275A3"/>
    <w:rsid w:val="2FBA2BC8"/>
    <w:rsid w:val="2FDF207D"/>
    <w:rsid w:val="2FE4719A"/>
    <w:rsid w:val="30293FD5"/>
    <w:rsid w:val="308F6056"/>
    <w:rsid w:val="30A82559"/>
    <w:rsid w:val="30C531B6"/>
    <w:rsid w:val="30C860C4"/>
    <w:rsid w:val="30D8545C"/>
    <w:rsid w:val="30E30D61"/>
    <w:rsid w:val="310A4184"/>
    <w:rsid w:val="31873CD0"/>
    <w:rsid w:val="31873FDC"/>
    <w:rsid w:val="319B290D"/>
    <w:rsid w:val="31C42033"/>
    <w:rsid w:val="31CD3780"/>
    <w:rsid w:val="31DA0A6E"/>
    <w:rsid w:val="320312F5"/>
    <w:rsid w:val="32255413"/>
    <w:rsid w:val="3232078E"/>
    <w:rsid w:val="323372C8"/>
    <w:rsid w:val="32587AA0"/>
    <w:rsid w:val="32736566"/>
    <w:rsid w:val="32E209E9"/>
    <w:rsid w:val="32F623CA"/>
    <w:rsid w:val="32FE5F2E"/>
    <w:rsid w:val="330246B1"/>
    <w:rsid w:val="33E40DB0"/>
    <w:rsid w:val="33EC436F"/>
    <w:rsid w:val="33ED2FD0"/>
    <w:rsid w:val="341100B8"/>
    <w:rsid w:val="341C1796"/>
    <w:rsid w:val="34200B28"/>
    <w:rsid w:val="346F16C3"/>
    <w:rsid w:val="34793EFB"/>
    <w:rsid w:val="348064EA"/>
    <w:rsid w:val="34CA3142"/>
    <w:rsid w:val="34CC1980"/>
    <w:rsid w:val="352750D1"/>
    <w:rsid w:val="352A091C"/>
    <w:rsid w:val="3566682F"/>
    <w:rsid w:val="356B6E8D"/>
    <w:rsid w:val="357D685B"/>
    <w:rsid w:val="35A515E9"/>
    <w:rsid w:val="35E534F1"/>
    <w:rsid w:val="36066A24"/>
    <w:rsid w:val="361072E9"/>
    <w:rsid w:val="36394A0F"/>
    <w:rsid w:val="364425B3"/>
    <w:rsid w:val="364610BA"/>
    <w:rsid w:val="36487835"/>
    <w:rsid w:val="365A2797"/>
    <w:rsid w:val="36AD59BA"/>
    <w:rsid w:val="36BD75CE"/>
    <w:rsid w:val="36D477A4"/>
    <w:rsid w:val="37194D1F"/>
    <w:rsid w:val="372128CF"/>
    <w:rsid w:val="37302189"/>
    <w:rsid w:val="373D33AA"/>
    <w:rsid w:val="37543B39"/>
    <w:rsid w:val="37563A77"/>
    <w:rsid w:val="375A20C0"/>
    <w:rsid w:val="3791083A"/>
    <w:rsid w:val="37BA269D"/>
    <w:rsid w:val="37FD1243"/>
    <w:rsid w:val="382F676B"/>
    <w:rsid w:val="38320E30"/>
    <w:rsid w:val="383C3D65"/>
    <w:rsid w:val="38406030"/>
    <w:rsid w:val="3846334F"/>
    <w:rsid w:val="385F39F1"/>
    <w:rsid w:val="38D62C0E"/>
    <w:rsid w:val="392111FD"/>
    <w:rsid w:val="392834BC"/>
    <w:rsid w:val="39432764"/>
    <w:rsid w:val="398A7BC9"/>
    <w:rsid w:val="39B57315"/>
    <w:rsid w:val="39B918FD"/>
    <w:rsid w:val="39BB1209"/>
    <w:rsid w:val="39C81EDC"/>
    <w:rsid w:val="39DE6ECB"/>
    <w:rsid w:val="39E026C0"/>
    <w:rsid w:val="39E974FF"/>
    <w:rsid w:val="39F24187"/>
    <w:rsid w:val="3A1F61A9"/>
    <w:rsid w:val="3A517F77"/>
    <w:rsid w:val="3A5A2454"/>
    <w:rsid w:val="3A5F3653"/>
    <w:rsid w:val="3A674952"/>
    <w:rsid w:val="3A7F7E42"/>
    <w:rsid w:val="3AB6332E"/>
    <w:rsid w:val="3B074799"/>
    <w:rsid w:val="3B2D268C"/>
    <w:rsid w:val="3B493E7A"/>
    <w:rsid w:val="3B7018C0"/>
    <w:rsid w:val="3B844D78"/>
    <w:rsid w:val="3B90392B"/>
    <w:rsid w:val="3B93390D"/>
    <w:rsid w:val="3BE25DEF"/>
    <w:rsid w:val="3C084104"/>
    <w:rsid w:val="3C0E32C0"/>
    <w:rsid w:val="3C37274D"/>
    <w:rsid w:val="3C4046B9"/>
    <w:rsid w:val="3C44776F"/>
    <w:rsid w:val="3C6E4B1A"/>
    <w:rsid w:val="3C946FA4"/>
    <w:rsid w:val="3C9825A0"/>
    <w:rsid w:val="3C9B24B7"/>
    <w:rsid w:val="3CB42FDC"/>
    <w:rsid w:val="3CD646C5"/>
    <w:rsid w:val="3CD7747E"/>
    <w:rsid w:val="3CE25073"/>
    <w:rsid w:val="3D37382B"/>
    <w:rsid w:val="3D4B7C7A"/>
    <w:rsid w:val="3D4F2B2E"/>
    <w:rsid w:val="3D5156E3"/>
    <w:rsid w:val="3D7C6AD4"/>
    <w:rsid w:val="3D837F56"/>
    <w:rsid w:val="3D94770A"/>
    <w:rsid w:val="3DBF473E"/>
    <w:rsid w:val="3DEB36FE"/>
    <w:rsid w:val="3DEB41D0"/>
    <w:rsid w:val="3DEC0E69"/>
    <w:rsid w:val="3DF0655F"/>
    <w:rsid w:val="3E1951CD"/>
    <w:rsid w:val="3E4601C7"/>
    <w:rsid w:val="3E514126"/>
    <w:rsid w:val="3E62447B"/>
    <w:rsid w:val="3E6C0E96"/>
    <w:rsid w:val="3E75478B"/>
    <w:rsid w:val="3E8A12CA"/>
    <w:rsid w:val="3E9005DB"/>
    <w:rsid w:val="3EA572C5"/>
    <w:rsid w:val="3EAC6A6F"/>
    <w:rsid w:val="3EB05281"/>
    <w:rsid w:val="3ED013EA"/>
    <w:rsid w:val="3F162C4E"/>
    <w:rsid w:val="3F34307B"/>
    <w:rsid w:val="3F357A9C"/>
    <w:rsid w:val="3F3601FD"/>
    <w:rsid w:val="3F444D8F"/>
    <w:rsid w:val="3F6925C9"/>
    <w:rsid w:val="3FA17448"/>
    <w:rsid w:val="3FB95302"/>
    <w:rsid w:val="3FE734BE"/>
    <w:rsid w:val="3FEE36CE"/>
    <w:rsid w:val="4006672B"/>
    <w:rsid w:val="40211AFB"/>
    <w:rsid w:val="40477BB2"/>
    <w:rsid w:val="405B10DF"/>
    <w:rsid w:val="407D7D0D"/>
    <w:rsid w:val="408453DE"/>
    <w:rsid w:val="408465D4"/>
    <w:rsid w:val="40886BAC"/>
    <w:rsid w:val="40D30DE5"/>
    <w:rsid w:val="40E37E9D"/>
    <w:rsid w:val="40EB576C"/>
    <w:rsid w:val="410F39C9"/>
    <w:rsid w:val="416273EF"/>
    <w:rsid w:val="41677A08"/>
    <w:rsid w:val="417B43EF"/>
    <w:rsid w:val="419263E7"/>
    <w:rsid w:val="41A44C81"/>
    <w:rsid w:val="41AD0D5F"/>
    <w:rsid w:val="41E0648C"/>
    <w:rsid w:val="42060897"/>
    <w:rsid w:val="4278572F"/>
    <w:rsid w:val="42836549"/>
    <w:rsid w:val="428645FB"/>
    <w:rsid w:val="42995E9C"/>
    <w:rsid w:val="42FB45FF"/>
    <w:rsid w:val="43295999"/>
    <w:rsid w:val="4331569F"/>
    <w:rsid w:val="4363261F"/>
    <w:rsid w:val="436B6708"/>
    <w:rsid w:val="436B7BE7"/>
    <w:rsid w:val="437A6D31"/>
    <w:rsid w:val="438576C5"/>
    <w:rsid w:val="438956B6"/>
    <w:rsid w:val="43A0503A"/>
    <w:rsid w:val="43AC460B"/>
    <w:rsid w:val="43AE4585"/>
    <w:rsid w:val="43AF74A4"/>
    <w:rsid w:val="43DE2032"/>
    <w:rsid w:val="43E92B48"/>
    <w:rsid w:val="44633C9C"/>
    <w:rsid w:val="448B739C"/>
    <w:rsid w:val="44924E1E"/>
    <w:rsid w:val="44A40343"/>
    <w:rsid w:val="44CB3317"/>
    <w:rsid w:val="44EE1EEE"/>
    <w:rsid w:val="44F6604A"/>
    <w:rsid w:val="45065E21"/>
    <w:rsid w:val="45165967"/>
    <w:rsid w:val="453B69A3"/>
    <w:rsid w:val="4541465C"/>
    <w:rsid w:val="45537A8D"/>
    <w:rsid w:val="457720F3"/>
    <w:rsid w:val="45B15BE0"/>
    <w:rsid w:val="45E5019F"/>
    <w:rsid w:val="45F119BE"/>
    <w:rsid w:val="45F87335"/>
    <w:rsid w:val="45FB2318"/>
    <w:rsid w:val="4601175C"/>
    <w:rsid w:val="460C2CD8"/>
    <w:rsid w:val="463F3866"/>
    <w:rsid w:val="46526C5A"/>
    <w:rsid w:val="46582460"/>
    <w:rsid w:val="46687C2D"/>
    <w:rsid w:val="46925C02"/>
    <w:rsid w:val="46B32B19"/>
    <w:rsid w:val="46C42889"/>
    <w:rsid w:val="46D03BE9"/>
    <w:rsid w:val="47260559"/>
    <w:rsid w:val="472D784B"/>
    <w:rsid w:val="47496BCA"/>
    <w:rsid w:val="474A21AE"/>
    <w:rsid w:val="47537AF3"/>
    <w:rsid w:val="475C4B8C"/>
    <w:rsid w:val="47670DC8"/>
    <w:rsid w:val="47A94CC1"/>
    <w:rsid w:val="47C7637D"/>
    <w:rsid w:val="47E65860"/>
    <w:rsid w:val="4801627A"/>
    <w:rsid w:val="482D5B14"/>
    <w:rsid w:val="485F0DB2"/>
    <w:rsid w:val="48603A58"/>
    <w:rsid w:val="486E3DB4"/>
    <w:rsid w:val="48A878A1"/>
    <w:rsid w:val="48DD7888"/>
    <w:rsid w:val="48F067FD"/>
    <w:rsid w:val="49262431"/>
    <w:rsid w:val="49536401"/>
    <w:rsid w:val="497139F6"/>
    <w:rsid w:val="49AD67A9"/>
    <w:rsid w:val="49B67F63"/>
    <w:rsid w:val="49C21C54"/>
    <w:rsid w:val="49D86193"/>
    <w:rsid w:val="49D95894"/>
    <w:rsid w:val="49FF5A00"/>
    <w:rsid w:val="4A156594"/>
    <w:rsid w:val="4A262BB9"/>
    <w:rsid w:val="4A3E64AE"/>
    <w:rsid w:val="4A400228"/>
    <w:rsid w:val="4A4E0E8A"/>
    <w:rsid w:val="4A597B39"/>
    <w:rsid w:val="4A65113F"/>
    <w:rsid w:val="4A6A18D4"/>
    <w:rsid w:val="4A806921"/>
    <w:rsid w:val="4A994F02"/>
    <w:rsid w:val="4ACE150E"/>
    <w:rsid w:val="4B0320C5"/>
    <w:rsid w:val="4B08477A"/>
    <w:rsid w:val="4B145155"/>
    <w:rsid w:val="4B285435"/>
    <w:rsid w:val="4B485799"/>
    <w:rsid w:val="4BA81D40"/>
    <w:rsid w:val="4BB96FD8"/>
    <w:rsid w:val="4BFB7789"/>
    <w:rsid w:val="4BFD5975"/>
    <w:rsid w:val="4C041C0D"/>
    <w:rsid w:val="4C102860"/>
    <w:rsid w:val="4C4458AC"/>
    <w:rsid w:val="4C4A0B54"/>
    <w:rsid w:val="4C53050C"/>
    <w:rsid w:val="4C796778"/>
    <w:rsid w:val="4CC03F49"/>
    <w:rsid w:val="4D0F70E2"/>
    <w:rsid w:val="4D1F6A88"/>
    <w:rsid w:val="4D753C2B"/>
    <w:rsid w:val="4D797B75"/>
    <w:rsid w:val="4D7E4856"/>
    <w:rsid w:val="4DA7264F"/>
    <w:rsid w:val="4DBA1DDA"/>
    <w:rsid w:val="4DCF6A40"/>
    <w:rsid w:val="4DD9502E"/>
    <w:rsid w:val="4DDE2FE2"/>
    <w:rsid w:val="4DE03084"/>
    <w:rsid w:val="4DFD1239"/>
    <w:rsid w:val="4E040687"/>
    <w:rsid w:val="4E387EE5"/>
    <w:rsid w:val="4E5778B5"/>
    <w:rsid w:val="4E6344C1"/>
    <w:rsid w:val="4E677641"/>
    <w:rsid w:val="4E7D166B"/>
    <w:rsid w:val="4EB12749"/>
    <w:rsid w:val="4ED81582"/>
    <w:rsid w:val="4EE6036B"/>
    <w:rsid w:val="4F0D3C06"/>
    <w:rsid w:val="4F4D6FBA"/>
    <w:rsid w:val="4F7E12C5"/>
    <w:rsid w:val="4F9E13C2"/>
    <w:rsid w:val="4FB91847"/>
    <w:rsid w:val="4FBA17C7"/>
    <w:rsid w:val="4FCB5A50"/>
    <w:rsid w:val="5033292A"/>
    <w:rsid w:val="503F0241"/>
    <w:rsid w:val="505D5CAC"/>
    <w:rsid w:val="508F2297"/>
    <w:rsid w:val="50A27B60"/>
    <w:rsid w:val="50F24675"/>
    <w:rsid w:val="511059B2"/>
    <w:rsid w:val="51105C25"/>
    <w:rsid w:val="511402E7"/>
    <w:rsid w:val="51290690"/>
    <w:rsid w:val="514E1763"/>
    <w:rsid w:val="51882BB7"/>
    <w:rsid w:val="51AA32D2"/>
    <w:rsid w:val="51B91897"/>
    <w:rsid w:val="51E96FB7"/>
    <w:rsid w:val="521C5C32"/>
    <w:rsid w:val="52221FF7"/>
    <w:rsid w:val="52295E6A"/>
    <w:rsid w:val="522A7B0F"/>
    <w:rsid w:val="52504AAE"/>
    <w:rsid w:val="52626BDA"/>
    <w:rsid w:val="527B7044"/>
    <w:rsid w:val="527E7001"/>
    <w:rsid w:val="52802C8D"/>
    <w:rsid w:val="528816FC"/>
    <w:rsid w:val="529971C3"/>
    <w:rsid w:val="52A813C1"/>
    <w:rsid w:val="52B226F0"/>
    <w:rsid w:val="52D044E9"/>
    <w:rsid w:val="52E0675E"/>
    <w:rsid w:val="52F64ABB"/>
    <w:rsid w:val="534F3060"/>
    <w:rsid w:val="53661A69"/>
    <w:rsid w:val="53824E42"/>
    <w:rsid w:val="53AF577B"/>
    <w:rsid w:val="53B81564"/>
    <w:rsid w:val="53B963A3"/>
    <w:rsid w:val="53BE1EA8"/>
    <w:rsid w:val="53D6508F"/>
    <w:rsid w:val="53EB3C29"/>
    <w:rsid w:val="53EE7985"/>
    <w:rsid w:val="53FC1164"/>
    <w:rsid w:val="540C2226"/>
    <w:rsid w:val="54230914"/>
    <w:rsid w:val="542E0882"/>
    <w:rsid w:val="544659D1"/>
    <w:rsid w:val="545566A6"/>
    <w:rsid w:val="54837EFF"/>
    <w:rsid w:val="548D0B37"/>
    <w:rsid w:val="549E5685"/>
    <w:rsid w:val="54E116CE"/>
    <w:rsid w:val="54E422FD"/>
    <w:rsid w:val="54F3797D"/>
    <w:rsid w:val="55070528"/>
    <w:rsid w:val="5519210A"/>
    <w:rsid w:val="55312492"/>
    <w:rsid w:val="55CF6578"/>
    <w:rsid w:val="55E27844"/>
    <w:rsid w:val="55E83080"/>
    <w:rsid w:val="55EE1788"/>
    <w:rsid w:val="55FC7478"/>
    <w:rsid w:val="56154289"/>
    <w:rsid w:val="566F794E"/>
    <w:rsid w:val="56B36D81"/>
    <w:rsid w:val="56C31C99"/>
    <w:rsid w:val="56FF2ED2"/>
    <w:rsid w:val="579C2079"/>
    <w:rsid w:val="579E0660"/>
    <w:rsid w:val="57B95A7E"/>
    <w:rsid w:val="57F4362D"/>
    <w:rsid w:val="581754DE"/>
    <w:rsid w:val="5819535C"/>
    <w:rsid w:val="585020AD"/>
    <w:rsid w:val="586469F7"/>
    <w:rsid w:val="58884862"/>
    <w:rsid w:val="58F52059"/>
    <w:rsid w:val="59130592"/>
    <w:rsid w:val="591C008E"/>
    <w:rsid w:val="591F21BB"/>
    <w:rsid w:val="59225DB5"/>
    <w:rsid w:val="59273716"/>
    <w:rsid w:val="594F3F26"/>
    <w:rsid w:val="59504840"/>
    <w:rsid w:val="59540361"/>
    <w:rsid w:val="59BA6957"/>
    <w:rsid w:val="59F1034F"/>
    <w:rsid w:val="59F20DAC"/>
    <w:rsid w:val="5A1325AC"/>
    <w:rsid w:val="5A2D24F9"/>
    <w:rsid w:val="5A393139"/>
    <w:rsid w:val="5A3E558D"/>
    <w:rsid w:val="5A652F6B"/>
    <w:rsid w:val="5A7C4CDD"/>
    <w:rsid w:val="5A7D2B45"/>
    <w:rsid w:val="5AB5306C"/>
    <w:rsid w:val="5AC074FE"/>
    <w:rsid w:val="5AC87A07"/>
    <w:rsid w:val="5ACE650A"/>
    <w:rsid w:val="5B230028"/>
    <w:rsid w:val="5B465423"/>
    <w:rsid w:val="5B8D1569"/>
    <w:rsid w:val="5BB04B46"/>
    <w:rsid w:val="5C283F58"/>
    <w:rsid w:val="5C451798"/>
    <w:rsid w:val="5C4D2992"/>
    <w:rsid w:val="5C5117C4"/>
    <w:rsid w:val="5C6A6BD9"/>
    <w:rsid w:val="5CE034B4"/>
    <w:rsid w:val="5D1A2ED6"/>
    <w:rsid w:val="5D3357F5"/>
    <w:rsid w:val="5D622A72"/>
    <w:rsid w:val="5D6F21B9"/>
    <w:rsid w:val="5D776F63"/>
    <w:rsid w:val="5DAD53F7"/>
    <w:rsid w:val="5DCD0A16"/>
    <w:rsid w:val="5DEE234F"/>
    <w:rsid w:val="5E017170"/>
    <w:rsid w:val="5E062D5C"/>
    <w:rsid w:val="5E1523CC"/>
    <w:rsid w:val="5E3E6566"/>
    <w:rsid w:val="5E472D1A"/>
    <w:rsid w:val="5E644C39"/>
    <w:rsid w:val="5E697C5A"/>
    <w:rsid w:val="5E6D54D6"/>
    <w:rsid w:val="5EA41AFB"/>
    <w:rsid w:val="5EA503A5"/>
    <w:rsid w:val="5ED52A3F"/>
    <w:rsid w:val="5F814F5A"/>
    <w:rsid w:val="5FBD27A5"/>
    <w:rsid w:val="5FC13E5D"/>
    <w:rsid w:val="5FC40367"/>
    <w:rsid w:val="5FC72BC6"/>
    <w:rsid w:val="5FDC5254"/>
    <w:rsid w:val="5FEA4695"/>
    <w:rsid w:val="5FEE2206"/>
    <w:rsid w:val="60052319"/>
    <w:rsid w:val="600F7DAC"/>
    <w:rsid w:val="60104F0A"/>
    <w:rsid w:val="60156994"/>
    <w:rsid w:val="604B743F"/>
    <w:rsid w:val="60760318"/>
    <w:rsid w:val="60E22063"/>
    <w:rsid w:val="60EA15CC"/>
    <w:rsid w:val="60EC553C"/>
    <w:rsid w:val="60F359EB"/>
    <w:rsid w:val="60F62426"/>
    <w:rsid w:val="60FE62C5"/>
    <w:rsid w:val="61102EF5"/>
    <w:rsid w:val="614E04B9"/>
    <w:rsid w:val="615E4ECF"/>
    <w:rsid w:val="61601567"/>
    <w:rsid w:val="616E1534"/>
    <w:rsid w:val="618A6755"/>
    <w:rsid w:val="618C5E9B"/>
    <w:rsid w:val="61A32321"/>
    <w:rsid w:val="61A73935"/>
    <w:rsid w:val="61AE0E7A"/>
    <w:rsid w:val="61B412BB"/>
    <w:rsid w:val="61BE318E"/>
    <w:rsid w:val="61C20AD0"/>
    <w:rsid w:val="61FF796D"/>
    <w:rsid w:val="62106087"/>
    <w:rsid w:val="62332FA6"/>
    <w:rsid w:val="62333286"/>
    <w:rsid w:val="62410445"/>
    <w:rsid w:val="626F5518"/>
    <w:rsid w:val="628E0DDC"/>
    <w:rsid w:val="62A102E5"/>
    <w:rsid w:val="62BB4929"/>
    <w:rsid w:val="62C736F9"/>
    <w:rsid w:val="62D648F2"/>
    <w:rsid w:val="63341E9F"/>
    <w:rsid w:val="637113E3"/>
    <w:rsid w:val="63943A57"/>
    <w:rsid w:val="639777B3"/>
    <w:rsid w:val="63BF218B"/>
    <w:rsid w:val="642411AA"/>
    <w:rsid w:val="64244A25"/>
    <w:rsid w:val="644328F1"/>
    <w:rsid w:val="648C1699"/>
    <w:rsid w:val="64991791"/>
    <w:rsid w:val="649C631E"/>
    <w:rsid w:val="64AB59D4"/>
    <w:rsid w:val="64AD0B79"/>
    <w:rsid w:val="64CD2FC5"/>
    <w:rsid w:val="64D63E03"/>
    <w:rsid w:val="64F6472B"/>
    <w:rsid w:val="65191EB6"/>
    <w:rsid w:val="651C4A42"/>
    <w:rsid w:val="652B7E7E"/>
    <w:rsid w:val="652D3438"/>
    <w:rsid w:val="654C32F2"/>
    <w:rsid w:val="65A05432"/>
    <w:rsid w:val="65A33989"/>
    <w:rsid w:val="65BD36D5"/>
    <w:rsid w:val="65E26F4E"/>
    <w:rsid w:val="65E57177"/>
    <w:rsid w:val="65EC61B7"/>
    <w:rsid w:val="66313CE5"/>
    <w:rsid w:val="6636480E"/>
    <w:rsid w:val="665F7F16"/>
    <w:rsid w:val="666A40B9"/>
    <w:rsid w:val="66890758"/>
    <w:rsid w:val="668A11B8"/>
    <w:rsid w:val="66996DAB"/>
    <w:rsid w:val="66AD04D8"/>
    <w:rsid w:val="66BE4D49"/>
    <w:rsid w:val="66D84F69"/>
    <w:rsid w:val="6712429D"/>
    <w:rsid w:val="67AF7516"/>
    <w:rsid w:val="67F573D4"/>
    <w:rsid w:val="6846189B"/>
    <w:rsid w:val="685F5376"/>
    <w:rsid w:val="68843A00"/>
    <w:rsid w:val="6904155C"/>
    <w:rsid w:val="690853CA"/>
    <w:rsid w:val="693A13F9"/>
    <w:rsid w:val="693B4049"/>
    <w:rsid w:val="693B6588"/>
    <w:rsid w:val="693C384D"/>
    <w:rsid w:val="6943068C"/>
    <w:rsid w:val="695B3258"/>
    <w:rsid w:val="696D347D"/>
    <w:rsid w:val="69721A76"/>
    <w:rsid w:val="69C5573D"/>
    <w:rsid w:val="69FD70EE"/>
    <w:rsid w:val="6A177A89"/>
    <w:rsid w:val="6A26558B"/>
    <w:rsid w:val="6A6A660B"/>
    <w:rsid w:val="6A71568E"/>
    <w:rsid w:val="6AB44C31"/>
    <w:rsid w:val="6AC70312"/>
    <w:rsid w:val="6AD27B67"/>
    <w:rsid w:val="6ADB72F0"/>
    <w:rsid w:val="6B371758"/>
    <w:rsid w:val="6B3F7D45"/>
    <w:rsid w:val="6B4D4FDC"/>
    <w:rsid w:val="6B5C5DEE"/>
    <w:rsid w:val="6B9E0F29"/>
    <w:rsid w:val="6BC05392"/>
    <w:rsid w:val="6BF24B14"/>
    <w:rsid w:val="6BFE4322"/>
    <w:rsid w:val="6C632BD4"/>
    <w:rsid w:val="6C922213"/>
    <w:rsid w:val="6C927BCD"/>
    <w:rsid w:val="6CA62A89"/>
    <w:rsid w:val="6CD16082"/>
    <w:rsid w:val="6CE30D0F"/>
    <w:rsid w:val="6CE8675F"/>
    <w:rsid w:val="6CF73D1C"/>
    <w:rsid w:val="6D184C1E"/>
    <w:rsid w:val="6D2154B9"/>
    <w:rsid w:val="6D5C78CD"/>
    <w:rsid w:val="6D6C2C93"/>
    <w:rsid w:val="6D9D2F09"/>
    <w:rsid w:val="6DA774C6"/>
    <w:rsid w:val="6DCA046F"/>
    <w:rsid w:val="6E02353D"/>
    <w:rsid w:val="6E047828"/>
    <w:rsid w:val="6E0C17D1"/>
    <w:rsid w:val="6E5174C7"/>
    <w:rsid w:val="6E552E8F"/>
    <w:rsid w:val="6E7C5DE6"/>
    <w:rsid w:val="6EB5404E"/>
    <w:rsid w:val="6EC4367F"/>
    <w:rsid w:val="6ECA5789"/>
    <w:rsid w:val="6ED7325E"/>
    <w:rsid w:val="6EE95683"/>
    <w:rsid w:val="6F2E239C"/>
    <w:rsid w:val="6F314A33"/>
    <w:rsid w:val="6F3B1D51"/>
    <w:rsid w:val="6F4868C5"/>
    <w:rsid w:val="6F736D30"/>
    <w:rsid w:val="6F790138"/>
    <w:rsid w:val="6F901BF2"/>
    <w:rsid w:val="6FAF1D16"/>
    <w:rsid w:val="6FF03ADB"/>
    <w:rsid w:val="70117384"/>
    <w:rsid w:val="701966B9"/>
    <w:rsid w:val="70430733"/>
    <w:rsid w:val="7062712B"/>
    <w:rsid w:val="70700052"/>
    <w:rsid w:val="709C1144"/>
    <w:rsid w:val="70A96CFC"/>
    <w:rsid w:val="70AF36FD"/>
    <w:rsid w:val="70BD4B43"/>
    <w:rsid w:val="70C84244"/>
    <w:rsid w:val="70D54129"/>
    <w:rsid w:val="70DB5407"/>
    <w:rsid w:val="71036F15"/>
    <w:rsid w:val="717D060B"/>
    <w:rsid w:val="71845339"/>
    <w:rsid w:val="719E46B3"/>
    <w:rsid w:val="71A06D4F"/>
    <w:rsid w:val="71C42F38"/>
    <w:rsid w:val="71CE7474"/>
    <w:rsid w:val="71EF3A6B"/>
    <w:rsid w:val="71F71221"/>
    <w:rsid w:val="720A6A77"/>
    <w:rsid w:val="72260E87"/>
    <w:rsid w:val="72314349"/>
    <w:rsid w:val="72434834"/>
    <w:rsid w:val="72517E3F"/>
    <w:rsid w:val="726B110C"/>
    <w:rsid w:val="726B5CB4"/>
    <w:rsid w:val="72731D01"/>
    <w:rsid w:val="72A61CC5"/>
    <w:rsid w:val="73003726"/>
    <w:rsid w:val="73134605"/>
    <w:rsid w:val="735D665A"/>
    <w:rsid w:val="736C3870"/>
    <w:rsid w:val="738A5500"/>
    <w:rsid w:val="73962F90"/>
    <w:rsid w:val="73A24FA3"/>
    <w:rsid w:val="73BB1F35"/>
    <w:rsid w:val="74022FF8"/>
    <w:rsid w:val="740A478C"/>
    <w:rsid w:val="741A191B"/>
    <w:rsid w:val="746C7142"/>
    <w:rsid w:val="750F74D5"/>
    <w:rsid w:val="7527283E"/>
    <w:rsid w:val="75290ED3"/>
    <w:rsid w:val="752A6C74"/>
    <w:rsid w:val="754D4B9C"/>
    <w:rsid w:val="754E1482"/>
    <w:rsid w:val="756A3203"/>
    <w:rsid w:val="75AE4C8D"/>
    <w:rsid w:val="75C52B6A"/>
    <w:rsid w:val="75E041A7"/>
    <w:rsid w:val="766F0296"/>
    <w:rsid w:val="76D643B5"/>
    <w:rsid w:val="76FC3C17"/>
    <w:rsid w:val="771D390B"/>
    <w:rsid w:val="772D5A65"/>
    <w:rsid w:val="774D420B"/>
    <w:rsid w:val="77553199"/>
    <w:rsid w:val="775E70DD"/>
    <w:rsid w:val="77910669"/>
    <w:rsid w:val="77957D97"/>
    <w:rsid w:val="779B2FAA"/>
    <w:rsid w:val="77CC0B22"/>
    <w:rsid w:val="77D517BF"/>
    <w:rsid w:val="78034E76"/>
    <w:rsid w:val="78527999"/>
    <w:rsid w:val="786E7BC2"/>
    <w:rsid w:val="78896B03"/>
    <w:rsid w:val="788E4550"/>
    <w:rsid w:val="78A457F3"/>
    <w:rsid w:val="78F273D2"/>
    <w:rsid w:val="79502AEB"/>
    <w:rsid w:val="796477BE"/>
    <w:rsid w:val="79787A43"/>
    <w:rsid w:val="79B72950"/>
    <w:rsid w:val="79B8355C"/>
    <w:rsid w:val="79BD33ED"/>
    <w:rsid w:val="79D21235"/>
    <w:rsid w:val="79E937F2"/>
    <w:rsid w:val="79EC12D5"/>
    <w:rsid w:val="7A2970A8"/>
    <w:rsid w:val="7A3D2005"/>
    <w:rsid w:val="7A7A2D84"/>
    <w:rsid w:val="7AB10BC1"/>
    <w:rsid w:val="7AC81714"/>
    <w:rsid w:val="7ACC6285"/>
    <w:rsid w:val="7AE961D5"/>
    <w:rsid w:val="7AEE0F61"/>
    <w:rsid w:val="7AF80264"/>
    <w:rsid w:val="7B165A74"/>
    <w:rsid w:val="7B290B71"/>
    <w:rsid w:val="7B8740B3"/>
    <w:rsid w:val="7B9B5479"/>
    <w:rsid w:val="7BA537BF"/>
    <w:rsid w:val="7BB01D39"/>
    <w:rsid w:val="7BB160BB"/>
    <w:rsid w:val="7BBA4EFD"/>
    <w:rsid w:val="7BE2692F"/>
    <w:rsid w:val="7BE56EF8"/>
    <w:rsid w:val="7BE97A6E"/>
    <w:rsid w:val="7C2750B0"/>
    <w:rsid w:val="7C345535"/>
    <w:rsid w:val="7C3458E0"/>
    <w:rsid w:val="7C912737"/>
    <w:rsid w:val="7CB9118B"/>
    <w:rsid w:val="7CBF7162"/>
    <w:rsid w:val="7CD171D4"/>
    <w:rsid w:val="7CDE128F"/>
    <w:rsid w:val="7CF74A1B"/>
    <w:rsid w:val="7CFC2CD0"/>
    <w:rsid w:val="7D0306C5"/>
    <w:rsid w:val="7D3A3C09"/>
    <w:rsid w:val="7D7705F8"/>
    <w:rsid w:val="7DC85AD8"/>
    <w:rsid w:val="7DCF08E9"/>
    <w:rsid w:val="7DDF5045"/>
    <w:rsid w:val="7E016F56"/>
    <w:rsid w:val="7E3A7C85"/>
    <w:rsid w:val="7E3C3872"/>
    <w:rsid w:val="7E901D41"/>
    <w:rsid w:val="7EBA2F2A"/>
    <w:rsid w:val="7ECE1C8D"/>
    <w:rsid w:val="7EDC314A"/>
    <w:rsid w:val="7EFB0259"/>
    <w:rsid w:val="7F076766"/>
    <w:rsid w:val="7F2B712A"/>
    <w:rsid w:val="7F3A7616"/>
    <w:rsid w:val="7F420D02"/>
    <w:rsid w:val="7F591F90"/>
    <w:rsid w:val="7F624624"/>
    <w:rsid w:val="7F826731"/>
    <w:rsid w:val="7F8441F9"/>
    <w:rsid w:val="7F912972"/>
    <w:rsid w:val="7F944340"/>
    <w:rsid w:val="7FA9024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jc w:val="left"/>
      <w:outlineLvl w:val="0"/>
    </w:pPr>
    <w:rPr>
      <w:rFonts w:hint="eastAsia" w:ascii="宋体" w:hAnsi="宋体"/>
      <w:b/>
      <w:kern w:val="44"/>
      <w:szCs w:val="21"/>
    </w:rPr>
  </w:style>
  <w:style w:type="paragraph" w:styleId="4">
    <w:name w:val="heading 2"/>
    <w:basedOn w:val="1"/>
    <w:next w:val="1"/>
    <w:autoRedefine/>
    <w:qFormat/>
    <w:uiPriority w:val="9"/>
    <w:pPr>
      <w:keepNext/>
      <w:keepLines/>
      <w:spacing w:before="260" w:after="260" w:line="416" w:lineRule="auto"/>
      <w:outlineLvl w:val="1"/>
    </w:pPr>
    <w:rPr>
      <w:rFonts w:ascii="Cambria" w:hAnsi="Cambria"/>
      <w:b/>
      <w:bCs/>
      <w:sz w:val="32"/>
      <w:szCs w:val="32"/>
    </w:rPr>
  </w:style>
  <w:style w:type="paragraph" w:styleId="5">
    <w:name w:val="heading 3"/>
    <w:basedOn w:val="1"/>
    <w:next w:val="6"/>
    <w:autoRedefine/>
    <w:qFormat/>
    <w:uiPriority w:val="9"/>
    <w:pPr>
      <w:keepNext/>
      <w:keepLines/>
      <w:spacing w:before="60" w:after="100" w:line="415" w:lineRule="auto"/>
      <w:outlineLvl w:val="2"/>
    </w:pPr>
    <w:rPr>
      <w:b/>
      <w:bCs/>
      <w:sz w:val="32"/>
      <w:szCs w:val="32"/>
    </w:rPr>
  </w:style>
  <w:style w:type="paragraph" w:styleId="9">
    <w:name w:val="heading 4"/>
    <w:basedOn w:val="1"/>
    <w:next w:val="1"/>
    <w:autoRedefine/>
    <w:qFormat/>
    <w:uiPriority w:val="1"/>
    <w:pPr>
      <w:ind w:left="718"/>
      <w:outlineLvl w:val="3"/>
    </w:pPr>
    <w:rPr>
      <w:rFonts w:ascii="宋体" w:hAnsi="宋体" w:cs="宋体"/>
      <w:b/>
      <w:bCs/>
      <w:sz w:val="24"/>
      <w:lang w:val="zh-CN" w:bidi="zh-CN"/>
    </w:rPr>
  </w:style>
  <w:style w:type="character" w:default="1" w:styleId="32">
    <w:name w:val="Default Paragraph Font"/>
    <w:autoRedefine/>
    <w:semiHidden/>
    <w:unhideWhenUsed/>
    <w:qFormat/>
    <w:uiPriority w:val="1"/>
  </w:style>
  <w:style w:type="table" w:default="1" w:styleId="30">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next w:val="1"/>
    <w:autoRedefine/>
    <w:qFormat/>
    <w:uiPriority w:val="99"/>
    <w:pPr>
      <w:tabs>
        <w:tab w:val="center" w:pos="4153"/>
        <w:tab w:val="right" w:pos="8306"/>
      </w:tabs>
      <w:snapToGrid w:val="0"/>
      <w:jc w:val="left"/>
    </w:pPr>
    <w:rPr>
      <w:sz w:val="18"/>
      <w:szCs w:val="18"/>
    </w:rPr>
  </w:style>
  <w:style w:type="paragraph" w:styleId="6">
    <w:name w:val="Normal Indent"/>
    <w:basedOn w:val="1"/>
    <w:next w:val="7"/>
    <w:autoRedefine/>
    <w:qFormat/>
    <w:uiPriority w:val="0"/>
    <w:pPr>
      <w:ind w:firstLine="420" w:firstLineChars="200"/>
    </w:pPr>
    <w:rPr>
      <w:kern w:val="0"/>
      <w:sz w:val="20"/>
      <w:szCs w:val="20"/>
    </w:rPr>
  </w:style>
  <w:style w:type="paragraph" w:styleId="7">
    <w:name w:val="Body Text First Indent 2"/>
    <w:basedOn w:val="8"/>
    <w:next w:val="1"/>
    <w:autoRedefine/>
    <w:unhideWhenUsed/>
    <w:qFormat/>
    <w:uiPriority w:val="0"/>
    <w:pPr>
      <w:ind w:firstLine="420" w:firstLineChars="200"/>
    </w:pPr>
  </w:style>
  <w:style w:type="paragraph" w:styleId="8">
    <w:name w:val="Body Text Indent"/>
    <w:basedOn w:val="1"/>
    <w:next w:val="1"/>
    <w:autoRedefine/>
    <w:unhideWhenUsed/>
    <w:qFormat/>
    <w:uiPriority w:val="99"/>
    <w:pPr>
      <w:spacing w:after="120"/>
      <w:ind w:left="420" w:leftChars="200"/>
    </w:pPr>
  </w:style>
  <w:style w:type="paragraph" w:styleId="10">
    <w:name w:val="caption"/>
    <w:basedOn w:val="1"/>
    <w:next w:val="1"/>
    <w:autoRedefine/>
    <w:unhideWhenUsed/>
    <w:qFormat/>
    <w:uiPriority w:val="35"/>
    <w:rPr>
      <w:rFonts w:eastAsia="黑体" w:asciiTheme="majorHAnsi" w:hAnsiTheme="majorHAnsi" w:cstheme="majorBidi"/>
      <w:sz w:val="20"/>
      <w:szCs w:val="20"/>
    </w:rPr>
  </w:style>
  <w:style w:type="paragraph" w:styleId="11">
    <w:name w:val="toa heading"/>
    <w:basedOn w:val="1"/>
    <w:next w:val="1"/>
    <w:autoRedefine/>
    <w:qFormat/>
    <w:uiPriority w:val="0"/>
    <w:pPr>
      <w:spacing w:before="120"/>
    </w:pPr>
    <w:rPr>
      <w:rFonts w:ascii="Arial" w:hAnsi="Arial"/>
      <w:b/>
      <w:bCs/>
    </w:rPr>
  </w:style>
  <w:style w:type="paragraph" w:styleId="12">
    <w:name w:val="annotation text"/>
    <w:basedOn w:val="1"/>
    <w:autoRedefine/>
    <w:unhideWhenUsed/>
    <w:qFormat/>
    <w:uiPriority w:val="99"/>
    <w:pPr>
      <w:jc w:val="left"/>
    </w:pPr>
  </w:style>
  <w:style w:type="paragraph" w:styleId="13">
    <w:name w:val="Body Text"/>
    <w:basedOn w:val="1"/>
    <w:next w:val="14"/>
    <w:autoRedefine/>
    <w:unhideWhenUsed/>
    <w:qFormat/>
    <w:uiPriority w:val="99"/>
    <w:pPr>
      <w:spacing w:after="120"/>
    </w:pPr>
  </w:style>
  <w:style w:type="paragraph" w:customStyle="1" w:styleId="14">
    <w:name w:val="xl27"/>
    <w:basedOn w:val="1"/>
    <w:next w:val="15"/>
    <w:autoRedefine/>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5">
    <w:name w:val="0 GBJ正文"/>
    <w:basedOn w:val="1"/>
    <w:autoRedefine/>
    <w:qFormat/>
    <w:uiPriority w:val="0"/>
    <w:pPr>
      <w:adjustRightInd w:val="0"/>
      <w:snapToGrid w:val="0"/>
      <w:spacing w:line="460" w:lineRule="exact"/>
      <w:ind w:firstLine="480" w:firstLineChars="200"/>
    </w:pPr>
    <w:rPr>
      <w:rFonts w:asciiTheme="minorHAnsi" w:hAnsiTheme="minorHAnsi" w:eastAsiaTheme="minorEastAsia" w:cstheme="minorBidi"/>
      <w:kern w:val="0"/>
      <w:sz w:val="24"/>
    </w:rPr>
  </w:style>
  <w:style w:type="paragraph" w:styleId="16">
    <w:name w:val="Block Text"/>
    <w:basedOn w:val="1"/>
    <w:autoRedefine/>
    <w:qFormat/>
    <w:uiPriority w:val="0"/>
    <w:pPr>
      <w:spacing w:line="440" w:lineRule="exact"/>
      <w:ind w:left="2" w:leftChars="2" w:right="50" w:firstLine="200" w:firstLineChars="200"/>
    </w:pPr>
    <w:rPr>
      <w:sz w:val="24"/>
    </w:rPr>
  </w:style>
  <w:style w:type="paragraph" w:styleId="17">
    <w:name w:val="Plain Text"/>
    <w:basedOn w:val="1"/>
    <w:autoRedefine/>
    <w:qFormat/>
    <w:uiPriority w:val="99"/>
    <w:rPr>
      <w:rFonts w:ascii="宋体" w:hAnsi="Courier New" w:cs="Century"/>
      <w:szCs w:val="21"/>
    </w:rPr>
  </w:style>
  <w:style w:type="paragraph" w:styleId="18">
    <w:name w:val="Date"/>
    <w:basedOn w:val="1"/>
    <w:next w:val="1"/>
    <w:autoRedefine/>
    <w:qFormat/>
    <w:uiPriority w:val="0"/>
    <w:pPr>
      <w:ind w:left="100"/>
    </w:pPr>
  </w:style>
  <w:style w:type="paragraph" w:styleId="19">
    <w:name w:val="Body Text Indent 2"/>
    <w:basedOn w:val="1"/>
    <w:autoRedefine/>
    <w:qFormat/>
    <w:uiPriority w:val="0"/>
    <w:pPr>
      <w:spacing w:line="540" w:lineRule="exact"/>
      <w:ind w:firstLine="480" w:firstLineChars="200"/>
    </w:pPr>
    <w:rPr>
      <w:sz w:val="24"/>
    </w:rPr>
  </w:style>
  <w:style w:type="paragraph" w:styleId="20">
    <w:name w:val="Balloon Text"/>
    <w:basedOn w:val="1"/>
    <w:link w:val="85"/>
    <w:autoRedefine/>
    <w:qFormat/>
    <w:uiPriority w:val="0"/>
    <w:rPr>
      <w:sz w:val="18"/>
      <w:szCs w:val="18"/>
    </w:rPr>
  </w:style>
  <w:style w:type="paragraph" w:styleId="21">
    <w:name w:val="header"/>
    <w:basedOn w:val="1"/>
    <w:autoRedefine/>
    <w:qFormat/>
    <w:uiPriority w:val="99"/>
    <w:pPr>
      <w:pBdr>
        <w:bottom w:val="single" w:color="auto" w:sz="6" w:space="1"/>
      </w:pBdr>
      <w:tabs>
        <w:tab w:val="center" w:pos="4153"/>
        <w:tab w:val="right" w:pos="8306"/>
      </w:tabs>
      <w:snapToGrid w:val="0"/>
      <w:jc w:val="center"/>
    </w:pPr>
    <w:rPr>
      <w:sz w:val="18"/>
      <w:szCs w:val="18"/>
    </w:rPr>
  </w:style>
  <w:style w:type="paragraph" w:styleId="22">
    <w:name w:val="List"/>
    <w:basedOn w:val="1"/>
    <w:autoRedefine/>
    <w:unhideWhenUsed/>
    <w:qFormat/>
    <w:uiPriority w:val="99"/>
    <w:pPr>
      <w:ind w:left="200" w:hanging="200" w:hangingChars="200"/>
    </w:pPr>
    <w:rPr>
      <w:szCs w:val="21"/>
    </w:rPr>
  </w:style>
  <w:style w:type="paragraph" w:styleId="23">
    <w:name w:val="Body Text Indent 3"/>
    <w:basedOn w:val="1"/>
    <w:autoRedefine/>
    <w:unhideWhenUsed/>
    <w:qFormat/>
    <w:uiPriority w:val="0"/>
    <w:pPr>
      <w:ind w:firstLine="570"/>
    </w:pPr>
    <w:rPr>
      <w:szCs w:val="20"/>
    </w:rPr>
  </w:style>
  <w:style w:type="paragraph" w:styleId="24">
    <w:name w:val="Body Text 2"/>
    <w:basedOn w:val="1"/>
    <w:autoRedefine/>
    <w:qFormat/>
    <w:uiPriority w:val="0"/>
    <w:pPr>
      <w:spacing w:line="480" w:lineRule="auto"/>
    </w:pPr>
  </w:style>
  <w:style w:type="paragraph" w:styleId="25">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26">
    <w:name w:val="Normal (Web)"/>
    <w:basedOn w:val="1"/>
    <w:autoRedefine/>
    <w:qFormat/>
    <w:uiPriority w:val="99"/>
    <w:pPr>
      <w:widowControl/>
      <w:spacing w:before="100" w:beforeAutospacing="1" w:after="100" w:afterAutospacing="1"/>
      <w:jc w:val="left"/>
    </w:pPr>
    <w:rPr>
      <w:rFonts w:ascii="Arial Unicode MS" w:hAnsi="Arial Unicode MS" w:eastAsia="Arial Unicode MS"/>
      <w:kern w:val="0"/>
      <w:sz w:val="24"/>
      <w:szCs w:val="20"/>
    </w:rPr>
  </w:style>
  <w:style w:type="paragraph" w:styleId="27">
    <w:name w:val="index 1"/>
    <w:basedOn w:val="1"/>
    <w:next w:val="1"/>
    <w:autoRedefine/>
    <w:unhideWhenUsed/>
    <w:qFormat/>
    <w:uiPriority w:val="0"/>
    <w:pPr>
      <w:spacing w:line="300" w:lineRule="exact"/>
    </w:pPr>
    <w:rPr>
      <w:rFonts w:ascii="宋体" w:hAnsi="宋体"/>
      <w:spacing w:val="10"/>
    </w:rPr>
  </w:style>
  <w:style w:type="paragraph" w:styleId="28">
    <w:name w:val="annotation subject"/>
    <w:basedOn w:val="12"/>
    <w:next w:val="12"/>
    <w:autoRedefine/>
    <w:qFormat/>
    <w:uiPriority w:val="99"/>
    <w:rPr>
      <w:b/>
      <w:bCs/>
    </w:rPr>
  </w:style>
  <w:style w:type="paragraph" w:styleId="29">
    <w:name w:val="Body Text First Indent"/>
    <w:basedOn w:val="13"/>
    <w:next w:val="1"/>
    <w:autoRedefine/>
    <w:qFormat/>
    <w:uiPriority w:val="99"/>
    <w:pPr>
      <w:ind w:firstLine="420" w:firstLineChars="100"/>
    </w:pPr>
  </w:style>
  <w:style w:type="table" w:styleId="31">
    <w:name w:val="Table Grid"/>
    <w:basedOn w:val="30"/>
    <w:autoRedefine/>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3">
    <w:name w:val="Strong"/>
    <w:basedOn w:val="32"/>
    <w:autoRedefine/>
    <w:qFormat/>
    <w:uiPriority w:val="0"/>
    <w:rPr>
      <w:b/>
    </w:rPr>
  </w:style>
  <w:style w:type="character" w:styleId="34">
    <w:name w:val="page number"/>
    <w:basedOn w:val="32"/>
    <w:autoRedefine/>
    <w:qFormat/>
    <w:uiPriority w:val="99"/>
    <w:rPr>
      <w:rFonts w:cs="Times New Roman"/>
    </w:rPr>
  </w:style>
  <w:style w:type="character" w:styleId="35">
    <w:name w:val="Emphasis"/>
    <w:basedOn w:val="32"/>
    <w:autoRedefine/>
    <w:qFormat/>
    <w:uiPriority w:val="0"/>
    <w:rPr>
      <w:i/>
    </w:rPr>
  </w:style>
  <w:style w:type="character" w:styleId="36">
    <w:name w:val="Hyperlink"/>
    <w:basedOn w:val="32"/>
    <w:autoRedefine/>
    <w:qFormat/>
    <w:uiPriority w:val="0"/>
    <w:rPr>
      <w:color w:val="2D64B3"/>
      <w:u w:val="none"/>
    </w:rPr>
  </w:style>
  <w:style w:type="character" w:styleId="37">
    <w:name w:val="annotation reference"/>
    <w:basedOn w:val="32"/>
    <w:autoRedefine/>
    <w:qFormat/>
    <w:uiPriority w:val="0"/>
    <w:rPr>
      <w:sz w:val="21"/>
      <w:szCs w:val="21"/>
    </w:rPr>
  </w:style>
  <w:style w:type="paragraph" w:customStyle="1" w:styleId="38">
    <w:name w:val="样式 正文缩进正文缩进2正文缩进 Char Char正文缩进 Char Char Char Char正文缩进 Char ..."/>
    <w:basedOn w:val="6"/>
    <w:autoRedefine/>
    <w:qFormat/>
    <w:uiPriority w:val="0"/>
    <w:pPr>
      <w:spacing w:line="360" w:lineRule="auto"/>
      <w:ind w:firstLine="200"/>
    </w:pPr>
    <w:rPr>
      <w:rFonts w:cs="宋体"/>
      <w:sz w:val="24"/>
    </w:rPr>
  </w:style>
  <w:style w:type="paragraph" w:customStyle="1" w:styleId="39">
    <w:name w:val="[1]正文"/>
    <w:basedOn w:val="1"/>
    <w:autoRedefine/>
    <w:qFormat/>
    <w:uiPriority w:val="0"/>
    <w:pPr>
      <w:autoSpaceDE w:val="0"/>
      <w:autoSpaceDN w:val="0"/>
      <w:ind w:firstLine="200" w:firstLineChars="200"/>
    </w:pPr>
    <w:rPr>
      <w:color w:val="000000"/>
      <w:kern w:val="0"/>
      <w:lang w:val="zh-CN"/>
    </w:rPr>
  </w:style>
  <w:style w:type="paragraph" w:customStyle="1" w:styleId="40">
    <w:name w:val="【正文】"/>
    <w:basedOn w:val="1"/>
    <w:autoRedefine/>
    <w:qFormat/>
    <w:uiPriority w:val="0"/>
    <w:pPr>
      <w:spacing w:line="360" w:lineRule="auto"/>
      <w:ind w:firstLine="200" w:firstLineChars="200"/>
    </w:pPr>
    <w:rPr>
      <w:rFonts w:cs="宋体"/>
      <w:kern w:val="0"/>
      <w:sz w:val="24"/>
      <w:szCs w:val="20"/>
    </w:rPr>
  </w:style>
  <w:style w:type="paragraph" w:customStyle="1" w:styleId="41">
    <w:name w:val="Default"/>
    <w:basedOn w:val="42"/>
    <w:next w:val="1"/>
    <w:autoRedefine/>
    <w:semiHidden/>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2">
    <w:name w:val="纯文本1"/>
    <w:basedOn w:val="1"/>
    <w:autoRedefine/>
    <w:qFormat/>
    <w:uiPriority w:val="0"/>
    <w:pPr>
      <w:adjustRightInd w:val="0"/>
    </w:pPr>
    <w:rPr>
      <w:rFonts w:ascii="宋体" w:hAnsi="Courier New"/>
    </w:rPr>
  </w:style>
  <w:style w:type="paragraph" w:customStyle="1" w:styleId="43">
    <w:name w:val="0正文"/>
    <w:autoRedefine/>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character" w:customStyle="1" w:styleId="44">
    <w:name w:val="封面"/>
    <w:autoRedefine/>
    <w:qFormat/>
    <w:uiPriority w:val="0"/>
    <w:rPr>
      <w:rFonts w:hAnsi="宋体"/>
      <w:b/>
      <w:color w:val="000000"/>
      <w:spacing w:val="20"/>
      <w:sz w:val="72"/>
    </w:rPr>
  </w:style>
  <w:style w:type="paragraph" w:customStyle="1" w:styleId="45">
    <w:name w:val="表格"/>
    <w:basedOn w:val="1"/>
    <w:next w:val="1"/>
    <w:autoRedefine/>
    <w:qFormat/>
    <w:uiPriority w:val="0"/>
    <w:pPr>
      <w:jc w:val="center"/>
    </w:pPr>
    <w:rPr>
      <w:kern w:val="0"/>
      <w:sz w:val="24"/>
      <w:szCs w:val="20"/>
    </w:rPr>
  </w:style>
  <w:style w:type="paragraph" w:customStyle="1" w:styleId="46">
    <w:name w:val="列出段落1"/>
    <w:basedOn w:val="1"/>
    <w:autoRedefine/>
    <w:qFormat/>
    <w:uiPriority w:val="0"/>
    <w:pPr>
      <w:ind w:firstLine="420" w:firstLineChars="200"/>
    </w:pPr>
  </w:style>
  <w:style w:type="paragraph" w:customStyle="1" w:styleId="47">
    <w:name w:val="样式 样式 样式 正文@ + 首行缩进:  2 字符 + 首行缩进:  2 字符 + 行距: 多倍行距 1.3 字行"/>
    <w:basedOn w:val="48"/>
    <w:autoRedefine/>
    <w:qFormat/>
    <w:uiPriority w:val="0"/>
  </w:style>
  <w:style w:type="paragraph" w:customStyle="1" w:styleId="48">
    <w:name w:val="样式 样式 正文@ + 首行缩进:  2 字符 + 首行缩进:  2 字符"/>
    <w:basedOn w:val="1"/>
    <w:autoRedefine/>
    <w:qFormat/>
    <w:uiPriority w:val="0"/>
    <w:pPr>
      <w:spacing w:line="312" w:lineRule="auto"/>
      <w:ind w:firstLine="200" w:firstLineChars="200"/>
    </w:pPr>
    <w:rPr>
      <w:rFonts w:ascii="宋体" w:hAnsi="宋体" w:cs="宋体"/>
      <w:sz w:val="24"/>
      <w:szCs w:val="20"/>
    </w:rPr>
  </w:style>
  <w:style w:type="paragraph" w:customStyle="1" w:styleId="49">
    <w:name w:val="样式 正文wjh + 首行缩进:  0.99 厘米 段前: 18 磅"/>
    <w:basedOn w:val="1"/>
    <w:autoRedefine/>
    <w:qFormat/>
    <w:uiPriority w:val="0"/>
    <w:pPr>
      <w:spacing w:line="360" w:lineRule="auto"/>
      <w:ind w:firstLine="561"/>
      <w:jc w:val="left"/>
    </w:pPr>
    <w:rPr>
      <w:rFonts w:ascii="Calibri" w:hAnsi="Calibri" w:cs="宋体"/>
      <w:sz w:val="24"/>
      <w:szCs w:val="20"/>
    </w:rPr>
  </w:style>
  <w:style w:type="paragraph" w:customStyle="1" w:styleId="50">
    <w:name w:val="正文首行缩进＋湿地"/>
    <w:basedOn w:val="1"/>
    <w:autoRedefine/>
    <w:qFormat/>
    <w:uiPriority w:val="0"/>
    <w:pPr>
      <w:spacing w:line="440" w:lineRule="exact"/>
      <w:ind w:firstLine="540" w:firstLineChars="225"/>
    </w:pPr>
    <w:rPr>
      <w:rFonts w:ascii="仿宋_GB2312" w:hAnsi="宋体" w:eastAsia="仿宋_GB2312"/>
      <w:kern w:val="0"/>
      <w:sz w:val="28"/>
      <w:szCs w:val="20"/>
    </w:rPr>
  </w:style>
  <w:style w:type="paragraph" w:customStyle="1" w:styleId="51">
    <w:name w:val="表格内容"/>
    <w:basedOn w:val="1"/>
    <w:autoRedefine/>
    <w:qFormat/>
    <w:uiPriority w:val="0"/>
    <w:pPr>
      <w:jc w:val="center"/>
    </w:pPr>
    <w:rPr>
      <w:szCs w:val="21"/>
    </w:rPr>
  </w:style>
  <w:style w:type="paragraph" w:customStyle="1" w:styleId="52">
    <w:name w:val="表"/>
    <w:basedOn w:val="1"/>
    <w:autoRedefine/>
    <w:qFormat/>
    <w:uiPriority w:val="0"/>
    <w:pPr>
      <w:snapToGrid w:val="0"/>
      <w:jc w:val="center"/>
    </w:pPr>
    <w:rPr>
      <w:spacing w:val="2"/>
      <w:szCs w:val="20"/>
    </w:rPr>
  </w:style>
  <w:style w:type="paragraph" w:customStyle="1" w:styleId="53">
    <w:name w:val="HP表格内容"/>
    <w:autoRedefine/>
    <w:qFormat/>
    <w:uiPriority w:val="0"/>
    <w:pPr>
      <w:jc w:val="center"/>
    </w:pPr>
    <w:rPr>
      <w:rFonts w:ascii="Times New Roman" w:hAnsi="Times New Roman" w:eastAsia="宋体" w:cs="Times New Roman"/>
      <w:sz w:val="24"/>
      <w:szCs w:val="24"/>
      <w:lang w:val="en-US" w:eastAsia="zh-CN" w:bidi="ar-SA"/>
    </w:rPr>
  </w:style>
  <w:style w:type="paragraph" w:customStyle="1" w:styleId="54">
    <w:name w:val="p0"/>
    <w:autoRedefine/>
    <w:qFormat/>
    <w:uiPriority w:val="0"/>
    <w:rPr>
      <w:rFonts w:ascii="Times New Roman" w:hAnsi="Times New Roman" w:eastAsia="宋体" w:cs="Times New Roman"/>
      <w:sz w:val="21"/>
      <w:szCs w:val="21"/>
      <w:lang w:val="en-US" w:eastAsia="zh-CN" w:bidi="ar-SA"/>
    </w:rPr>
  </w:style>
  <w:style w:type="paragraph" w:customStyle="1" w:styleId="55">
    <w:name w:val="表格样式文字"/>
    <w:basedOn w:val="1"/>
    <w:autoRedefine/>
    <w:qFormat/>
    <w:uiPriority w:val="0"/>
    <w:pPr>
      <w:tabs>
        <w:tab w:val="left" w:pos="3312"/>
      </w:tabs>
      <w:snapToGrid w:val="0"/>
      <w:spacing w:line="400" w:lineRule="exact"/>
    </w:pPr>
    <w:rPr>
      <w:rFonts w:ascii="宋体"/>
      <w:sz w:val="24"/>
      <w:szCs w:val="20"/>
    </w:rPr>
  </w:style>
  <w:style w:type="paragraph" w:customStyle="1" w:styleId="56">
    <w:name w:val="锅炉正文"/>
    <w:basedOn w:val="1"/>
    <w:autoRedefine/>
    <w:qFormat/>
    <w:uiPriority w:val="0"/>
    <w:pPr>
      <w:adjustRightInd w:val="0"/>
      <w:snapToGrid w:val="0"/>
      <w:spacing w:line="360" w:lineRule="auto"/>
      <w:ind w:firstLine="200" w:firstLineChars="200"/>
    </w:pPr>
    <w:rPr>
      <w:sz w:val="24"/>
      <w:szCs w:val="20"/>
    </w:rPr>
  </w:style>
  <w:style w:type="paragraph" w:customStyle="1" w:styleId="57">
    <w:name w:val="李发荣个人正文"/>
    <w:basedOn w:val="1"/>
    <w:next w:val="1"/>
    <w:autoRedefine/>
    <w:qFormat/>
    <w:uiPriority w:val="0"/>
    <w:pPr>
      <w:spacing w:line="360" w:lineRule="auto"/>
      <w:ind w:firstLine="504" w:firstLineChars="200"/>
    </w:pPr>
    <w:rPr>
      <w:rFonts w:ascii="宋体" w:hAnsi="宋体" w:cs="宋体"/>
      <w:kern w:val="0"/>
    </w:rPr>
  </w:style>
  <w:style w:type="paragraph" w:customStyle="1" w:styleId="58">
    <w:name w:val="样式 样式 标题 3ReHead 3 WSAh3第二层条标题9分节小标题小节标题H3H31H32H33u3...2 + 自动设置"/>
    <w:basedOn w:val="1"/>
    <w:autoRedefine/>
    <w:qFormat/>
    <w:uiPriority w:val="0"/>
    <w:pPr>
      <w:keepNext/>
      <w:keepLines/>
      <w:adjustRightInd w:val="0"/>
      <w:snapToGrid w:val="0"/>
      <w:spacing w:line="360" w:lineRule="auto"/>
      <w:outlineLvl w:val="2"/>
    </w:pPr>
    <w:rPr>
      <w:rFonts w:cs="宋体"/>
      <w:b/>
      <w:bCs/>
      <w:sz w:val="28"/>
      <w:szCs w:val="20"/>
    </w:rPr>
  </w:style>
  <w:style w:type="paragraph" w:customStyle="1" w:styleId="59">
    <w:name w:val="样式8"/>
    <w:basedOn w:val="4"/>
    <w:autoRedefine/>
    <w:qFormat/>
    <w:uiPriority w:val="0"/>
    <w:pPr>
      <w:keepLines w:val="0"/>
      <w:tabs>
        <w:tab w:val="left" w:pos="4680"/>
      </w:tabs>
      <w:adjustRightInd w:val="0"/>
      <w:snapToGrid w:val="0"/>
      <w:spacing w:line="440" w:lineRule="exact"/>
      <w:ind w:left="425" w:hanging="425"/>
      <w:jc w:val="left"/>
    </w:pPr>
    <w:rPr>
      <w:rFonts w:ascii="宋体" w:hAnsi="宋体"/>
      <w:sz w:val="28"/>
      <w:szCs w:val="28"/>
    </w:rPr>
  </w:style>
  <w:style w:type="paragraph" w:customStyle="1" w:styleId="60">
    <w:name w:val="表中正文内容"/>
    <w:basedOn w:val="1"/>
    <w:autoRedefine/>
    <w:qFormat/>
    <w:uiPriority w:val="0"/>
    <w:pPr>
      <w:adjustRightInd w:val="0"/>
      <w:spacing w:line="480" w:lineRule="exact"/>
      <w:ind w:firstLine="560" w:firstLineChars="200"/>
      <w:jc w:val="left"/>
      <w:textAlignment w:val="baseline"/>
    </w:pPr>
    <w:rPr>
      <w:sz w:val="28"/>
      <w:szCs w:val="20"/>
    </w:rPr>
  </w:style>
  <w:style w:type="paragraph" w:customStyle="1" w:styleId="61">
    <w:name w:val="报告表正文"/>
    <w:basedOn w:val="19"/>
    <w:autoRedefine/>
    <w:qFormat/>
    <w:uiPriority w:val="0"/>
    <w:pPr>
      <w:spacing w:line="360" w:lineRule="auto"/>
      <w:ind w:firstLine="200"/>
    </w:pPr>
  </w:style>
  <w:style w:type="character" w:customStyle="1" w:styleId="62">
    <w:name w:val="font01"/>
    <w:basedOn w:val="32"/>
    <w:autoRedefine/>
    <w:qFormat/>
    <w:uiPriority w:val="0"/>
    <w:rPr>
      <w:rFonts w:hint="eastAsia" w:ascii="宋体" w:hAnsi="宋体" w:eastAsia="宋体" w:cs="宋体"/>
      <w:color w:val="000000"/>
      <w:sz w:val="18"/>
      <w:szCs w:val="18"/>
      <w:u w:val="none"/>
      <w:vertAlign w:val="superscript"/>
    </w:rPr>
  </w:style>
  <w:style w:type="character" w:customStyle="1" w:styleId="63">
    <w:name w:val="font51"/>
    <w:basedOn w:val="32"/>
    <w:autoRedefine/>
    <w:qFormat/>
    <w:uiPriority w:val="0"/>
    <w:rPr>
      <w:rFonts w:hint="eastAsia" w:ascii="宋体" w:hAnsi="宋体" w:eastAsia="宋体" w:cs="宋体"/>
      <w:color w:val="000000"/>
      <w:sz w:val="21"/>
      <w:szCs w:val="21"/>
      <w:u w:val="none"/>
    </w:rPr>
  </w:style>
  <w:style w:type="character" w:customStyle="1" w:styleId="64">
    <w:name w:val="font11"/>
    <w:basedOn w:val="32"/>
    <w:autoRedefine/>
    <w:qFormat/>
    <w:uiPriority w:val="0"/>
    <w:rPr>
      <w:rFonts w:hint="eastAsia" w:ascii="宋体" w:hAnsi="宋体" w:eastAsia="宋体" w:cs="宋体"/>
      <w:color w:val="000000"/>
      <w:sz w:val="28"/>
      <w:szCs w:val="28"/>
      <w:u w:val="none"/>
      <w:vertAlign w:val="subscript"/>
    </w:rPr>
  </w:style>
  <w:style w:type="paragraph" w:customStyle="1" w:styleId="65">
    <w:name w:val="Table Paragraph"/>
    <w:basedOn w:val="1"/>
    <w:autoRedefine/>
    <w:qFormat/>
    <w:uiPriority w:val="1"/>
    <w:pPr>
      <w:spacing w:before="38"/>
      <w:jc w:val="center"/>
    </w:pPr>
    <w:rPr>
      <w:rFonts w:ascii="宋体" w:hAnsi="宋体" w:cs="宋体"/>
      <w:lang w:val="zh-CN" w:bidi="zh-CN"/>
    </w:rPr>
  </w:style>
  <w:style w:type="paragraph" w:customStyle="1" w:styleId="66">
    <w:name w:val="样式标题5"/>
    <w:basedOn w:val="1"/>
    <w:next w:val="1"/>
    <w:autoRedefine/>
    <w:qFormat/>
    <w:uiPriority w:val="0"/>
    <w:pPr>
      <w:spacing w:line="360" w:lineRule="auto"/>
      <w:ind w:firstLine="400"/>
    </w:pPr>
    <w:rPr>
      <w:sz w:val="24"/>
    </w:rPr>
  </w:style>
  <w:style w:type="paragraph" w:customStyle="1" w:styleId="67">
    <w:name w:val="报告书正文"/>
    <w:basedOn w:val="29"/>
    <w:autoRedefine/>
    <w:qFormat/>
    <w:uiPriority w:val="0"/>
    <w:pPr>
      <w:adjustRightInd w:val="0"/>
      <w:snapToGrid w:val="0"/>
      <w:spacing w:line="360" w:lineRule="auto"/>
      <w:ind w:firstLine="425"/>
      <w:textAlignment w:val="baseline"/>
    </w:pPr>
    <w:rPr>
      <w:rFonts w:ascii="华康简仿宋" w:hAnsi="华康简仿宋" w:eastAsia="华文中宋"/>
      <w:kern w:val="0"/>
      <w:sz w:val="24"/>
      <w:szCs w:val="20"/>
    </w:rPr>
  </w:style>
  <w:style w:type="paragraph" w:customStyle="1" w:styleId="68">
    <w:name w:val="样式 首行缩进:  2 字符"/>
    <w:basedOn w:val="1"/>
    <w:autoRedefine/>
    <w:qFormat/>
    <w:uiPriority w:val="0"/>
    <w:pPr>
      <w:spacing w:line="460" w:lineRule="exact"/>
      <w:ind w:firstLine="471"/>
    </w:pPr>
    <w:rPr>
      <w:sz w:val="24"/>
    </w:rPr>
  </w:style>
  <w:style w:type="paragraph" w:customStyle="1" w:styleId="69">
    <w:name w:val="样式5"/>
    <w:basedOn w:val="70"/>
    <w:autoRedefine/>
    <w:qFormat/>
    <w:uiPriority w:val="0"/>
    <w:pPr>
      <w:tabs>
        <w:tab w:val="left" w:pos="420"/>
        <w:tab w:val="left" w:pos="630"/>
        <w:tab w:val="right" w:leader="dot" w:pos="9174"/>
      </w:tabs>
    </w:pPr>
    <w:rPr>
      <w:rFonts w:ascii="Times New Roman"/>
      <w:caps w:val="0"/>
    </w:rPr>
  </w:style>
  <w:style w:type="paragraph" w:customStyle="1" w:styleId="70">
    <w:name w:val="样式4"/>
    <w:basedOn w:val="13"/>
    <w:autoRedefine/>
    <w:qFormat/>
    <w:uiPriority w:val="0"/>
    <w:pPr>
      <w:tabs>
        <w:tab w:val="left" w:pos="420"/>
        <w:tab w:val="left" w:pos="630"/>
        <w:tab w:val="right" w:leader="dot" w:pos="9174"/>
      </w:tabs>
      <w:spacing w:before="120"/>
      <w:jc w:val="left"/>
    </w:pPr>
    <w:rPr>
      <w:rFonts w:ascii="黑体" w:eastAsia="黑体"/>
      <w:caps/>
      <w:sz w:val="24"/>
      <w:szCs w:val="20"/>
    </w:rPr>
  </w:style>
  <w:style w:type="paragraph" w:customStyle="1" w:styleId="71">
    <w:name w:val="流程文字"/>
    <w:basedOn w:val="1"/>
    <w:autoRedefine/>
    <w:qFormat/>
    <w:uiPriority w:val="0"/>
    <w:pPr>
      <w:tabs>
        <w:tab w:val="left" w:pos="6480"/>
      </w:tabs>
      <w:topLinePunct/>
      <w:adjustRightInd w:val="0"/>
      <w:snapToGrid w:val="0"/>
      <w:jc w:val="center"/>
    </w:pPr>
    <w:rPr>
      <w:rFonts w:eastAsia="仿宋_GB2312"/>
    </w:rPr>
  </w:style>
  <w:style w:type="paragraph" w:customStyle="1" w:styleId="72">
    <w:name w:val="1正文"/>
    <w:basedOn w:val="1"/>
    <w:autoRedefine/>
    <w:qFormat/>
    <w:uiPriority w:val="0"/>
    <w:pPr>
      <w:spacing w:line="360" w:lineRule="auto"/>
      <w:ind w:firstLine="198" w:firstLineChars="200"/>
    </w:pPr>
    <w:rPr>
      <w:sz w:val="24"/>
    </w:rPr>
  </w:style>
  <w:style w:type="paragraph" w:customStyle="1" w:styleId="73">
    <w:name w:val="表格文字"/>
    <w:autoRedefine/>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paragraph" w:customStyle="1" w:styleId="74">
    <w:name w:val="表头"/>
    <w:basedOn w:val="75"/>
    <w:next w:val="1"/>
    <w:link w:val="117"/>
    <w:autoRedefine/>
    <w:qFormat/>
    <w:uiPriority w:val="0"/>
    <w:pPr>
      <w:spacing w:line="480" w:lineRule="exact"/>
      <w:ind w:firstLine="0"/>
      <w:jc w:val="center"/>
    </w:pPr>
    <w:rPr>
      <w:b/>
      <w:snapToGrid w:val="0"/>
    </w:rPr>
  </w:style>
  <w:style w:type="paragraph" w:customStyle="1" w:styleId="75">
    <w:name w:val="正文1"/>
    <w:basedOn w:val="1"/>
    <w:next w:val="1"/>
    <w:autoRedefine/>
    <w:qFormat/>
    <w:uiPriority w:val="0"/>
    <w:pPr>
      <w:widowControl/>
      <w:spacing w:line="360" w:lineRule="auto"/>
      <w:ind w:firstLine="482"/>
    </w:pPr>
    <w:rPr>
      <w:kern w:val="0"/>
      <w:sz w:val="24"/>
    </w:rPr>
  </w:style>
  <w:style w:type="paragraph" w:customStyle="1" w:styleId="76">
    <w:name w:val="表内容"/>
    <w:basedOn w:val="77"/>
    <w:next w:val="1"/>
    <w:autoRedefine/>
    <w:qFormat/>
    <w:uiPriority w:val="0"/>
    <w:pPr>
      <w:tabs>
        <w:tab w:val="left" w:pos="4660"/>
      </w:tabs>
      <w:adjustRightInd w:val="0"/>
      <w:snapToGrid w:val="0"/>
      <w:spacing w:line="240" w:lineRule="atLeast"/>
      <w:ind w:left="-105" w:leftChars="-56" w:right="-107" w:rightChars="-51" w:hanging="13" w:hangingChars="6"/>
      <w:jc w:val="center"/>
    </w:pPr>
    <w:rPr>
      <w:b w:val="0"/>
      <w:bCs/>
      <w:kern w:val="0"/>
      <w:szCs w:val="21"/>
    </w:rPr>
  </w:style>
  <w:style w:type="paragraph" w:customStyle="1" w:styleId="77">
    <w:name w:val="正文1 Char Char Char"/>
    <w:basedOn w:val="1"/>
    <w:autoRedefine/>
    <w:qFormat/>
    <w:uiPriority w:val="0"/>
    <w:pPr>
      <w:widowControl/>
      <w:tabs>
        <w:tab w:val="left" w:pos="4660"/>
      </w:tabs>
      <w:spacing w:line="480" w:lineRule="exact"/>
      <w:ind w:firstLine="482" w:firstLineChars="200"/>
    </w:pPr>
    <w:rPr>
      <w:b/>
    </w:rPr>
  </w:style>
  <w:style w:type="table" w:customStyle="1" w:styleId="78">
    <w:name w:val="网格型8"/>
    <w:basedOn w:val="30"/>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9">
    <w:name w:val="环保正文"/>
    <w:basedOn w:val="1"/>
    <w:autoRedefine/>
    <w:qFormat/>
    <w:uiPriority w:val="0"/>
    <w:pPr>
      <w:tabs>
        <w:tab w:val="left" w:pos="0"/>
        <w:tab w:val="left" w:pos="7012"/>
      </w:tabs>
      <w:autoSpaceDE w:val="0"/>
      <w:autoSpaceDN w:val="0"/>
      <w:spacing w:line="360" w:lineRule="auto"/>
      <w:ind w:firstLine="200" w:firstLineChars="200"/>
    </w:pPr>
    <w:rPr>
      <w:rFonts w:ascii="宋体" w:hAnsi="宋体"/>
      <w:kern w:val="0"/>
    </w:rPr>
  </w:style>
  <w:style w:type="table" w:customStyle="1" w:styleId="80">
    <w:name w:val="网格型13"/>
    <w:basedOn w:val="30"/>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1">
    <w:name w:val="ALT+C"/>
    <w:basedOn w:val="1"/>
    <w:autoRedefine/>
    <w:qFormat/>
    <w:uiPriority w:val="0"/>
    <w:pPr>
      <w:keepNext/>
      <w:spacing w:line="360" w:lineRule="auto"/>
      <w:ind w:firstLine="480" w:firstLineChars="200"/>
    </w:pPr>
    <w:rPr>
      <w:rFonts w:eastAsia="Times New Roman"/>
      <w:sz w:val="24"/>
    </w:rPr>
  </w:style>
  <w:style w:type="character" w:customStyle="1" w:styleId="82">
    <w:name w:val="font71"/>
    <w:autoRedefine/>
    <w:qFormat/>
    <w:uiPriority w:val="0"/>
    <w:rPr>
      <w:rFonts w:hint="eastAsia" w:ascii="宋体" w:hAnsi="宋体" w:eastAsia="宋体" w:cs="宋体"/>
      <w:color w:val="000000"/>
      <w:kern w:val="2"/>
      <w:sz w:val="21"/>
      <w:szCs w:val="21"/>
      <w:u w:val="none"/>
      <w:lang w:val="en-US" w:eastAsia="zh-CN" w:bidi="ar-SA"/>
    </w:rPr>
  </w:style>
  <w:style w:type="character" w:customStyle="1" w:styleId="83">
    <w:name w:val="font81"/>
    <w:autoRedefine/>
    <w:qFormat/>
    <w:uiPriority w:val="0"/>
    <w:rPr>
      <w:rFonts w:hint="default" w:ascii="Times New Roman" w:hAnsi="Times New Roman" w:eastAsia="宋体" w:cs="Times New Roman"/>
      <w:color w:val="000000"/>
      <w:kern w:val="2"/>
      <w:sz w:val="22"/>
      <w:szCs w:val="22"/>
      <w:u w:val="none"/>
      <w:vertAlign w:val="subscript"/>
      <w:lang w:val="en-US" w:eastAsia="zh-CN" w:bidi="ar-SA"/>
    </w:rPr>
  </w:style>
  <w:style w:type="character" w:customStyle="1" w:styleId="84">
    <w:name w:val="font31"/>
    <w:autoRedefine/>
    <w:qFormat/>
    <w:uiPriority w:val="0"/>
    <w:rPr>
      <w:rFonts w:hint="default" w:ascii="Times New Roman" w:hAnsi="Times New Roman" w:eastAsia="宋体" w:cs="Times New Roman"/>
      <w:color w:val="000000"/>
      <w:kern w:val="2"/>
      <w:sz w:val="21"/>
      <w:szCs w:val="21"/>
      <w:u w:val="none"/>
      <w:lang w:val="en-US" w:eastAsia="zh-CN" w:bidi="ar-SA"/>
    </w:rPr>
  </w:style>
  <w:style w:type="character" w:customStyle="1" w:styleId="85">
    <w:name w:val="批注框文本 字符"/>
    <w:basedOn w:val="32"/>
    <w:link w:val="20"/>
    <w:autoRedefine/>
    <w:qFormat/>
    <w:uiPriority w:val="0"/>
    <w:rPr>
      <w:rFonts w:ascii="Times New Roman" w:hAnsi="Times New Roman" w:eastAsia="宋体" w:cs="Times New Roman"/>
      <w:kern w:val="2"/>
      <w:sz w:val="18"/>
      <w:szCs w:val="18"/>
    </w:rPr>
  </w:style>
  <w:style w:type="paragraph" w:customStyle="1" w:styleId="86">
    <w:name w:val="LH7表头"/>
    <w:basedOn w:val="72"/>
    <w:autoRedefine/>
    <w:qFormat/>
    <w:uiPriority w:val="0"/>
    <w:pPr>
      <w:spacing w:line="240" w:lineRule="auto"/>
      <w:ind w:firstLine="0" w:firstLineChars="0"/>
      <w:jc w:val="center"/>
    </w:pPr>
    <w:rPr>
      <w:b/>
    </w:rPr>
  </w:style>
  <w:style w:type="paragraph" w:customStyle="1" w:styleId="87">
    <w:name w:val="Normal_0"/>
    <w:autoRedefine/>
    <w:qFormat/>
    <w:uiPriority w:val="0"/>
    <w:pPr>
      <w:spacing w:before="120" w:after="240"/>
      <w:jc w:val="both"/>
    </w:pPr>
    <w:rPr>
      <w:rFonts w:asciiTheme="minorHAnsi" w:hAnsiTheme="minorHAnsi" w:eastAsiaTheme="minorHAnsi" w:cstheme="minorBidi"/>
      <w:sz w:val="22"/>
      <w:szCs w:val="22"/>
      <w:lang w:val="ru-RU" w:eastAsia="en-US" w:bidi="ar-SA"/>
    </w:rPr>
  </w:style>
  <w:style w:type="paragraph" w:customStyle="1" w:styleId="88">
    <w:name w:val="正文111"/>
    <w:next w:val="1"/>
    <w:autoRedefine/>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89">
    <w:name w:val="正文固定格式"/>
    <w:basedOn w:val="1"/>
    <w:autoRedefine/>
    <w:qFormat/>
    <w:uiPriority w:val="0"/>
    <w:pPr>
      <w:spacing w:line="500" w:lineRule="exact"/>
      <w:ind w:firstLine="480" w:firstLineChars="200"/>
    </w:pPr>
    <w:rPr>
      <w:sz w:val="24"/>
      <w:szCs w:val="20"/>
    </w:rPr>
  </w:style>
  <w:style w:type="paragraph" w:customStyle="1" w:styleId="90">
    <w:name w:val="正文表格"/>
    <w:basedOn w:val="1"/>
    <w:autoRedefine/>
    <w:qFormat/>
    <w:uiPriority w:val="0"/>
    <w:pPr>
      <w:adjustRightInd w:val="0"/>
      <w:snapToGrid w:val="0"/>
      <w:jc w:val="center"/>
    </w:pPr>
    <w:rPr>
      <w:rFonts w:cs="宋体"/>
      <w:kern w:val="0"/>
      <w:sz w:val="24"/>
      <w:szCs w:val="18"/>
    </w:rPr>
  </w:style>
  <w:style w:type="character" w:customStyle="1" w:styleId="91">
    <w:name w:val="文章正文 Char Char"/>
    <w:link w:val="92"/>
    <w:autoRedefine/>
    <w:qFormat/>
    <w:uiPriority w:val="0"/>
    <w:rPr>
      <w:rFonts w:ascii="Times New Roman"/>
      <w:kern w:val="0"/>
      <w:sz w:val="24"/>
      <w:szCs w:val="20"/>
    </w:rPr>
  </w:style>
  <w:style w:type="paragraph" w:customStyle="1" w:styleId="92">
    <w:name w:val="文章正文"/>
    <w:basedOn w:val="1"/>
    <w:link w:val="91"/>
    <w:autoRedefine/>
    <w:qFormat/>
    <w:uiPriority w:val="0"/>
    <w:pPr>
      <w:spacing w:line="440" w:lineRule="exact"/>
      <w:ind w:firstLine="600" w:firstLineChars="200"/>
    </w:pPr>
    <w:rPr>
      <w:kern w:val="0"/>
      <w:sz w:val="24"/>
      <w:szCs w:val="20"/>
    </w:rPr>
  </w:style>
  <w:style w:type="paragraph" w:customStyle="1" w:styleId="93">
    <w:name w:val="样式，标题 3"/>
    <w:basedOn w:val="1"/>
    <w:autoRedefine/>
    <w:qFormat/>
    <w:uiPriority w:val="0"/>
    <w:pPr>
      <w:keepNext/>
      <w:keepLines/>
      <w:spacing w:before="50" w:beforeLines="50" w:after="50" w:afterLines="50" w:line="360" w:lineRule="auto"/>
      <w:outlineLvl w:val="2"/>
    </w:pPr>
    <w:rPr>
      <w:rFonts w:hAnsi="宋体" w:eastAsia="黑体" w:cs="宋体"/>
      <w:b/>
      <w:sz w:val="28"/>
    </w:rPr>
  </w:style>
  <w:style w:type="paragraph" w:customStyle="1" w:styleId="94">
    <w:name w:val="●表格"/>
    <w:basedOn w:val="1"/>
    <w:autoRedefine/>
    <w:qFormat/>
    <w:uiPriority w:val="0"/>
    <w:pPr>
      <w:spacing w:line="300" w:lineRule="auto"/>
      <w:jc w:val="center"/>
    </w:pPr>
    <w:rPr>
      <w:rFonts w:eastAsia="仿宋"/>
    </w:rPr>
  </w:style>
  <w:style w:type="paragraph" w:customStyle="1" w:styleId="95">
    <w:name w:val="正文2"/>
    <w:basedOn w:val="1"/>
    <w:autoRedefine/>
    <w:qFormat/>
    <w:uiPriority w:val="0"/>
    <w:pPr>
      <w:widowControl/>
      <w:tabs>
        <w:tab w:val="left" w:pos="900"/>
        <w:tab w:val="left" w:pos="1080"/>
      </w:tabs>
      <w:autoSpaceDE w:val="0"/>
      <w:autoSpaceDN w:val="0"/>
      <w:spacing w:line="360" w:lineRule="auto"/>
      <w:ind w:firstLine="200" w:firstLineChars="200"/>
    </w:pPr>
    <w:rPr>
      <w:rFonts w:cs="宋体"/>
      <w:kern w:val="0"/>
      <w:lang w:val="zh-CN" w:bidi="en-US"/>
    </w:rPr>
  </w:style>
  <w:style w:type="paragraph" w:customStyle="1" w:styleId="96">
    <w:name w:val="样式 样式5 + (符号) 宋体 黑色"/>
    <w:basedOn w:val="69"/>
    <w:link w:val="97"/>
    <w:autoRedefine/>
    <w:qFormat/>
    <w:uiPriority w:val="0"/>
    <w:pPr>
      <w:spacing w:line="372" w:lineRule="auto"/>
    </w:pPr>
    <w:rPr>
      <w:color w:val="000000"/>
      <w:szCs w:val="24"/>
    </w:rPr>
  </w:style>
  <w:style w:type="character" w:customStyle="1" w:styleId="97">
    <w:name w:val="样式 样式5 + (符号) 宋体 黑色 Char Char"/>
    <w:link w:val="96"/>
    <w:autoRedefine/>
    <w:semiHidden/>
    <w:qFormat/>
    <w:uiPriority w:val="0"/>
    <w:rPr>
      <w:color w:val="000000"/>
      <w:szCs w:val="24"/>
    </w:rPr>
  </w:style>
  <w:style w:type="paragraph" w:customStyle="1" w:styleId="98">
    <w:name w:val="正文缩进1"/>
    <w:basedOn w:val="1"/>
    <w:autoRedefine/>
    <w:qFormat/>
    <w:uiPriority w:val="0"/>
    <w:pPr>
      <w:adjustRightInd w:val="0"/>
      <w:spacing w:line="320" w:lineRule="atLeast"/>
      <w:ind w:firstLine="420"/>
      <w:textAlignment w:val="baseline"/>
    </w:pPr>
    <w:rPr>
      <w:kern w:val="0"/>
      <w:szCs w:val="20"/>
    </w:rPr>
  </w:style>
  <w:style w:type="paragraph" w:styleId="99">
    <w:name w:val="List Paragraph"/>
    <w:basedOn w:val="1"/>
    <w:autoRedefine/>
    <w:qFormat/>
    <w:uiPriority w:val="34"/>
    <w:pPr>
      <w:ind w:firstLine="420" w:firstLineChars="200"/>
    </w:pPr>
    <w:rPr>
      <w:rFonts w:ascii="Calibri" w:hAnsi="Calibri"/>
      <w:szCs w:val="22"/>
    </w:rPr>
  </w:style>
  <w:style w:type="paragraph" w:customStyle="1" w:styleId="100">
    <w:name w:val="_Style 1"/>
    <w:basedOn w:val="1"/>
    <w:autoRedefine/>
    <w:qFormat/>
    <w:uiPriority w:val="0"/>
    <w:pPr>
      <w:tabs>
        <w:tab w:val="left" w:pos="0"/>
      </w:tabs>
    </w:pPr>
    <w:rPr>
      <w:sz w:val="28"/>
      <w:szCs w:val="20"/>
    </w:rPr>
  </w:style>
  <w:style w:type="paragraph" w:customStyle="1" w:styleId="101">
    <w:name w:val="正1"/>
    <w:basedOn w:val="1"/>
    <w:autoRedefine/>
    <w:qFormat/>
    <w:uiPriority w:val="0"/>
    <w:pPr>
      <w:spacing w:line="360" w:lineRule="auto"/>
      <w:ind w:firstLine="200" w:firstLineChars="200"/>
      <w:jc w:val="left"/>
    </w:pPr>
    <w:rPr>
      <w:rFonts w:eastAsia="楷体_GB2312"/>
      <w:sz w:val="24"/>
    </w:rPr>
  </w:style>
  <w:style w:type="paragraph" w:customStyle="1" w:styleId="102">
    <w:name w:val="表头格式"/>
    <w:basedOn w:val="1"/>
    <w:autoRedefine/>
    <w:qFormat/>
    <w:uiPriority w:val="0"/>
    <w:pPr>
      <w:spacing w:before="50" w:beforeLines="50"/>
      <w:jc w:val="center"/>
    </w:pPr>
    <w:rPr>
      <w:b/>
    </w:rPr>
  </w:style>
  <w:style w:type="paragraph" w:customStyle="1" w:styleId="103">
    <w:name w:val="Other|1"/>
    <w:basedOn w:val="1"/>
    <w:autoRedefine/>
    <w:qFormat/>
    <w:uiPriority w:val="0"/>
    <w:rPr>
      <w:rFonts w:ascii="宋体" w:hAnsi="宋体" w:cs="宋体"/>
      <w:sz w:val="16"/>
      <w:szCs w:val="16"/>
      <w:lang w:val="zh-TW" w:eastAsia="zh-TW" w:bidi="zh-TW"/>
    </w:rPr>
  </w:style>
  <w:style w:type="paragraph" w:customStyle="1" w:styleId="104">
    <w:name w:val="Body text|1"/>
    <w:basedOn w:val="1"/>
    <w:autoRedefine/>
    <w:qFormat/>
    <w:uiPriority w:val="0"/>
    <w:pPr>
      <w:spacing w:line="410" w:lineRule="auto"/>
    </w:pPr>
    <w:rPr>
      <w:rFonts w:ascii="宋体" w:hAnsi="宋体" w:cs="宋体"/>
      <w:sz w:val="22"/>
      <w:szCs w:val="22"/>
      <w:lang w:val="zh-TW" w:eastAsia="zh-TW" w:bidi="zh-TW"/>
    </w:rPr>
  </w:style>
  <w:style w:type="paragraph" w:customStyle="1" w:styleId="105">
    <w:name w:val="Table caption|1"/>
    <w:basedOn w:val="1"/>
    <w:autoRedefine/>
    <w:qFormat/>
    <w:uiPriority w:val="0"/>
    <w:pPr>
      <w:spacing w:after="40"/>
      <w:ind w:left="1570"/>
    </w:pPr>
    <w:rPr>
      <w:rFonts w:ascii="宋体" w:hAnsi="宋体" w:cs="宋体"/>
      <w:lang w:val="zh-TW" w:eastAsia="zh-TW" w:bidi="zh-TW"/>
    </w:rPr>
  </w:style>
  <w:style w:type="paragraph" w:customStyle="1" w:styleId="106">
    <w:name w:val="Heading #5|1"/>
    <w:basedOn w:val="1"/>
    <w:autoRedefine/>
    <w:qFormat/>
    <w:uiPriority w:val="0"/>
    <w:pPr>
      <w:spacing w:line="319" w:lineRule="auto"/>
      <w:outlineLvl w:val="4"/>
    </w:pPr>
    <w:rPr>
      <w:rFonts w:ascii="宋体" w:hAnsi="宋体" w:cs="宋体"/>
      <w:sz w:val="22"/>
      <w:szCs w:val="22"/>
      <w:lang w:val="zh-TW" w:eastAsia="zh-TW" w:bidi="zh-TW"/>
    </w:rPr>
  </w:style>
  <w:style w:type="paragraph" w:customStyle="1" w:styleId="107">
    <w:name w:val="Other|2"/>
    <w:basedOn w:val="1"/>
    <w:autoRedefine/>
    <w:qFormat/>
    <w:uiPriority w:val="0"/>
    <w:rPr>
      <w:rFonts w:ascii="宋体" w:hAnsi="宋体" w:cs="宋体"/>
      <w:lang w:val="zh-TW" w:eastAsia="zh-TW" w:bidi="zh-TW"/>
    </w:rPr>
  </w:style>
  <w:style w:type="paragraph" w:customStyle="1" w:styleId="108">
    <w:name w:val="Body text|4"/>
    <w:basedOn w:val="1"/>
    <w:autoRedefine/>
    <w:qFormat/>
    <w:uiPriority w:val="0"/>
    <w:pPr>
      <w:spacing w:line="437" w:lineRule="auto"/>
      <w:ind w:firstLine="240"/>
    </w:pPr>
    <w:rPr>
      <w:sz w:val="20"/>
      <w:szCs w:val="20"/>
    </w:rPr>
  </w:style>
  <w:style w:type="paragraph" w:customStyle="1" w:styleId="109">
    <w:name w:val="Normal_39"/>
    <w:autoRedefine/>
    <w:qFormat/>
    <w:uiPriority w:val="0"/>
    <w:pPr>
      <w:spacing w:before="120" w:after="240"/>
      <w:jc w:val="both"/>
    </w:pPr>
    <w:rPr>
      <w:rFonts w:ascii="Calibri" w:hAnsi="Calibri" w:eastAsia="宋体" w:cs="Times New Roman"/>
      <w:sz w:val="22"/>
      <w:szCs w:val="22"/>
      <w:lang w:val="en-US" w:eastAsia="en-US" w:bidi="ar-SA"/>
    </w:rPr>
  </w:style>
  <w:style w:type="paragraph" w:customStyle="1" w:styleId="110">
    <w:name w:val="表文字xxxxxxxx"/>
    <w:basedOn w:val="1"/>
    <w:autoRedefine/>
    <w:qFormat/>
    <w:uiPriority w:val="0"/>
    <w:pPr>
      <w:topLinePunct/>
      <w:adjustRightInd w:val="0"/>
      <w:spacing w:line="360" w:lineRule="exact"/>
      <w:jc w:val="center"/>
      <w:textAlignment w:val="baseline"/>
    </w:pPr>
    <w:rPr>
      <w:szCs w:val="21"/>
    </w:rPr>
  </w:style>
  <w:style w:type="paragraph" w:customStyle="1" w:styleId="111">
    <w:name w:val="正文3"/>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12">
    <w:name w:val="Normal_33_0"/>
    <w:autoRedefine/>
    <w:qFormat/>
    <w:uiPriority w:val="0"/>
    <w:pPr>
      <w:spacing w:before="120" w:after="240"/>
      <w:jc w:val="both"/>
    </w:pPr>
    <w:rPr>
      <w:rFonts w:ascii="Calibri" w:hAnsi="Calibri" w:eastAsia="宋体" w:cs="Times New Roman"/>
      <w:sz w:val="22"/>
      <w:szCs w:val="22"/>
      <w:lang w:val="en-US" w:eastAsia="en-US" w:bidi="ar-SA"/>
    </w:rPr>
  </w:style>
  <w:style w:type="paragraph" w:customStyle="1" w:styleId="113">
    <w:name w:val="Normal_34_0"/>
    <w:autoRedefine/>
    <w:qFormat/>
    <w:uiPriority w:val="0"/>
    <w:pPr>
      <w:spacing w:before="120" w:after="240"/>
      <w:jc w:val="both"/>
    </w:pPr>
    <w:rPr>
      <w:rFonts w:ascii="Calibri" w:hAnsi="Calibri" w:eastAsia="宋体" w:cs="Times New Roman"/>
      <w:sz w:val="22"/>
      <w:szCs w:val="22"/>
      <w:lang w:val="en-US" w:eastAsia="en-US" w:bidi="ar-SA"/>
    </w:rPr>
  </w:style>
  <w:style w:type="character" w:customStyle="1" w:styleId="114">
    <w:name w:val="样式 a Char Char"/>
    <w:link w:val="115"/>
    <w:autoRedefine/>
    <w:qFormat/>
    <w:uiPriority w:val="0"/>
    <w:rPr>
      <w:rFonts w:ascii="宋体" w:hAnsi="宋体"/>
      <w:b/>
      <w:bCs/>
      <w:sz w:val="28"/>
      <w:szCs w:val="21"/>
    </w:rPr>
  </w:style>
  <w:style w:type="paragraph" w:customStyle="1" w:styleId="115">
    <w:name w:val="样式 a Char"/>
    <w:basedOn w:val="1"/>
    <w:link w:val="114"/>
    <w:autoRedefine/>
    <w:qFormat/>
    <w:uiPriority w:val="0"/>
    <w:pPr>
      <w:spacing w:line="540" w:lineRule="exact"/>
      <w:ind w:firstLine="200" w:firstLineChars="200"/>
    </w:pPr>
    <w:rPr>
      <w:rFonts w:ascii="宋体" w:hAnsi="宋体"/>
      <w:b/>
      <w:bCs/>
      <w:sz w:val="28"/>
      <w:szCs w:val="21"/>
    </w:rPr>
  </w:style>
  <w:style w:type="paragraph" w:customStyle="1" w:styleId="116">
    <w:name w:val="Normal_43"/>
    <w:autoRedefine/>
    <w:qFormat/>
    <w:uiPriority w:val="0"/>
    <w:pPr>
      <w:spacing w:before="120" w:after="240"/>
      <w:jc w:val="both"/>
    </w:pPr>
    <w:rPr>
      <w:rFonts w:ascii="Calibri" w:hAnsi="Calibri" w:eastAsia="宋体" w:cs="Times New Roman"/>
      <w:sz w:val="22"/>
      <w:szCs w:val="22"/>
      <w:lang w:val="en-US" w:eastAsia="en-US" w:bidi="ar-SA"/>
    </w:rPr>
  </w:style>
  <w:style w:type="character" w:customStyle="1" w:styleId="117">
    <w:name w:val="表头 Char"/>
    <w:link w:val="74"/>
    <w:autoRedefine/>
    <w:qFormat/>
    <w:uiPriority w:val="0"/>
    <w:rPr>
      <w:b/>
      <w:snapToGrid w:val="0"/>
      <w:kern w:val="2"/>
    </w:rPr>
  </w:style>
  <w:style w:type="paragraph" w:customStyle="1" w:styleId="118">
    <w:name w:val="正文—高"/>
    <w:basedOn w:val="1"/>
    <w:autoRedefine/>
    <w:qFormat/>
    <w:uiPriority w:val="0"/>
    <w:pPr>
      <w:spacing w:line="360" w:lineRule="auto"/>
      <w:ind w:firstLine="1040"/>
      <w:textAlignment w:val="baseline"/>
    </w:pPr>
    <w:rPr>
      <w:rFonts w:ascii="CG Times (W1)" w:hAnsi="CG Times (W1)"/>
      <w:color w:val="000000"/>
      <w:kern w:val="24"/>
      <w:szCs w:val="20"/>
    </w:rPr>
  </w:style>
  <w:style w:type="paragraph" w:customStyle="1" w:styleId="119">
    <w:name w:val="表文字"/>
    <w:basedOn w:val="13"/>
    <w:next w:val="1"/>
    <w:autoRedefine/>
    <w:qFormat/>
    <w:uiPriority w:val="0"/>
    <w:pPr>
      <w:widowControl w:val="0"/>
      <w:adjustRightInd w:val="0"/>
      <w:snapToGrid w:val="0"/>
      <w:spacing w:line="270" w:lineRule="exact"/>
      <w:ind w:left="57" w:right="57"/>
      <w:jc w:val="center"/>
    </w:pPr>
    <w:rPr>
      <w:rFonts w:ascii="Times New Roman" w:hAnsi="Times New Roman" w:eastAsia="宋体" w:cs="Times New Roman"/>
      <w:kern w:val="18"/>
      <w:sz w:val="18"/>
      <w:lang w:val="en-GB" w:eastAsia="zh-CN" w:bidi="ar-SA"/>
    </w:rPr>
  </w:style>
  <w:style w:type="paragraph" w:customStyle="1" w:styleId="120">
    <w:name w:val="Body Text 22"/>
    <w:autoRedefine/>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 w:val="24"/>
      <w:lang w:val="en-US" w:eastAsia="zh-CN" w:bidi="ar-SA"/>
    </w:rPr>
  </w:style>
  <w:style w:type="paragraph" w:customStyle="1" w:styleId="121">
    <w:name w:val="正文+2"/>
    <w:basedOn w:val="1"/>
    <w:autoRedefine/>
    <w:qFormat/>
    <w:uiPriority w:val="0"/>
    <w:pPr>
      <w:adjustRightInd w:val="0"/>
      <w:snapToGrid w:val="0"/>
    </w:pPr>
  </w:style>
  <w:style w:type="paragraph" w:customStyle="1" w:styleId="122">
    <w:name w:val="环评报告表新版-正文"/>
    <w:basedOn w:val="1"/>
    <w:autoRedefine/>
    <w:qFormat/>
    <w:uiPriority w:val="0"/>
    <w:pPr>
      <w:autoSpaceDE w:val="0"/>
      <w:autoSpaceDN w:val="0"/>
      <w:adjustRightInd w:val="0"/>
      <w:snapToGrid w:val="0"/>
      <w:spacing w:line="360" w:lineRule="exact"/>
      <w:ind w:firstLine="200" w:firstLineChars="200"/>
    </w:pPr>
    <w:rPr>
      <w:rFonts w:cs="宋体"/>
      <w:kern w:val="0"/>
      <w:sz w:val="24"/>
      <w:szCs w:val="21"/>
    </w:rPr>
  </w:style>
  <w:style w:type="paragraph" w:customStyle="1" w:styleId="123">
    <w:name w:val="普通(网站)1"/>
    <w:basedOn w:val="1"/>
    <w:autoRedefine/>
    <w:qFormat/>
    <w:uiPriority w:val="0"/>
    <w:pPr>
      <w:spacing w:before="100" w:beforeAutospacing="1" w:after="100" w:afterAutospacing="1"/>
    </w:pPr>
    <w:rPr>
      <w:rFonts w:ascii="宋体" w:hAnsi="宋体" w:cs="宋体"/>
      <w:sz w:val="24"/>
    </w:rPr>
  </w:style>
  <w:style w:type="character" w:customStyle="1" w:styleId="124">
    <w:name w:val="font21"/>
    <w:autoRedefine/>
    <w:qFormat/>
    <w:uiPriority w:val="0"/>
    <w:rPr>
      <w:rFonts w:hint="eastAsia" w:ascii="宋体" w:hAnsi="宋体" w:eastAsia="宋体" w:cs="宋体"/>
      <w:color w:val="000000"/>
      <w:sz w:val="20"/>
      <w:szCs w:val="20"/>
      <w:u w:val="none"/>
      <w:vertAlign w:val="superscript"/>
      <w:lang w:bidi="ar-SA"/>
    </w:rPr>
  </w:style>
  <w:style w:type="paragraph" w:customStyle="1" w:styleId="125">
    <w:name w:val="A正文"/>
    <w:basedOn w:val="1"/>
    <w:autoRedefine/>
    <w:qFormat/>
    <w:uiPriority w:val="0"/>
    <w:pPr>
      <w:widowControl/>
      <w:spacing w:line="440" w:lineRule="exact"/>
      <w:ind w:firstLine="200" w:firstLineChars="200"/>
      <w:jc w:val="left"/>
    </w:pPr>
    <w:rPr>
      <w:kern w:val="0"/>
      <w:sz w:val="24"/>
      <w:szCs w:val="22"/>
    </w:rPr>
  </w:style>
  <w:style w:type="paragraph" w:customStyle="1" w:styleId="126">
    <w:name w:val="2 表格内容"/>
    <w:basedOn w:val="1"/>
    <w:autoRedefine/>
    <w:qFormat/>
    <w:uiPriority w:val="0"/>
    <w:pPr>
      <w:adjustRightInd w:val="0"/>
      <w:snapToGrid w:val="0"/>
      <w:spacing w:line="320" w:lineRule="exact"/>
      <w:jc w:val="center"/>
    </w:pPr>
    <w:rPr>
      <w:szCs w:val="21"/>
    </w:rPr>
  </w:style>
  <w:style w:type="paragraph" w:customStyle="1" w:styleId="127">
    <w:name w:val="高-标题4"/>
    <w:link w:val="128"/>
    <w:autoRedefine/>
    <w:qFormat/>
    <w:uiPriority w:val="0"/>
    <w:pPr>
      <w:spacing w:line="360" w:lineRule="auto"/>
      <w:outlineLvl w:val="3"/>
    </w:pPr>
    <w:rPr>
      <w:rFonts w:ascii="Times New Roman" w:hAnsi="Times New Roman" w:eastAsia="宋体" w:cs="Times New Roman"/>
      <w:b/>
    </w:rPr>
  </w:style>
  <w:style w:type="character" w:customStyle="1" w:styleId="128">
    <w:name w:val="高-标题4 Char"/>
    <w:link w:val="127"/>
    <w:autoRedefine/>
    <w:qFormat/>
    <w:uiPriority w:val="0"/>
    <w:rPr>
      <w:b/>
    </w:rPr>
  </w:style>
  <w:style w:type="paragraph" w:customStyle="1" w:styleId="129">
    <w:name w:val="报告正文"/>
    <w:basedOn w:val="1"/>
    <w:autoRedefine/>
    <w:qFormat/>
    <w:uiPriority w:val="0"/>
    <w:pPr>
      <w:adjustRightInd w:val="0"/>
      <w:snapToGrid w:val="0"/>
      <w:spacing w:line="360" w:lineRule="auto"/>
      <w:ind w:firstLine="200" w:firstLineChars="200"/>
    </w:pPr>
    <w:rPr>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footer" Target="footer2.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jpeg"/><Relationship Id="rId40" Type="http://schemas.openxmlformats.org/officeDocument/2006/relationships/image" Target="media/image18.png"/><Relationship Id="rId4" Type="http://schemas.openxmlformats.org/officeDocument/2006/relationships/header" Target="header1.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wmf"/><Relationship Id="rId32" Type="http://schemas.openxmlformats.org/officeDocument/2006/relationships/oleObject" Target="embeddings/oleObject9.bin"/><Relationship Id="rId31" Type="http://schemas.openxmlformats.org/officeDocument/2006/relationships/image" Target="media/image10.wmf"/><Relationship Id="rId30" Type="http://schemas.openxmlformats.org/officeDocument/2006/relationships/oleObject" Target="embeddings/oleObject8.bin"/><Relationship Id="rId3" Type="http://schemas.openxmlformats.org/officeDocument/2006/relationships/footer" Target="footer1.xml"/><Relationship Id="rId29" Type="http://schemas.openxmlformats.org/officeDocument/2006/relationships/image" Target="media/image9.wmf"/><Relationship Id="rId28" Type="http://schemas.openxmlformats.org/officeDocument/2006/relationships/oleObject" Target="embeddings/oleObject7.bin"/><Relationship Id="rId27" Type="http://schemas.openxmlformats.org/officeDocument/2006/relationships/image" Target="media/image8.wmf"/><Relationship Id="rId26" Type="http://schemas.openxmlformats.org/officeDocument/2006/relationships/oleObject" Target="embeddings/oleObject6.bin"/><Relationship Id="rId25" Type="http://schemas.openxmlformats.org/officeDocument/2006/relationships/image" Target="media/image7.wmf"/><Relationship Id="rId24" Type="http://schemas.openxmlformats.org/officeDocument/2006/relationships/oleObject" Target="embeddings/oleObject5.bin"/><Relationship Id="rId23" Type="http://schemas.openxmlformats.org/officeDocument/2006/relationships/image" Target="media/image6.wmf"/><Relationship Id="rId22" Type="http://schemas.openxmlformats.org/officeDocument/2006/relationships/oleObject" Target="embeddings/oleObject4.bin"/><Relationship Id="rId21" Type="http://schemas.openxmlformats.org/officeDocument/2006/relationships/image" Target="media/image5.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2.bin"/><Relationship Id="rId17" Type="http://schemas.openxmlformats.org/officeDocument/2006/relationships/image" Target="media/image3.emf"/><Relationship Id="rId16" Type="http://schemas.openxmlformats.org/officeDocument/2006/relationships/oleObject" Target="embeddings/oleObject1.bin"/><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YxMTg1MjU5NjAzIiwKCSJHcm91cElkIiA6ICIxNDU2MzMwMTEiLAoJIkltYWdlIiA6ICJpVkJPUncwS0dnb0FBQUFOU1VoRVVnQUFBZlVBQUFCNENBWUFBQURyRVd1akFBQUFDWEJJV1hNQUFBc1RBQUFMRXdFQW1wd1lBQUFZWVVsRVFWUjRuTzNkZVZRVVY3NEg4RzlWTDlqTkt0c0FCbEdpTW9HQWRCdmpNTzRKV1RRb2lTWjV6ek9JWmhtWlJJMFpNMUVuVDhjdCttYWljZHdtTVM4bW1YRTVUcUptc3Jod0p0RkVUVEpKWEJBUkZWbUNDaTRzSWszVGROUGRWZStQaGc0dGk0SWdEWDQvNTNqc3FycFZmWXYrZGYzcTNycFZEUk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"/>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01D1FC-4414-4091-BF95-42AAF7F066BD}">
  <ds:schemaRefs/>
</ds:datastoreItem>
</file>

<file path=docProps/app.xml><?xml version="1.0" encoding="utf-8"?>
<Properties xmlns="http://schemas.openxmlformats.org/officeDocument/2006/extended-properties" xmlns:vt="http://schemas.openxmlformats.org/officeDocument/2006/docPropsVTypes">
  <Template>Normal</Template>
  <Pages>46</Pages>
  <Words>20998</Words>
  <Characters>22686</Characters>
  <Lines>176</Lines>
  <Paragraphs>49</Paragraphs>
  <TotalTime>18</TotalTime>
  <ScaleCrop>false</ScaleCrop>
  <LinksUpToDate>false</LinksUpToDate>
  <CharactersWithSpaces>22915</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2023-03-23T04:23:00Z</dcterms:created>
  <dc:creator>Administrator</dc:creator>
  <cp:lastModifiedBy>Summer° 初夏</cp:lastModifiedBy>
  <cp:lastPrinted>2022-01-24T06:41:00Z</cp:lastPrinted>
  <dcterms:modified xsi:type="dcterms:W3CDTF">2024-03-20T03:54:24Z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67D33D7A000F4AB9BAA91320879D6E2B_13</vt:lpwstr>
  </property>
</Properties>
</file>