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b w:val="0"/>
          <w:bCs w:val="0"/>
          <w:color w:val="auto"/>
          <w:sz w:val="44"/>
          <w:szCs w:val="44"/>
          <w:lang w:val="en-US" w:eastAsia="zh-CN"/>
        </w:rPr>
        <w:t>内蒙古锡林郭勒盟西乌珠穆沁旗C024线宝日胡舒嘎查至翁格图图布嘎（东西乌交界）段公路改建工程项目</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内蒙古锡林郭勒盟西乌珠穆沁旗C024线宝日胡舒嘎查至翁格图图布嘎（东西乌交界）段公路改建工程项目</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锡环投评估表〔2024〕8号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w:t>
      </w:r>
      <w:r>
        <w:rPr>
          <w:rFonts w:hint="eastAsia" w:ascii="仿宋_GB2312" w:hAnsi="仿宋_GB2312" w:eastAsia="仿宋_GB2312" w:cs="仿宋_GB2312"/>
          <w:b w:val="0"/>
          <w:bCs w:val="0"/>
          <w:color w:val="auto"/>
          <w:sz w:val="32"/>
          <w:szCs w:val="32"/>
          <w:highlight w:val="none"/>
          <w:lang w:val="en-US" w:eastAsia="zh-CN"/>
        </w:rPr>
        <w:t>全线位于锡林郭勒盟西乌珠穆沁旗高日罕镇境内，</w:t>
      </w:r>
      <w:r>
        <w:rPr>
          <w:rFonts w:hint="default" w:ascii="仿宋_GB2312" w:hAnsi="仿宋_GB2312" w:eastAsia="仿宋_GB2312" w:cs="仿宋_GB2312"/>
          <w:b w:val="0"/>
          <w:bCs w:val="0"/>
          <w:color w:val="auto"/>
          <w:sz w:val="32"/>
          <w:szCs w:val="32"/>
          <w:highlight w:val="none"/>
          <w:lang w:val="en-US" w:eastAsia="zh-CN"/>
        </w:rPr>
        <w:t>起点</w:t>
      </w:r>
      <w:r>
        <w:rPr>
          <w:rFonts w:hint="eastAsia" w:ascii="仿宋_GB2312" w:hAnsi="仿宋_GB2312" w:eastAsia="仿宋_GB2312" w:cs="仿宋_GB2312"/>
          <w:b w:val="0"/>
          <w:bCs w:val="0"/>
          <w:color w:val="auto"/>
          <w:sz w:val="32"/>
          <w:szCs w:val="32"/>
          <w:highlight w:val="none"/>
          <w:lang w:val="en-US" w:eastAsia="zh-CN"/>
        </w:rPr>
        <w:t>位于高日罕镇宝日胡舒嘎查</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终点止于翁格图图布嘎嘎查（东西乌交界），</w:t>
      </w:r>
      <w:r>
        <w:rPr>
          <w:rFonts w:hint="default" w:ascii="仿宋_GB2312" w:hAnsi="仿宋_GB2312" w:eastAsia="仿宋_GB2312" w:cs="仿宋_GB2312"/>
          <w:b w:val="0"/>
          <w:bCs w:val="0"/>
          <w:color w:val="auto"/>
          <w:sz w:val="32"/>
          <w:szCs w:val="32"/>
          <w:highlight w:val="none"/>
          <w:lang w:val="en-US" w:eastAsia="zh-CN"/>
        </w:rPr>
        <w:t>道路全长</w:t>
      </w:r>
      <w:r>
        <w:rPr>
          <w:rFonts w:hint="eastAsia" w:ascii="仿宋_GB2312" w:hAnsi="仿宋_GB2312" w:eastAsia="仿宋_GB2312" w:cs="仿宋_GB2312"/>
          <w:b w:val="0"/>
          <w:bCs w:val="0"/>
          <w:color w:val="auto"/>
          <w:sz w:val="32"/>
          <w:szCs w:val="32"/>
          <w:highlight w:val="none"/>
          <w:lang w:val="en-US" w:eastAsia="zh-CN"/>
        </w:rPr>
        <w:t>9.833</w:t>
      </w:r>
      <w:r>
        <w:rPr>
          <w:rFonts w:hint="default" w:ascii="仿宋_GB2312" w:hAnsi="仿宋_GB2312" w:eastAsia="仿宋_GB2312" w:cs="仿宋_GB2312"/>
          <w:b w:val="0"/>
          <w:bCs w:val="0"/>
          <w:color w:val="auto"/>
          <w:sz w:val="32"/>
          <w:szCs w:val="32"/>
          <w:highlight w:val="none"/>
          <w:lang w:val="en-US" w:eastAsia="zh-CN"/>
        </w:rPr>
        <w:t>公里，采用四级公路标准建设，路基宽7.5米，路面宽4.5米，土路肩宽2×1.5米，路面结构采用水泥混凝土路面</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项目共设</w:t>
      </w:r>
      <w:r>
        <w:rPr>
          <w:rFonts w:hint="eastAsia" w:ascii="仿宋_GB2312" w:hAnsi="仿宋_GB2312" w:eastAsia="仿宋_GB2312" w:cs="仿宋_GB2312"/>
          <w:b w:val="0"/>
          <w:bCs w:val="0"/>
          <w:color w:val="auto"/>
          <w:sz w:val="32"/>
          <w:szCs w:val="32"/>
          <w:highlight w:val="none"/>
          <w:lang w:val="en-US" w:eastAsia="zh-CN"/>
        </w:rPr>
        <w:t>平面交叉7</w:t>
      </w:r>
      <w:r>
        <w:rPr>
          <w:rFonts w:hint="default" w:ascii="仿宋_GB2312" w:hAnsi="仿宋_GB2312" w:eastAsia="仿宋_GB2312" w:cs="仿宋_GB2312"/>
          <w:b w:val="0"/>
          <w:bCs w:val="0"/>
          <w:color w:val="auto"/>
          <w:sz w:val="32"/>
          <w:szCs w:val="32"/>
          <w:highlight w:val="none"/>
          <w:lang w:val="en-US" w:eastAsia="zh-CN"/>
        </w:rPr>
        <w:t>处</w:t>
      </w:r>
      <w:r>
        <w:rPr>
          <w:rFonts w:hint="eastAsia" w:ascii="仿宋_GB2312" w:hAnsi="仿宋_GB2312" w:eastAsia="仿宋_GB2312" w:cs="仿宋_GB2312"/>
          <w:b w:val="0"/>
          <w:bCs w:val="0"/>
          <w:color w:val="auto"/>
          <w:sz w:val="32"/>
          <w:szCs w:val="32"/>
          <w:highlight w:val="none"/>
          <w:lang w:val="en-US" w:eastAsia="zh-CN"/>
        </w:rPr>
        <w:t>，均为上、下车道与自然路交叉，分别位于K3+270、K4+610、K6+350、K6+620、K8+075、K8+273、K9+025处。项目永久占地面积为110000.55㎡，全部为道路工程占地，占地类型为草地；临时占地面积为17466.754㎡，占用的土地性质为草地。其中施工场地临时占地面积为5000㎡，位于k0+000右侧20km处，建设内容包括拌合站（水泥筒仓、搅拌机等）、料场和施工场地；1处石渣料场和1处取土场临时占地面积为12466.73㎡，位于k0+000右侧22km处。</w:t>
      </w:r>
      <w:r>
        <w:rPr>
          <w:rFonts w:hint="eastAsia" w:ascii="仿宋_GB2312" w:hAnsi="仿宋_GB2312" w:eastAsia="仿宋_GB2312" w:cs="仿宋_GB2312"/>
          <w:color w:val="auto"/>
          <w:sz w:val="32"/>
          <w:szCs w:val="32"/>
        </w:rPr>
        <w:t>项目工程总投资为</w:t>
      </w:r>
      <w:r>
        <w:rPr>
          <w:rFonts w:hint="eastAsia" w:ascii="仿宋_GB2312" w:hAnsi="仿宋_GB2312" w:eastAsia="仿宋_GB2312" w:cs="仿宋_GB2312"/>
          <w:color w:val="auto"/>
          <w:sz w:val="32"/>
          <w:szCs w:val="32"/>
          <w:lang w:val="en-US" w:eastAsia="zh-CN"/>
        </w:rPr>
        <w:t>1261.32</w:t>
      </w:r>
      <w:r>
        <w:rPr>
          <w:rFonts w:hint="eastAsia" w:ascii="仿宋_GB2312" w:hAnsi="仿宋_GB2312" w:eastAsia="仿宋_GB2312" w:cs="仿宋_GB2312"/>
          <w:color w:val="auto"/>
          <w:sz w:val="32"/>
          <w:szCs w:val="32"/>
        </w:rPr>
        <w:t>万元，其中环保投资为</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万元，占总投资的</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w:t>
      </w:r>
      <w:r>
        <w:rPr>
          <w:rFonts w:hint="default" w:ascii="仿宋_GB2312" w:hAnsi="仿宋_GB2312" w:eastAsia="仿宋_GB2312" w:cs="仿宋_GB2312"/>
          <w:b w:val="0"/>
          <w:bCs w:val="0"/>
          <w:color w:val="auto"/>
          <w:sz w:val="32"/>
          <w:szCs w:val="32"/>
          <w:lang w:val="en-GB" w:eastAsia="zh-CN"/>
        </w:rPr>
        <w:t>根据西乌珠穆沁旗自然资源局《关于</w:t>
      </w:r>
      <w:r>
        <w:rPr>
          <w:rFonts w:hint="default" w:ascii="仿宋_GB2312" w:hAnsi="仿宋_GB2312" w:eastAsia="仿宋_GB2312" w:cs="仿宋_GB2312"/>
          <w:b w:val="0"/>
          <w:bCs w:val="0"/>
          <w:color w:val="auto"/>
          <w:sz w:val="32"/>
          <w:szCs w:val="32"/>
          <w:lang w:val="en-US" w:eastAsia="zh-CN"/>
        </w:rPr>
        <w:t>2022年农村牧区公路建设项目建设用地范围是否位于生态保护红线范围内的复函</w:t>
      </w:r>
      <w:r>
        <w:rPr>
          <w:rFonts w:hint="default" w:ascii="仿宋_GB2312" w:hAnsi="仿宋_GB2312" w:eastAsia="仿宋_GB2312" w:cs="仿宋_GB2312"/>
          <w:b w:val="0"/>
          <w:bCs w:val="0"/>
          <w:color w:val="auto"/>
          <w:sz w:val="32"/>
          <w:szCs w:val="32"/>
          <w:lang w:val="en-GB" w:eastAsia="zh-CN"/>
        </w:rPr>
        <w:t>》</w:t>
      </w:r>
      <w:r>
        <w:rPr>
          <w:rFonts w:hint="eastAsia" w:ascii="仿宋_GB2312" w:hAnsi="仿宋_GB2312" w:eastAsia="仿宋_GB2312" w:cs="仿宋_GB2312"/>
          <w:b w:val="0"/>
          <w:bCs w:val="0"/>
          <w:color w:val="auto"/>
          <w:sz w:val="32"/>
          <w:szCs w:val="32"/>
          <w:lang w:val="en-GB" w:eastAsia="zh-CN"/>
        </w:rPr>
        <w:t>，项目</w:t>
      </w:r>
      <w:r>
        <w:rPr>
          <w:rFonts w:hint="eastAsia" w:ascii="仿宋_GB2312" w:hAnsi="仿宋_GB2312" w:eastAsia="仿宋_GB2312" w:cs="仿宋_GB2312"/>
          <w:color w:val="auto"/>
          <w:sz w:val="32"/>
          <w:szCs w:val="32"/>
          <w:lang w:val="en-US" w:eastAsia="zh-CN"/>
        </w:rPr>
        <w:t>在西乌珠穆沁旗拟定的生态红线范围内。</w:t>
      </w:r>
      <w:r>
        <w:rPr>
          <w:rFonts w:hint="eastAsia" w:ascii="仿宋_GB2312" w:hAnsi="仿宋_GB2312" w:eastAsia="仿宋_GB2312" w:cs="仿宋_GB2312"/>
          <w:b w:val="0"/>
          <w:bCs w:val="0"/>
          <w:color w:val="auto"/>
          <w:sz w:val="32"/>
          <w:szCs w:val="32"/>
          <w:lang w:val="en-US" w:eastAsia="zh-CN"/>
        </w:rPr>
        <w:t>根据中共中央办公厅国务院办公厅印发《关于国土空间规划中统筹划定落实三条控制线的指导意见》的通知要求，必须且无法避让、符合县级以上国土空间规划的线性基础设施建设、防洪和供水设施建设与运行维护项目不需避让生态红线。</w:t>
      </w:r>
      <w:r>
        <w:rPr>
          <w:rFonts w:hint="default" w:ascii="仿宋_GB2312" w:hAnsi="仿宋_GB2312" w:eastAsia="仿宋_GB2312" w:cs="仿宋_GB2312"/>
          <w:b w:val="0"/>
          <w:bCs w:val="0"/>
          <w:color w:val="auto"/>
          <w:sz w:val="32"/>
          <w:szCs w:val="32"/>
          <w:lang w:val="en-US" w:eastAsia="zh-CN"/>
        </w:rPr>
        <w:t>本项目为</w:t>
      </w:r>
      <w:r>
        <w:rPr>
          <w:rFonts w:hint="eastAsia" w:ascii="仿宋_GB2312" w:hAnsi="仿宋_GB2312" w:eastAsia="仿宋_GB2312" w:cs="仿宋_GB2312"/>
          <w:b w:val="0"/>
          <w:bCs w:val="0"/>
          <w:color w:val="auto"/>
          <w:sz w:val="32"/>
          <w:szCs w:val="32"/>
          <w:lang w:val="en-US" w:eastAsia="zh-CN"/>
        </w:rPr>
        <w:t>线性基础设施</w:t>
      </w:r>
      <w:r>
        <w:rPr>
          <w:rFonts w:hint="default" w:ascii="仿宋_GB2312" w:hAnsi="仿宋_GB2312" w:eastAsia="仿宋_GB2312" w:cs="仿宋_GB2312"/>
          <w:b w:val="0"/>
          <w:bCs w:val="0"/>
          <w:color w:val="auto"/>
          <w:sz w:val="32"/>
          <w:szCs w:val="32"/>
          <w:lang w:val="en-US" w:eastAsia="zh-CN"/>
        </w:rPr>
        <w:t>，不涉及自然保护地，必须且无法避让</w:t>
      </w:r>
      <w:r>
        <w:rPr>
          <w:rFonts w:hint="eastAsia" w:ascii="仿宋_GB2312" w:hAnsi="仿宋_GB2312" w:eastAsia="仿宋_GB2312" w:cs="仿宋_GB2312"/>
          <w:b w:val="0"/>
          <w:bCs w:val="0"/>
          <w:color w:val="auto"/>
          <w:sz w:val="32"/>
          <w:szCs w:val="32"/>
          <w:lang w:val="en-US" w:eastAsia="zh-CN"/>
        </w:rPr>
        <w:t>生态红线，符合此项规定。</w:t>
      </w:r>
      <w:r>
        <w:rPr>
          <w:rFonts w:hint="eastAsia" w:ascii="仿宋_GB2312" w:hAnsi="仿宋_GB2312" w:eastAsia="仿宋_GB2312" w:cs="仿宋_GB2312"/>
          <w:color w:val="auto"/>
          <w:sz w:val="32"/>
          <w:szCs w:val="32"/>
          <w:lang w:val="en-US" w:eastAsia="zh-CN"/>
        </w:rPr>
        <w:t>依据《锡林郭勒盟生态环境准入清单》（2023年版）中“锡林郭勒盟西乌珠穆沁旗生态环境准入清单”，项目区域环境管控单元名称为“西乌珠穆沁旗-生物多样性维护生态功能重要区”（ZH15252610006），符合该环境管控单元空间布局约束、污染物排放管控、环境风险防控、资源利用效率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w:t>
      </w:r>
      <w:r>
        <w:rPr>
          <w:rFonts w:hint="eastAsia" w:ascii="仿宋_GB2312" w:hAnsi="仿宋_GB2312" w:eastAsia="仿宋_GB2312" w:cs="仿宋_GB2312"/>
          <w:color w:val="auto"/>
          <w:sz w:val="32"/>
          <w:szCs w:val="32"/>
          <w:lang w:val="en-US" w:eastAsia="zh-CN"/>
        </w:rPr>
        <w:t>大气污染物为施工扬尘、堆场扬尘、拌合站废气、表土剥离粉尘、表土及取、弃土场扬尘、运输扬尘及汽车尾气。</w:t>
      </w:r>
      <w:r>
        <w:rPr>
          <w:rFonts w:hint="eastAsia" w:ascii="仿宋_GB2312" w:hAnsi="仿宋_GB2312" w:eastAsia="仿宋_GB2312" w:cs="仿宋_GB2312"/>
          <w:color w:val="auto"/>
          <w:kern w:val="0"/>
          <w:sz w:val="32"/>
          <w:szCs w:val="32"/>
          <w:lang w:val="en-US" w:eastAsia="zh-CN" w:bidi="ar"/>
        </w:rPr>
        <w:t>施工单位对施工场地、取弃土场、表土堆场、运输道路等采取洒水降尘措施；在施工期间必须加强运输散体物质车辆管理，对运输车辆采取蓬布苫盖、路面洒水等防护措施。运营期产生的大气污染物主要是汽车尾气、</w:t>
      </w:r>
      <w:r>
        <w:rPr>
          <w:rFonts w:hint="eastAsia" w:ascii="仿宋_GB2312" w:hAnsi="仿宋_GB2312" w:eastAsia="仿宋_GB2312" w:cs="仿宋_GB2312"/>
          <w:color w:val="000000" w:themeColor="text1"/>
          <w:sz w:val="32"/>
          <w:szCs w:val="32"/>
          <w14:textFill>
            <w14:solidFill>
              <w14:schemeClr w14:val="tx1"/>
            </w14:solidFill>
          </w14:textFill>
        </w:rPr>
        <w:t>过往车辆产生的道路扬尘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建设单位应对过往车辆产生的扬尘</w:t>
      </w:r>
      <w:r>
        <w:rPr>
          <w:rFonts w:hint="eastAsia" w:ascii="仿宋_GB2312" w:hAnsi="仿宋_GB2312" w:eastAsia="仿宋_GB2312" w:cs="仿宋_GB2312"/>
          <w:color w:val="000000" w:themeColor="text1"/>
          <w:sz w:val="32"/>
          <w:szCs w:val="32"/>
          <w14:textFill>
            <w14:solidFill>
              <w14:schemeClr w14:val="tx1"/>
            </w14:solidFill>
          </w14:textFill>
        </w:rPr>
        <w:t>采取扬尘污染防治和减缓措施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道路</w:t>
      </w:r>
      <w:r>
        <w:rPr>
          <w:rFonts w:hint="eastAsia" w:ascii="仿宋_GB2312" w:hAnsi="仿宋_GB2312" w:eastAsia="仿宋_GB2312" w:cs="仿宋_GB2312"/>
          <w:color w:val="000000" w:themeColor="text1"/>
          <w:sz w:val="32"/>
          <w:szCs w:val="32"/>
          <w14:textFill>
            <w14:solidFill>
              <w14:schemeClr w14:val="tx1"/>
            </w14:solidFill>
          </w14:textFill>
        </w:rPr>
        <w:t>两旁种草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充分利用绿色植物交换空气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降尘的作用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;来往车辆限制车速，安装限速标识;</w:t>
      </w:r>
      <w:r>
        <w:rPr>
          <w:rFonts w:hint="eastAsia" w:ascii="仿宋_GB2312" w:hAnsi="仿宋_GB2312" w:eastAsia="仿宋_GB2312" w:cs="仿宋_GB2312"/>
          <w:color w:val="000000" w:themeColor="text1"/>
          <w:sz w:val="32"/>
          <w:szCs w:val="32"/>
          <w14:textFill>
            <w14:solidFill>
              <w14:schemeClr w14:val="tx1"/>
            </w14:solidFill>
          </w14:textFill>
        </w:rPr>
        <w:t>对汽车排放进行抽查，对运输散体物质的车辆必须严加管理。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2、水污染防治措施。</w:t>
      </w:r>
      <w:r>
        <w:rPr>
          <w:rFonts w:hint="eastAsia" w:ascii="仿宋_GB2312" w:hAnsi="仿宋_GB2312" w:eastAsia="仿宋_GB2312" w:cs="仿宋_GB2312"/>
          <w:color w:val="auto"/>
          <w:sz w:val="32"/>
          <w:szCs w:val="32"/>
          <w:lang w:val="en-US" w:eastAsia="zh-CN"/>
        </w:rPr>
        <w:t>施工期废水主要为生活污水、</w:t>
      </w:r>
      <w:r>
        <w:rPr>
          <w:rFonts w:hint="eastAsia" w:ascii="仿宋_GB2312" w:hAnsi="仿宋_GB2312" w:eastAsia="仿宋_GB2312" w:cs="仿宋_GB2312"/>
          <w:color w:val="auto"/>
          <w:kern w:val="0"/>
          <w:sz w:val="32"/>
          <w:szCs w:val="32"/>
          <w:lang w:val="en-US" w:eastAsia="zh-CN" w:bidi="ar"/>
        </w:rPr>
        <w:t>施工机械冲洗废水</w:t>
      </w:r>
      <w:r>
        <w:rPr>
          <w:rFonts w:hint="eastAsia" w:ascii="仿宋_GB2312" w:hAnsi="仿宋_GB2312" w:eastAsia="仿宋_GB2312" w:cs="仿宋_GB2312"/>
          <w:color w:val="auto"/>
          <w:sz w:val="32"/>
          <w:szCs w:val="32"/>
          <w:lang w:val="en-US" w:eastAsia="zh-CN"/>
        </w:rPr>
        <w:t>。施工现场设置临时移动厕所，施工人员产生的生活污水收集后清运处置;施工机械冲洗废水经沉淀池沉淀后用于道路洒水降尘，不外排。</w:t>
      </w:r>
      <w:r>
        <w:rPr>
          <w:rFonts w:hint="eastAsia" w:ascii="仿宋_GB2312" w:hAnsi="仿宋_GB2312" w:eastAsia="仿宋_GB2312" w:cs="仿宋_GB2312"/>
          <w:b w:val="0"/>
          <w:bCs w:val="0"/>
          <w:color w:val="auto"/>
          <w:sz w:val="32"/>
          <w:szCs w:val="32"/>
        </w:rPr>
        <w:t>项目沿线不建设收费站、服务区、养护工区等，运营期无废水产生。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3、固废污染防治措施。施工期产生的</w:t>
      </w:r>
      <w:r>
        <w:rPr>
          <w:rFonts w:hint="eastAsia" w:ascii="仿宋_GB2312" w:hAnsi="仿宋_GB2312" w:eastAsia="仿宋_GB2312" w:cs="仿宋_GB2312"/>
          <w:color w:val="auto"/>
          <w:sz w:val="32"/>
          <w:szCs w:val="32"/>
          <w:lang w:val="en-US" w:eastAsia="zh-CN"/>
        </w:rPr>
        <w:t>固体废物主要有施工人员生活垃圾、施工废料、布袋除尘器粉尘和沉淀池沉渣等。</w:t>
      </w:r>
      <w:r>
        <w:rPr>
          <w:rFonts w:hint="eastAsia" w:ascii="仿宋_GB2312" w:hAnsi="仿宋_GB2312" w:eastAsia="仿宋_GB2312" w:cs="仿宋_GB2312"/>
          <w:color w:val="auto"/>
          <w:kern w:val="0"/>
          <w:sz w:val="32"/>
          <w:szCs w:val="32"/>
          <w:highlight w:val="none"/>
          <w:lang w:val="en-US" w:eastAsia="zh-CN" w:bidi="ar-SA"/>
        </w:rPr>
        <w:t>施工单位对</w:t>
      </w:r>
      <w:r>
        <w:rPr>
          <w:rFonts w:hint="eastAsia" w:ascii="仿宋_GB2312" w:hAnsi="仿宋_GB2312" w:eastAsia="仿宋_GB2312" w:cs="仿宋_GB2312"/>
          <w:color w:val="auto"/>
          <w:sz w:val="32"/>
          <w:szCs w:val="32"/>
          <w:lang w:val="en-US" w:eastAsia="zh-CN"/>
        </w:rPr>
        <w:t>施工现场</w:t>
      </w:r>
      <w:r>
        <w:rPr>
          <w:rFonts w:hint="eastAsia" w:ascii="仿宋_GB2312" w:hAnsi="仿宋_GB2312" w:eastAsia="仿宋_GB2312" w:cs="仿宋_GB2312"/>
          <w:color w:val="auto"/>
          <w:sz w:val="32"/>
          <w:szCs w:val="32"/>
        </w:rPr>
        <w:t>产生的生活垃圾</w:t>
      </w:r>
      <w:r>
        <w:rPr>
          <w:rFonts w:hint="eastAsia" w:ascii="仿宋_GB2312" w:hAnsi="仿宋_GB2312" w:eastAsia="仿宋_GB2312" w:cs="仿宋_GB2312"/>
          <w:color w:val="auto"/>
          <w:sz w:val="32"/>
          <w:szCs w:val="32"/>
          <w:lang w:eastAsia="zh-CN"/>
        </w:rPr>
        <w:t>经垃圾收集桶收集后集中</w:t>
      </w:r>
      <w:r>
        <w:rPr>
          <w:rFonts w:hint="eastAsia" w:ascii="仿宋_GB2312" w:hAnsi="仿宋_GB2312" w:eastAsia="仿宋_GB2312" w:cs="仿宋_GB2312"/>
          <w:color w:val="auto"/>
          <w:sz w:val="32"/>
          <w:szCs w:val="32"/>
          <w:lang w:val="en-US" w:eastAsia="zh-CN"/>
        </w:rPr>
        <w:t>交由环卫部门处置；项目拆迁建筑物收集后交由相关单位回收处理，对不能使用的废料集中收集及时运至当地的建筑垃圾填埋场填埋。</w:t>
      </w:r>
      <w:r>
        <w:rPr>
          <w:rFonts w:hint="eastAsia" w:ascii="仿宋_GB2312" w:hAnsi="仿宋_GB2312" w:eastAsia="仿宋_GB2312" w:cs="仿宋_GB2312"/>
          <w:color w:val="auto"/>
          <w:sz w:val="32"/>
          <w:szCs w:val="32"/>
          <w:lang w:eastAsia="zh-CN"/>
        </w:rPr>
        <w:t>施工弃土按照规划要求用于项目建设中，并尽快利用，以减少堆存时间，若不能确保其全部利用时，及时运至取弃土场；</w:t>
      </w:r>
      <w:r>
        <w:rPr>
          <w:rFonts w:hint="eastAsia" w:ascii="仿宋_GB2312" w:hAnsi="仿宋_GB2312" w:eastAsia="仿宋_GB2312" w:cs="仿宋_GB2312"/>
          <w:color w:val="auto"/>
          <w:sz w:val="32"/>
          <w:szCs w:val="32"/>
          <w:lang w:val="en-US" w:eastAsia="zh-CN"/>
        </w:rPr>
        <w:t>车辆机械冲洗沉淀池产生的少量沉淀废渣定期拉运至环卫部门指定地点处置，除尘器收集的粉尘回用于生产。</w:t>
      </w:r>
      <w:r>
        <w:rPr>
          <w:rFonts w:hint="eastAsia" w:ascii="仿宋_GB2312" w:hAnsi="仿宋_GB2312" w:eastAsia="仿宋_GB2312" w:cs="仿宋_GB2312"/>
          <w:color w:val="000000" w:themeColor="text1"/>
          <w:sz w:val="32"/>
          <w:szCs w:val="32"/>
          <w14:textFill>
            <w14:solidFill>
              <w14:schemeClr w14:val="tx1"/>
            </w14:solidFill>
          </w14:textFill>
        </w:rPr>
        <w:t>项目运营期产生的固体废物主要为过往车辆及过路人员产生的生活垃圾。道路建成通车后，妥善处理过往司乘人员产生的废纸、废塑料袋、烟蒂等生活垃圾，以及汽车装载货物的撒落物等，由当地环卫部门定期清理，减轻对周边的自然环境产生的影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昼间施工时，临近声环境保护目标一侧要求设置临时声屏障进行降噪，禁止多种施工机械同时作业，限制车速，禁止鸣笛和夜间进行取土的运输。运营期建设单位应</w:t>
      </w:r>
      <w:r>
        <w:rPr>
          <w:rFonts w:hint="eastAsia" w:ascii="仿宋_GB2312" w:hAnsi="仿宋_GB2312" w:eastAsia="仿宋_GB2312" w:cs="仿宋_GB2312"/>
          <w:color w:val="auto"/>
          <w:sz w:val="32"/>
          <w:szCs w:val="32"/>
        </w:rPr>
        <w:t>加强公路交通管理，在</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附近路段设置禁鸣、限速标志、减速带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w:t>
      </w:r>
      <w:r>
        <w:rPr>
          <w:rFonts w:hint="eastAsia" w:ascii="仿宋_GB2312" w:hAnsi="仿宋_GB2312" w:eastAsia="仿宋_GB2312" w:cs="仿宋_GB2312"/>
          <w:color w:val="auto"/>
          <w:sz w:val="32"/>
          <w:szCs w:val="32"/>
          <w:lang w:val="en-US" w:eastAsia="zh-CN"/>
        </w:rPr>
        <w:t>对破损路面及时维修，</w:t>
      </w:r>
      <w:r>
        <w:rPr>
          <w:rFonts w:hint="eastAsia" w:ascii="仿宋_GB2312" w:hAnsi="仿宋_GB2312" w:eastAsia="仿宋_GB2312" w:cs="仿宋_GB2312"/>
          <w:color w:val="auto"/>
          <w:sz w:val="32"/>
          <w:szCs w:val="32"/>
        </w:rPr>
        <w:t>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针对于道路敏感点居民</w:t>
      </w:r>
      <w:r>
        <w:rPr>
          <w:rFonts w:hint="eastAsia" w:ascii="仿宋_GB2312" w:hAnsi="仿宋_GB2312" w:eastAsia="仿宋_GB2312" w:cs="仿宋_GB2312"/>
          <w:color w:val="auto"/>
          <w:sz w:val="32"/>
          <w:szCs w:val="32"/>
        </w:rPr>
        <w:t>建议加强项目公路</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附近声环境质量的监测工作，对可能受到较严重污染的</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实行环境噪声定期监测制度，每季度开展一次监测，必要时可采取随机抽查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5、生态环境保护措施。施工单位应</w:t>
      </w:r>
      <w:r>
        <w:rPr>
          <w:rFonts w:hint="eastAsia" w:ascii="仿宋_GB2312" w:hAnsi="仿宋_GB2312" w:eastAsia="仿宋_GB2312" w:cs="仿宋_GB2312"/>
          <w:color w:val="000000"/>
          <w:kern w:val="0"/>
          <w:sz w:val="32"/>
          <w:szCs w:val="32"/>
          <w:lang w:val="en-US" w:eastAsia="zh-CN" w:bidi="ar"/>
        </w:rPr>
        <w:t>制定详细的施工计划，</w:t>
      </w:r>
      <w:r>
        <w:rPr>
          <w:rFonts w:hint="eastAsia" w:ascii="仿宋_GB2312" w:hAnsi="仿宋_GB2312" w:eastAsia="仿宋_GB2312" w:cs="仿宋_GB2312"/>
          <w:color w:val="auto"/>
          <w:sz w:val="32"/>
          <w:szCs w:val="32"/>
          <w:lang w:val="en-US" w:eastAsia="zh-CN"/>
        </w:rPr>
        <w:t>加强施工管理，严格控制施工作业范围，禁止越界施工，对生态保护红线影响降到最小；</w:t>
      </w:r>
      <w:r>
        <w:rPr>
          <w:rFonts w:hint="eastAsia" w:ascii="仿宋_GB2312" w:hAnsi="仿宋_GB2312" w:eastAsia="仿宋_GB2312" w:cs="仿宋_GB2312"/>
          <w:sz w:val="32"/>
          <w:szCs w:val="32"/>
        </w:rPr>
        <w:t>尽量避开大风和雨天施工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lang w:val="en-US" w:eastAsia="zh-CN"/>
        </w:rPr>
        <w:t>在施工期</w:t>
      </w:r>
      <w:r>
        <w:rPr>
          <w:rFonts w:hint="eastAsia" w:ascii="仿宋_GB2312" w:hAnsi="仿宋_GB2312" w:eastAsia="仿宋_GB2312" w:cs="仿宋_GB2312"/>
          <w:sz w:val="32"/>
          <w:szCs w:val="32"/>
          <w:lang w:val="en-US" w:eastAsia="zh-CN"/>
        </w:rPr>
        <w:t>减少地表开挖，加强表土及未及时回填土的防护，减少水土流失；</w:t>
      </w:r>
      <w:r>
        <w:rPr>
          <w:rFonts w:hint="eastAsia" w:ascii="仿宋_GB2312" w:hAnsi="仿宋_GB2312" w:eastAsia="仿宋_GB2312" w:cs="仿宋_GB2312"/>
          <w:sz w:val="32"/>
          <w:szCs w:val="32"/>
        </w:rPr>
        <w:t>施工期结束后，对</w:t>
      </w:r>
      <w:r>
        <w:rPr>
          <w:rFonts w:hint="eastAsia" w:ascii="仿宋_GB2312" w:hAnsi="仿宋_GB2312" w:eastAsia="仿宋_GB2312" w:cs="仿宋_GB2312"/>
          <w:sz w:val="32"/>
          <w:szCs w:val="32"/>
          <w:lang w:val="en-US" w:eastAsia="zh-CN"/>
        </w:rPr>
        <w:t>公路路基两侧、取土场地表扰动区域</w:t>
      </w:r>
      <w:r>
        <w:rPr>
          <w:rFonts w:hint="eastAsia" w:ascii="仿宋_GB2312" w:hAnsi="仿宋_GB2312" w:eastAsia="仿宋_GB2312" w:cs="仿宋_GB2312"/>
          <w:sz w:val="32"/>
          <w:szCs w:val="32"/>
        </w:rPr>
        <w:t>进行土地平整、</w:t>
      </w:r>
      <w:r>
        <w:rPr>
          <w:rFonts w:hint="eastAsia" w:ascii="仿宋_GB2312" w:hAnsi="仿宋_GB2312" w:eastAsia="仿宋_GB2312" w:cs="仿宋_GB2312"/>
          <w:sz w:val="32"/>
          <w:szCs w:val="32"/>
          <w:lang w:val="en-US" w:eastAsia="zh-CN"/>
        </w:rPr>
        <w:t>恢复植被</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
        </w:rPr>
        <w:t>在相应区段施工中设置醒目的标语牌。</w:t>
      </w:r>
      <w:r>
        <w:rPr>
          <w:rFonts w:hint="eastAsia" w:ascii="仿宋_GB2312" w:hAnsi="仿宋_GB2312" w:eastAsia="仿宋_GB2312" w:cs="仿宋_GB2312"/>
          <w:snapToGrid w:val="0"/>
          <w:color w:val="auto"/>
          <w:kern w:val="2"/>
          <w:sz w:val="32"/>
          <w:szCs w:val="32"/>
          <w:lang w:val="en-US" w:eastAsia="zh-CN" w:bidi="ar-SA"/>
        </w:rPr>
        <w:t>运营期加强对路基边坡及两侧、临时取土场植被的管理与养护；公路管理及养护部门应加强管理和宣传教育，确保公路沿线的绿化不受破坏；项目运营后五年内对取土场进行植被恢复情况生态监测了解临时用地植被的恢复情况，如发现植株死亡或者覆盖率达不到预计目标，要尽快补植，并形成工作制度，严格执行；植物种优先选择适合于当地生长的乡土植物种，确保生物安全；定期对植被、野生动物等进行监测；对影响和破坏的植被进行生态补偿。</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2024年3月26日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bookmarkStart w:id="0" w:name="_GoBack"/>
      <w:bookmarkEnd w:id="0"/>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26</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7F5C19"/>
    <w:rsid w:val="018E255D"/>
    <w:rsid w:val="079D0356"/>
    <w:rsid w:val="08292EF0"/>
    <w:rsid w:val="09665DE7"/>
    <w:rsid w:val="0A302749"/>
    <w:rsid w:val="0A6D250B"/>
    <w:rsid w:val="0AF55F71"/>
    <w:rsid w:val="0E746B5A"/>
    <w:rsid w:val="11A82DA9"/>
    <w:rsid w:val="14BA613D"/>
    <w:rsid w:val="150500C9"/>
    <w:rsid w:val="17F03DBE"/>
    <w:rsid w:val="189A621D"/>
    <w:rsid w:val="1EB661F5"/>
    <w:rsid w:val="1F0942A1"/>
    <w:rsid w:val="1FEF0AB1"/>
    <w:rsid w:val="20625EBD"/>
    <w:rsid w:val="22775781"/>
    <w:rsid w:val="24C91014"/>
    <w:rsid w:val="26721809"/>
    <w:rsid w:val="28847071"/>
    <w:rsid w:val="2E2C61C7"/>
    <w:rsid w:val="33362498"/>
    <w:rsid w:val="351A1FA1"/>
    <w:rsid w:val="389E30FE"/>
    <w:rsid w:val="3B0C28D2"/>
    <w:rsid w:val="3B0C2E58"/>
    <w:rsid w:val="3C63045A"/>
    <w:rsid w:val="3F6D721C"/>
    <w:rsid w:val="3FA265BF"/>
    <w:rsid w:val="49893DAA"/>
    <w:rsid w:val="4CA913C7"/>
    <w:rsid w:val="4FCC07B9"/>
    <w:rsid w:val="509757B4"/>
    <w:rsid w:val="50FB2104"/>
    <w:rsid w:val="522241C5"/>
    <w:rsid w:val="52DE02D1"/>
    <w:rsid w:val="536856F0"/>
    <w:rsid w:val="53A148BE"/>
    <w:rsid w:val="543D7097"/>
    <w:rsid w:val="550D3A9F"/>
    <w:rsid w:val="595E4131"/>
    <w:rsid w:val="5A6673EF"/>
    <w:rsid w:val="5A962B6A"/>
    <w:rsid w:val="5CCF1D9B"/>
    <w:rsid w:val="5EC66ED4"/>
    <w:rsid w:val="5EF25A14"/>
    <w:rsid w:val="5F0423F2"/>
    <w:rsid w:val="5F2B096A"/>
    <w:rsid w:val="62976515"/>
    <w:rsid w:val="63A36E9E"/>
    <w:rsid w:val="68FD394B"/>
    <w:rsid w:val="69B56FF0"/>
    <w:rsid w:val="6A8A6014"/>
    <w:rsid w:val="716A177A"/>
    <w:rsid w:val="74F15189"/>
    <w:rsid w:val="76606C4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5">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1"/>
    <w:autoRedefine/>
    <w:qFormat/>
    <w:uiPriority w:val="0"/>
    <w:pPr>
      <w:spacing w:line="500" w:lineRule="exact"/>
      <w:ind w:firstLine="454"/>
    </w:pPr>
    <w:rPr>
      <w:rFonts w:ascii="楷体_GB2312" w:eastAsia="楷体_GB2312"/>
      <w:bCs/>
      <w:sz w:val="24"/>
    </w:rPr>
  </w:style>
  <w:style w:type="paragraph" w:styleId="6">
    <w:name w:val="E-mail Signature"/>
    <w:basedOn w:val="1"/>
    <w:next w:val="7"/>
    <w:autoRedefine/>
    <w:qFormat/>
    <w:uiPriority w:val="0"/>
    <w:pPr>
      <w:spacing w:line="460" w:lineRule="exact"/>
      <w:ind w:firstLine="200"/>
    </w:pPr>
    <w:rPr>
      <w:sz w:val="24"/>
    </w:rPr>
  </w:style>
  <w:style w:type="paragraph" w:customStyle="1" w:styleId="7">
    <w:name w:val="文章"/>
    <w:basedOn w:val="3"/>
    <w:next w:val="8"/>
    <w:autoRedefine/>
    <w:qFormat/>
    <w:uiPriority w:val="0"/>
    <w:pPr>
      <w:widowControl/>
      <w:jc w:val="center"/>
    </w:pPr>
    <w:rPr>
      <w:sz w:val="26"/>
    </w:rPr>
  </w:style>
  <w:style w:type="paragraph" w:styleId="8">
    <w:name w:val="List"/>
    <w:basedOn w:val="1"/>
    <w:next w:val="9"/>
    <w:autoRedefine/>
    <w:qFormat/>
    <w:uiPriority w:val="0"/>
    <w:pPr>
      <w:jc w:val="center"/>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280" w:after="280"/>
    </w:pPr>
    <w:rPr>
      <w:rFonts w:ascii="宋体"/>
    </w:rPr>
  </w:style>
  <w:style w:type="paragraph" w:customStyle="1" w:styleId="11">
    <w:name w:val="正文缩进1"/>
    <w:basedOn w:val="1"/>
    <w:next w:val="12"/>
    <w:autoRedefine/>
    <w:qFormat/>
    <w:uiPriority w:val="0"/>
    <w:pPr>
      <w:ind w:firstLine="420"/>
    </w:pPr>
    <w:rPr>
      <w:szCs w:val="20"/>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next w:val="2"/>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6"/>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1</TotalTime>
  <ScaleCrop>false</ScaleCrop>
  <LinksUpToDate>false</LinksUpToDate>
  <CharactersWithSpaces>1429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arvngva</cp:lastModifiedBy>
  <cp:lastPrinted>2020-03-17T06:55:00Z</cp:lastPrinted>
  <dcterms:modified xsi:type="dcterms:W3CDTF">2024-03-26T07:23:21Z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F550D5F0142A4366B1117ACE19B9C778_13</vt:lpwstr>
  </property>
</Properties>
</file>