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b w:val="0"/>
          <w:bCs w:val="0"/>
          <w:color w:val="auto"/>
          <w:sz w:val="44"/>
          <w:szCs w:val="44"/>
          <w:lang w:val="en-US" w:eastAsia="zh-CN"/>
        </w:rPr>
        <w:t>内蒙古锡林郭勒盟西乌珠穆沁旗伊和塔萨尔亥至千丰乳业段公路工程项目</w:t>
      </w:r>
      <w:r>
        <w:rPr>
          <w:rFonts w:hint="eastAsia" w:ascii="方正小标宋简体" w:hAnsi="方正小标宋简体" w:eastAsia="方正小标宋简体" w:cs="方正小标宋简体"/>
          <w:spacing w:val="-11"/>
          <w:sz w:val="44"/>
          <w:szCs w:val="44"/>
        </w:rPr>
        <w:t>环境影响</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内蒙古锡林郭勒盟西乌珠穆沁旗伊和塔萨尔亥至千丰乳业段公路工程项目</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锡环投评估表〔2024〕10号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auto"/>
          <w:sz w:val="32"/>
          <w:szCs w:val="32"/>
          <w:lang w:val="en-US" w:eastAsia="zh-CN"/>
        </w:rPr>
        <w:t>目位于锡林郭勒盟西乌珠穆沁旗巴拉嘎尔高勒镇境内，</w:t>
      </w:r>
      <w:r>
        <w:rPr>
          <w:rFonts w:hint="default" w:ascii="仿宋_GB2312" w:hAnsi="仿宋_GB2312" w:eastAsia="仿宋_GB2312" w:cs="仿宋_GB2312"/>
          <w:color w:val="auto"/>
          <w:sz w:val="32"/>
          <w:szCs w:val="32"/>
          <w:lang w:val="en-US" w:eastAsia="zh-CN"/>
        </w:rPr>
        <w:t>主路起点位于西乌旗垃圾填埋场专用线</w:t>
      </w:r>
      <w:r>
        <w:rPr>
          <w:rFonts w:hint="eastAsia" w:ascii="仿宋_GB2312" w:hAnsi="仿宋_GB2312" w:eastAsia="仿宋_GB2312" w:cs="仿宋_GB2312"/>
          <w:color w:val="auto"/>
          <w:sz w:val="32"/>
          <w:szCs w:val="32"/>
          <w:lang w:val="en-US" w:eastAsia="zh-CN"/>
        </w:rPr>
        <w:t>，起点桩号K0+000，终点止于千丰乳业，终点桩号K4+229，主路</w:t>
      </w:r>
      <w:r>
        <w:rPr>
          <w:rFonts w:hint="default" w:ascii="仿宋_GB2312" w:hAnsi="仿宋_GB2312" w:eastAsia="仿宋_GB2312" w:cs="仿宋_GB2312"/>
          <w:color w:val="auto"/>
          <w:sz w:val="32"/>
          <w:szCs w:val="32"/>
          <w:lang w:val="en-US" w:eastAsia="zh-CN"/>
        </w:rPr>
        <w:t>全长</w:t>
      </w:r>
      <w:r>
        <w:rPr>
          <w:rFonts w:hint="eastAsia" w:ascii="仿宋_GB2312" w:hAnsi="仿宋_GB2312" w:eastAsia="仿宋_GB2312" w:cs="仿宋_GB2312"/>
          <w:color w:val="auto"/>
          <w:sz w:val="32"/>
          <w:szCs w:val="32"/>
          <w:lang w:val="en-US" w:eastAsia="zh-CN"/>
        </w:rPr>
        <w:t>4.229</w:t>
      </w:r>
      <w:r>
        <w:rPr>
          <w:rFonts w:hint="default" w:ascii="仿宋_GB2312" w:hAnsi="仿宋_GB2312" w:eastAsia="仿宋_GB2312" w:cs="仿宋_GB2312"/>
          <w:color w:val="auto"/>
          <w:sz w:val="32"/>
          <w:szCs w:val="32"/>
          <w:lang w:val="en-US" w:eastAsia="zh-CN"/>
        </w:rPr>
        <w:t>公里，采用四级公路标准建设，路基宽7.5米，路</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面宽6.5米，路面结构采用水泥混凝土路面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；千丰乳业</w:t>
      </w:r>
      <w:r>
        <w:rPr>
          <w:rFonts w:hint="eastAsia" w:ascii="仿宋_GB2312" w:hAnsi="仿宋_GB2312" w:eastAsia="仿宋_GB2312" w:cs="仿宋_GB2312"/>
          <w:color w:val="000000" w:themeColor="text1"/>
          <w:sz w:val="32"/>
          <w:szCs w:val="32"/>
          <w14:textFill>
            <w14:solidFill>
              <w14:schemeClr w14:val="tx1"/>
            </w14:solidFill>
          </w14:textFill>
        </w:rPr>
        <w:t>场地硬化长度为4.361公里，采用四级公路技术标准建设，路面宽度为6米至4米，路面结构为水泥混凝土路面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项目共设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平面交叉1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，位于K0+000处。项目永久占地面积为95亩，全部为道路工程占地，占地类型为草地；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临时占地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为43.8491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。其中设置1处取土场，位于主路K3+000右侧直线距离6.26公里处，取土场兼做弃土场，临时占地面积为33.9459</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；共设</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处施工营地，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位于K</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+000右侧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6.26</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km处，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占地面积为7.5亩，包括拌合站（水泥筒仓、搅拌机等）、料场（存储沙子20m3，堆高1.5m）和施工营地。</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1588.15</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1.39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项目占地范围及周边不涉及名胜古迹、风景名胜区、自然保护区、饮用水源保护区，</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2022年农村牧区公路建设项目建设用地范围是否位于生态保护红线范围内的复函</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67286.46平方米在已批准的西乌珠穆沁旗生态保护红线范围内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中共中央办公厅国务院办公厅印发《关于国土空间规划中统筹划定落实三条控制线的指导意见》的通知要求，必须且无法避让、符合县级以上国土空间规划的线性基础设施建设、防洪和供水设施建设与运行维护项目不需避让生态红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本项目为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线性基础设施</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，不涉及自然保护地，必须且无法避让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红线，符合此项规定。依据《锡林郭勒盟生态环境准入清单》（2023年版）中“锡林郭勒盟西乌珠穆沁旗生态环境准入清单”，项目涉及三个环境管控单元，分别为“西乌珠穆沁旗-生物多样性维护生态功能重要区”（ZH15252610006）、“</w:t>
      </w:r>
      <w:r>
        <w:rPr>
          <w:rFonts w:hint="eastAsia" w:ascii="仿宋_GB2312" w:hAnsi="仿宋_GB2312" w:eastAsia="仿宋_GB2312" w:cs="仿宋_GB2312"/>
          <w:color w:val="auto"/>
          <w:sz w:val="32"/>
          <w:szCs w:val="32"/>
          <w:lang w:val="en-US" w:eastAsia="zh-CN"/>
        </w:rPr>
        <w:t>一般生态空间-防风固沙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ZH152526100014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auto"/>
          <w:sz w:val="32"/>
          <w:szCs w:val="32"/>
          <w:lang w:val="en-US" w:eastAsia="zh-CN"/>
        </w:rPr>
        <w:t>西乌珠穆沁旗一般管控单元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auto"/>
          <w:sz w:val="32"/>
          <w:szCs w:val="32"/>
          <w:lang w:val="en-US" w:eastAsia="zh-CN"/>
        </w:rPr>
        <w:t>ZH15252630001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大气污染物为施工扬尘、堆场扬尘、拌合站废气、表土剥离粉尘、表土及取、弃土场扬尘、运输扬尘及汽车尾气。施工单位对施工场地、取弃土场、表土堆场、运输道路等采取洒水降尘措施；在施工期间必须加强运输散体物质车辆管理，对运输车辆采取蓬布苫盖、路面洒水等防护措施。运营期产生的大气污染物主要是汽车尾气、过往车辆产生的道路扬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建设单位应对过往车辆产生的扬尘采取扬尘污染防治和减缓措施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，道路两旁种草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,充分利用绿色植物交换空气、降尘的作用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;来往车辆限制车速，安装限速标识;对汽车排放进行抽查，对运输散体物质的车辆必须严加管理。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生活污水、施工机械冲洗废水。施工现场设置临时移动厕所，施工人员产生的生活污水收集后清运处置;施工机械冲洗废水经沉淀池沉淀后用于道路洒水降尘，不外排。项目沿线不建设收费站、服务区、养护工区等，运营期无废水产生。</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施工期产生的固体废物主要有施工人员生活垃圾、施工废料、布袋除尘器粉尘和沉淀池沉渣等。施工单位对施工现场产生的生活垃圾经垃圾收集桶收集后集中交由环卫部门处置；项目拆迁建筑物收集后交由相关单位回收处理，对不能使用的废料集中收集及时运至当地的建筑垃圾填埋场填埋。施工弃土按照规划要求用于项目建设中，并尽快利用，以减少堆存时间，若不能确保其全部利用时，及时运至取弃土场；车辆机械冲洗沉淀池产生的少量沉淀废渣定期拉运至环卫部门指定地点处置，除尘器收集的粉尘回用于生产。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Lines w:val="0"/>
        <w:pageBreakBefore w:val="0"/>
        <w:widowControl w:val="0"/>
        <w:kinsoku/>
        <w:wordWrap/>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w:t>
      </w:r>
      <w:r>
        <w:rPr>
          <w:rFonts w:hint="eastAsia" w:ascii="仿宋_GB2312" w:hAnsi="仿宋_GB2312" w:eastAsia="仿宋_GB2312" w:cs="仿宋_GB2312"/>
          <w:color w:val="auto"/>
          <w:sz w:val="32"/>
          <w:szCs w:val="32"/>
          <w:lang w:val="en-US" w:eastAsia="zh-CN"/>
        </w:rPr>
        <w:t>施工中禁止多种施工机械同时作业，</w:t>
      </w:r>
      <w:r>
        <w:rPr>
          <w:rFonts w:hint="default" w:ascii="仿宋_GB2312" w:hAnsi="仿宋_GB2312" w:eastAsia="仿宋_GB2312" w:cs="仿宋_GB2312"/>
          <w:color w:val="auto"/>
          <w:sz w:val="32"/>
          <w:szCs w:val="32"/>
          <w:lang w:val="en-US" w:eastAsia="zh-CN"/>
        </w:rPr>
        <w:t>车辆减速行驶、减少鸣笛，加强施工车辆管理</w:t>
      </w:r>
      <w:r>
        <w:rPr>
          <w:rFonts w:hint="eastAsia" w:ascii="仿宋_GB2312" w:hAnsi="仿宋_GB2312" w:eastAsia="仿宋_GB2312" w:cs="仿宋_GB2312"/>
          <w:color w:val="auto"/>
          <w:sz w:val="32"/>
          <w:szCs w:val="32"/>
          <w:lang w:val="en-US" w:eastAsia="zh-CN"/>
        </w:rPr>
        <w:t>。运营期</w:t>
      </w:r>
      <w:r>
        <w:rPr>
          <w:rFonts w:hint="eastAsia" w:ascii="仿宋_GB2312" w:hAnsi="仿宋_GB2312" w:eastAsia="仿宋_GB2312" w:cs="仿宋_GB2312"/>
          <w:color w:val="auto"/>
          <w:sz w:val="32"/>
          <w:szCs w:val="32"/>
          <w:lang w:eastAsia="zh-CN"/>
        </w:rPr>
        <w:t>建设单位</w:t>
      </w:r>
      <w:r>
        <w:rPr>
          <w:rFonts w:hint="eastAsia" w:ascii="仿宋_GB2312" w:hAnsi="仿宋_GB2312" w:eastAsia="仿宋_GB2312" w:cs="仿宋_GB2312"/>
          <w:color w:val="auto"/>
          <w:sz w:val="32"/>
          <w:szCs w:val="32"/>
        </w:rPr>
        <w:t>加强公路交通管理，维持公路路面的平整洁净，设置限速标志、减速带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施工单位应制定详细的施工计划，加强施工管理，严格控制施工作业范围，禁止越界施工，对生态保护红线影响降到最小；尽量避开大风和雨天施工；在施工期减少地表开挖，加强表土及未及时回填土的防护，减少水土流失；施工期结束后，对公路路基两侧、取土场地表扰动区域进行土地平整、恢复植被，在相应区段施工中设置醒目的标语牌。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2024年3月26日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bookmarkStart w:id="0" w:name="_GoBack"/>
      <w:bookmarkEnd w:id="0"/>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26</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508169F"/>
    <w:rsid w:val="079D0356"/>
    <w:rsid w:val="08292EF0"/>
    <w:rsid w:val="09665DE7"/>
    <w:rsid w:val="0A302749"/>
    <w:rsid w:val="0A6D250B"/>
    <w:rsid w:val="0A8D7AD4"/>
    <w:rsid w:val="0AE5406E"/>
    <w:rsid w:val="0AF55F71"/>
    <w:rsid w:val="0E746B5A"/>
    <w:rsid w:val="11A82DA9"/>
    <w:rsid w:val="14BA613D"/>
    <w:rsid w:val="150500C9"/>
    <w:rsid w:val="17F03DBE"/>
    <w:rsid w:val="1EB661F5"/>
    <w:rsid w:val="1F0942A1"/>
    <w:rsid w:val="1FEF0AB1"/>
    <w:rsid w:val="20625EBD"/>
    <w:rsid w:val="22775781"/>
    <w:rsid w:val="24C91014"/>
    <w:rsid w:val="26721809"/>
    <w:rsid w:val="28847071"/>
    <w:rsid w:val="2E2C61C7"/>
    <w:rsid w:val="33362498"/>
    <w:rsid w:val="34A80F3E"/>
    <w:rsid w:val="351A1FA1"/>
    <w:rsid w:val="389E30FE"/>
    <w:rsid w:val="3B0C28D2"/>
    <w:rsid w:val="3B0C2E58"/>
    <w:rsid w:val="3C63045A"/>
    <w:rsid w:val="3F6D721C"/>
    <w:rsid w:val="3FA265BF"/>
    <w:rsid w:val="49893DAA"/>
    <w:rsid w:val="4CA913C7"/>
    <w:rsid w:val="4FCC07B9"/>
    <w:rsid w:val="509757B4"/>
    <w:rsid w:val="50FB2104"/>
    <w:rsid w:val="522241C5"/>
    <w:rsid w:val="52DE02D1"/>
    <w:rsid w:val="536856F0"/>
    <w:rsid w:val="53A148BE"/>
    <w:rsid w:val="543D7097"/>
    <w:rsid w:val="550D3A9F"/>
    <w:rsid w:val="595E4131"/>
    <w:rsid w:val="5A6673EF"/>
    <w:rsid w:val="5A962B6A"/>
    <w:rsid w:val="5CCF1D9B"/>
    <w:rsid w:val="5EC66ED4"/>
    <w:rsid w:val="5EF25A14"/>
    <w:rsid w:val="5F0423F2"/>
    <w:rsid w:val="5F2B096A"/>
    <w:rsid w:val="62976515"/>
    <w:rsid w:val="63A36E9E"/>
    <w:rsid w:val="68FD394B"/>
    <w:rsid w:val="69B56FF0"/>
    <w:rsid w:val="6A8A6014"/>
    <w:rsid w:val="6F523A4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3">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jc w:val="center"/>
    </w:pPr>
    <w:rPr>
      <w:sz w:val="26"/>
    </w:rPr>
  </w:style>
  <w:style w:type="paragraph" w:styleId="6">
    <w:name w:val="Body Text Indent"/>
    <w:basedOn w:val="1"/>
    <w:next w:val="1"/>
    <w:autoRedefine/>
    <w:qFormat/>
    <w:uiPriority w:val="0"/>
    <w:pPr>
      <w:spacing w:line="500" w:lineRule="exact"/>
      <w:ind w:firstLine="454"/>
    </w:pPr>
    <w:rPr>
      <w:rFonts w:ascii="楷体_GB2312" w:eastAsia="楷体_GB2312"/>
      <w:bCs/>
      <w:sz w:val="24"/>
    </w:rPr>
  </w:style>
  <w:style w:type="paragraph" w:styleId="7">
    <w:name w:val="List"/>
    <w:basedOn w:val="1"/>
    <w:next w:val="8"/>
    <w:autoRedefine/>
    <w:qFormat/>
    <w:uiPriority w:val="0"/>
    <w:pPr>
      <w:jc w:val="center"/>
    </w:pPr>
  </w:style>
  <w:style w:type="paragraph" w:styleId="8">
    <w:name w:val="List Bullet 2"/>
    <w:basedOn w:val="1"/>
    <w:next w:val="9"/>
    <w:autoRedefine/>
    <w:qFormat/>
    <w:uiPriority w:val="0"/>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Normal Indent"/>
    <w:basedOn w:val="1"/>
    <w:next w:val="1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3">
    <w:name w:val="Body Text First Indent 2"/>
    <w:basedOn w:val="6"/>
    <w:autoRedefine/>
    <w:qFormat/>
    <w:uiPriority w:val="0"/>
    <w:pPr>
      <w:ind w:firstLine="420" w:firstLineChars="200"/>
    </w:p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4"/>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0</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2024-03-26T03:07:22Z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4EF643038D9644F9A52530825652560E_13</vt:lpwstr>
  </property>
</Properties>
</file>