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default" w:ascii="Times New Roman" w:hAnsi="Times New Roman" w:eastAsia="方正小标宋简体" w:cs="Times New Roman"/>
          <w:b w:val="0"/>
          <w:bCs w:val="0"/>
          <w:color w:val="auto"/>
          <w:sz w:val="44"/>
          <w:szCs w:val="44"/>
          <w:lang w:val="en-US" w:eastAsia="zh-CN"/>
        </w:rPr>
        <w:t>内蒙古锡林郭勒盟西乌珠穆沁旗C009呼日勒图嘎查至巴彦塔拉嘎查段公路新建工程项目（二期）</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内蒙古锡林郭勒盟西乌珠穆沁旗C009呼日勒图嘎查至巴彦塔拉嘎查段公路新建工程项目（二期）</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锡环投评估表〔2024〕11号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项目全线位于锡林郭勒盟西乌珠穆沁旗吉仁高勒镇巴彦塔拉嘎查境内，起点桩号为K0+000，接已建水泥路，路线利用自然土路布线，终点桩号为K6+210，接已建水泥路，路线走向西-东，</w:t>
      </w:r>
      <w:r>
        <w:rPr>
          <w:rFonts w:hint="eastAsia" w:ascii="仿宋_GB2312" w:hAnsi="仿宋_GB2312" w:eastAsia="仿宋_GB2312" w:cs="仿宋_GB2312"/>
          <w:b w:val="0"/>
          <w:bCs w:val="0"/>
          <w:color w:val="auto"/>
          <w:sz w:val="32"/>
          <w:szCs w:val="32"/>
          <w:highlight w:val="none"/>
          <w:lang w:val="en-US" w:eastAsia="zh-CN"/>
        </w:rPr>
        <w:t>全长6.21km。采用四级公路工程技术标准建设，路基宽7.5m（路面宽4.5m，土路肩宽2×1.5m），水泥混凝土路面</w:t>
      </w:r>
      <w:r>
        <w:rPr>
          <w:rFonts w:hint="eastAsia" w:ascii="仿宋_GB2312" w:hAnsi="仿宋_GB2312" w:eastAsia="仿宋_GB2312" w:cs="仿宋_GB2312"/>
          <w:color w:val="auto"/>
          <w:sz w:val="32"/>
          <w:szCs w:val="32"/>
          <w:lang w:val="en-US" w:eastAsia="zh-CN"/>
        </w:rPr>
        <w:t>。项目永久占地面积为96253.33</w:t>
      </w:r>
      <w:r>
        <w:rPr>
          <w:rFonts w:hint="eastAsia" w:ascii="仿宋_GB2312" w:hAnsi="仿宋_GB2312" w:eastAsia="仿宋_GB2312" w:cs="仿宋_GB2312"/>
          <w:b w:val="0"/>
          <w:bCs w:val="0"/>
          <w:color w:val="auto"/>
          <w:sz w:val="32"/>
          <w:szCs w:val="32"/>
          <w:highlight w:val="none"/>
          <w:lang w:val="en-US" w:eastAsia="zh-CN"/>
        </w:rPr>
        <w:t>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lang w:val="en-US" w:eastAsia="zh-CN"/>
        </w:rPr>
        <w:t>，其中占用草地17760</w:t>
      </w:r>
      <w:r>
        <w:rPr>
          <w:rFonts w:hint="eastAsia" w:ascii="仿宋_GB2312" w:hAnsi="仿宋_GB2312" w:eastAsia="仿宋_GB2312" w:cs="仿宋_GB2312"/>
          <w:b w:val="0"/>
          <w:bCs w:val="0"/>
          <w:color w:val="auto"/>
          <w:sz w:val="32"/>
          <w:szCs w:val="32"/>
          <w:highlight w:val="none"/>
          <w:lang w:val="en-US" w:eastAsia="zh-CN"/>
        </w:rPr>
        <w:t>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lang w:val="en-US" w:eastAsia="zh-CN"/>
        </w:rPr>
        <w:t>、占用土路78493.33</w:t>
      </w:r>
      <w:r>
        <w:rPr>
          <w:rFonts w:hint="eastAsia" w:ascii="仿宋_GB2312" w:hAnsi="仿宋_GB2312" w:eastAsia="仿宋_GB2312" w:cs="仿宋_GB2312"/>
          <w:b w:val="0"/>
          <w:bCs w:val="0"/>
          <w:color w:val="auto"/>
          <w:sz w:val="32"/>
          <w:szCs w:val="32"/>
          <w:highlight w:val="none"/>
          <w:lang w:val="en-US" w:eastAsia="zh-CN"/>
        </w:rPr>
        <w:t>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b w:val="0"/>
          <w:bCs w:val="0"/>
          <w:color w:val="auto"/>
          <w:sz w:val="32"/>
          <w:szCs w:val="32"/>
          <w:highlight w:val="none"/>
          <w:vertAlign w:val="baseline"/>
          <w:lang w:val="en-US" w:eastAsia="zh-CN"/>
        </w:rPr>
        <w:t>；</w:t>
      </w:r>
      <w:r>
        <w:rPr>
          <w:rFonts w:hint="eastAsia" w:ascii="仿宋_GB2312" w:hAnsi="仿宋_GB2312" w:eastAsia="仿宋_GB2312" w:cs="仿宋_GB2312"/>
          <w:color w:val="auto"/>
          <w:sz w:val="32"/>
          <w:szCs w:val="32"/>
          <w:lang w:val="en-US" w:eastAsia="zh-CN"/>
        </w:rPr>
        <w:t>临时占地面积为18595.59</w:t>
      </w:r>
      <w:r>
        <w:rPr>
          <w:rFonts w:hint="eastAsia" w:ascii="仿宋_GB2312" w:hAnsi="仿宋_GB2312" w:eastAsia="仿宋_GB2312" w:cs="仿宋_GB2312"/>
          <w:b w:val="0"/>
          <w:bCs w:val="0"/>
          <w:color w:val="auto"/>
          <w:sz w:val="32"/>
          <w:szCs w:val="32"/>
          <w:highlight w:val="none"/>
          <w:lang w:val="en-US" w:eastAsia="zh-CN"/>
        </w:rPr>
        <w:t>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lang w:val="en-US" w:eastAsia="zh-CN"/>
        </w:rPr>
        <w:t>，占地类型全部为草地，</w:t>
      </w:r>
      <w:r>
        <w:rPr>
          <w:rFonts w:hint="eastAsia" w:ascii="仿宋_GB2312" w:hAnsi="仿宋_GB2312" w:eastAsia="仿宋_GB2312" w:cs="仿宋_GB2312"/>
          <w:b w:val="0"/>
          <w:bCs w:val="0"/>
          <w:color w:val="auto"/>
          <w:sz w:val="32"/>
          <w:szCs w:val="32"/>
          <w:highlight w:val="none"/>
          <w:lang w:val="en-US" w:eastAsia="zh-CN"/>
        </w:rPr>
        <w:t>全线设取土场1处，位于K2+360左侧，占用草地16171.97m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b w:val="0"/>
          <w:bCs w:val="0"/>
          <w:color w:val="auto"/>
          <w:sz w:val="32"/>
          <w:szCs w:val="32"/>
          <w:highlight w:val="none"/>
          <w:lang w:val="en-US" w:eastAsia="zh-CN"/>
        </w:rPr>
        <w:t>，不设置弃土场；取土场设施工临时道路423.62m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b w:val="0"/>
          <w:bCs w:val="0"/>
          <w:color w:val="auto"/>
          <w:sz w:val="32"/>
          <w:szCs w:val="32"/>
          <w:highlight w:val="none"/>
          <w:lang w:val="en-US" w:eastAsia="zh-CN"/>
        </w:rPr>
        <w:t>，施工场地内不单独设置施工道路，项目不设置拌合场。</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899.00</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2.89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项目占地范围及周边不涉及名胜古迹、风景名胜区、自然保护区、饮用水源保护区，</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2022年农村牧区公路建设项目建设用地范围是否位于生态保护红线范围内的复函</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西乌珠穆沁旗已批准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的生态红线范围内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符合生态保护红线要求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。依据《锡林郭勒盟生态环境准入清单》（2023年版）中“锡林郭勒盟西乌珠穆沁旗生态环境准入清单”，</w:t>
      </w:r>
      <w:r>
        <w:rPr>
          <w:rFonts w:hint="eastAsia" w:ascii="仿宋_GB2312" w:hAnsi="仿宋_GB2312" w:eastAsia="仿宋_GB2312" w:cs="仿宋_GB2312"/>
          <w:color w:val="auto"/>
          <w:sz w:val="32"/>
          <w:szCs w:val="32"/>
          <w:lang w:val="en-US" w:eastAsia="zh-CN"/>
        </w:rPr>
        <w:t>本项目区域环境管控单元名称为“西乌珠穆沁旗一般生态空间-防风固沙生态功能重要区”（</w:t>
      </w:r>
      <w:r>
        <w:rPr>
          <w:rFonts w:hint="default" w:ascii="仿宋_GB2312" w:hAnsi="仿宋_GB2312" w:eastAsia="仿宋_GB2312" w:cs="仿宋_GB2312"/>
          <w:color w:val="auto"/>
          <w:sz w:val="32"/>
          <w:szCs w:val="32"/>
          <w:lang w:val="en-US" w:eastAsia="zh-CN"/>
        </w:rPr>
        <w:t>ZH152526100</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1、大气污染防治方面。大气污染物为</w:t>
      </w:r>
      <w:r>
        <w:rPr>
          <w:rFonts w:hint="eastAsia" w:ascii="仿宋_GB2312" w:hAnsi="仿宋_GB2312" w:eastAsia="仿宋_GB2312" w:cs="仿宋_GB2312"/>
          <w:color w:val="auto"/>
          <w:sz w:val="32"/>
          <w:szCs w:val="32"/>
          <w:lang w:val="en-US" w:eastAsia="zh-CN"/>
        </w:rPr>
        <w:t>施工作业扬尘、机械、车辆废气。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w:t>
      </w:r>
      <w:r>
        <w:rPr>
          <w:rFonts w:hint="eastAsia" w:ascii="仿宋_GB2312" w:hAnsi="仿宋_GB2312" w:eastAsia="仿宋_GB2312" w:cs="仿宋_GB2312"/>
          <w:color w:val="auto"/>
          <w:kern w:val="0"/>
          <w:sz w:val="32"/>
          <w:szCs w:val="32"/>
          <w:lang w:val="en-US" w:eastAsia="zh-CN" w:bidi="ar"/>
        </w:rPr>
        <w:t>加强运输散体物质车辆管理，对运输车辆采取蓬布苫盖、路面洒水等防护措施。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营期产生的大气污染物主要是汽车尾气、过往车辆产生的道路扬尘。建设单位应对过往车辆产生的扬尘采取扬尘污染防治和减缓措施，道路两旁种草,充分利用绿色植物交换空气、降尘的作用;来往车辆限制车速，安装限速标识;对汽车排放进行抽查，对运输散体物质的车辆必须严加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2、水污染防治措施。施工期废水主要为生活污水、施工机械冲洗废水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过水路面施工对水环境影响。</w:t>
      </w:r>
      <w:r>
        <w:rPr>
          <w:rFonts w:hint="eastAsia" w:ascii="仿宋_GB2312" w:hAnsi="仿宋_GB2312" w:eastAsia="仿宋_GB2312" w:cs="仿宋_GB2312"/>
          <w:color w:val="000000"/>
          <w:kern w:val="0"/>
          <w:sz w:val="32"/>
          <w:szCs w:val="32"/>
          <w:lang w:val="en-US" w:eastAsia="zh-CN" w:bidi="ar"/>
        </w:rPr>
        <w:t>生活污水依托现有生活设施，不外排；</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施工机械冲洗废水经沉淀池沉淀后用于道路洒水降尘，不外排；</w:t>
      </w:r>
      <w:r>
        <w:rPr>
          <w:rFonts w:hint="eastAsia" w:ascii="仿宋_GB2312" w:hAnsi="仿宋_GB2312" w:eastAsia="仿宋_GB2312" w:cs="仿宋_GB2312"/>
          <w:color w:val="auto"/>
          <w:sz w:val="32"/>
          <w:szCs w:val="32"/>
          <w:lang w:val="en-US" w:eastAsia="zh-CN"/>
        </w:rPr>
        <w:t>施工应避开雨期施工，选择河沟无水时段施工。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项目沿线不建设收费站、服务区、养护工区等，运营期无废水产生。</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3、固废污染防治措施。施工期产生的固体废物主要有施工人员</w:t>
      </w:r>
      <w:r>
        <w:rPr>
          <w:rFonts w:hint="eastAsia" w:ascii="仿宋_GB2312" w:hAnsi="仿宋_GB2312" w:eastAsia="仿宋_GB2312" w:cs="仿宋_GB2312"/>
          <w:color w:val="auto"/>
          <w:sz w:val="32"/>
          <w:szCs w:val="32"/>
          <w:lang w:val="en-US" w:eastAsia="zh-CN"/>
        </w:rPr>
        <w:t>生活垃圾、施工废料以及沉淀池沉渣等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施工现场</w:t>
      </w:r>
      <w:r>
        <w:rPr>
          <w:rFonts w:hint="eastAsia" w:ascii="仿宋_GB2312" w:hAnsi="仿宋_GB2312" w:eastAsia="仿宋_GB2312" w:cs="仿宋_GB2312"/>
          <w:color w:val="auto"/>
          <w:sz w:val="32"/>
          <w:szCs w:val="32"/>
        </w:rPr>
        <w:t>产生的生活垃圾</w:t>
      </w:r>
      <w:r>
        <w:rPr>
          <w:rFonts w:hint="eastAsia" w:ascii="仿宋_GB2312" w:hAnsi="仿宋_GB2312" w:eastAsia="仿宋_GB2312" w:cs="仿宋_GB2312"/>
          <w:color w:val="auto"/>
          <w:sz w:val="32"/>
          <w:szCs w:val="32"/>
          <w:lang w:eastAsia="zh-CN"/>
        </w:rPr>
        <w:t>经垃圾收集桶收集后集中</w:t>
      </w:r>
      <w:r>
        <w:rPr>
          <w:rFonts w:hint="eastAsia" w:ascii="仿宋_GB2312" w:hAnsi="仿宋_GB2312" w:eastAsia="仿宋_GB2312" w:cs="仿宋_GB2312"/>
          <w:color w:val="auto"/>
          <w:sz w:val="32"/>
          <w:szCs w:val="32"/>
          <w:lang w:val="en-US" w:eastAsia="zh-CN"/>
        </w:rPr>
        <w:t>交由环卫部门处置；项目路面基层施工时破除的旧路面水泥混凝土结构面层水泥块直接用于路基填筑；项目拆迁建筑物收集后交由相关单位回收处理，工程余料收集再利用，工程废料建筑垃圾运送指定建筑垃圾填埋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车辆机械冲洗沉淀池产生的少量沉淀废渣定期拉运至环卫部门指定地点处置。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Lines w:val="0"/>
        <w:pageBreakBefore w:val="0"/>
        <w:widowControl w:val="0"/>
        <w:kinsoku/>
        <w:wordWrap/>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w:t>
      </w:r>
      <w:r>
        <w:rPr>
          <w:rFonts w:hint="default" w:ascii="仿宋_GB2312" w:hAnsi="仿宋_GB2312" w:eastAsia="仿宋_GB2312" w:cs="仿宋_GB2312"/>
          <w:color w:val="auto"/>
          <w:sz w:val="32"/>
          <w:szCs w:val="32"/>
          <w:lang w:val="en-US" w:eastAsia="zh-CN"/>
        </w:rPr>
        <w:t>车辆减速行驶、减少鸣笛，加强施工车辆管理</w:t>
      </w:r>
      <w:r>
        <w:rPr>
          <w:rFonts w:hint="eastAsia" w:ascii="仿宋_GB2312" w:hAnsi="仿宋_GB2312" w:eastAsia="仿宋_GB2312" w:cs="仿宋_GB2312"/>
          <w:color w:val="auto"/>
          <w:sz w:val="32"/>
          <w:szCs w:val="32"/>
          <w:lang w:val="en-US" w:eastAsia="zh-CN"/>
        </w:rPr>
        <w:t>。运营期</w:t>
      </w:r>
      <w:r>
        <w:rPr>
          <w:rFonts w:hint="eastAsia" w:ascii="仿宋_GB2312" w:hAnsi="仿宋_GB2312" w:eastAsia="仿宋_GB2312" w:cs="仿宋_GB2312"/>
          <w:color w:val="auto"/>
          <w:sz w:val="32"/>
          <w:szCs w:val="32"/>
          <w:lang w:eastAsia="zh-CN"/>
        </w:rPr>
        <w:t>建设单位</w:t>
      </w:r>
      <w:r>
        <w:rPr>
          <w:rFonts w:hint="eastAsia" w:ascii="仿宋_GB2312" w:hAnsi="仿宋_GB2312" w:eastAsia="仿宋_GB2312" w:cs="仿宋_GB2312"/>
          <w:color w:val="auto"/>
          <w:sz w:val="32"/>
          <w:szCs w:val="32"/>
        </w:rPr>
        <w:t>加强公路交通管理，维持公路路面的平整洁净，设置限速标志、减速带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5、生态环境保护措施。施工单位应制定详细的施工计划，加强施工管理，严格控制施工作业范围，</w:t>
      </w:r>
      <w:r>
        <w:rPr>
          <w:rFonts w:hint="default" w:ascii="Times New Roman" w:hAnsi="Times New Roman" w:eastAsia="仿宋_GB2312" w:cs="Times New Roman"/>
          <w:sz w:val="32"/>
          <w:szCs w:val="32"/>
        </w:rPr>
        <w:t>不得乱占土地，施工机械、土石及其他建筑材料不得乱停乱放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量避开大风和雨天施工；在施工期减少地表开挖，加强表土及未及时回填土的防护，减少水土流失；施工期结束后，对公路路基两侧、取土场地表扰动区域进行土地平整、恢复植被，在相应区段施工中设置醒目的标语牌。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2024年3月26日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bookmarkStart w:id="0" w:name="_GoBack"/>
      <w:bookmarkEnd w:id="0"/>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26</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508169F"/>
    <w:rsid w:val="079D0356"/>
    <w:rsid w:val="08292EF0"/>
    <w:rsid w:val="09665DE7"/>
    <w:rsid w:val="0A302749"/>
    <w:rsid w:val="0A6D250B"/>
    <w:rsid w:val="0A8D7AD4"/>
    <w:rsid w:val="0AE5406E"/>
    <w:rsid w:val="0AF55F71"/>
    <w:rsid w:val="0E746B5A"/>
    <w:rsid w:val="11A82DA9"/>
    <w:rsid w:val="14BA613D"/>
    <w:rsid w:val="150500C9"/>
    <w:rsid w:val="17F03DBE"/>
    <w:rsid w:val="1EB661F5"/>
    <w:rsid w:val="1F0942A1"/>
    <w:rsid w:val="1FEF0AB1"/>
    <w:rsid w:val="20625EBD"/>
    <w:rsid w:val="22775781"/>
    <w:rsid w:val="24C91014"/>
    <w:rsid w:val="26721809"/>
    <w:rsid w:val="28847071"/>
    <w:rsid w:val="2E2C61C7"/>
    <w:rsid w:val="33362498"/>
    <w:rsid w:val="34A80F3E"/>
    <w:rsid w:val="351A1FA1"/>
    <w:rsid w:val="389E30FE"/>
    <w:rsid w:val="3B0C28D2"/>
    <w:rsid w:val="3B0C2E58"/>
    <w:rsid w:val="3C63045A"/>
    <w:rsid w:val="3F6D721C"/>
    <w:rsid w:val="3FA265BF"/>
    <w:rsid w:val="49893DAA"/>
    <w:rsid w:val="49BB6377"/>
    <w:rsid w:val="4B945FE3"/>
    <w:rsid w:val="4CA913C7"/>
    <w:rsid w:val="4FCC07B9"/>
    <w:rsid w:val="509757B4"/>
    <w:rsid w:val="50FB2104"/>
    <w:rsid w:val="522241C5"/>
    <w:rsid w:val="52DE02D1"/>
    <w:rsid w:val="536856F0"/>
    <w:rsid w:val="53A148BE"/>
    <w:rsid w:val="543D7097"/>
    <w:rsid w:val="550D3A9F"/>
    <w:rsid w:val="595E4131"/>
    <w:rsid w:val="5A6673EF"/>
    <w:rsid w:val="5A962B6A"/>
    <w:rsid w:val="5CCF1D9B"/>
    <w:rsid w:val="5EC66ED4"/>
    <w:rsid w:val="5EF25A14"/>
    <w:rsid w:val="5F0423F2"/>
    <w:rsid w:val="5F2B096A"/>
    <w:rsid w:val="62976515"/>
    <w:rsid w:val="63A36E9E"/>
    <w:rsid w:val="68FD394B"/>
    <w:rsid w:val="69B56FF0"/>
    <w:rsid w:val="6A8A6014"/>
    <w:rsid w:val="6D480FD8"/>
    <w:rsid w:val="6F523A4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3">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jc w:val="center"/>
    </w:pPr>
    <w:rPr>
      <w:sz w:val="26"/>
    </w:rPr>
  </w:style>
  <w:style w:type="paragraph" w:styleId="6">
    <w:name w:val="Body Text Indent"/>
    <w:basedOn w:val="1"/>
    <w:next w:val="1"/>
    <w:autoRedefine/>
    <w:qFormat/>
    <w:uiPriority w:val="0"/>
    <w:pPr>
      <w:spacing w:line="500" w:lineRule="exact"/>
      <w:ind w:firstLine="454"/>
    </w:pPr>
    <w:rPr>
      <w:rFonts w:ascii="楷体_GB2312" w:eastAsia="楷体_GB2312"/>
      <w:bCs/>
      <w:sz w:val="24"/>
    </w:rPr>
  </w:style>
  <w:style w:type="paragraph" w:styleId="7">
    <w:name w:val="List"/>
    <w:basedOn w:val="1"/>
    <w:next w:val="8"/>
    <w:autoRedefine/>
    <w:qFormat/>
    <w:uiPriority w:val="0"/>
    <w:pPr>
      <w:jc w:val="center"/>
    </w:pPr>
  </w:style>
  <w:style w:type="paragraph" w:styleId="8">
    <w:name w:val="List Bullet 2"/>
    <w:basedOn w:val="1"/>
    <w:next w:val="9"/>
    <w:autoRedefine/>
    <w:qFormat/>
    <w:uiPriority w:val="0"/>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Normal Indent"/>
    <w:basedOn w:val="1"/>
    <w:next w:val="1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3">
    <w:name w:val="Body Text First Indent 2"/>
    <w:basedOn w:val="6"/>
    <w:autoRedefine/>
    <w:qFormat/>
    <w:uiPriority w:val="0"/>
    <w:pPr>
      <w:ind w:firstLine="420" w:firstLineChars="200"/>
    </w:p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4"/>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2</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2024-03-26T07:19:10Z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D792F81305324D38881095C7DC64C5EE_13</vt:lpwstr>
  </property>
</Properties>
</file>