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8" w:lineRule="exact"/>
        <w:jc w:val="center"/>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rPr>
          <w:rFonts w:ascii="仿宋_GB2312" w:hAnsi="仿宋_GB2312" w:eastAsia="仿宋_GB2312" w:cs="仿宋_GB2312"/>
          <w:sz w:val="32"/>
          <w:szCs w:val="32"/>
        </w:rPr>
      </w:pPr>
    </w:p>
    <w:p>
      <w:pPr>
        <w:spacing w:line="598"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西环审表〔202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spacing w:line="598" w:lineRule="exact"/>
        <w:jc w:val="center"/>
        <w:rPr>
          <w:rFonts w:ascii="仿宋_GB2312" w:hAns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spacing w:line="800" w:lineRule="exact"/>
        <w:jc w:val="center"/>
        <w:rPr>
          <w:rFonts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lang w:val="en-US" w:eastAsia="zh-CN"/>
        </w:rPr>
        <w:t>关于</w:t>
      </w:r>
      <w:r>
        <w:rPr>
          <w:rFonts w:hint="eastAsia" w:ascii="方正小标宋简体" w:hAnsi="方正小标宋简体" w:eastAsia="方正小标宋简体" w:cs="方正小标宋简体"/>
          <w:b w:val="0"/>
          <w:bCs w:val="0"/>
          <w:color w:val="auto"/>
          <w:sz w:val="44"/>
          <w:szCs w:val="44"/>
          <w:lang w:val="en-US" w:eastAsia="zh-CN"/>
        </w:rPr>
        <w:t>内蒙古锡林郭勒盟西乌珠穆沁旗雅日盖图至古日班陶布格段公路新建工程项目</w:t>
      </w:r>
      <w:r>
        <w:rPr>
          <w:rFonts w:hint="eastAsia" w:ascii="方正小标宋简体" w:hAnsi="方正小标宋简体" w:eastAsia="方正小标宋简体" w:cs="方正小标宋简体"/>
          <w:spacing w:val="-11"/>
          <w:sz w:val="44"/>
          <w:szCs w:val="44"/>
        </w:rPr>
        <w:t>环境影响报告表的批复</w:t>
      </w:r>
    </w:p>
    <w:p>
      <w:pPr>
        <w:spacing w:line="598"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8"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auto"/>
          <w:sz w:val="32"/>
          <w:szCs w:val="32"/>
          <w:highlight w:val="none"/>
          <w:lang w:val="en-US" w:eastAsia="zh-CN"/>
        </w:rPr>
        <w:t>西乌珠穆沁旗交通局</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你单位报送的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内蒙古锡林郭勒盟西乌珠穆沁旗雅日盖图至古日班陶布格段公路新建工程项目环境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（以下简称《报告表》）已收悉。由锡林郭勒盟生态环境局西乌旗分局委托内蒙古环保投资集团有限公司锡林郭勒盟分公司对《报告表》进行了技术评估，出具了评估报告（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锡环投评估表〔2024〕12号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研究，现批复如下：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项目全线位于锡林郭勒盟西乌珠穆沁旗浩勒图高勒镇境内，</w:t>
      </w:r>
      <w:r>
        <w:rPr>
          <w:rFonts w:hint="default" w:ascii="仿宋_GB2312" w:hAnsi="仿宋_GB2312" w:eastAsia="仿宋_GB2312" w:cs="仿宋_GB2312"/>
          <w:color w:val="auto"/>
          <w:sz w:val="32"/>
          <w:szCs w:val="32"/>
          <w:lang w:val="en-US" w:eastAsia="zh-CN"/>
        </w:rPr>
        <w:t>起点</w:t>
      </w:r>
      <w:r>
        <w:rPr>
          <w:rFonts w:hint="eastAsia" w:ascii="仿宋_GB2312" w:hAnsi="仿宋_GB2312" w:eastAsia="仿宋_GB2312" w:cs="仿宋_GB2312"/>
          <w:color w:val="auto"/>
          <w:sz w:val="32"/>
          <w:szCs w:val="32"/>
          <w:lang w:val="en-US" w:eastAsia="zh-CN"/>
        </w:rPr>
        <w:t>为雅日盖图嘎查</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起点桩号K0+000，终点为古日班陶布格，终点桩号K13+534.866，</w:t>
      </w:r>
      <w:r>
        <w:rPr>
          <w:rFonts w:hint="default" w:ascii="仿宋_GB2312" w:hAnsi="仿宋_GB2312" w:eastAsia="仿宋_GB2312" w:cs="仿宋_GB2312"/>
          <w:color w:val="auto"/>
          <w:sz w:val="32"/>
          <w:szCs w:val="32"/>
          <w:lang w:val="en-US" w:eastAsia="zh-CN"/>
        </w:rPr>
        <w:t>路线全长</w:t>
      </w:r>
      <w:r>
        <w:rPr>
          <w:rFonts w:hint="eastAsia" w:ascii="仿宋_GB2312" w:hAnsi="仿宋_GB2312" w:eastAsia="仿宋_GB2312" w:cs="仿宋_GB2312"/>
          <w:color w:val="auto"/>
          <w:sz w:val="32"/>
          <w:szCs w:val="32"/>
          <w:lang w:val="en-US" w:eastAsia="zh-CN"/>
        </w:rPr>
        <w:t>13.535</w:t>
      </w:r>
      <w:r>
        <w:rPr>
          <w:rFonts w:hint="default" w:ascii="仿宋_GB2312" w:hAnsi="仿宋_GB2312" w:eastAsia="仿宋_GB2312" w:cs="仿宋_GB2312"/>
          <w:color w:val="auto"/>
          <w:sz w:val="32"/>
          <w:szCs w:val="32"/>
          <w:lang w:val="en-US" w:eastAsia="zh-CN"/>
        </w:rPr>
        <w:t>公里</w:t>
      </w:r>
      <w:r>
        <w:rPr>
          <w:rFonts w:hint="eastAsia" w:ascii="仿宋_GB2312" w:hAnsi="仿宋_GB2312" w:eastAsia="仿宋_GB2312" w:cs="仿宋_GB2312"/>
          <w:color w:val="auto"/>
          <w:sz w:val="32"/>
          <w:szCs w:val="32"/>
          <w:lang w:val="en-US" w:eastAsia="zh-CN"/>
        </w:rPr>
        <w:t>，采用四级公路标准建设，路基宽7.5m，路面宽4.5m，双侧土路肩宽1.5m,共设平面交叉2处，其中与四级公路交叉</w:t>
      </w: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处，与等外路交叉1处。项目永久占地面积为224467.789㎡，全部为道路工程占地；临时占地面积为51500.26㎡，占用的土地性质为草地。全线设置1处取土场，位</w:t>
      </w:r>
      <w:r>
        <w:rPr>
          <w:rFonts w:hint="eastAsia" w:ascii="仿宋_GB2312" w:hAnsi="仿宋_GB2312" w:eastAsia="仿宋_GB2312" w:cs="仿宋_GB2312"/>
          <w:color w:val="auto"/>
          <w:sz w:val="32"/>
          <w:szCs w:val="32"/>
          <w:highlight w:val="none"/>
          <w:lang w:val="en-US" w:eastAsia="zh-CN"/>
        </w:rPr>
        <w:t>于K0+000左侧0.3km处，</w:t>
      </w:r>
      <w:r>
        <w:rPr>
          <w:rFonts w:hint="eastAsia" w:ascii="仿宋_GB2312" w:hAnsi="仿宋_GB2312" w:eastAsia="仿宋_GB2312" w:cs="仿宋_GB2312"/>
          <w:color w:val="auto"/>
          <w:sz w:val="32"/>
          <w:szCs w:val="32"/>
          <w:highlight w:val="none"/>
          <w:lang w:eastAsia="zh-CN"/>
        </w:rPr>
        <w:t>占地面积为</w:t>
      </w:r>
      <w:r>
        <w:rPr>
          <w:rFonts w:hint="eastAsia" w:ascii="仿宋_GB2312" w:hAnsi="仿宋_GB2312" w:eastAsia="仿宋_GB2312" w:cs="仿宋_GB2312"/>
          <w:color w:val="auto"/>
          <w:sz w:val="32"/>
          <w:szCs w:val="32"/>
          <w:lang w:val="en-US" w:eastAsia="zh-CN"/>
        </w:rPr>
        <w:t>49500.25㎡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设置1处施工场地，位于K0+000右侧0.2km，占地面积为2000㎡，包括拌合站（水泥筒仓、搅拌机等）、料场和施工营地。</w:t>
      </w:r>
      <w:r>
        <w:rPr>
          <w:rFonts w:hint="eastAsia" w:ascii="仿宋_GB2312" w:hAnsi="仿宋_GB2312" w:eastAsia="仿宋_GB2312" w:cs="仿宋_GB2312"/>
          <w:color w:val="auto"/>
          <w:sz w:val="32"/>
          <w:szCs w:val="32"/>
        </w:rPr>
        <w:t>项目工程总投资为</w:t>
      </w:r>
      <w:r>
        <w:rPr>
          <w:rFonts w:hint="eastAsia" w:ascii="仿宋_GB2312" w:hAnsi="仿宋_GB2312" w:eastAsia="仿宋_GB2312" w:cs="仿宋_GB2312"/>
          <w:color w:val="auto"/>
          <w:sz w:val="32"/>
          <w:szCs w:val="32"/>
          <w:lang w:val="en-US" w:eastAsia="zh-CN"/>
        </w:rPr>
        <w:t>2458</w:t>
      </w:r>
      <w:r>
        <w:rPr>
          <w:rFonts w:hint="eastAsia" w:ascii="仿宋_GB2312" w:hAnsi="仿宋_GB2312" w:eastAsia="仿宋_GB2312" w:cs="仿宋_GB2312"/>
          <w:color w:val="auto"/>
          <w:sz w:val="32"/>
          <w:szCs w:val="32"/>
        </w:rPr>
        <w:t>万元，其中环保投资为</w:t>
      </w:r>
      <w:r>
        <w:rPr>
          <w:rFonts w:hint="eastAsia" w:ascii="仿宋_GB2312" w:hAnsi="仿宋_GB2312" w:eastAsia="仿宋_GB2312" w:cs="仿宋_GB2312"/>
          <w:color w:val="auto"/>
          <w:sz w:val="32"/>
          <w:szCs w:val="32"/>
          <w:lang w:val="en-US" w:eastAsia="zh-CN"/>
        </w:rPr>
        <w:t>99</w:t>
      </w:r>
      <w:r>
        <w:rPr>
          <w:rFonts w:hint="eastAsia" w:ascii="仿宋_GB2312" w:hAnsi="仿宋_GB2312" w:eastAsia="仿宋_GB2312" w:cs="仿宋_GB2312"/>
          <w:color w:val="auto"/>
          <w:sz w:val="32"/>
          <w:szCs w:val="32"/>
        </w:rPr>
        <w:t>万元，占总投资的</w:t>
      </w:r>
      <w:r>
        <w:rPr>
          <w:rFonts w:hint="eastAsia" w:ascii="仿宋_GB2312" w:hAnsi="仿宋_GB2312" w:eastAsia="仿宋_GB2312" w:cs="仿宋_GB2312"/>
          <w:color w:val="auto"/>
          <w:sz w:val="32"/>
          <w:szCs w:val="32"/>
          <w:lang w:val="en-US" w:eastAsia="zh-CN"/>
        </w:rPr>
        <w:t>4.03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报告表》认为，根据《产业结构调整指导目录（2024年本）》，项目属于鼓励类---“二十四、公路及道路运输”：“2．公路智能运输系统开发：快速客货运输、公路甩挂运输系统开发与建设，公路集装箱和厢式运输，农村公路和客货运输网络开发与建设，出租汽车服务调度信息系统开发与建设”，符合国家产业政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项目占地范围及周边不涉及名胜古迹、风景名胜区、自然保护区、饮用水源保护区，</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根据西乌珠穆沁旗自然资源局《关于</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2022年农村牧区公路建设项目建设用地范围是否位于生态保护红线范围内的复函</w:t>
      </w:r>
      <w:r>
        <w:rPr>
          <w:rFonts w:hint="default" w:ascii="仿宋_GB2312" w:hAnsi="仿宋_GB2312" w:eastAsia="仿宋_GB2312" w:cs="仿宋_GB2312"/>
          <w:color w:val="000000" w:themeColor="text1"/>
          <w:sz w:val="32"/>
          <w:szCs w:val="32"/>
          <w:lang w:val="en-GB"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GB" w:eastAsia="zh-CN"/>
          <w14:textFill>
            <w14:solidFill>
              <w14:schemeClr w14:val="tx1"/>
            </w14:solidFill>
          </w14:textFill>
        </w:rPr>
        <w:t>，项目</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不在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西乌珠穆沁旗已批准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的生态红线范围内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符合生态保护红线要求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。依据《锡林郭勒盟生态环境准入清单》（2023年版）中“锡林郭勒盟西乌珠穆沁旗生态环境准入清单”，</w:t>
      </w:r>
      <w:r>
        <w:rPr>
          <w:rFonts w:hint="eastAsia" w:ascii="仿宋_GB2312" w:hAnsi="仿宋_GB2312" w:eastAsia="仿宋_GB2312" w:cs="仿宋_GB2312"/>
          <w:color w:val="auto"/>
          <w:sz w:val="32"/>
          <w:szCs w:val="32"/>
          <w:lang w:val="en-US" w:eastAsia="zh-CN"/>
        </w:rPr>
        <w:t>本项目属于“</w:t>
      </w:r>
      <w:r>
        <w:rPr>
          <w:rFonts w:hint="default" w:ascii="仿宋_GB2312" w:hAnsi="仿宋_GB2312" w:eastAsia="仿宋_GB2312" w:cs="仿宋_GB2312"/>
          <w:color w:val="auto"/>
          <w:sz w:val="32"/>
          <w:szCs w:val="32"/>
          <w:lang w:val="en-US" w:eastAsia="zh-CN"/>
        </w:rPr>
        <w:t>西乌珠穆沁</w:t>
      </w:r>
      <w:r>
        <w:rPr>
          <w:rFonts w:hint="eastAsia" w:ascii="仿宋_GB2312" w:hAnsi="仿宋_GB2312" w:eastAsia="仿宋_GB2312" w:cs="仿宋_GB2312"/>
          <w:color w:val="auto"/>
          <w:sz w:val="32"/>
          <w:szCs w:val="32"/>
          <w:lang w:val="en-US" w:eastAsia="zh-CN"/>
        </w:rPr>
        <w:t>一般管控单元”（ZH15252630001）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，符合该环境管控单元空间布局约束、污染物排放管控、环境风险防控、资源利用效率要求。综上，该项目符合“三线一单”及准入要求。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二、项目在设计、建设和运营过程中应做好以下工作：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1、大气污染防治方面。大气污染物为</w:t>
      </w:r>
      <w:r>
        <w:rPr>
          <w:rFonts w:hint="eastAsia" w:ascii="仿宋_GB2312" w:hAnsi="仿宋_GB2312" w:eastAsia="仿宋_GB2312" w:cs="仿宋_GB2312"/>
          <w:color w:val="auto"/>
          <w:sz w:val="32"/>
          <w:szCs w:val="32"/>
          <w:lang w:val="en-US" w:eastAsia="zh-CN"/>
        </w:rPr>
        <w:t>施工扬尘、堆场扬尘、拌合站废气、表土剥离粉尘、表土及取土场扬尘、运输扬尘及汽车尾气。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对施工场地、取弃土场、表土堆场、运输道路等采取洒水降尘措施；在施工期间必须加强运输散体物质车辆管理，对运输车辆采取蓬布苫盖、路面洒水等防护措施。运营期产生的大气污染物主要是汽车尾气、过往车辆产生的道路扬尘。建设单位应对过往车辆产生的扬尘采取扬尘污染防治和减缓措施，道路两旁种草,充分利用绿色植物交换空气、降尘的作用;来往车辆限制车速，安装限速标识;对汽车排放进行抽查，对运输散体物质的车辆必须严加管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2、水污染防治措施。施工期废水主要为生活污水、施工机械冲洗废水。</w:t>
      </w:r>
      <w:r>
        <w:rPr>
          <w:rFonts w:hint="eastAsia" w:ascii="仿宋_GB2312" w:hAnsi="仿宋_GB2312" w:eastAsia="仿宋_GB2312" w:cs="仿宋_GB2312"/>
          <w:color w:val="000000"/>
          <w:kern w:val="0"/>
          <w:sz w:val="32"/>
          <w:szCs w:val="32"/>
          <w:lang w:val="en-US" w:eastAsia="zh-CN" w:bidi="ar"/>
        </w:rPr>
        <w:t>施工现场设置临时移动厕所，施工人员产生的生活污水收集后清运处置;</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施工机械冲洗废水经沉淀池沉淀后用于道路洒水降尘，不外排。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项目沿线不建设收费站、服务区、养护工区等，运营期无废水产生。</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3、固废污染防治措施。施工期产生的固体废物主要有</w:t>
      </w:r>
      <w:r>
        <w:rPr>
          <w:rFonts w:hint="eastAsia" w:ascii="仿宋_GB2312" w:hAnsi="仿宋_GB2312" w:eastAsia="仿宋_GB2312" w:cs="仿宋_GB2312"/>
          <w:color w:val="auto"/>
          <w:sz w:val="32"/>
          <w:szCs w:val="32"/>
          <w:lang w:val="en-US" w:eastAsia="zh-CN"/>
        </w:rPr>
        <w:t>生活垃圾、施工废料、布袋除尘器粉尘和沉淀池沉渣等。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施工单位对</w:t>
      </w:r>
      <w:r>
        <w:rPr>
          <w:rFonts w:hint="eastAsia" w:ascii="仿宋_GB2312" w:hAnsi="仿宋_GB2312" w:eastAsia="仿宋_GB2312" w:cs="仿宋_GB2312"/>
          <w:color w:val="auto"/>
          <w:sz w:val="32"/>
          <w:szCs w:val="32"/>
          <w:lang w:eastAsia="zh-CN"/>
        </w:rPr>
        <w:t>施工现场产生的生活垃圾经垃圾收集桶收集后集中交由环卫部门处置；</w:t>
      </w:r>
      <w:r>
        <w:rPr>
          <w:rFonts w:hint="eastAsia" w:ascii="仿宋_GB2312" w:hAnsi="仿宋_GB2312" w:eastAsia="仿宋_GB2312" w:cs="仿宋_GB2312"/>
          <w:color w:val="auto"/>
          <w:sz w:val="32"/>
          <w:szCs w:val="32"/>
          <w:lang w:val="en-US" w:eastAsia="zh-CN"/>
        </w:rPr>
        <w:t>项目拆迁沿线网围栏收集后交由相关单位回收处理；对不能使用的废料集中收集后运至当地建筑垃圾填埋场填埋；在公路施工期间通过加强施工管理，按需供料，剩余材料及时清运；车辆机械冲洗沉淀池产生的少量沉淀废渣定期拉运至环卫部门指定地点处置，除尘器收集的粉尘回用于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运营期产生的固体废物主要为过往车辆及过路人员产生的生活垃圾。道路建成通车后，妥善处理过往司乘人员产生的废纸、废塑料袋、烟蒂等生活垃圾，以及汽车装载货物的撒落物等，由当地环卫部门定期清理，减轻对周边的自然环境产生的影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4、噪声污染防治措施。施工单位在</w:t>
      </w:r>
      <w:r>
        <w:rPr>
          <w:rFonts w:hint="eastAsia" w:ascii="仿宋_GB2312" w:hAnsi="仿宋_GB2312" w:eastAsia="仿宋_GB2312" w:cs="仿宋_GB2312"/>
          <w:color w:val="auto"/>
          <w:sz w:val="32"/>
          <w:szCs w:val="32"/>
          <w:lang w:val="en-US" w:eastAsia="zh-CN"/>
        </w:rPr>
        <w:t>昼间施工时，临近声环境保护目标一侧要求设置临时声屏障进行降噪；禁止多种施工机械同时作业，</w:t>
      </w:r>
      <w:r>
        <w:rPr>
          <w:rFonts w:hint="default" w:ascii="仿宋_GB2312" w:hAnsi="仿宋_GB2312" w:eastAsia="仿宋_GB2312" w:cs="仿宋_GB2312"/>
          <w:color w:val="auto"/>
          <w:sz w:val="32"/>
          <w:szCs w:val="32"/>
          <w:lang w:val="en-US" w:eastAsia="zh-CN"/>
        </w:rPr>
        <w:t>车辆减速行驶、减少鸣笛，加强施工车辆管理</w:t>
      </w:r>
      <w:r>
        <w:rPr>
          <w:rFonts w:hint="eastAsia" w:ascii="仿宋_GB2312" w:hAnsi="仿宋_GB2312" w:eastAsia="仿宋_GB2312" w:cs="仿宋_GB2312"/>
          <w:color w:val="auto"/>
          <w:sz w:val="32"/>
          <w:szCs w:val="32"/>
          <w:lang w:val="en-US" w:eastAsia="zh-CN"/>
        </w:rPr>
        <w:t>。运营期</w:t>
      </w:r>
      <w:r>
        <w:rPr>
          <w:rFonts w:hint="eastAsia" w:ascii="仿宋_GB2312" w:hAnsi="仿宋_GB2312" w:eastAsia="仿宋_GB2312" w:cs="仿宋_GB2312"/>
          <w:color w:val="auto"/>
          <w:sz w:val="32"/>
          <w:szCs w:val="32"/>
          <w:lang w:eastAsia="zh-CN"/>
        </w:rPr>
        <w:t>建设单位</w:t>
      </w:r>
      <w:r>
        <w:rPr>
          <w:rFonts w:hint="eastAsia" w:ascii="仿宋_GB2312" w:hAnsi="仿宋_GB2312" w:eastAsia="仿宋_GB2312" w:cs="仿宋_GB2312"/>
          <w:color w:val="auto"/>
          <w:sz w:val="32"/>
          <w:szCs w:val="32"/>
        </w:rPr>
        <w:t>加强公路交通管理，维持公路路面的平整洁净，设置限速标志、减速带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加强公路通车后的道路养护工作，维持公路路面的平整度，避免因路况不佳造成车辆颠簸而引起交通噪声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5、生态环境保护措施。施工单位应制定详细的施工计划，加强施工管理，严格控制施工作业范围，</w:t>
      </w:r>
      <w:r>
        <w:rPr>
          <w:rFonts w:hint="default" w:ascii="Times New Roman" w:hAnsi="Times New Roman" w:eastAsia="仿宋_GB2312" w:cs="Times New Roman"/>
          <w:sz w:val="32"/>
          <w:szCs w:val="32"/>
        </w:rPr>
        <w:t>不得乱占土地，施工机械、土石及其他建筑材料不得乱停乱放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尽量避开大风和雨天施工；在施工期减少地表开挖，加强表土及未及时回填土的防护，减少水土流失；施工期结束后，对公路路基两侧、取土场地表扰动区域进行土地平整、恢复植被，在相应区段施工中设置醒目的标语牌。运营期加强对路基边坡及两侧、临时取土场植被的管理与养护；公路管理及养护部门应加强管理和宣传教育，确保公路沿线的绿化不受破坏；项目运营后五年内对取土场进行植被恢复情况生态监测了解临时用地植被的恢复情况，如发现植株死亡或者覆盖率达不到预计目标，要尽快补植，并形成工作制度，严格执行；植物种优先选择适合于当地生长的乡土植物种，确保生物安全；定期对植被、野生动物等进行监测；对影响和破坏的植被进行生态补偿。</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firstLine="5760" w:firstLineChars="18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6240" w:firstLineChars="1950"/>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2024年3月27日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3</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27</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984" w:right="1417" w:bottom="1417" w:left="141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AEE3C"/>
    <w:multiLevelType w:val="singleLevel"/>
    <w:tmpl w:val="DCBAEE3C"/>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3MDVmNTBlZDBmNjcxNDhhOTc5YmFjM2ZhOWQzOTkifQ=="/>
  </w:docVars>
  <w:rsids>
    <w:rsidRoot w:val="5EC66ED4"/>
    <w:rsid w:val="002338E7"/>
    <w:rsid w:val="002649C7"/>
    <w:rsid w:val="00485B84"/>
    <w:rsid w:val="006A1A40"/>
    <w:rsid w:val="008063C5"/>
    <w:rsid w:val="00A041AA"/>
    <w:rsid w:val="00A368D6"/>
    <w:rsid w:val="00A8256E"/>
    <w:rsid w:val="00B41233"/>
    <w:rsid w:val="00B57562"/>
    <w:rsid w:val="00BB67CA"/>
    <w:rsid w:val="00C014C7"/>
    <w:rsid w:val="00F24233"/>
    <w:rsid w:val="00FB66AF"/>
    <w:rsid w:val="017F5C19"/>
    <w:rsid w:val="018E255D"/>
    <w:rsid w:val="0508169F"/>
    <w:rsid w:val="079D0356"/>
    <w:rsid w:val="08292EF0"/>
    <w:rsid w:val="09665DE7"/>
    <w:rsid w:val="0A302749"/>
    <w:rsid w:val="0A6D250B"/>
    <w:rsid w:val="0A8D7AD4"/>
    <w:rsid w:val="0AE5406E"/>
    <w:rsid w:val="0AF55F71"/>
    <w:rsid w:val="0E746B5A"/>
    <w:rsid w:val="11A82DA9"/>
    <w:rsid w:val="14BA613D"/>
    <w:rsid w:val="150500C9"/>
    <w:rsid w:val="17F03DBE"/>
    <w:rsid w:val="1EB661F5"/>
    <w:rsid w:val="1F0942A1"/>
    <w:rsid w:val="1FEF0AB1"/>
    <w:rsid w:val="20625EBD"/>
    <w:rsid w:val="22775781"/>
    <w:rsid w:val="24C91014"/>
    <w:rsid w:val="26721809"/>
    <w:rsid w:val="28847071"/>
    <w:rsid w:val="2E2C61C7"/>
    <w:rsid w:val="33362498"/>
    <w:rsid w:val="34A80F3E"/>
    <w:rsid w:val="351A1FA1"/>
    <w:rsid w:val="389E30FE"/>
    <w:rsid w:val="3B0C28D2"/>
    <w:rsid w:val="3B0C2E58"/>
    <w:rsid w:val="3C63045A"/>
    <w:rsid w:val="3DD45382"/>
    <w:rsid w:val="3F6D721C"/>
    <w:rsid w:val="3FA265BF"/>
    <w:rsid w:val="45822DC2"/>
    <w:rsid w:val="49893DAA"/>
    <w:rsid w:val="49BB6377"/>
    <w:rsid w:val="4B945FE3"/>
    <w:rsid w:val="4CA913C7"/>
    <w:rsid w:val="4FCC07B9"/>
    <w:rsid w:val="509757B4"/>
    <w:rsid w:val="50E246D3"/>
    <w:rsid w:val="50FB2104"/>
    <w:rsid w:val="522241C5"/>
    <w:rsid w:val="52DE02D1"/>
    <w:rsid w:val="536856F0"/>
    <w:rsid w:val="53A148BE"/>
    <w:rsid w:val="543D7097"/>
    <w:rsid w:val="550D3A9F"/>
    <w:rsid w:val="595E4131"/>
    <w:rsid w:val="5A6673EF"/>
    <w:rsid w:val="5A962B6A"/>
    <w:rsid w:val="5CA112FE"/>
    <w:rsid w:val="5CCF1D9B"/>
    <w:rsid w:val="5EC66ED4"/>
    <w:rsid w:val="5EF25A14"/>
    <w:rsid w:val="5F0423F2"/>
    <w:rsid w:val="5F2B096A"/>
    <w:rsid w:val="62976515"/>
    <w:rsid w:val="63A36E9E"/>
    <w:rsid w:val="68FD394B"/>
    <w:rsid w:val="69B56FF0"/>
    <w:rsid w:val="6A8A6014"/>
    <w:rsid w:val="6D480FD8"/>
    <w:rsid w:val="6E5F07A0"/>
    <w:rsid w:val="6F523A44"/>
    <w:rsid w:val="716A177A"/>
    <w:rsid w:val="73624258"/>
    <w:rsid w:val="74F15189"/>
    <w:rsid w:val="76606C42"/>
    <w:rsid w:val="7BC80808"/>
    <w:rsid w:val="7C457AD0"/>
    <w:rsid w:val="7D6C334B"/>
    <w:rsid w:val="7E2D7CFF"/>
    <w:rsid w:val="7E30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autoRedefine/>
    <w:unhideWhenUsed/>
    <w:qFormat/>
    <w:uiPriority w:val="0"/>
    <w:pPr>
      <w:keepNext/>
      <w:keepLines/>
      <w:adjustRightInd w:val="0"/>
      <w:snapToGrid w:val="0"/>
      <w:spacing w:line="480" w:lineRule="exact"/>
      <w:jc w:val="both"/>
      <w:outlineLvl w:val="2"/>
    </w:pPr>
    <w:rPr>
      <w:rFonts w:ascii="Times New Roman" w:hAnsi="Times New Roman" w:eastAsia="宋体"/>
      <w:b/>
      <w:bCs/>
      <w:sz w:val="24"/>
      <w:szCs w:val="32"/>
    </w:rPr>
  </w:style>
  <w:style w:type="paragraph" w:styleId="3">
    <w:name w:val="heading 4"/>
    <w:basedOn w:val="1"/>
    <w:next w:val="1"/>
    <w:autoRedefine/>
    <w:qFormat/>
    <w:uiPriority w:val="9"/>
    <w:pPr>
      <w:keepNext/>
      <w:keepLines/>
      <w:ind w:firstLine="0" w:firstLineChars="0"/>
      <w:jc w:val="center"/>
      <w:outlineLvl w:val="3"/>
    </w:pPr>
    <w:rPr>
      <w:rFonts w:ascii="Times New Roman" w:hAnsi="Times New Roman" w:eastAsia="宋体"/>
      <w:b/>
      <w:bCs/>
      <w:kern w:val="0"/>
      <w:sz w:val="21"/>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E-mail Signature"/>
    <w:basedOn w:val="1"/>
    <w:next w:val="5"/>
    <w:autoRedefine/>
    <w:qFormat/>
    <w:uiPriority w:val="0"/>
    <w:pPr>
      <w:spacing w:line="460" w:lineRule="exact"/>
      <w:ind w:firstLine="200"/>
    </w:pPr>
    <w:rPr>
      <w:sz w:val="24"/>
    </w:rPr>
  </w:style>
  <w:style w:type="paragraph" w:customStyle="1" w:styleId="5">
    <w:name w:val="文章"/>
    <w:basedOn w:val="6"/>
    <w:next w:val="7"/>
    <w:autoRedefine/>
    <w:qFormat/>
    <w:uiPriority w:val="0"/>
    <w:pPr>
      <w:widowControl/>
      <w:jc w:val="center"/>
    </w:pPr>
    <w:rPr>
      <w:sz w:val="26"/>
    </w:rPr>
  </w:style>
  <w:style w:type="paragraph" w:styleId="6">
    <w:name w:val="Body Text Indent"/>
    <w:basedOn w:val="1"/>
    <w:next w:val="1"/>
    <w:autoRedefine/>
    <w:qFormat/>
    <w:uiPriority w:val="0"/>
    <w:pPr>
      <w:spacing w:line="500" w:lineRule="exact"/>
      <w:ind w:firstLine="454"/>
    </w:pPr>
    <w:rPr>
      <w:rFonts w:ascii="楷体_GB2312" w:eastAsia="楷体_GB2312"/>
      <w:bCs/>
      <w:sz w:val="24"/>
    </w:rPr>
  </w:style>
  <w:style w:type="paragraph" w:styleId="7">
    <w:name w:val="List"/>
    <w:basedOn w:val="1"/>
    <w:next w:val="8"/>
    <w:autoRedefine/>
    <w:qFormat/>
    <w:uiPriority w:val="0"/>
    <w:pPr>
      <w:jc w:val="center"/>
    </w:pPr>
  </w:style>
  <w:style w:type="paragraph" w:styleId="8">
    <w:name w:val="List Bullet 2"/>
    <w:basedOn w:val="1"/>
    <w:next w:val="9"/>
    <w:autoRedefine/>
    <w:qFormat/>
    <w:uiPriority w:val="0"/>
    <w:pPr>
      <w:numPr>
        <w:ilvl w:val="0"/>
        <w:numId w:val="1"/>
      </w:numPr>
    </w:pPr>
  </w:style>
  <w:style w:type="paragraph" w:customStyle="1" w:styleId="9">
    <w:name w:val="xl70"/>
    <w:basedOn w:val="1"/>
    <w:next w:val="10"/>
    <w:autoRedefine/>
    <w:qFormat/>
    <w:uiPriority w:val="0"/>
    <w:pPr>
      <w:widowControl/>
      <w:spacing w:before="280" w:after="280"/>
    </w:pPr>
    <w:rPr>
      <w:rFonts w:ascii="宋体"/>
    </w:rPr>
  </w:style>
  <w:style w:type="paragraph" w:customStyle="1" w:styleId="10">
    <w:name w:val="正文缩进1"/>
    <w:basedOn w:val="1"/>
    <w:next w:val="11"/>
    <w:autoRedefine/>
    <w:qFormat/>
    <w:uiPriority w:val="0"/>
    <w:pPr>
      <w:ind w:firstLine="420"/>
    </w:pPr>
    <w:rPr>
      <w:szCs w:val="20"/>
    </w:rPr>
  </w:style>
  <w:style w:type="paragraph" w:customStyle="1" w:styleId="11">
    <w:name w:val="td1"/>
    <w:basedOn w:val="1"/>
    <w:next w:val="1"/>
    <w:autoRedefine/>
    <w:qFormat/>
    <w:uiPriority w:val="0"/>
    <w:pPr>
      <w:widowControl/>
      <w:spacing w:before="280" w:after="280" w:line="300" w:lineRule="atLeast"/>
      <w:ind w:firstLine="200"/>
    </w:pPr>
    <w:rPr>
      <w:color w:val="000000"/>
      <w:sz w:val="18"/>
    </w:rPr>
  </w:style>
  <w:style w:type="paragraph" w:styleId="12">
    <w:name w:val="Normal Indent"/>
    <w:basedOn w:val="1"/>
    <w:next w:val="13"/>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3">
    <w:name w:val="Body Text First Indent 2"/>
    <w:basedOn w:val="6"/>
    <w:autoRedefine/>
    <w:qFormat/>
    <w:uiPriority w:val="0"/>
    <w:pPr>
      <w:ind w:firstLine="420" w:firstLineChars="200"/>
    </w:pPr>
  </w:style>
  <w:style w:type="paragraph" w:styleId="14">
    <w:name w:val="footer"/>
    <w:basedOn w:val="1"/>
    <w:link w:val="23"/>
    <w:autoRedefine/>
    <w:qFormat/>
    <w:uiPriority w:val="0"/>
    <w:pPr>
      <w:tabs>
        <w:tab w:val="center" w:pos="4153"/>
        <w:tab w:val="right" w:pos="8306"/>
      </w:tabs>
      <w:snapToGrid w:val="0"/>
      <w:jc w:val="left"/>
    </w:pPr>
    <w:rPr>
      <w:sz w:val="18"/>
      <w:szCs w:val="18"/>
    </w:rPr>
  </w:style>
  <w:style w:type="paragraph" w:styleId="15">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2"/>
    <w:basedOn w:val="1"/>
    <w:next w:val="4"/>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1]正文"/>
    <w:basedOn w:val="1"/>
    <w:autoRedefine/>
    <w:qFormat/>
    <w:uiPriority w:val="0"/>
    <w:pPr>
      <w:autoSpaceDE w:val="0"/>
      <w:autoSpaceDN w:val="0"/>
      <w:ind w:left="0" w:leftChars="0" w:firstLine="200" w:firstLineChars="200"/>
    </w:pPr>
    <w:rPr>
      <w:rFonts w:ascii="Times New Roman" w:hAnsi="Times New Roman"/>
      <w:color w:val="000000"/>
      <w:kern w:val="0"/>
      <w:szCs w:val="24"/>
      <w:lang w:val="zh-CN"/>
    </w:rPr>
  </w:style>
  <w:style w:type="character" w:customStyle="1" w:styleId="22">
    <w:name w:val="页眉 Char"/>
    <w:basedOn w:val="20"/>
    <w:link w:val="15"/>
    <w:autoRedefine/>
    <w:qFormat/>
    <w:uiPriority w:val="0"/>
    <w:rPr>
      <w:kern w:val="2"/>
      <w:sz w:val="18"/>
      <w:szCs w:val="18"/>
    </w:rPr>
  </w:style>
  <w:style w:type="character" w:customStyle="1" w:styleId="23">
    <w:name w:val="页脚 Char"/>
    <w:basedOn w:val="20"/>
    <w:link w:val="14"/>
    <w:autoRedefine/>
    <w:qFormat/>
    <w:uiPriority w:val="0"/>
    <w:rPr>
      <w:kern w:val="2"/>
      <w:sz w:val="18"/>
      <w:szCs w:val="18"/>
    </w:rPr>
  </w:style>
  <w:style w:type="paragraph" w:customStyle="1" w:styleId="24">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25">
    <w:name w:val="BodyText1I2"/>
    <w:next w:val="26"/>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26">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customStyle="1" w:styleId="27">
    <w:name w:val="表内容"/>
    <w:basedOn w:val="1"/>
    <w:next w:val="1"/>
    <w:autoRedefine/>
    <w:qFormat/>
    <w:uiPriority w:val="0"/>
    <w:pPr>
      <w:adjustRightInd/>
      <w:snapToGrid/>
      <w:spacing w:line="240" w:lineRule="atLeast"/>
      <w:ind w:firstLine="0" w:firstLineChars="0"/>
      <w:jc w:val="center"/>
    </w:pPr>
    <w:rPr>
      <w:rFonts w:cs="黑体"/>
      <w:kern w:val="2"/>
      <w:sz w:val="21"/>
    </w:rPr>
  </w:style>
  <w:style w:type="paragraph" w:customStyle="1" w:styleId="28">
    <w:name w:val="表格内文字"/>
    <w:next w:val="1"/>
    <w:autoRedefine/>
    <w:qFormat/>
    <w:uiPriority w:val="0"/>
    <w:pPr>
      <w:adjustRightInd w:val="0"/>
      <w:snapToGrid w:val="0"/>
      <w:jc w:val="center"/>
    </w:pPr>
    <w:rPr>
      <w:rFonts w:ascii="Times New Roman" w:hAnsi="Times New Roman" w:eastAsia="宋体" w:cs="Times New Roman"/>
      <w:sz w:val="21"/>
      <w:szCs w:val="21"/>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213</Words>
  <Characters>1218</Characters>
  <Lines>10</Lines>
  <Paragraphs>2</Paragraphs>
  <TotalTime>12</TotalTime>
  <ScaleCrop>false</ScaleCrop>
  <LinksUpToDate>false</LinksUpToDate>
  <CharactersWithSpaces>1429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2017-03-20T01:07:00Z</dcterms:created>
  <dc:creator>lenovo</dc:creator>
  <cp:lastModifiedBy>arvngva</cp:lastModifiedBy>
  <cp:lastPrinted>2020-03-17T06:55:00Z</cp:lastPrinted>
  <dcterms:modified xsi:type="dcterms:W3CDTF">2024-03-27T01:53:42Z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656BC4295DD0460896075AE259BBFC5B_13</vt:lpwstr>
  </property>
</Properties>
</file>