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b w:val="0"/>
          <w:bCs w:val="0"/>
          <w:color w:val="auto"/>
          <w:sz w:val="44"/>
          <w:szCs w:val="44"/>
          <w:lang w:val="en-US" w:eastAsia="zh-CN"/>
        </w:rPr>
        <w:t>内蒙古锡林郭勒盟西乌珠穆沁旗S221线至巴彦高勒段公路改建工程项目</w:t>
      </w:r>
      <w:r>
        <w:rPr>
          <w:rFonts w:hint="eastAsia" w:ascii="方正小标宋简体" w:hAnsi="方正小标宋简体" w:eastAsia="方正小标宋简体" w:cs="方正小标宋简体"/>
          <w:spacing w:val="-11"/>
          <w:sz w:val="44"/>
          <w:szCs w:val="44"/>
        </w:rPr>
        <w:t>环境影响报告表的批复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内蒙古锡林郭勒盟西乌珠穆沁旗S221线至巴彦高勒段公路改建工程项目环境</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锡环投评估表〔2024〕13号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项目全线位于锡林郭勒盟西乌珠穆沁旗吉仁高勒镇境内，</w:t>
      </w:r>
      <w:r>
        <w:rPr>
          <w:rFonts w:hint="default" w:ascii="仿宋_GB2312" w:hAnsi="仿宋_GB2312" w:eastAsia="仿宋_GB2312" w:cs="仿宋_GB2312"/>
          <w:color w:val="auto"/>
          <w:sz w:val="32"/>
          <w:szCs w:val="32"/>
          <w:lang w:val="en-US" w:eastAsia="zh-CN"/>
        </w:rPr>
        <w:t>起点接S221省道，起点桩号为K0+000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终点接Y261县道</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终点桩号为K2+671，路线全长2.671</w:t>
      </w:r>
      <w:r>
        <w:rPr>
          <w:rFonts w:hint="eastAsia" w:ascii="仿宋_GB2312" w:hAnsi="仿宋_GB2312" w:eastAsia="仿宋_GB2312" w:cs="仿宋_GB2312"/>
          <w:color w:val="auto"/>
          <w:sz w:val="32"/>
          <w:szCs w:val="32"/>
          <w:lang w:val="en-US" w:eastAsia="zh-CN"/>
        </w:rPr>
        <w:t>公里，线路按既有道路线形及走向布设，现状为水泥路，无利旧路段，</w:t>
      </w:r>
      <w:r>
        <w:rPr>
          <w:rFonts w:hint="default" w:ascii="仿宋_GB2312" w:hAnsi="仿宋_GB2312" w:eastAsia="仿宋_GB2312" w:cs="仿宋_GB2312"/>
          <w:color w:val="auto"/>
          <w:sz w:val="32"/>
          <w:szCs w:val="32"/>
          <w:lang w:val="en-US" w:eastAsia="zh-CN"/>
        </w:rPr>
        <w:t>路基宽7.5米，路面宽6.5米，</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利用现有水泥路改建升级为三级公路。</w:t>
      </w:r>
      <w:r>
        <w:rPr>
          <w:rFonts w:hint="default" w:ascii="仿宋_GB2312" w:hAnsi="仿宋_GB2312" w:eastAsia="仿宋_GB2312" w:cs="仿宋_GB2312"/>
          <w:color w:val="auto"/>
          <w:sz w:val="32"/>
          <w:szCs w:val="32"/>
          <w:lang w:val="en-US" w:eastAsia="zh-CN"/>
        </w:rPr>
        <w:t>全线设平面交叉6处，K0+000处与三级路交叉，K1+210、K1+760、K1+966、K2+240、K2+410处与等外路交叉</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本项目旧路占地</w:t>
      </w:r>
      <w:r>
        <w:rPr>
          <w:rFonts w:hint="eastAsia" w:ascii="仿宋_GB2312" w:hAnsi="仿宋_GB2312" w:eastAsia="仿宋_GB2312" w:cs="仿宋_GB2312"/>
          <w:color w:val="auto"/>
          <w:sz w:val="32"/>
          <w:szCs w:val="32"/>
          <w:lang w:val="en-US" w:eastAsia="zh-CN"/>
        </w:rPr>
        <w:t>面积为</w:t>
      </w:r>
      <w:r>
        <w:rPr>
          <w:rFonts w:hint="default" w:ascii="仿宋_GB2312" w:hAnsi="仿宋_GB2312" w:eastAsia="仿宋_GB2312" w:cs="仿宋_GB2312"/>
          <w:color w:val="auto"/>
          <w:sz w:val="32"/>
          <w:szCs w:val="32"/>
          <w:lang w:val="en-US" w:eastAsia="zh-CN"/>
        </w:rPr>
        <w:t>16.69 亩，新增占用</w:t>
      </w:r>
      <w:r>
        <w:rPr>
          <w:rFonts w:hint="eastAsia" w:ascii="仿宋_GB2312" w:hAnsi="仿宋_GB2312" w:eastAsia="仿宋_GB2312" w:cs="仿宋_GB2312"/>
          <w:color w:val="auto"/>
          <w:sz w:val="32"/>
          <w:szCs w:val="32"/>
          <w:lang w:val="en-US" w:eastAsia="zh-CN"/>
        </w:rPr>
        <w:t>面积</w:t>
      </w:r>
      <w:r>
        <w:rPr>
          <w:rFonts w:hint="default" w:ascii="仿宋_GB2312" w:hAnsi="仿宋_GB2312" w:eastAsia="仿宋_GB2312" w:cs="仿宋_GB2312"/>
          <w:color w:val="auto"/>
          <w:sz w:val="32"/>
          <w:szCs w:val="32"/>
          <w:lang w:val="en-US" w:eastAsia="zh-CN"/>
        </w:rPr>
        <w:t>43.11 亩，共占地</w:t>
      </w:r>
      <w:r>
        <w:rPr>
          <w:rFonts w:hint="eastAsia" w:ascii="仿宋_GB2312" w:hAnsi="仿宋_GB2312" w:eastAsia="仿宋_GB2312" w:cs="仿宋_GB2312"/>
          <w:color w:val="auto"/>
          <w:sz w:val="32"/>
          <w:szCs w:val="32"/>
          <w:lang w:val="en-US" w:eastAsia="zh-CN"/>
        </w:rPr>
        <w:t>面积为</w:t>
      </w:r>
      <w:r>
        <w:rPr>
          <w:rFonts w:hint="default" w:ascii="仿宋_GB2312" w:hAnsi="仿宋_GB2312" w:eastAsia="仿宋_GB2312" w:cs="仿宋_GB2312"/>
          <w:color w:val="auto"/>
          <w:sz w:val="32"/>
          <w:szCs w:val="32"/>
          <w:lang w:val="en-US" w:eastAsia="zh-CN"/>
        </w:rPr>
        <w:t>59.80 亩</w:t>
      </w:r>
      <w:r>
        <w:rPr>
          <w:rFonts w:hint="eastAsia" w:ascii="仿宋_GB2312" w:hAnsi="仿宋_GB2312" w:eastAsia="仿宋_GB2312" w:cs="仿宋_GB2312"/>
          <w:color w:val="auto"/>
          <w:sz w:val="32"/>
          <w:szCs w:val="32"/>
          <w:lang w:val="en-US" w:eastAsia="zh-CN"/>
        </w:rPr>
        <w:t>，占地类型为草地。项目不设取土场，</w:t>
      </w:r>
      <w:r>
        <w:rPr>
          <w:rFonts w:hint="default" w:ascii="仿宋_GB2312" w:hAnsi="仿宋_GB2312" w:eastAsia="仿宋_GB2312" w:cs="仿宋_GB2312"/>
          <w:color w:val="auto"/>
          <w:sz w:val="32"/>
          <w:szCs w:val="32"/>
          <w:lang w:val="en-US" w:eastAsia="zh-CN"/>
        </w:rPr>
        <w:t>不设</w:t>
      </w:r>
      <w:r>
        <w:rPr>
          <w:rFonts w:hint="eastAsia" w:ascii="仿宋_GB2312" w:hAnsi="仿宋_GB2312" w:eastAsia="仿宋_GB2312" w:cs="仿宋_GB2312"/>
          <w:color w:val="auto"/>
          <w:sz w:val="32"/>
          <w:szCs w:val="32"/>
          <w:lang w:val="en-US" w:eastAsia="zh-CN"/>
        </w:rPr>
        <w:t>施工生产区及</w:t>
      </w:r>
      <w:r>
        <w:rPr>
          <w:rFonts w:hint="default" w:ascii="仿宋_GB2312" w:hAnsi="仿宋_GB2312" w:eastAsia="仿宋_GB2312" w:cs="仿宋_GB2312"/>
          <w:color w:val="auto"/>
          <w:sz w:val="32"/>
          <w:szCs w:val="32"/>
          <w:lang w:val="en-US" w:eastAsia="zh-CN"/>
        </w:rPr>
        <w:t>拌合场</w:t>
      </w:r>
      <w:r>
        <w:rPr>
          <w:rFonts w:hint="eastAsia" w:ascii="仿宋_GB2312" w:hAnsi="仿宋_GB2312" w:eastAsia="仿宋_GB2312" w:cs="仿宋_GB2312"/>
          <w:color w:val="auto"/>
          <w:sz w:val="32"/>
          <w:szCs w:val="32"/>
          <w:lang w:val="en-US" w:eastAsia="zh-CN"/>
        </w:rPr>
        <w:t>。项目工程总投资为</w:t>
      </w:r>
      <w:r>
        <w:rPr>
          <w:rFonts w:hint="eastAsia" w:ascii="仿宋_GB2312" w:hAnsi="仿宋_GB2312" w:eastAsia="仿宋_GB2312" w:cs="仿宋_GB2312"/>
          <w:color w:val="auto"/>
          <w:sz w:val="32"/>
          <w:szCs w:val="32"/>
          <w:lang w:val="en-US" w:eastAsia="zh-CN"/>
        </w:rPr>
        <w:t>635万元，其中环保投资为26万元，占总投资的</w:t>
      </w:r>
      <w:r>
        <w:rPr>
          <w:rFonts w:hint="eastAsia" w:ascii="仿宋_GB2312" w:hAnsi="仿宋_GB2312" w:eastAsia="仿宋_GB2312" w:cs="仿宋_GB2312"/>
          <w:color w:val="auto"/>
          <w:sz w:val="32"/>
          <w:szCs w:val="32"/>
          <w:lang w:val="en-US" w:eastAsia="zh-CN"/>
        </w:rPr>
        <w:t>4.09%。</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项目占地范围及周边不涉及名胜古迹、风景名胜区、自然保护区、饮用水源保护区，</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根据西乌珠穆沁旗自然资源局《关于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2022年农村牧区公路建设项目建设用地范围是否位于生态保护红线范围内的复函</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GB" w:eastAsia="zh-CN"/>
          <w14:textFill>
            <w14:solidFill>
              <w14:schemeClr w14:val="tx1"/>
            </w14:solidFill>
          </w14:textFill>
        </w:rPr>
        <w:t>，项目</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不在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西乌珠穆沁旗已批准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的生态红线范围内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符合生态保护红线要求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。依据《锡林郭勒盟生态环境准入清单》（2023年版）中“锡林郭勒盟西乌珠穆沁旗生态环境准入清单”，</w:t>
      </w:r>
      <w:r>
        <w:rPr>
          <w:rFonts w:hint="eastAsia" w:ascii="仿宋_GB2312" w:hAnsi="仿宋_GB2312" w:eastAsia="仿宋_GB2312" w:cs="仿宋_GB2312"/>
          <w:color w:val="auto"/>
          <w:sz w:val="32"/>
          <w:szCs w:val="32"/>
          <w:lang w:val="en-US" w:eastAsia="zh-CN"/>
        </w:rPr>
        <w:t>本项目分别属于“西乌珠穆沁旗城镇开发边界”（ZH15252620001）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西乌珠穆沁旗一般管控单元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ZH15252630001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），符合该环境管控单元空间布局约束、污染物排放管控、环境风险防控、资源利用效率要求。综上，该项目符合“三线一单”及准入要求。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w:t>
      </w:r>
      <w:r>
        <w:rPr>
          <w:rFonts w:hint="eastAsia" w:ascii="仿宋_GB2312" w:hAnsi="仿宋_GB2312" w:eastAsia="仿宋_GB2312" w:cs="仿宋_GB2312"/>
          <w:color w:val="auto"/>
          <w:sz w:val="32"/>
          <w:szCs w:val="32"/>
          <w:lang w:val="en-US" w:eastAsia="zh-CN"/>
        </w:rPr>
        <w:t>大气污染物为施工作业扬尘、机械、车辆废气。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施工单位</w:t>
      </w:r>
      <w:r>
        <w:rPr>
          <w:rFonts w:hint="eastAsia" w:ascii="仿宋_GB2312" w:hAnsi="仿宋_GB2312" w:eastAsia="仿宋_GB2312" w:cs="仿宋_GB2312"/>
          <w:color w:val="auto"/>
          <w:kern w:val="0"/>
          <w:sz w:val="32"/>
          <w:szCs w:val="32"/>
          <w:lang w:val="en-US" w:eastAsia="zh-CN" w:bidi="ar"/>
        </w:rPr>
        <w:t>加强运输散体物质车辆管理，对运输车辆采取蓬布苫盖、路面洒水等防护措施。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营期产生的大气污染物主要是汽车尾气、过往车辆产生的道路扬尘。建设单位应对过往车辆产生的扬尘采取扬尘污染防治和减缓措施，道路两旁种草,充分利用绿色植物交换空气、降尘的作用;来往车辆限制车速，安装限速标识;对汽车排放进行抽查，对运输散体物质的车辆必须严加管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2、水污染防治措施。施工期废水主要为生活污水、施工机械冲洗废水。</w:t>
      </w:r>
      <w:r>
        <w:rPr>
          <w:rFonts w:hint="eastAsia" w:ascii="仿宋_GB2312" w:hAnsi="仿宋_GB2312" w:eastAsia="仿宋_GB2312" w:cs="仿宋_GB2312"/>
          <w:color w:val="000000"/>
          <w:kern w:val="0"/>
          <w:sz w:val="32"/>
          <w:szCs w:val="32"/>
          <w:lang w:val="en-US" w:eastAsia="zh-CN" w:bidi="ar"/>
        </w:rPr>
        <w:t>施工现场设置临时移动厕所，施工人员产生的生活污水收集后清运处置;</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施工机械冲洗废水经沉淀池沉淀后用于道路洒水降尘，不外排。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项目沿线不建设收费站、服务区、养护工区等，运营期无废水产生。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3、固废污染防治措施。施工期产生的固体废物主要有施工人员生活垃圾、施工废料以及沉淀池沉渣等。施工单位对</w:t>
      </w:r>
      <w:r>
        <w:rPr>
          <w:rFonts w:hint="eastAsia" w:ascii="仿宋_GB2312" w:hAnsi="仿宋_GB2312" w:eastAsia="仿宋_GB2312" w:cs="仿宋_GB2312"/>
          <w:color w:val="auto"/>
          <w:sz w:val="32"/>
          <w:szCs w:val="32"/>
          <w:lang w:eastAsia="zh-CN"/>
        </w:rPr>
        <w:t>施工现场产生的生活垃圾经垃圾收集桶收集后集中交由环卫部门处置；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项目路面基层施工时破除的旧路面水泥混凝土结构面层水泥块直接用于路基填筑;对不能使用的废料集中收集及时运至当地的建筑垃圾填埋场填埋；</w:t>
      </w:r>
      <w:r>
        <w:rPr>
          <w:rFonts w:hint="eastAsia" w:ascii="仿宋_GB2312" w:hAnsi="仿宋_GB2312" w:eastAsia="仿宋_GB2312" w:cs="仿宋_GB2312"/>
          <w:color w:val="auto"/>
          <w:sz w:val="32"/>
          <w:szCs w:val="32"/>
          <w:lang w:val="en-US" w:eastAsia="zh-CN"/>
        </w:rPr>
        <w:t>在公路施工期间通过加强施工管理，按需供料，剩余材料及时清运；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车辆机械冲洗沉淀池产生的少量沉淀废渣定期拉运至环卫部门指定地点处置。项目运营期产生的固体废物主要为过往车辆及过路人员产生的生活垃圾。道路建成通车后，妥善处理过往司乘人员产生的废纸、废塑料袋、烟蒂等生活垃圾，以及汽车装载货物的撒落物等，由当地环卫部门定期清理，减轻对周边的自然环境产生的影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4、噪声污染防治措施。施工单位在</w:t>
      </w:r>
      <w:r>
        <w:rPr>
          <w:rFonts w:hint="eastAsia" w:ascii="仿宋_GB2312" w:hAnsi="仿宋_GB2312" w:eastAsia="仿宋_GB2312" w:cs="仿宋_GB2312"/>
          <w:color w:val="auto"/>
          <w:sz w:val="32"/>
          <w:szCs w:val="32"/>
          <w:lang w:val="en-US" w:eastAsia="zh-CN"/>
        </w:rPr>
        <w:t>昼间施工时，临近声环境保护目标一侧要求设置临时声屏障进行降噪；禁止多种施工机械同时作业，</w:t>
      </w:r>
      <w:r>
        <w:rPr>
          <w:rFonts w:hint="default" w:ascii="仿宋_GB2312" w:hAnsi="仿宋_GB2312" w:eastAsia="仿宋_GB2312" w:cs="仿宋_GB2312"/>
          <w:color w:val="auto"/>
          <w:sz w:val="32"/>
          <w:szCs w:val="32"/>
          <w:lang w:val="en-US" w:eastAsia="zh-CN"/>
        </w:rPr>
        <w:t>车辆减速行驶、减少鸣笛，加强施工车辆管理</w:t>
      </w:r>
      <w:r>
        <w:rPr>
          <w:rFonts w:hint="eastAsia" w:ascii="仿宋_GB2312" w:hAnsi="仿宋_GB2312" w:eastAsia="仿宋_GB2312" w:cs="仿宋_GB2312"/>
          <w:color w:val="auto"/>
          <w:sz w:val="32"/>
          <w:szCs w:val="32"/>
          <w:lang w:val="en-US" w:eastAsia="zh-CN"/>
        </w:rPr>
        <w:t>。运营期</w:t>
      </w:r>
      <w:r>
        <w:rPr>
          <w:rFonts w:hint="eastAsia" w:ascii="仿宋_GB2312" w:hAnsi="仿宋_GB2312" w:eastAsia="仿宋_GB2312" w:cs="仿宋_GB2312"/>
          <w:color w:val="auto"/>
          <w:sz w:val="32"/>
          <w:szCs w:val="32"/>
          <w:lang w:eastAsia="zh-CN"/>
        </w:rPr>
        <w:t>建设单位</w:t>
      </w:r>
      <w:r>
        <w:rPr>
          <w:rFonts w:hint="eastAsia" w:ascii="仿宋_GB2312" w:hAnsi="仿宋_GB2312" w:eastAsia="仿宋_GB2312" w:cs="仿宋_GB2312"/>
          <w:color w:val="auto"/>
          <w:sz w:val="32"/>
          <w:szCs w:val="32"/>
        </w:rPr>
        <w:t>加强公路交通管理，维持公路路面的平整洁净，设置限速标志、减速带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5、生态环境保护措施。施工单位应制定详细的施工计划，加强施工管理，严格控制施工作业范围，</w:t>
      </w:r>
      <w:r>
        <w:rPr>
          <w:rFonts w:hint="default" w:ascii="Times New Roman" w:hAnsi="Times New Roman" w:eastAsia="仿宋_GB2312" w:cs="Times New Roman"/>
          <w:sz w:val="32"/>
          <w:szCs w:val="32"/>
        </w:rPr>
        <w:t>不得乱占土地，施工机械、土石及其他建筑材料不得乱停乱放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尽量避开大风和雨天施工；在施工期减少地表开挖，加强表土及未及时回填土的防护，减少水土流失；施工期结束后，对公路路基两侧、取土场地表扰动区域进行土地平整、恢复植被，在相应区段施工中设置醒目的标语牌。运营期加强对路基边坡及两侧、临时取土场植被的管理与养护；公路管理及养护部门应加强管理和宣传教育，确保公路沿线的绿化不受破坏；项目运营后五年内对取土场进行植被恢复情况生态监测了解临时用地植被的恢复情况，如发现植株死亡或者覆盖率达不到预计目标，要尽快补植，并形成工作制度，严格执行；植物种优先选择适合于当地生长的乡土植物种，确保生物安全；定期对植被、野生动物等进行监测；对影响和破坏的植被进行生态补偿。</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2024年3月27日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27</w:t>
      </w:r>
      <w:bookmarkStart w:id="0" w:name="_GoBack"/>
      <w:bookmarkEnd w:id="0"/>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6A1A40"/>
    <w:rsid w:val="008063C5"/>
    <w:rsid w:val="00A041AA"/>
    <w:rsid w:val="00A368D6"/>
    <w:rsid w:val="00A8256E"/>
    <w:rsid w:val="00B41233"/>
    <w:rsid w:val="00B57562"/>
    <w:rsid w:val="00BB67CA"/>
    <w:rsid w:val="00C014C7"/>
    <w:rsid w:val="00F24233"/>
    <w:rsid w:val="00FB66AF"/>
    <w:rsid w:val="017F5C19"/>
    <w:rsid w:val="018E255D"/>
    <w:rsid w:val="0508169F"/>
    <w:rsid w:val="079D0356"/>
    <w:rsid w:val="08292EF0"/>
    <w:rsid w:val="09665DE7"/>
    <w:rsid w:val="0A302749"/>
    <w:rsid w:val="0A5115FC"/>
    <w:rsid w:val="0A6D250B"/>
    <w:rsid w:val="0A8D7AD4"/>
    <w:rsid w:val="0AE5406E"/>
    <w:rsid w:val="0AF55F71"/>
    <w:rsid w:val="0E746B5A"/>
    <w:rsid w:val="11A82DA9"/>
    <w:rsid w:val="14BA613D"/>
    <w:rsid w:val="150500C9"/>
    <w:rsid w:val="17F03DBE"/>
    <w:rsid w:val="1EB661F5"/>
    <w:rsid w:val="1F0942A1"/>
    <w:rsid w:val="1F971B79"/>
    <w:rsid w:val="1FEF0AB1"/>
    <w:rsid w:val="20625EBD"/>
    <w:rsid w:val="22775781"/>
    <w:rsid w:val="24C91014"/>
    <w:rsid w:val="26721809"/>
    <w:rsid w:val="28847071"/>
    <w:rsid w:val="2E2C61C7"/>
    <w:rsid w:val="33362498"/>
    <w:rsid w:val="34A80F3E"/>
    <w:rsid w:val="351A1FA1"/>
    <w:rsid w:val="389E30FE"/>
    <w:rsid w:val="3B0C28D2"/>
    <w:rsid w:val="3B0C2E58"/>
    <w:rsid w:val="3C63045A"/>
    <w:rsid w:val="3F6D721C"/>
    <w:rsid w:val="3FA265BF"/>
    <w:rsid w:val="45822DC2"/>
    <w:rsid w:val="45E216A1"/>
    <w:rsid w:val="49893DAA"/>
    <w:rsid w:val="49BB6377"/>
    <w:rsid w:val="4B945FE3"/>
    <w:rsid w:val="4CA913C7"/>
    <w:rsid w:val="4FCC07B9"/>
    <w:rsid w:val="509757B4"/>
    <w:rsid w:val="50E246D3"/>
    <w:rsid w:val="50FB2104"/>
    <w:rsid w:val="522241C5"/>
    <w:rsid w:val="52DE02D1"/>
    <w:rsid w:val="536856F0"/>
    <w:rsid w:val="53A148BE"/>
    <w:rsid w:val="543D7097"/>
    <w:rsid w:val="550D3A9F"/>
    <w:rsid w:val="595E4131"/>
    <w:rsid w:val="5A6673EF"/>
    <w:rsid w:val="5A962B6A"/>
    <w:rsid w:val="5CA112FE"/>
    <w:rsid w:val="5CCF1D9B"/>
    <w:rsid w:val="5EC66ED4"/>
    <w:rsid w:val="5EF25A14"/>
    <w:rsid w:val="5F0423F2"/>
    <w:rsid w:val="5F2B096A"/>
    <w:rsid w:val="62976515"/>
    <w:rsid w:val="63A36E9E"/>
    <w:rsid w:val="68FD394B"/>
    <w:rsid w:val="69B56FF0"/>
    <w:rsid w:val="6A8A6014"/>
    <w:rsid w:val="6D480FD8"/>
    <w:rsid w:val="6E5F07A0"/>
    <w:rsid w:val="6F523A44"/>
    <w:rsid w:val="716A177A"/>
    <w:rsid w:val="74F15189"/>
    <w:rsid w:val="76606C4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3">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jc w:val="center"/>
    </w:pPr>
    <w:rPr>
      <w:sz w:val="26"/>
    </w:rPr>
  </w:style>
  <w:style w:type="paragraph" w:styleId="6">
    <w:name w:val="Body Text Indent"/>
    <w:basedOn w:val="1"/>
    <w:next w:val="1"/>
    <w:autoRedefine/>
    <w:qFormat/>
    <w:uiPriority w:val="0"/>
    <w:pPr>
      <w:spacing w:line="500" w:lineRule="exact"/>
      <w:ind w:firstLine="454"/>
    </w:pPr>
    <w:rPr>
      <w:rFonts w:ascii="楷体_GB2312" w:eastAsia="楷体_GB2312"/>
      <w:bCs/>
      <w:sz w:val="24"/>
    </w:rPr>
  </w:style>
  <w:style w:type="paragraph" w:styleId="7">
    <w:name w:val="List"/>
    <w:basedOn w:val="1"/>
    <w:next w:val="8"/>
    <w:autoRedefine/>
    <w:qFormat/>
    <w:uiPriority w:val="0"/>
    <w:pPr>
      <w:jc w:val="center"/>
    </w:pPr>
  </w:style>
  <w:style w:type="paragraph" w:styleId="8">
    <w:name w:val="List Bullet 2"/>
    <w:basedOn w:val="1"/>
    <w:next w:val="9"/>
    <w:autoRedefine/>
    <w:qFormat/>
    <w:uiPriority w:val="0"/>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Normal Indent"/>
    <w:basedOn w:val="1"/>
    <w:next w:val="13"/>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3">
    <w:name w:val="Body Text First Indent 2"/>
    <w:basedOn w:val="6"/>
    <w:autoRedefine/>
    <w:qFormat/>
    <w:uiPriority w:val="0"/>
    <w:pPr>
      <w:ind w:firstLine="420" w:firstLineChars="200"/>
    </w:pPr>
  </w:style>
  <w:style w:type="paragraph" w:styleId="14">
    <w:name w:val="footer"/>
    <w:basedOn w:val="1"/>
    <w:link w:val="23"/>
    <w:autoRedefine/>
    <w:qFormat/>
    <w:uiPriority w:val="0"/>
    <w:pPr>
      <w:tabs>
        <w:tab w:val="center" w:pos="4153"/>
        <w:tab w:val="right" w:pos="8306"/>
      </w:tabs>
      <w:snapToGrid w:val="0"/>
      <w:jc w:val="left"/>
    </w:pPr>
    <w:rPr>
      <w:sz w:val="18"/>
      <w:szCs w:val="18"/>
    </w:rPr>
  </w:style>
  <w:style w:type="paragraph" w:styleId="15">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4"/>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5"/>
    <w:autoRedefine/>
    <w:qFormat/>
    <w:uiPriority w:val="0"/>
    <w:rPr>
      <w:kern w:val="2"/>
      <w:sz w:val="18"/>
      <w:szCs w:val="18"/>
    </w:rPr>
  </w:style>
  <w:style w:type="character" w:customStyle="1" w:styleId="23">
    <w:name w:val="页脚 Char"/>
    <w:basedOn w:val="20"/>
    <w:link w:val="14"/>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1</TotalTime>
  <ScaleCrop>false</ScaleCrop>
  <LinksUpToDate>false</LinksUpToDate>
  <CharactersWithSpaces>1429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arvngva</cp:lastModifiedBy>
  <cp:lastPrinted>2020-03-17T06:55:00Z</cp:lastPrinted>
  <dcterms:modified xsi:type="dcterms:W3CDTF">2024-03-27T01:53:55Z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E889824480CB4ED0A7AA9730178C3AB4_13</vt:lpwstr>
  </property>
</Properties>
</file>