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8" w:lineRule="exact"/>
        <w:jc w:val="center"/>
        <w:rPr>
          <w:rFonts w:ascii="仿宋_GB2312" w:hAnsi="仿宋_GB2312" w:eastAsia="仿宋_GB2312" w:cs="仿宋_GB2312"/>
          <w:sz w:val="32"/>
          <w:szCs w:val="32"/>
        </w:rPr>
      </w:pPr>
    </w:p>
    <w:p>
      <w:pPr>
        <w:spacing w:line="598" w:lineRule="exact"/>
        <w:rPr>
          <w:rFonts w:ascii="仿宋_GB2312" w:hAnsi="仿宋_GB2312" w:eastAsia="仿宋_GB2312" w:cs="仿宋_GB2312"/>
          <w:sz w:val="32"/>
          <w:szCs w:val="32"/>
        </w:rPr>
      </w:pPr>
    </w:p>
    <w:p>
      <w:pPr>
        <w:spacing w:line="598" w:lineRule="exact"/>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西环审表〔202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号</w:t>
      </w:r>
    </w:p>
    <w:p>
      <w:pPr>
        <w:spacing w:line="598" w:lineRule="exact"/>
        <w:jc w:val="center"/>
        <w:rPr>
          <w:rFonts w:ascii="仿宋_GB2312" w:hAnsi="仿宋_GB2312" w:eastAsia="仿宋_GB2312" w:cs="仿宋_GB2312"/>
          <w:sz w:val="32"/>
          <w:szCs w:val="32"/>
        </w:rPr>
      </w:pPr>
    </w:p>
    <w:p>
      <w:pPr>
        <w:widowControl/>
        <w:spacing w:line="700" w:lineRule="exact"/>
        <w:jc w:val="center"/>
        <w:textAlignment w:val="baseline"/>
        <w:rPr>
          <w:rFonts w:hint="eastAsia" w:ascii="方正小标宋简体" w:hAnsi="Times New Roman" w:eastAsia="方正小标宋简体" w:cs="方正小标宋简体"/>
          <w:bCs/>
          <w:sz w:val="44"/>
          <w:szCs w:val="44"/>
        </w:rPr>
      </w:pPr>
      <w:r>
        <w:rPr>
          <w:rFonts w:hint="eastAsia" w:ascii="方正小标宋简体" w:hAnsi="Times New Roman" w:eastAsia="方正小标宋简体" w:cs="方正小标宋简体"/>
          <w:bCs/>
          <w:sz w:val="44"/>
          <w:szCs w:val="44"/>
        </w:rPr>
        <w:t>锡林郭勒盟生态环境局</w:t>
      </w:r>
    </w:p>
    <w:p>
      <w:pPr>
        <w:spacing w:line="80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lang w:val="en-US" w:eastAsia="zh-CN"/>
        </w:rPr>
        <w:t>关于</w:t>
      </w:r>
      <w:r>
        <w:rPr>
          <w:rFonts w:hint="eastAsia" w:ascii="方正小标宋简体" w:hAnsi="方正小标宋简体" w:eastAsia="方正小标宋简体" w:cs="方正小标宋简体"/>
          <w:b w:val="0"/>
          <w:bCs w:val="0"/>
          <w:color w:val="auto"/>
          <w:sz w:val="44"/>
          <w:szCs w:val="44"/>
          <w:lang w:val="en-US" w:eastAsia="zh-CN"/>
        </w:rPr>
        <w:t>内蒙古锡林郭勒盟西乌珠穆沁旗X507线胡斯恩格尔至乌仁图雅嘎查段公路工程项目</w:t>
      </w:r>
      <w:r>
        <w:rPr>
          <w:rFonts w:hint="eastAsia" w:ascii="方正小标宋简体" w:hAnsi="方正小标宋简体" w:eastAsia="方正小标宋简体" w:cs="方正小标宋简体"/>
          <w:spacing w:val="-11"/>
          <w:sz w:val="44"/>
          <w:szCs w:val="44"/>
        </w:rPr>
        <w:t>环境影响报告表的批复</w:t>
      </w:r>
    </w:p>
    <w:p>
      <w:pPr>
        <w:spacing w:line="598"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8"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auto"/>
          <w:sz w:val="32"/>
          <w:szCs w:val="32"/>
          <w:highlight w:val="none"/>
          <w:lang w:val="en-US" w:eastAsia="zh-CN"/>
        </w:rPr>
        <w:t>西乌珠穆沁旗交通局</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你单位报送的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内蒙古锡林郭勒盟西乌珠穆沁旗X507线胡斯恩格尔至乌仁图雅嘎查段公路工程项目</w:t>
      </w:r>
      <w:r>
        <w:rPr>
          <w:rFonts w:hint="eastAsia" w:ascii="仿宋_GB2312" w:hAnsi="仿宋_GB2312" w:eastAsia="仿宋_GB2312" w:cs="仿宋_GB2312"/>
          <w:color w:val="auto"/>
          <w:sz w:val="32"/>
          <w:szCs w:val="32"/>
          <w:lang w:eastAsia="zh-CN"/>
        </w:rPr>
        <w:t>影响报告表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（以下简称《报告表》）已收悉。由锡林郭勒盟生态环境局西乌旗分局委托内蒙古环保投资集团有限公司锡林郭勒盟分公司对《报告表》进行了技术评估，出具了评估报告（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锡环投评估表〔2024〕14号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研究，现批复如下：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全线位于锡林郭勒盟西乌珠穆沁旗巴彦花镇境内，路线起点位于巴彦花镇胡斯恩格尔(白林线K45+100处)，起点桩号K0+000，终点止乌仁图雅嘎查，终点桩号K11+431，路段全长11.431公里，采用四级公路标准建设，路面结构采用水泥混凝土路面。利用原有路基宽度7.5米，路面宽度4.5米，双侧土路肩宽1.5米，线路基本按既有道路线形及走向布设，将原有砂石路面改建为水泥混凝土路面，无利旧路段，共设平面交叉14处，其中与三级公路交叉</w:t>
      </w: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处，与等外路交叉13处。本项目永久占地面积为178亩，全部为道路工程占地，占地类型为草地；临时占地面积为105.4亩。占用的土地性质为草地。项目设置1处取土场，位于K7+000左侧1km处，临时占地面积为20.7亩；施工场地临时占地面积为7.5亩，建设内容包括拌合站（水泥筒仓、搅拌机等）、料场和施工营地，K4+300左侧0.1km处。</w:t>
      </w:r>
      <w:r>
        <w:rPr>
          <w:rFonts w:hint="eastAsia" w:ascii="仿宋_GB2312" w:hAnsi="仿宋_GB2312" w:eastAsia="仿宋_GB2312" w:cs="仿宋_GB2312"/>
          <w:color w:val="auto"/>
          <w:sz w:val="32"/>
          <w:szCs w:val="32"/>
        </w:rPr>
        <w:t>项目工程总投资为</w:t>
      </w:r>
      <w:r>
        <w:rPr>
          <w:rFonts w:hint="eastAsia" w:ascii="仿宋_GB2312" w:hAnsi="仿宋_GB2312" w:eastAsia="仿宋_GB2312" w:cs="仿宋_GB2312"/>
          <w:color w:val="auto"/>
          <w:sz w:val="32"/>
          <w:szCs w:val="32"/>
          <w:lang w:val="en-US" w:eastAsia="zh-CN"/>
        </w:rPr>
        <w:t>1458.4</w:t>
      </w:r>
      <w:r>
        <w:rPr>
          <w:rFonts w:hint="eastAsia" w:ascii="仿宋_GB2312" w:hAnsi="仿宋_GB2312" w:eastAsia="仿宋_GB2312" w:cs="仿宋_GB2312"/>
          <w:color w:val="auto"/>
          <w:sz w:val="32"/>
          <w:szCs w:val="32"/>
        </w:rPr>
        <w:t>万元，其中环保投资为</w:t>
      </w:r>
      <w:r>
        <w:rPr>
          <w:rFonts w:hint="eastAsia" w:ascii="仿宋_GB2312" w:hAnsi="仿宋_GB2312" w:eastAsia="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rPr>
        <w:t>万元，占总投资的</w:t>
      </w:r>
      <w:r>
        <w:rPr>
          <w:rFonts w:hint="eastAsia" w:ascii="仿宋_GB2312" w:hAnsi="仿宋_GB2312" w:eastAsia="仿宋_GB2312" w:cs="仿宋_GB2312"/>
          <w:color w:val="auto"/>
          <w:sz w:val="32"/>
          <w:szCs w:val="32"/>
          <w:lang w:val="en-US" w:eastAsia="zh-CN"/>
        </w:rPr>
        <w:t>6.79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告表》认为，根据《产业结构调整指导目录（2024年本）》，项目属于鼓励类---“二十四、公路及道路运输”：“2．公路智能运输系统开发：快速客货运输、公路甩挂运输系统开发与建设，公路集装箱和厢式运输，农村公路和客货运输网络开发与建设，出租汽车服务调度信息系统开发与建设”，符合国家产业政策。</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项目占地范围及周边不涉及名胜古迹、风景名胜区、自然保护区、饮用水源保护区，</w:t>
      </w:r>
      <w:r>
        <w:rPr>
          <w:rFonts w:hint="default" w:ascii="仿宋_GB2312" w:hAnsi="仿宋_GB2312" w:eastAsia="仿宋_GB2312" w:cs="仿宋_GB2312"/>
          <w:color w:val="000000" w:themeColor="text1"/>
          <w:sz w:val="32"/>
          <w:szCs w:val="32"/>
          <w:lang w:val="en-GB" w:eastAsia="zh-CN"/>
          <w14:textFill>
            <w14:solidFill>
              <w14:schemeClr w14:val="tx1"/>
            </w14:solidFill>
          </w14:textFill>
        </w:rPr>
        <w:t>根据西乌珠穆沁旗自然资源局《关于</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2022年农村牧区公路建设项目建设用地范围是否位于生态保护红线范围内的复函</w:t>
      </w:r>
      <w:r>
        <w:rPr>
          <w:rFonts w:hint="default" w:ascii="仿宋_GB2312" w:hAnsi="仿宋_GB2312" w:eastAsia="仿宋_GB2312" w:cs="仿宋_GB2312"/>
          <w:color w:val="000000" w:themeColor="text1"/>
          <w:sz w:val="32"/>
          <w:szCs w:val="32"/>
          <w:lang w:val="en-GB"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GB" w:eastAsia="zh-CN"/>
          <w14:textFill>
            <w14:solidFill>
              <w14:schemeClr w14:val="tx1"/>
            </w14:solidFill>
          </w14:textFill>
        </w:rPr>
        <w:t>，项目</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不在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西乌珠穆沁旗已批准</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的生态红线范围内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符合生态保护红线要求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。依据《锡林郭勒盟生态环境准入清单》（2023年版）中“锡林郭勒盟西乌珠穆沁旗生态环境准入清单”，</w:t>
      </w:r>
      <w:r>
        <w:rPr>
          <w:rFonts w:hint="eastAsia" w:ascii="仿宋_GB2312" w:hAnsi="仿宋_GB2312" w:eastAsia="仿宋_GB2312" w:cs="仿宋_GB2312"/>
          <w:color w:val="auto"/>
          <w:sz w:val="32"/>
          <w:szCs w:val="32"/>
          <w:lang w:val="en-US" w:eastAsia="zh-CN"/>
        </w:rPr>
        <w:t>本项目属于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auto"/>
          <w:sz w:val="32"/>
          <w:szCs w:val="32"/>
          <w:lang w:val="en-US" w:eastAsia="zh-CN"/>
        </w:rPr>
        <w:t>西乌珠穆沁旗一般管控单元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auto"/>
          <w:sz w:val="32"/>
          <w:szCs w:val="32"/>
          <w:lang w:val="en-US" w:eastAsia="zh-CN"/>
        </w:rPr>
        <w:t>ZH15252630001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），符合该环境管控单元空间布局约束、污染物排放管控、环境风险防控、资源利用效率要求。综上，该项目符合“三线一单”及准入要求。</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二、项目在设计、建设和运营过程中应做好以下工作：</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1、大气污染防治方面。</w:t>
      </w:r>
      <w:r>
        <w:rPr>
          <w:rFonts w:hint="eastAsia" w:ascii="仿宋_GB2312" w:hAnsi="仿宋_GB2312" w:eastAsia="仿宋_GB2312" w:cs="仿宋_GB2312"/>
          <w:color w:val="auto"/>
          <w:sz w:val="32"/>
          <w:szCs w:val="32"/>
          <w:lang w:val="en-US" w:eastAsia="zh-CN"/>
        </w:rPr>
        <w:t>大气污染物为</w:t>
      </w:r>
      <w:r>
        <w:rPr>
          <w:rFonts w:hint="eastAsia" w:ascii="仿宋_GB2312" w:hAnsi="仿宋_GB2312" w:eastAsia="仿宋_GB2312" w:cs="仿宋_GB2312"/>
          <w:color w:val="auto"/>
          <w:kern w:val="0"/>
          <w:sz w:val="32"/>
          <w:szCs w:val="32"/>
          <w:lang w:val="en-US" w:eastAsia="zh-CN" w:bidi="ar"/>
        </w:rPr>
        <w:t>施工扬尘、堆场扬尘、拌合站废气、表土剥离粉尘、表土及取土场扬尘、运输扬尘及汽车尾气。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施工单位对施工场地、取弃土场、表土堆场、运输道路等采取洒水降尘措施；在施工期间必须加强运输散体物质车辆管理，对运输车辆采取蓬布苫盖、路面洒水等防护措施。运营期产生的大气污染物主要是汽车尾气、过往车辆产生的道路扬尘。建设单位应对过往车辆产生的扬尘采取扬尘污染防治和减缓措施，道路两旁种草,充分利用绿色植物交换空气、降尘的作用;来往车辆限制车速，安装限速标识;对汽车排放进行抽查，对运输散体物质的车辆必须严加管理。</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2、水污染防治措施。施工期废水主要为生活污水、施工机械冲洗废水。</w:t>
      </w:r>
      <w:r>
        <w:rPr>
          <w:rFonts w:hint="eastAsia" w:ascii="仿宋_GB2312" w:hAnsi="仿宋_GB2312" w:eastAsia="仿宋_GB2312" w:cs="仿宋_GB2312"/>
          <w:color w:val="000000"/>
          <w:kern w:val="0"/>
          <w:sz w:val="32"/>
          <w:szCs w:val="32"/>
          <w:lang w:val="en-US" w:eastAsia="zh-CN" w:bidi="ar"/>
        </w:rPr>
        <w:t>施工现场设置临时移动厕所，施工人员产生的生活污水收集后清运处置;</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施工机械冲洗废水经沉淀池沉淀后用于道路洒水降尘，不外排。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项目沿线不建设收费站、服务区、养护工区等，运营期无废水产生。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3、固废污染防治措施。施工期产生的固体废物主要有施工人员生活垃圾、施工废料以及沉淀池沉渣等。施工单位对</w:t>
      </w:r>
      <w:r>
        <w:rPr>
          <w:rFonts w:hint="eastAsia" w:ascii="仿宋_GB2312" w:hAnsi="仿宋_GB2312" w:eastAsia="仿宋_GB2312" w:cs="仿宋_GB2312"/>
          <w:color w:val="auto"/>
          <w:sz w:val="32"/>
          <w:szCs w:val="32"/>
          <w:lang w:eastAsia="zh-CN"/>
        </w:rPr>
        <w:t>施工现场产生的生活垃圾经垃圾收集桶收集后集中交由环卫部门处置；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项目路面基层施工时破除的旧路面水泥混凝土结构面层水泥块直接用于路基填筑;对不能使用的废料集中收集及时运至当地的建筑垃圾填埋场填埋；</w:t>
      </w:r>
      <w:r>
        <w:rPr>
          <w:rFonts w:hint="eastAsia" w:ascii="仿宋_GB2312" w:hAnsi="仿宋_GB2312" w:eastAsia="仿宋_GB2312" w:cs="仿宋_GB2312"/>
          <w:color w:val="auto"/>
          <w:sz w:val="32"/>
          <w:szCs w:val="32"/>
          <w:lang w:val="en-US" w:eastAsia="zh-CN"/>
        </w:rPr>
        <w:t>在公路施工期间通过加强施工管理，按需供料，剩余材料及时清运；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车辆机械冲洗沉淀池产生的少量沉淀废渣定期拉运至环卫部门指定地点处置。项目运营期产生的固体废物主要为过往车辆及过路人员产生的生活垃圾。道路建成通车后，妥善处理过往司乘人员产生的废纸、废塑料袋、烟蒂等生活垃圾，以及汽车装载货物的撒落物等，由当地环卫部门定期清理，减轻对周边的自然环境产生的影响。</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4、噪声污染防治措施。施工单位在</w:t>
      </w:r>
      <w:r>
        <w:rPr>
          <w:rFonts w:hint="eastAsia" w:ascii="仿宋_GB2312" w:hAnsi="仿宋_GB2312" w:eastAsia="仿宋_GB2312" w:cs="仿宋_GB2312"/>
          <w:color w:val="auto"/>
          <w:sz w:val="32"/>
          <w:szCs w:val="32"/>
          <w:lang w:val="en-US" w:eastAsia="zh-CN"/>
        </w:rPr>
        <w:t>昼间施工时，临近声环境保护目标一侧要求设置临时声屏障进行降噪；禁止多种施工机械同时作业，</w:t>
      </w:r>
      <w:r>
        <w:rPr>
          <w:rFonts w:hint="default" w:ascii="仿宋_GB2312" w:hAnsi="仿宋_GB2312" w:eastAsia="仿宋_GB2312" w:cs="仿宋_GB2312"/>
          <w:color w:val="auto"/>
          <w:sz w:val="32"/>
          <w:szCs w:val="32"/>
          <w:lang w:val="en-US" w:eastAsia="zh-CN"/>
        </w:rPr>
        <w:t>车辆减速行驶、减少鸣笛，加强施工车辆管理</w:t>
      </w:r>
      <w:r>
        <w:rPr>
          <w:rFonts w:hint="eastAsia" w:ascii="仿宋_GB2312" w:hAnsi="仿宋_GB2312" w:eastAsia="仿宋_GB2312" w:cs="仿宋_GB2312"/>
          <w:color w:val="auto"/>
          <w:sz w:val="32"/>
          <w:szCs w:val="32"/>
          <w:lang w:val="en-US" w:eastAsia="zh-CN"/>
        </w:rPr>
        <w:t>。运营期</w:t>
      </w:r>
      <w:r>
        <w:rPr>
          <w:rFonts w:hint="eastAsia" w:ascii="仿宋_GB2312" w:hAnsi="仿宋_GB2312" w:eastAsia="仿宋_GB2312" w:cs="仿宋_GB2312"/>
          <w:color w:val="auto"/>
          <w:sz w:val="32"/>
          <w:szCs w:val="32"/>
          <w:lang w:eastAsia="zh-CN"/>
        </w:rPr>
        <w:t>建设单位</w:t>
      </w:r>
      <w:r>
        <w:rPr>
          <w:rFonts w:hint="eastAsia" w:ascii="仿宋_GB2312" w:hAnsi="仿宋_GB2312" w:eastAsia="仿宋_GB2312" w:cs="仿宋_GB2312"/>
          <w:color w:val="auto"/>
          <w:sz w:val="32"/>
          <w:szCs w:val="32"/>
        </w:rPr>
        <w:t>加强公路交通管理，维持公路路面的平整洁净，设置限速标志、减速带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加强公路通车后的道路养护工作，维持公路路面的平整度，避免因路况不佳造成车辆颠簸而引起交通噪声</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4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5、生态环境保护措施。施工单位应制定详细的施工计划，加强施工管理，严格控制施工作业范围，</w:t>
      </w:r>
      <w:r>
        <w:rPr>
          <w:rFonts w:hint="default" w:ascii="Times New Roman" w:hAnsi="Times New Roman" w:eastAsia="仿宋_GB2312" w:cs="Times New Roman"/>
          <w:sz w:val="32"/>
          <w:szCs w:val="32"/>
        </w:rPr>
        <w:t>不得乱占土地，施工机械、土石及其他建筑材料不得乱停乱放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尽量避开大风和雨天施工；在施工期减少地表开挖，加强表土及未及时回填土的防护，减少水土流失；施工期结束后，对公路路基两侧、取土场地表扰动区域进行土地平整、恢复植被，在相应区段施工中设置醒目的标语牌。运营期加强对路基边坡及两侧、临时取土场植被的管理与养护；公路管理及养护部门应加强管理和宣传教育，确保公路沿线的绿化不受破坏；项目运营后五年内对取土场进行植被恢复情况生态监测了解临时用地植被的恢复情况，如发现植株死亡或者覆盖率达不到预计目标，要尽快补植，并形成工作制度，严格执行；植物种优先选择适合于当地生长的乡土植物种，确保生物安全；定期对植被、野生动物等进行监测；对影响和破坏的植被进行生态补偿。</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4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三、项目建设必须严格执行环境保护设施与主体工程同时设计、同时施工、同时投入使用的环境保护“三同时”制度。</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4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（一）要将环境保护措施纳入初步设计报告并落实环保设施投资概算。</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4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（二）要将环境保护设施建设纳入施工合同，保证环境保护设施建设进度和资金。</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4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（三）项目竣工后须按规定程序实施竣工环境保护验收，验收合格后方可正式投运。</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4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四、我局委托锡林郭勒盟生态环境局西乌旗分局对该项目各项污染防治措施落实情况进行监督检查和管理。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firstLine="5760" w:firstLineChars="18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锡林郭勒盟生态环境局</w:t>
      </w:r>
    </w:p>
    <w:p>
      <w:pPr>
        <w:keepNext w:val="0"/>
        <w:keepLines w:val="0"/>
        <w:pageBreakBefore w:val="0"/>
        <w:widowControl w:val="0"/>
        <w:kinsoku/>
        <w:wordWrap/>
        <w:overflowPunct/>
        <w:topLinePunct w:val="0"/>
        <w:autoSpaceDE/>
        <w:autoSpaceDN/>
        <w:bidi w:val="0"/>
        <w:adjustRightInd/>
        <w:snapToGrid/>
        <w:spacing w:line="600" w:lineRule="exact"/>
        <w:ind w:left="0" w:firstLine="6240" w:firstLineChars="1950"/>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2024年3月27日</w:t>
      </w:r>
      <w:bookmarkStart w:id="0" w:name="_GoBack"/>
      <w:bookmarkEnd w:id="0"/>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rPr>
        <w:t>抄送：盟生态环境综合行政执法支队、盟生态环境局西乌旗分局</w:t>
      </w:r>
    </w:p>
    <w:p>
      <w:pPr>
        <w:pBdr>
          <w:top w:val="single" w:color="auto" w:sz="4" w:space="1"/>
          <w:left w:val="none" w:color="auto" w:sz="0" w:space="0"/>
          <w:bottom w:val="single" w:color="auto" w:sz="4" w:space="1"/>
          <w:right w:val="none" w:color="auto" w:sz="0" w:space="0"/>
        </w:pBdr>
        <w:spacing w:line="540" w:lineRule="exact"/>
      </w:pPr>
      <w:r>
        <w:rPr>
          <w:rFonts w:hint="eastAsia" w:ascii="仿宋_GB2312" w:hAnsi="仿宋_GB2312" w:eastAsia="仿宋_GB2312" w:cs="仿宋_GB2312"/>
          <w:spacing w:val="-2"/>
          <w:w w:val="90"/>
          <w:sz w:val="32"/>
          <w:szCs w:val="32"/>
          <w:highlight w:val="none"/>
        </w:rPr>
        <w:t xml:space="preserve">锡林郭勒盟生态环境局办公室         </w:t>
      </w:r>
      <w:r>
        <w:rPr>
          <w:rFonts w:hint="eastAsia" w:ascii="仿宋_GB2312" w:hAnsi="仿宋_GB2312" w:eastAsia="仿宋_GB2312" w:cs="仿宋_GB2312"/>
          <w:spacing w:val="-2"/>
          <w:w w:val="90"/>
          <w:sz w:val="32"/>
          <w:szCs w:val="32"/>
          <w:highlight w:val="none"/>
          <w:lang w:val="en-US" w:eastAsia="zh-CN"/>
        </w:rPr>
        <w:t xml:space="preserve">     </w:t>
      </w:r>
      <w:r>
        <w:rPr>
          <w:rFonts w:hint="eastAsia" w:ascii="仿宋_GB2312" w:hAnsi="仿宋_GB2312" w:eastAsia="仿宋_GB2312" w:cs="仿宋_GB2312"/>
          <w:spacing w:val="-2"/>
          <w:w w:val="90"/>
          <w:sz w:val="32"/>
          <w:szCs w:val="32"/>
          <w:highlight w:val="none"/>
        </w:rPr>
        <w:t xml:space="preserve"> 202</w:t>
      </w:r>
      <w:r>
        <w:rPr>
          <w:rFonts w:hint="eastAsia" w:ascii="仿宋_GB2312" w:hAnsi="仿宋_GB2312" w:eastAsia="仿宋_GB2312" w:cs="仿宋_GB2312"/>
          <w:spacing w:val="-2"/>
          <w:w w:val="90"/>
          <w:sz w:val="32"/>
          <w:szCs w:val="32"/>
          <w:highlight w:val="none"/>
          <w:lang w:val="en-US" w:eastAsia="zh-CN"/>
        </w:rPr>
        <w:t>4</w:t>
      </w:r>
      <w:r>
        <w:rPr>
          <w:rFonts w:hint="eastAsia" w:ascii="仿宋_GB2312" w:hAnsi="仿宋_GB2312" w:eastAsia="仿宋_GB2312" w:cs="仿宋_GB2312"/>
          <w:spacing w:val="-2"/>
          <w:w w:val="90"/>
          <w:sz w:val="32"/>
          <w:szCs w:val="32"/>
          <w:highlight w:val="none"/>
        </w:rPr>
        <w:t>年</w:t>
      </w:r>
      <w:r>
        <w:rPr>
          <w:rFonts w:hint="eastAsia" w:ascii="仿宋_GB2312" w:hAnsi="仿宋_GB2312" w:eastAsia="仿宋_GB2312" w:cs="仿宋_GB2312"/>
          <w:spacing w:val="-2"/>
          <w:w w:val="90"/>
          <w:sz w:val="32"/>
          <w:szCs w:val="32"/>
          <w:highlight w:val="none"/>
          <w:lang w:val="en-US" w:eastAsia="zh-CN"/>
        </w:rPr>
        <w:t>3</w:t>
      </w:r>
      <w:r>
        <w:rPr>
          <w:rFonts w:hint="eastAsia" w:ascii="仿宋_GB2312" w:hAnsi="仿宋_GB2312" w:eastAsia="仿宋_GB2312" w:cs="仿宋_GB2312"/>
          <w:spacing w:val="-2"/>
          <w:w w:val="90"/>
          <w:sz w:val="32"/>
          <w:szCs w:val="32"/>
          <w:highlight w:val="none"/>
        </w:rPr>
        <w:t>月</w:t>
      </w:r>
      <w:r>
        <w:rPr>
          <w:rFonts w:hint="eastAsia" w:ascii="仿宋_GB2312" w:hAnsi="仿宋_GB2312" w:eastAsia="仿宋_GB2312" w:cs="仿宋_GB2312"/>
          <w:spacing w:val="-2"/>
          <w:w w:val="90"/>
          <w:sz w:val="32"/>
          <w:szCs w:val="32"/>
          <w:highlight w:val="none"/>
          <w:lang w:val="en-US" w:eastAsia="zh-CN"/>
        </w:rPr>
        <w:t>27</w:t>
      </w:r>
      <w:r>
        <w:rPr>
          <w:rFonts w:hint="eastAsia" w:ascii="仿宋_GB2312" w:hAnsi="仿宋_GB2312" w:eastAsia="仿宋_GB2312" w:cs="仿宋_GB2312"/>
          <w:spacing w:val="-2"/>
          <w:w w:val="90"/>
          <w:sz w:val="32"/>
          <w:szCs w:val="32"/>
          <w:highlight w:val="none"/>
        </w:rPr>
        <w:t>日</w:t>
      </w:r>
      <w:r>
        <w:rPr>
          <w:rFonts w:hint="eastAsia" w:ascii="仿宋_GB2312" w:hAnsi="仿宋_GB2312" w:eastAsia="仿宋_GB2312" w:cs="仿宋_GB2312"/>
          <w:spacing w:val="-2"/>
          <w:w w:val="90"/>
          <w:sz w:val="32"/>
          <w:szCs w:val="32"/>
        </w:rPr>
        <w:t>印发</w:t>
      </w:r>
    </w:p>
    <w:sectPr>
      <w:pgSz w:w="11906" w:h="16838"/>
      <w:pgMar w:top="1984" w:right="1417" w:bottom="1417" w:left="141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AEE3C"/>
    <w:multiLevelType w:val="singleLevel"/>
    <w:tmpl w:val="DCBAEE3C"/>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3MDVmNTBlZDBmNjcxNDhhOTc5YmFjM2ZhOWQzOTkifQ=="/>
  </w:docVars>
  <w:rsids>
    <w:rsidRoot w:val="5EC66ED4"/>
    <w:rsid w:val="002338E7"/>
    <w:rsid w:val="002649C7"/>
    <w:rsid w:val="00485B84"/>
    <w:rsid w:val="006A1A40"/>
    <w:rsid w:val="008063C5"/>
    <w:rsid w:val="00A041AA"/>
    <w:rsid w:val="00A368D6"/>
    <w:rsid w:val="00A8256E"/>
    <w:rsid w:val="00B41233"/>
    <w:rsid w:val="00B57562"/>
    <w:rsid w:val="00BB67CA"/>
    <w:rsid w:val="00C014C7"/>
    <w:rsid w:val="00F24233"/>
    <w:rsid w:val="00FB66AF"/>
    <w:rsid w:val="017F5C19"/>
    <w:rsid w:val="018E255D"/>
    <w:rsid w:val="0508169F"/>
    <w:rsid w:val="079D0356"/>
    <w:rsid w:val="08292EF0"/>
    <w:rsid w:val="0965705A"/>
    <w:rsid w:val="09665DE7"/>
    <w:rsid w:val="0A302749"/>
    <w:rsid w:val="0A5115FC"/>
    <w:rsid w:val="0A6D250B"/>
    <w:rsid w:val="0A8D7AD4"/>
    <w:rsid w:val="0AE5406E"/>
    <w:rsid w:val="0AF55F71"/>
    <w:rsid w:val="0E746B5A"/>
    <w:rsid w:val="11A82DA9"/>
    <w:rsid w:val="14BA613D"/>
    <w:rsid w:val="150500C9"/>
    <w:rsid w:val="17F03DBE"/>
    <w:rsid w:val="1EB661F5"/>
    <w:rsid w:val="1F0942A1"/>
    <w:rsid w:val="1F971B79"/>
    <w:rsid w:val="1FEF0AB1"/>
    <w:rsid w:val="20625EBD"/>
    <w:rsid w:val="22775781"/>
    <w:rsid w:val="24C91014"/>
    <w:rsid w:val="26721809"/>
    <w:rsid w:val="28847071"/>
    <w:rsid w:val="2A945BEA"/>
    <w:rsid w:val="2E2C61C7"/>
    <w:rsid w:val="33362498"/>
    <w:rsid w:val="34A80F3E"/>
    <w:rsid w:val="351A1FA1"/>
    <w:rsid w:val="389E30FE"/>
    <w:rsid w:val="3B0C28D2"/>
    <w:rsid w:val="3B0C2E58"/>
    <w:rsid w:val="3C63045A"/>
    <w:rsid w:val="3F6D721C"/>
    <w:rsid w:val="3FA265BF"/>
    <w:rsid w:val="45822DC2"/>
    <w:rsid w:val="45E216A1"/>
    <w:rsid w:val="49893DAA"/>
    <w:rsid w:val="49BB6377"/>
    <w:rsid w:val="4B945FE3"/>
    <w:rsid w:val="4CA913C7"/>
    <w:rsid w:val="4FCC07B9"/>
    <w:rsid w:val="509757B4"/>
    <w:rsid w:val="50E246D3"/>
    <w:rsid w:val="50FB2104"/>
    <w:rsid w:val="522241C5"/>
    <w:rsid w:val="52DE02D1"/>
    <w:rsid w:val="536856F0"/>
    <w:rsid w:val="53A148BE"/>
    <w:rsid w:val="543D7097"/>
    <w:rsid w:val="550D3A9F"/>
    <w:rsid w:val="595E4131"/>
    <w:rsid w:val="5A6673EF"/>
    <w:rsid w:val="5A962B6A"/>
    <w:rsid w:val="5CA112FE"/>
    <w:rsid w:val="5CCF1D9B"/>
    <w:rsid w:val="5EC66ED4"/>
    <w:rsid w:val="5EF25A14"/>
    <w:rsid w:val="5F0423F2"/>
    <w:rsid w:val="5F2B096A"/>
    <w:rsid w:val="62976515"/>
    <w:rsid w:val="63A36E9E"/>
    <w:rsid w:val="68FD394B"/>
    <w:rsid w:val="69B56FF0"/>
    <w:rsid w:val="6A8A6014"/>
    <w:rsid w:val="6D480FD8"/>
    <w:rsid w:val="6E5F07A0"/>
    <w:rsid w:val="6F523A44"/>
    <w:rsid w:val="716A177A"/>
    <w:rsid w:val="74F15189"/>
    <w:rsid w:val="76606C42"/>
    <w:rsid w:val="7BC80808"/>
    <w:rsid w:val="7C457AD0"/>
    <w:rsid w:val="7D6C334B"/>
    <w:rsid w:val="7E2D7CFF"/>
    <w:rsid w:val="7E306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autoRedefine/>
    <w:unhideWhenUsed/>
    <w:qFormat/>
    <w:uiPriority w:val="0"/>
    <w:pPr>
      <w:keepNext/>
      <w:keepLines/>
      <w:adjustRightInd w:val="0"/>
      <w:snapToGrid w:val="0"/>
      <w:spacing w:line="480" w:lineRule="exact"/>
      <w:jc w:val="both"/>
      <w:outlineLvl w:val="2"/>
    </w:pPr>
    <w:rPr>
      <w:rFonts w:ascii="Times New Roman" w:hAnsi="Times New Roman" w:eastAsia="宋体"/>
      <w:b/>
      <w:bCs/>
      <w:sz w:val="24"/>
      <w:szCs w:val="32"/>
    </w:rPr>
  </w:style>
  <w:style w:type="paragraph" w:styleId="3">
    <w:name w:val="heading 4"/>
    <w:basedOn w:val="1"/>
    <w:next w:val="1"/>
    <w:autoRedefine/>
    <w:qFormat/>
    <w:uiPriority w:val="9"/>
    <w:pPr>
      <w:keepNext/>
      <w:keepLines/>
      <w:ind w:firstLine="0" w:firstLineChars="0"/>
      <w:jc w:val="center"/>
      <w:outlineLvl w:val="3"/>
    </w:pPr>
    <w:rPr>
      <w:rFonts w:ascii="Times New Roman" w:hAnsi="Times New Roman" w:eastAsia="宋体"/>
      <w:b/>
      <w:bCs/>
      <w:kern w:val="0"/>
      <w:sz w:val="21"/>
      <w:szCs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E-mail Signature"/>
    <w:basedOn w:val="1"/>
    <w:next w:val="5"/>
    <w:autoRedefine/>
    <w:qFormat/>
    <w:uiPriority w:val="0"/>
    <w:pPr>
      <w:spacing w:line="460" w:lineRule="exact"/>
      <w:ind w:firstLine="200"/>
    </w:pPr>
    <w:rPr>
      <w:sz w:val="24"/>
    </w:rPr>
  </w:style>
  <w:style w:type="paragraph" w:customStyle="1" w:styleId="5">
    <w:name w:val="文章"/>
    <w:basedOn w:val="6"/>
    <w:next w:val="7"/>
    <w:autoRedefine/>
    <w:qFormat/>
    <w:uiPriority w:val="0"/>
    <w:pPr>
      <w:widowControl/>
      <w:jc w:val="center"/>
    </w:pPr>
    <w:rPr>
      <w:sz w:val="26"/>
    </w:rPr>
  </w:style>
  <w:style w:type="paragraph" w:styleId="6">
    <w:name w:val="Body Text Indent"/>
    <w:basedOn w:val="1"/>
    <w:next w:val="1"/>
    <w:autoRedefine/>
    <w:qFormat/>
    <w:uiPriority w:val="0"/>
    <w:pPr>
      <w:spacing w:line="500" w:lineRule="exact"/>
      <w:ind w:firstLine="454"/>
    </w:pPr>
    <w:rPr>
      <w:rFonts w:ascii="楷体_GB2312" w:eastAsia="楷体_GB2312"/>
      <w:bCs/>
      <w:sz w:val="24"/>
    </w:rPr>
  </w:style>
  <w:style w:type="paragraph" w:styleId="7">
    <w:name w:val="List"/>
    <w:basedOn w:val="1"/>
    <w:next w:val="8"/>
    <w:autoRedefine/>
    <w:qFormat/>
    <w:uiPriority w:val="0"/>
    <w:pPr>
      <w:jc w:val="center"/>
    </w:pPr>
  </w:style>
  <w:style w:type="paragraph" w:styleId="8">
    <w:name w:val="List Bullet 2"/>
    <w:basedOn w:val="1"/>
    <w:next w:val="9"/>
    <w:autoRedefine/>
    <w:qFormat/>
    <w:uiPriority w:val="0"/>
    <w:pPr>
      <w:numPr>
        <w:ilvl w:val="0"/>
        <w:numId w:val="1"/>
      </w:numPr>
    </w:pPr>
  </w:style>
  <w:style w:type="paragraph" w:customStyle="1" w:styleId="9">
    <w:name w:val="xl70"/>
    <w:basedOn w:val="1"/>
    <w:next w:val="10"/>
    <w:autoRedefine/>
    <w:qFormat/>
    <w:uiPriority w:val="0"/>
    <w:pPr>
      <w:widowControl/>
      <w:spacing w:before="280" w:after="280"/>
    </w:pPr>
    <w:rPr>
      <w:rFonts w:ascii="宋体"/>
    </w:rPr>
  </w:style>
  <w:style w:type="paragraph" w:customStyle="1" w:styleId="10">
    <w:name w:val="正文缩进1"/>
    <w:basedOn w:val="1"/>
    <w:next w:val="11"/>
    <w:autoRedefine/>
    <w:qFormat/>
    <w:uiPriority w:val="0"/>
    <w:pPr>
      <w:ind w:firstLine="420"/>
    </w:pPr>
    <w:rPr>
      <w:szCs w:val="20"/>
    </w:rPr>
  </w:style>
  <w:style w:type="paragraph" w:customStyle="1" w:styleId="11">
    <w:name w:val="td1"/>
    <w:basedOn w:val="1"/>
    <w:next w:val="1"/>
    <w:autoRedefine/>
    <w:qFormat/>
    <w:uiPriority w:val="0"/>
    <w:pPr>
      <w:widowControl/>
      <w:spacing w:before="280" w:after="280" w:line="300" w:lineRule="atLeast"/>
      <w:ind w:firstLine="200"/>
    </w:pPr>
    <w:rPr>
      <w:color w:val="000000"/>
      <w:sz w:val="18"/>
    </w:rPr>
  </w:style>
  <w:style w:type="paragraph" w:styleId="12">
    <w:name w:val="Normal Indent"/>
    <w:basedOn w:val="1"/>
    <w:next w:val="13"/>
    <w:autoRedefine/>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13">
    <w:name w:val="Body Text First Indent 2"/>
    <w:basedOn w:val="6"/>
    <w:autoRedefine/>
    <w:qFormat/>
    <w:uiPriority w:val="0"/>
    <w:pPr>
      <w:ind w:firstLine="420" w:firstLineChars="200"/>
    </w:pPr>
  </w:style>
  <w:style w:type="paragraph" w:styleId="14">
    <w:name w:val="footer"/>
    <w:basedOn w:val="1"/>
    <w:link w:val="23"/>
    <w:autoRedefine/>
    <w:qFormat/>
    <w:uiPriority w:val="0"/>
    <w:pPr>
      <w:tabs>
        <w:tab w:val="center" w:pos="4153"/>
        <w:tab w:val="right" w:pos="8306"/>
      </w:tabs>
      <w:snapToGrid w:val="0"/>
      <w:jc w:val="left"/>
    </w:pPr>
    <w:rPr>
      <w:sz w:val="18"/>
      <w:szCs w:val="18"/>
    </w:rPr>
  </w:style>
  <w:style w:type="paragraph" w:styleId="15">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2"/>
    <w:basedOn w:val="1"/>
    <w:next w:val="4"/>
    <w:autoRedefine/>
    <w:qFormat/>
    <w:uiPriority w:val="0"/>
    <w:pPr>
      <w:ind w:left="420" w:leftChars="200"/>
    </w:p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1]正文"/>
    <w:basedOn w:val="1"/>
    <w:autoRedefine/>
    <w:qFormat/>
    <w:uiPriority w:val="0"/>
    <w:pPr>
      <w:autoSpaceDE w:val="0"/>
      <w:autoSpaceDN w:val="0"/>
      <w:ind w:left="0" w:leftChars="0" w:firstLine="200" w:firstLineChars="200"/>
    </w:pPr>
    <w:rPr>
      <w:rFonts w:ascii="Times New Roman" w:hAnsi="Times New Roman"/>
      <w:color w:val="000000"/>
      <w:kern w:val="0"/>
      <w:szCs w:val="24"/>
      <w:lang w:val="zh-CN"/>
    </w:rPr>
  </w:style>
  <w:style w:type="character" w:customStyle="1" w:styleId="22">
    <w:name w:val="页眉 Char"/>
    <w:basedOn w:val="20"/>
    <w:link w:val="15"/>
    <w:autoRedefine/>
    <w:qFormat/>
    <w:uiPriority w:val="0"/>
    <w:rPr>
      <w:kern w:val="2"/>
      <w:sz w:val="18"/>
      <w:szCs w:val="18"/>
    </w:rPr>
  </w:style>
  <w:style w:type="character" w:customStyle="1" w:styleId="23">
    <w:name w:val="页脚 Char"/>
    <w:basedOn w:val="20"/>
    <w:link w:val="14"/>
    <w:autoRedefine/>
    <w:qFormat/>
    <w:uiPriority w:val="0"/>
    <w:rPr>
      <w:kern w:val="2"/>
      <w:sz w:val="18"/>
      <w:szCs w:val="18"/>
    </w:rPr>
  </w:style>
  <w:style w:type="paragraph" w:customStyle="1" w:styleId="24">
    <w:name w:val="高-正文"/>
    <w:autoRedefine/>
    <w:qFormat/>
    <w:uiPriority w:val="0"/>
    <w:pPr>
      <w:widowControl w:val="0"/>
      <w:topLinePunct/>
      <w:adjustRightInd w:val="0"/>
      <w:snapToGrid w:val="0"/>
      <w:spacing w:line="480" w:lineRule="exact"/>
      <w:ind w:firstLine="600" w:firstLineChars="200"/>
      <w:jc w:val="both"/>
    </w:pPr>
    <w:rPr>
      <w:rFonts w:ascii="Times New Roman" w:hAnsi="Times New Roman" w:eastAsia="宋体" w:cs="Times New Roman"/>
      <w:snapToGrid w:val="0"/>
      <w:kern w:val="0"/>
      <w:sz w:val="24"/>
      <w:szCs w:val="22"/>
      <w:lang w:val="en-US" w:eastAsia="zh-CN" w:bidi="ar-SA"/>
    </w:rPr>
  </w:style>
  <w:style w:type="paragraph" w:customStyle="1" w:styleId="25">
    <w:name w:val="BodyText1I2"/>
    <w:next w:val="26"/>
    <w:autoRedefine/>
    <w:qFormat/>
    <w:uiPriority w:val="0"/>
    <w:pPr>
      <w:spacing w:line="440" w:lineRule="exact"/>
      <w:jc w:val="center"/>
      <w:textAlignment w:val="baseline"/>
    </w:pPr>
    <w:rPr>
      <w:rFonts w:ascii="Calibri" w:hAnsi="Calibri" w:eastAsia="黑体" w:cs="Times New Roman"/>
      <w:kern w:val="2"/>
      <w:sz w:val="24"/>
      <w:szCs w:val="24"/>
      <w:lang w:val="en-US" w:eastAsia="zh-CN" w:bidi="ar-SA"/>
    </w:rPr>
  </w:style>
  <w:style w:type="paragraph" w:customStyle="1" w:styleId="26">
    <w:name w:val="BodyText1I"/>
    <w:autoRedefine/>
    <w:qFormat/>
    <w:uiPriority w:val="0"/>
    <w:pPr>
      <w:spacing w:after="120"/>
      <w:ind w:firstLine="420" w:firstLineChars="100"/>
      <w:jc w:val="both"/>
      <w:textAlignment w:val="baseline"/>
    </w:pPr>
    <w:rPr>
      <w:rFonts w:ascii="Calibri" w:hAnsi="Calibri" w:eastAsia="宋体" w:cs="Times New Roman"/>
      <w:kern w:val="2"/>
      <w:szCs w:val="24"/>
      <w:lang w:val="en-US" w:eastAsia="zh-CN" w:bidi="ar-SA"/>
    </w:rPr>
  </w:style>
  <w:style w:type="paragraph" w:customStyle="1" w:styleId="27">
    <w:name w:val="表内容"/>
    <w:basedOn w:val="1"/>
    <w:next w:val="1"/>
    <w:autoRedefine/>
    <w:qFormat/>
    <w:uiPriority w:val="0"/>
    <w:pPr>
      <w:adjustRightInd/>
      <w:snapToGrid/>
      <w:spacing w:line="240" w:lineRule="atLeast"/>
      <w:ind w:firstLine="0" w:firstLineChars="0"/>
      <w:jc w:val="center"/>
    </w:pPr>
    <w:rPr>
      <w:rFonts w:cs="黑体"/>
      <w:kern w:val="2"/>
      <w:sz w:val="21"/>
    </w:rPr>
  </w:style>
  <w:style w:type="paragraph" w:customStyle="1" w:styleId="28">
    <w:name w:val="表格内文字"/>
    <w:next w:val="1"/>
    <w:autoRedefine/>
    <w:qFormat/>
    <w:uiPriority w:val="0"/>
    <w:pPr>
      <w:adjustRightInd w:val="0"/>
      <w:snapToGrid w:val="0"/>
      <w:jc w:val="center"/>
    </w:pPr>
    <w:rPr>
      <w:rFonts w:ascii="Times New Roman" w:hAnsi="Times New Roman" w:eastAsia="宋体" w:cs="Times New Roman"/>
      <w:sz w:val="21"/>
      <w:szCs w:val="21"/>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213</Words>
  <Characters>1218</Characters>
  <Lines>10</Lines>
  <Paragraphs>2</Paragraphs>
  <TotalTime>2</TotalTime>
  <ScaleCrop>false</ScaleCrop>
  <LinksUpToDate>false</LinksUpToDate>
  <CharactersWithSpaces>1429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2017-03-20T01:07:00Z</dcterms:created>
  <dc:creator>lenovo</dc:creator>
  <cp:lastModifiedBy>arvngva</cp:lastModifiedBy>
  <cp:lastPrinted>2020-03-17T06:55:00Z</cp:lastPrinted>
  <dcterms:modified xsi:type="dcterms:W3CDTF">2024-03-27T02:10:40Z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FEBC3513DB704781B25DB96E7B012B1D_13</vt:lpwstr>
  </property>
</Properties>
</file>