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center"/>
        <w:rPr>
          <w:rFonts w:ascii="Calibri" w:hAnsi="Calibri" w:eastAsia="宋体" w:cs="Arial"/>
          <w:color w:val="auto"/>
          <w:sz w:val="28"/>
          <w:szCs w:val="28"/>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rPr>
      </w:pPr>
      <w:r>
        <w:rPr>
          <w:rFonts w:hint="eastAsia" w:ascii="仿宋_GB2312" w:hAnsi="Calibri" w:eastAsia="仿宋_GB2312" w:cs="Arial"/>
          <w:color w:val="auto"/>
          <w:sz w:val="32"/>
          <w:szCs w:val="32"/>
        </w:rPr>
        <w:t>东环审表</w:t>
      </w:r>
      <w:r>
        <w:rPr>
          <w:rFonts w:hint="eastAsia" w:ascii="仿宋_GB2312" w:hAnsi="黑体" w:eastAsia="仿宋_GB2312" w:cs="Arial"/>
          <w:color w:val="auto"/>
          <w:sz w:val="32"/>
          <w:szCs w:val="32"/>
        </w:rPr>
        <w:t>〔202</w:t>
      </w:r>
      <w:r>
        <w:rPr>
          <w:rFonts w:hint="eastAsia" w:ascii="仿宋_GB2312" w:hAnsi="黑体" w:eastAsia="仿宋_GB2312" w:cs="Arial"/>
          <w:color w:val="auto"/>
          <w:sz w:val="32"/>
          <w:szCs w:val="32"/>
          <w:lang w:val="en-US" w:eastAsia="zh-CN"/>
        </w:rPr>
        <w:t>4</w:t>
      </w:r>
      <w:r>
        <w:rPr>
          <w:rFonts w:hint="eastAsia" w:ascii="仿宋_GB2312" w:hAnsi="黑体" w:eastAsia="仿宋_GB2312" w:cs="Arial"/>
          <w:color w:val="auto"/>
          <w:sz w:val="32"/>
          <w:szCs w:val="32"/>
        </w:rPr>
        <w:t>〕</w:t>
      </w:r>
      <w:r>
        <w:rPr>
          <w:rFonts w:hint="eastAsia" w:ascii="仿宋_GB2312" w:hAnsi="Calibri" w:eastAsia="仿宋_GB2312" w:cs="Arial"/>
          <w:color w:val="auto"/>
          <w:sz w:val="32"/>
          <w:szCs w:val="32"/>
          <w:lang w:val="en-US" w:eastAsia="zh-CN"/>
        </w:rPr>
        <w:t>2</w:t>
      </w:r>
      <w:r>
        <w:rPr>
          <w:rFonts w:hint="eastAsia" w:ascii="仿宋_GB2312" w:hAnsi="Calibri" w:eastAsia="仿宋_GB2312" w:cs="Arial"/>
          <w:color w:val="auto"/>
          <w:sz w:val="32"/>
          <w:szCs w:val="32"/>
        </w:rPr>
        <w:t xml:space="preserve">号   </w:t>
      </w:r>
    </w:p>
    <w:p>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rPr>
      </w:pPr>
      <w:r>
        <w:rPr>
          <w:rFonts w:ascii="Calibri" w:hAnsi="Calibri" w:eastAsia="宋体" w:cs="Arial"/>
          <w:color w:val="auto"/>
          <w:sz w:val="28"/>
          <w:szCs w:val="28"/>
        </w:rPr>
        <w:t xml:space="preserve"> </w:t>
      </w:r>
    </w:p>
    <w:p>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rPr>
      </w:pPr>
      <w:r>
        <w:rPr>
          <w:rFonts w:hint="eastAsia" w:ascii="方正小标宋简体" w:hAnsi="Calibri" w:eastAsia="方正小标宋简体" w:cs="Arial"/>
          <w:color w:val="auto"/>
          <w:sz w:val="44"/>
          <w:szCs w:val="44"/>
        </w:rPr>
        <w:t>锡林郭勒盟生态环境局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Arial"/>
          <w:color w:val="auto"/>
          <w:sz w:val="44"/>
          <w:szCs w:val="44"/>
          <w:lang w:eastAsia="zh-CN"/>
        </w:rPr>
      </w:pPr>
      <w:r>
        <w:rPr>
          <w:rFonts w:hint="eastAsia" w:ascii="方正小标宋简体" w:hAnsi="Calibri" w:eastAsia="方正小标宋简体" w:cs="Arial"/>
          <w:color w:val="auto"/>
          <w:sz w:val="44"/>
          <w:szCs w:val="44"/>
        </w:rPr>
        <w:t>关于</w:t>
      </w:r>
      <w:r>
        <w:rPr>
          <w:rFonts w:hint="eastAsia" w:ascii="方正小标宋简体" w:hAnsi="Calibri" w:eastAsia="方正小标宋简体" w:cs="Arial"/>
          <w:color w:val="auto"/>
          <w:sz w:val="44"/>
          <w:szCs w:val="44"/>
          <w:lang w:eastAsia="zh-CN"/>
        </w:rPr>
        <w:t>锡林郭勒盟东乌珠穆沁旗乌里雅斯太镇污水处理厂尾水人工湿地项目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Arial"/>
          <w:color w:val="auto"/>
          <w:sz w:val="44"/>
          <w:szCs w:val="44"/>
          <w:lang w:val="en-US" w:eastAsia="zh-CN"/>
        </w:rPr>
      </w:pPr>
      <w:r>
        <w:rPr>
          <w:rFonts w:hint="eastAsia" w:ascii="方正小标宋简体" w:hAnsi="Calibri" w:eastAsia="方正小标宋简体" w:cs="Arial"/>
          <w:color w:val="auto"/>
          <w:sz w:val="44"/>
          <w:szCs w:val="44"/>
        </w:rPr>
        <w:t>环境影响报告表的批复</w:t>
      </w:r>
      <w:r>
        <w:rPr>
          <w:rFonts w:hint="eastAsia" w:ascii="方正小标宋简体" w:hAnsi="Calibri" w:eastAsia="方正小标宋简体" w:cs="Arial"/>
          <w:color w:val="auto"/>
          <w:sz w:val="44"/>
          <w:szCs w:val="44"/>
          <w:lang w:val="en-US" w:eastAsia="zh-CN"/>
        </w:rPr>
        <w:t xml:space="preserve"> </w:t>
      </w:r>
    </w:p>
    <w:p>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rPr>
      </w:pPr>
      <w:r>
        <w:rPr>
          <w:rFonts w:hint="eastAsia" w:ascii="仿宋_GB2312" w:hAnsi="Calibri" w:eastAsia="仿宋_GB2312" w:cs="Arial"/>
          <w:color w:val="auto"/>
          <w:sz w:val="36"/>
          <w:szCs w:val="36"/>
        </w:rPr>
        <w:t xml:space="preserve"> </w:t>
      </w: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锡林郭勒盟生态环境局东乌珠穆沁旗分局</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rPr>
        <w:t>你</w:t>
      </w:r>
      <w:r>
        <w:rPr>
          <w:rFonts w:hint="eastAsia"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rPr>
        <w:t>委托</w:t>
      </w:r>
      <w:r>
        <w:rPr>
          <w:rFonts w:hint="eastAsia" w:ascii="仿宋_GB2312" w:hAnsi="仿宋_GB2312" w:eastAsia="仿宋_GB2312" w:cs="仿宋_GB2312"/>
          <w:color w:val="auto"/>
          <w:sz w:val="32"/>
          <w:szCs w:val="32"/>
          <w:lang w:val="en-US" w:eastAsia="zh-CN"/>
        </w:rPr>
        <w:t>内蒙古昀雅项目管理咨询有限公司</w:t>
      </w:r>
      <w:r>
        <w:rPr>
          <w:rFonts w:hint="eastAsia" w:ascii="仿宋_GB2312" w:hAnsi="仿宋_GB2312" w:eastAsia="仿宋_GB2312" w:cs="仿宋_GB2312"/>
          <w:bCs/>
          <w:color w:val="auto"/>
          <w:sz w:val="32"/>
          <w:szCs w:val="32"/>
        </w:rPr>
        <w:t>编制的《</w:t>
      </w:r>
      <w:r>
        <w:rPr>
          <w:rFonts w:hint="eastAsia" w:ascii="仿宋_GB2312" w:hAnsi="仿宋_GB2312" w:eastAsia="仿宋_GB2312" w:cs="仿宋_GB2312"/>
          <w:bCs/>
          <w:color w:val="auto"/>
          <w:sz w:val="32"/>
          <w:szCs w:val="32"/>
          <w:lang w:eastAsia="zh-CN"/>
        </w:rPr>
        <w:t>锡林郭勒盟东乌珠穆沁旗乌里雅斯太镇污水处理厂尾水人工湿地项目</w:t>
      </w:r>
      <w:r>
        <w:rPr>
          <w:rFonts w:hint="eastAsia" w:ascii="仿宋_GB2312" w:hAnsi="仿宋_GB2312" w:eastAsia="仿宋_GB2312" w:cs="仿宋_GB2312"/>
          <w:color w:val="auto"/>
          <w:sz w:val="32"/>
          <w:szCs w:val="32"/>
        </w:rPr>
        <w:t>》环境影响报告表</w:t>
      </w:r>
      <w:r>
        <w:rPr>
          <w:rFonts w:hint="eastAsia" w:ascii="仿宋_GB2312" w:hAnsi="仿宋_GB2312" w:eastAsia="仿宋_GB2312" w:cs="仿宋_GB2312"/>
          <w:color w:val="auto"/>
          <w:sz w:val="32"/>
          <w:szCs w:val="32"/>
          <w:lang w:val="en-US" w:eastAsia="zh-CN"/>
        </w:rPr>
        <w:t>已</w:t>
      </w:r>
      <w:r>
        <w:rPr>
          <w:rFonts w:hint="eastAsia" w:ascii="仿宋_GB2312" w:hAnsi="仿宋_GB2312" w:eastAsia="仿宋_GB2312" w:cs="仿宋_GB2312"/>
          <w:color w:val="auto"/>
          <w:sz w:val="32"/>
          <w:szCs w:val="32"/>
        </w:rPr>
        <w:t>收悉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Arial"/>
          <w:color w:val="auto"/>
          <w:sz w:val="32"/>
          <w:szCs w:val="32"/>
        </w:rPr>
      </w:pPr>
      <w:r>
        <w:rPr>
          <w:rFonts w:hint="eastAsia" w:ascii="黑体" w:hAnsi="黑体" w:eastAsia="黑体" w:cs="Arial"/>
          <w:color w:val="auto"/>
          <w:sz w:val="32"/>
          <w:szCs w:val="32"/>
        </w:rPr>
        <w:t>一、建设项目基本情况</w:t>
      </w:r>
    </w:p>
    <w:p>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本项目位于</w:t>
      </w:r>
      <w:r>
        <w:rPr>
          <w:rFonts w:hint="eastAsia" w:ascii="仿宋_GB2312" w:hAnsi="仿宋_GB2312" w:eastAsia="仿宋_GB2312" w:cs="仿宋_GB2312"/>
          <w:color w:val="auto"/>
          <w:sz w:val="32"/>
          <w:szCs w:val="32"/>
          <w:lang w:eastAsia="zh-CN"/>
        </w:rPr>
        <w:t>内蒙古自治区</w:t>
      </w:r>
      <w:r>
        <w:rPr>
          <w:rFonts w:hint="eastAsia" w:ascii="仿宋_GB2312" w:hAnsi="仿宋_GB2312" w:eastAsia="仿宋_GB2312" w:cs="仿宋_GB2312"/>
          <w:color w:val="auto"/>
          <w:sz w:val="32"/>
          <w:szCs w:val="32"/>
          <w:lang w:val="en-US" w:eastAsia="zh-CN"/>
        </w:rPr>
        <w:t>锡林郭勒盟东乌珠穆沁旗乌里雅斯太镇污水处理厂西南约1公里处</w:t>
      </w:r>
      <w:r>
        <w:rPr>
          <w:rFonts w:hint="eastAsia" w:ascii="仿宋_GB2312" w:hAnsi="仿宋_GB2312" w:eastAsia="仿宋_GB2312" w:cs="仿宋_GB2312"/>
          <w:color w:val="auto"/>
          <w:sz w:val="32"/>
          <w:szCs w:val="32"/>
        </w:rPr>
        <w:t>，地理坐标</w:t>
      </w:r>
      <w:r>
        <w:rPr>
          <w:rFonts w:hint="eastAsia" w:ascii="仿宋_GB2312" w:hAnsi="仿宋_GB2312" w:eastAsia="仿宋_GB2312" w:cs="仿宋_GB2312"/>
          <w:color w:val="auto"/>
          <w:sz w:val="32"/>
          <w:szCs w:val="32"/>
          <w:lang w:val="en-US" w:eastAsia="zh-CN"/>
        </w:rPr>
        <w:t>为东经：116°57′4.9</w:t>
      </w:r>
      <w:bookmarkStart w:id="0" w:name="_GoBack"/>
      <w:bookmarkEnd w:id="0"/>
      <w:r>
        <w:rPr>
          <w:rFonts w:hint="eastAsia" w:ascii="仿宋_GB2312" w:hAnsi="仿宋_GB2312" w:eastAsia="仿宋_GB2312" w:cs="仿宋_GB2312"/>
          <w:color w:val="auto"/>
          <w:sz w:val="32"/>
          <w:szCs w:val="32"/>
          <w:lang w:val="en-US" w:eastAsia="zh-CN"/>
        </w:rPr>
        <w:t>9355″，北纬：45°28′58.28953″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属于</w:t>
      </w:r>
      <w:r>
        <w:rPr>
          <w:rFonts w:hint="eastAsia" w:ascii="仿宋_GB2312" w:hAnsi="仿宋_GB2312" w:eastAsia="仿宋_GB2312" w:cs="仿宋_GB2312"/>
          <w:color w:val="auto"/>
          <w:sz w:val="32"/>
          <w:szCs w:val="32"/>
          <w:lang w:val="en-US" w:eastAsia="zh-CN"/>
        </w:rPr>
        <w:t>新建</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总占地</w:t>
      </w:r>
      <w:r>
        <w:rPr>
          <w:rFonts w:hint="eastAsia" w:ascii="仿宋_GB2312" w:hAnsi="仿宋_GB2312" w:eastAsia="仿宋_GB2312" w:cs="仿宋_GB2312"/>
          <w:color w:val="auto"/>
          <w:sz w:val="32"/>
          <w:szCs w:val="32"/>
          <w:lang w:val="en-US" w:eastAsia="zh-CN"/>
        </w:rPr>
        <w:t>面积为0.35k</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val="en-US" w:eastAsia="zh-CN"/>
        </w:rPr>
        <w:t>。主体工程为调蓄塘（面积8500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val="en-US" w:eastAsia="zh-CN"/>
        </w:rPr>
        <w:t>，最大水深5.0m）、水平潜流湿地（面积为9600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val="en-US" w:eastAsia="zh-CN"/>
        </w:rPr>
        <w:t>）、表面流湿地和水生植物塘（面积取53900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val="en-US" w:eastAsia="zh-CN"/>
        </w:rPr>
        <w:t>）；配套工程为一体化泵站、进水管道（长度435m）、</w:t>
      </w:r>
      <w:r>
        <w:rPr>
          <w:rFonts w:hint="default" w:ascii="仿宋_GB2312" w:hAnsi="仿宋_GB2312" w:eastAsia="仿宋_GB2312" w:cs="仿宋_GB2312"/>
          <w:color w:val="auto"/>
          <w:sz w:val="32"/>
          <w:szCs w:val="32"/>
          <w:lang w:val="en-US" w:eastAsia="zh-CN"/>
        </w:rPr>
        <w:t>出水管道</w:t>
      </w:r>
      <w:r>
        <w:rPr>
          <w:rFonts w:hint="eastAsia" w:ascii="仿宋_GB2312" w:hAnsi="仿宋_GB2312" w:eastAsia="仿宋_GB2312" w:cs="仿宋_GB2312"/>
          <w:color w:val="auto"/>
          <w:sz w:val="32"/>
          <w:szCs w:val="32"/>
          <w:lang w:val="en-US" w:eastAsia="zh-CN"/>
        </w:rPr>
        <w:t>（长度1150m）、防渗设计；</w:t>
      </w:r>
      <w:r>
        <w:rPr>
          <w:rFonts w:hint="default" w:ascii="仿宋_GB2312" w:hAnsi="仿宋_GB2312" w:eastAsia="仿宋_GB2312" w:cs="仿宋_GB2312"/>
          <w:color w:val="auto"/>
          <w:sz w:val="32"/>
          <w:szCs w:val="32"/>
          <w:lang w:val="en-US" w:eastAsia="zh-CN"/>
        </w:rPr>
        <w:t>公用</w:t>
      </w:r>
      <w:r>
        <w:rPr>
          <w:rFonts w:hint="eastAsia" w:ascii="仿宋_GB2312" w:hAnsi="仿宋_GB2312" w:eastAsia="仿宋_GB2312" w:cs="仿宋_GB2312"/>
          <w:color w:val="auto"/>
          <w:sz w:val="32"/>
          <w:szCs w:val="32"/>
          <w:lang w:val="en-US" w:eastAsia="zh-CN"/>
        </w:rPr>
        <w:t>工程为供水系统、供电系统。</w:t>
      </w:r>
    </w:p>
    <w:p>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总投资</w:t>
      </w:r>
      <w:r>
        <w:rPr>
          <w:rFonts w:hint="eastAsia" w:ascii="仿宋_GB2312" w:hAnsi="仿宋_GB2312" w:eastAsia="仿宋_GB2312" w:cs="仿宋_GB2312"/>
          <w:bCs/>
          <w:color w:val="auto"/>
          <w:sz w:val="32"/>
          <w:szCs w:val="32"/>
          <w:lang w:val="en-US" w:eastAsia="zh-CN"/>
        </w:rPr>
        <w:t>4580.8</w:t>
      </w:r>
      <w:r>
        <w:rPr>
          <w:rFonts w:hint="eastAsia" w:ascii="仿宋_GB2312" w:hAnsi="仿宋_GB2312" w:eastAsia="仿宋_GB2312" w:cs="仿宋_GB2312"/>
          <w:bCs/>
          <w:color w:val="auto"/>
          <w:sz w:val="32"/>
          <w:szCs w:val="32"/>
        </w:rPr>
        <w:t>万元，环保投资</w:t>
      </w:r>
      <w:r>
        <w:rPr>
          <w:rFonts w:hint="eastAsia" w:ascii="仿宋_GB2312" w:hAnsi="仿宋_GB2312" w:eastAsia="仿宋_GB2312" w:cs="仿宋_GB2312"/>
          <w:color w:val="auto"/>
          <w:sz w:val="32"/>
          <w:szCs w:val="32"/>
          <w:lang w:val="en-US" w:eastAsia="zh-CN"/>
        </w:rPr>
        <w:t>213.5</w:t>
      </w:r>
      <w:r>
        <w:rPr>
          <w:rFonts w:hint="eastAsia" w:ascii="仿宋_GB2312" w:hAnsi="仿宋_GB2312" w:eastAsia="仿宋_GB2312" w:cs="仿宋_GB2312"/>
          <w:bCs/>
          <w:color w:val="auto"/>
          <w:sz w:val="32"/>
          <w:szCs w:val="32"/>
        </w:rPr>
        <w:t>万元。占总投资的</w:t>
      </w:r>
      <w:r>
        <w:rPr>
          <w:rFonts w:hint="eastAsia" w:ascii="仿宋_GB2312" w:hAnsi="仿宋_GB2312" w:eastAsia="仿宋_GB2312" w:cs="仿宋_GB2312"/>
          <w:color w:val="auto"/>
          <w:sz w:val="32"/>
          <w:szCs w:val="32"/>
          <w:lang w:val="en-US" w:eastAsia="zh-CN"/>
        </w:rPr>
        <w:t>4.66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鼓励类项目</w:t>
      </w:r>
      <w:r>
        <w:rPr>
          <w:rFonts w:hint="eastAsia" w:ascii="仿宋_GB2312" w:hAnsi="仿宋_GB2312" w:eastAsia="仿宋_GB2312" w:cs="仿宋_GB2312"/>
          <w:color w:val="auto"/>
          <w:sz w:val="32"/>
          <w:szCs w:val="32"/>
          <w:highlight w:val="none"/>
          <w:lang w:val="en-GB" w:eastAsia="zh-CN"/>
        </w:rPr>
        <w:t>，</w:t>
      </w:r>
      <w:r>
        <w:rPr>
          <w:rFonts w:hint="eastAsia" w:ascii="仿宋_GB2312" w:hAnsi="仿宋_GB2312" w:eastAsia="仿宋_GB2312" w:cs="仿宋_GB2312"/>
          <w:color w:val="auto"/>
          <w:sz w:val="32"/>
          <w:szCs w:val="32"/>
          <w:highlight w:val="none"/>
          <w:lang w:val="en-US" w:eastAsia="zh-CN"/>
        </w:rPr>
        <w:t>已取得批复的立项文件</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lang w:val="en-US" w:eastAsia="zh-CN"/>
        </w:rPr>
        <w:t>我盟“三线一单”管控要求。</w:t>
      </w:r>
    </w:p>
    <w:p>
      <w:pPr>
        <w:pStyle w:val="16"/>
        <w:keepNext w:val="0"/>
        <w:keepLines w:val="0"/>
        <w:pageBreakBefore w:val="0"/>
        <w:widowControl w:val="0"/>
        <w:kinsoku/>
        <w:wordWrap/>
        <w:overflowPunct/>
        <w:topLinePunct w:val="0"/>
        <w:autoSpaceDE/>
        <w:autoSpaceDN/>
        <w:bidi w:val="0"/>
        <w:adjustRightInd/>
        <w:snapToGrid w:val="0"/>
        <w:spacing w:line="560" w:lineRule="exact"/>
        <w:ind w:firstLine="480" w:firstLineChars="1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在全面落实《</w:t>
      </w:r>
      <w:r>
        <w:rPr>
          <w:rFonts w:hint="eastAsia" w:ascii="仿宋_GB2312" w:hAnsi="仿宋_GB2312" w:eastAsia="仿宋_GB2312" w:cs="仿宋_GB2312"/>
          <w:b w:val="0"/>
          <w:bCs/>
          <w:color w:val="auto"/>
          <w:sz w:val="32"/>
          <w:szCs w:val="32"/>
          <w:u w:val="none"/>
          <w:lang w:val="en-US" w:eastAsia="zh-CN"/>
        </w:rPr>
        <w:t>报告表</w:t>
      </w:r>
      <w:r>
        <w:rPr>
          <w:rFonts w:hint="eastAsia" w:ascii="仿宋_GB2312" w:hAnsi="仿宋_GB2312" w:eastAsia="仿宋_GB2312" w:cs="仿宋_GB2312"/>
          <w:color w:val="auto"/>
          <w:sz w:val="32"/>
          <w:szCs w:val="32"/>
          <w:lang w:val="en-US" w:eastAsia="zh-CN"/>
        </w:rPr>
        <w:t>》中提出的各项污染防治措施后，可使环境污染和生态破坏控制在允许范围内，从生态环境保护的角度分析，该项目建设可行。</w:t>
      </w:r>
    </w:p>
    <w:p>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lang w:eastAsia="zh-CN"/>
        </w:rPr>
      </w:pPr>
      <w:r>
        <w:rPr>
          <w:rFonts w:hint="eastAsia" w:ascii="黑体" w:hAnsi="黑体" w:eastAsia="黑体" w:cs="Arial"/>
          <w:color w:val="auto"/>
          <w:sz w:val="32"/>
          <w:szCs w:val="32"/>
        </w:rPr>
        <w:t>二、项目建设及运营</w:t>
      </w:r>
      <w:r>
        <w:rPr>
          <w:rFonts w:hint="eastAsia" w:ascii="黑体" w:hAnsi="黑体" w:eastAsia="黑体" w:cs="Arial"/>
          <w:color w:val="auto"/>
          <w:sz w:val="32"/>
          <w:szCs w:val="32"/>
          <w:highlight w:val="none"/>
          <w:lang w:val="en-US" w:eastAsia="zh-CN"/>
        </w:rPr>
        <w:t>过程中的相关职责</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rPr>
      </w:pPr>
      <w:r>
        <w:rPr>
          <w:rFonts w:hint="eastAsia" w:ascii="楷体_GB2312" w:hAnsi="Calibri" w:eastAsia="楷体_GB2312" w:cs="Arial"/>
          <w:b/>
          <w:bCs/>
          <w:color w:val="auto"/>
          <w:sz w:val="32"/>
          <w:szCs w:val="32"/>
        </w:rPr>
        <w:t>（一）废气方面。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shd w:val="clear" w:color="auto" w:fill="FFFFFF"/>
          <w:lang w:val="en-US" w:eastAsia="zh-CN"/>
        </w:rPr>
        <w:t>施工期现场进行封闭式管理，采取建筑材料密闭存放、运输车辆限制车速、遇到大风天气禁止施工作业等措施，抑制扬尘对环境的污染。施工期大气污染物排放执行《大气污染物综合排放标准》（GB16297-1996）中无组织排放监控浓度限值；</w:t>
      </w:r>
      <w:r>
        <w:rPr>
          <w:rFonts w:hint="eastAsia" w:ascii="仿宋_GB2312" w:eastAsia="仿宋_GB2312"/>
          <w:color w:val="auto"/>
          <w:sz w:val="32"/>
          <w:szCs w:val="32"/>
          <w:highlight w:val="none"/>
          <w:shd w:val="clear" w:color="auto" w:fill="FFFFFF"/>
          <w:lang w:val="en-US" w:eastAsia="zh-CN"/>
        </w:rPr>
        <w:t>营运期加强人工湿地的日常维护和管理，最大程度地减少恶臭气体的产生和排放。</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rPr>
      </w:pPr>
      <w:r>
        <w:rPr>
          <w:rFonts w:hint="eastAsia" w:ascii="楷体_GB2312" w:hAnsi="Calibri" w:eastAsia="楷体_GB2312" w:cs="Arial"/>
          <w:b/>
          <w:bCs/>
          <w:color w:val="auto"/>
          <w:sz w:val="32"/>
          <w:szCs w:val="32"/>
        </w:rPr>
        <w:t>（二）废水方面。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default" w:ascii="仿宋_GB2312" w:hAnsi="Calibri" w:eastAsia="仿宋_GB2312" w:cs="Arial"/>
          <w:color w:val="auto"/>
          <w:sz w:val="32"/>
          <w:szCs w:val="32"/>
          <w:highlight w:val="none"/>
          <w:lang w:val="en-US"/>
        </w:rPr>
      </w:pPr>
      <w:r>
        <w:rPr>
          <w:rFonts w:hint="eastAsia" w:ascii="仿宋_GB2312" w:hAnsi="Calibri" w:eastAsia="仿宋_GB2312" w:cs="Arial"/>
          <w:color w:val="auto"/>
          <w:sz w:val="32"/>
          <w:szCs w:val="32"/>
          <w:highlight w:val="none"/>
          <w:lang w:val="en-US" w:eastAsia="zh-CN"/>
        </w:rPr>
        <w:t>建设期施工废水经临时沉淀池处理后回用于设备清洗和道路降尘，不得外排</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rPr>
        <w:t>生活污水经收集后进行处理，严禁向外环境排放</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并执行《污水综合排放标准》（GB8978-1996）三级标准限值。</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default" w:ascii="仿宋_GB2312" w:hAnsi="Calibri" w:eastAsia="仿宋_GB2312" w:cs="Arial"/>
          <w:color w:val="auto"/>
          <w:sz w:val="32"/>
          <w:szCs w:val="32"/>
          <w:lang w:val="en-US" w:eastAsia="zh-CN"/>
        </w:rPr>
      </w:pPr>
      <w:r>
        <w:rPr>
          <w:rFonts w:hint="eastAsia" w:ascii="仿宋_GB2312" w:hAnsi="Calibri" w:eastAsia="仿宋_GB2312" w:cs="Arial"/>
          <w:color w:val="auto"/>
          <w:sz w:val="32"/>
          <w:szCs w:val="32"/>
          <w:lang w:val="en-US" w:eastAsia="zh-CN"/>
        </w:rPr>
        <w:t>建设期施工现场搭建隔声屏障，加强</w:t>
      </w:r>
      <w:r>
        <w:rPr>
          <w:rFonts w:hint="eastAsia" w:ascii="仿宋_GB2312" w:hAnsi="Calibri" w:eastAsia="仿宋_GB2312" w:cs="Arial"/>
          <w:color w:val="auto"/>
          <w:sz w:val="32"/>
          <w:szCs w:val="32"/>
        </w:rPr>
        <w:t>运输车辆</w:t>
      </w:r>
      <w:r>
        <w:rPr>
          <w:rFonts w:hint="eastAsia" w:ascii="仿宋_GB2312" w:hAnsi="Calibri" w:eastAsia="仿宋_GB2312" w:cs="Arial"/>
          <w:color w:val="auto"/>
          <w:sz w:val="32"/>
          <w:szCs w:val="32"/>
          <w:lang w:val="en-US" w:eastAsia="zh-CN"/>
        </w:rPr>
        <w:t>管理，采取减速慢行</w:t>
      </w:r>
      <w:r>
        <w:rPr>
          <w:rFonts w:hint="eastAsia" w:ascii="仿宋_GB2312" w:hAnsi="Calibri" w:eastAsia="仿宋_GB2312" w:cs="Arial"/>
          <w:color w:val="auto"/>
          <w:sz w:val="32"/>
          <w:szCs w:val="32"/>
        </w:rPr>
        <w:t>、禁止鸣笛等措施</w:t>
      </w:r>
      <w:r>
        <w:rPr>
          <w:rFonts w:hint="eastAsia" w:ascii="仿宋_GB2312" w:hAnsi="Calibri" w:eastAsia="仿宋_GB2312" w:cs="Arial"/>
          <w:color w:val="auto"/>
          <w:sz w:val="32"/>
          <w:szCs w:val="32"/>
          <w:lang w:eastAsia="zh-CN"/>
        </w:rPr>
        <w:t>；</w:t>
      </w:r>
      <w:r>
        <w:rPr>
          <w:rFonts w:hint="eastAsia" w:ascii="仿宋_GB2312" w:hAnsi="Calibri" w:eastAsia="仿宋_GB2312" w:cs="Arial"/>
          <w:color w:val="auto"/>
          <w:sz w:val="32"/>
          <w:szCs w:val="32"/>
          <w:lang w:val="en-US" w:eastAsia="zh-CN"/>
        </w:rPr>
        <w:t>营运期</w:t>
      </w:r>
      <w:r>
        <w:rPr>
          <w:rFonts w:hint="eastAsia" w:ascii="仿宋_GB2312" w:hAnsi="Calibri" w:eastAsia="仿宋_GB2312" w:cs="Arial"/>
          <w:color w:val="auto"/>
          <w:sz w:val="32"/>
          <w:szCs w:val="32"/>
        </w:rPr>
        <w:t>采取减振、降噪</w:t>
      </w:r>
      <w:r>
        <w:rPr>
          <w:rFonts w:hint="eastAsia" w:ascii="仿宋_GB2312" w:hAnsi="Calibri" w:eastAsia="仿宋_GB2312" w:cs="Arial"/>
          <w:color w:val="auto"/>
          <w:sz w:val="32"/>
          <w:szCs w:val="32"/>
          <w:lang w:val="en-US" w:eastAsia="zh-CN"/>
        </w:rPr>
        <w:t>等先进技术</w:t>
      </w:r>
      <w:r>
        <w:rPr>
          <w:rFonts w:hint="eastAsia" w:ascii="仿宋_GB2312" w:hAnsi="Calibri" w:eastAsia="仿宋_GB2312" w:cs="Arial"/>
          <w:color w:val="auto"/>
          <w:sz w:val="32"/>
          <w:szCs w:val="32"/>
        </w:rPr>
        <w:t>措施，</w:t>
      </w:r>
      <w:r>
        <w:rPr>
          <w:rFonts w:hint="eastAsia" w:ascii="仿宋_GB2312" w:hAnsi="Calibri" w:eastAsia="仿宋_GB2312" w:cs="Arial"/>
          <w:color w:val="auto"/>
          <w:sz w:val="32"/>
          <w:szCs w:val="32"/>
          <w:lang w:val="en-US" w:eastAsia="zh-CN"/>
        </w:rPr>
        <w:t>降低噪声污染。确保施工期、营运期噪声达到《建筑施工场界环境噪声排放标准》（GB12523-2011）排放限值及《工业企业厂界环境噪声排放标准》（GB12348-2008）1类标准。</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rPr>
      </w:pPr>
      <w:r>
        <w:rPr>
          <w:rFonts w:hint="eastAsia" w:ascii="楷体_GB2312" w:hAnsi="Calibri" w:eastAsia="楷体_GB2312" w:cs="Arial"/>
          <w:b/>
          <w:bCs/>
          <w:color w:val="auto"/>
          <w:sz w:val="32"/>
          <w:szCs w:val="32"/>
        </w:rPr>
        <w:t>（四）固废方面。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default" w:ascii="仿宋_GB2312" w:eastAsia="仿宋_GB2312" w:cs="Arial"/>
          <w:color w:val="auto"/>
          <w:sz w:val="32"/>
          <w:szCs w:val="32"/>
          <w:highlight w:val="none"/>
          <w:lang w:val="en-US" w:eastAsia="zh-CN"/>
        </w:rPr>
      </w:pPr>
      <w:r>
        <w:rPr>
          <w:rFonts w:hint="eastAsia" w:ascii="仿宋_GB2312" w:hAnsi="Calibri" w:eastAsia="仿宋_GB2312" w:cs="Arial"/>
          <w:color w:val="auto"/>
          <w:sz w:val="32"/>
          <w:szCs w:val="32"/>
          <w:lang w:val="en-US" w:eastAsia="zh-CN"/>
        </w:rPr>
        <w:t>建设期</w:t>
      </w:r>
      <w:r>
        <w:rPr>
          <w:rFonts w:hint="eastAsia" w:ascii="仿宋_GB2312" w:hAnsi="Calibri" w:eastAsia="仿宋_GB2312" w:cs="Arial"/>
          <w:color w:val="auto"/>
          <w:sz w:val="32"/>
          <w:szCs w:val="32"/>
        </w:rPr>
        <w:t>产生的弃土、弃料</w:t>
      </w:r>
      <w:r>
        <w:rPr>
          <w:rFonts w:hint="eastAsia" w:ascii="仿宋_GB2312" w:hAnsi="Calibri" w:eastAsia="仿宋_GB2312" w:cs="Arial"/>
          <w:color w:val="auto"/>
          <w:sz w:val="32"/>
          <w:szCs w:val="32"/>
          <w:lang w:val="en-US" w:eastAsia="zh-CN"/>
        </w:rPr>
        <w:t>等随产随清</w:t>
      </w:r>
      <w:r>
        <w:rPr>
          <w:rFonts w:hint="eastAsia" w:ascii="仿宋_GB2312" w:hAnsi="Calibri" w:eastAsia="仿宋_GB2312" w:cs="Arial"/>
          <w:color w:val="auto"/>
          <w:sz w:val="32"/>
          <w:szCs w:val="32"/>
        </w:rPr>
        <w:t>，</w:t>
      </w:r>
      <w:r>
        <w:rPr>
          <w:rFonts w:hint="eastAsia" w:ascii="仿宋_GB2312" w:hAnsi="Calibri" w:eastAsia="仿宋_GB2312" w:cs="Arial"/>
          <w:color w:val="auto"/>
          <w:sz w:val="32"/>
          <w:szCs w:val="32"/>
          <w:lang w:val="en-US" w:eastAsia="zh-CN"/>
        </w:rPr>
        <w:t>及时回收综合利用或</w:t>
      </w:r>
      <w:r>
        <w:rPr>
          <w:rFonts w:hint="eastAsia" w:ascii="仿宋_GB2312" w:hAnsi="Calibri" w:eastAsia="仿宋_GB2312" w:cs="Arial"/>
          <w:color w:val="auto"/>
          <w:sz w:val="32"/>
          <w:szCs w:val="32"/>
        </w:rPr>
        <w:t>清运出场并运至</w:t>
      </w:r>
      <w:r>
        <w:rPr>
          <w:rFonts w:hint="eastAsia" w:ascii="仿宋_GB2312" w:eastAsia="仿宋_GB2312" w:cs="Arial"/>
          <w:color w:val="auto"/>
          <w:sz w:val="32"/>
          <w:szCs w:val="32"/>
          <w:lang w:val="en-US" w:eastAsia="zh-CN"/>
        </w:rPr>
        <w:t>我旗规范处置场所；</w:t>
      </w:r>
      <w:r>
        <w:rPr>
          <w:rFonts w:hint="eastAsia" w:ascii="仿宋_GB2312" w:eastAsia="仿宋_GB2312" w:cs="Arial"/>
          <w:color w:val="auto"/>
          <w:sz w:val="32"/>
          <w:szCs w:val="32"/>
          <w:highlight w:val="none"/>
          <w:lang w:val="en-US" w:eastAsia="zh-CN"/>
        </w:rPr>
        <w:t>营运期产生的收割植物、清除的杂草等收集后，作为饲料外售处理，生活垃圾由环卫部门定期清理。</w:t>
      </w:r>
    </w:p>
    <w:p>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rPr>
      </w:pPr>
      <w:r>
        <w:rPr>
          <w:rFonts w:hint="eastAsia" w:ascii="黑体" w:hAnsi="黑体" w:eastAsia="黑体" w:cs="Arial"/>
          <w:color w:val="auto"/>
          <w:sz w:val="32"/>
          <w:szCs w:val="32"/>
        </w:rPr>
        <w:t>执行“三同时”制度</w:t>
      </w:r>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本项目建设必须严格执行生态环境保护设施与主体工程同时设计、同时施工、同时投产使用的生态环境保护“三同时”制度。</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（一）要将生态环境保护措施纳入初步设计报告并落实环保设施投资概算。</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（二）要将生态环境保护设施建设纳入施工合同，保证生态环境保护设施建设进度和资金。</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（三）项目竣工后须按规定程序实施竣工环境保护验收，验收合格后方可正式投运。</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rPr>
      </w:pPr>
      <w:r>
        <w:rPr>
          <w:rFonts w:hint="eastAsia" w:ascii="黑体" w:hAnsi="黑体" w:eastAsia="黑体" w:cs="Arial"/>
          <w:color w:val="auto"/>
          <w:sz w:val="32"/>
          <w:szCs w:val="32"/>
        </w:rPr>
        <w:t>四、其他要求</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东乌珠穆沁旗生态环境综合行政执法大队对该项目建设期间及运行期间各项生态环境保护措施落实情况进行监督检查和管理。</w:t>
      </w:r>
    </w:p>
    <w:p>
      <w:pPr>
        <w:keepNext w:val="0"/>
        <w:keepLines w:val="0"/>
        <w:pageBreakBefore w:val="0"/>
        <w:widowControl w:val="0"/>
        <w:kinsoku/>
        <w:wordWrap/>
        <w:overflowPunct/>
        <w:topLinePunct w:val="0"/>
        <w:autoSpaceDE w:val="0"/>
        <w:autoSpaceDN w:val="0"/>
        <w:bidi w:val="0"/>
        <w:adjustRightInd w:val="0"/>
        <w:spacing w:line="560" w:lineRule="exact"/>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锡林郭勒盟生态环境局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lang w:eastAsia="zh-CN"/>
        </w:rPr>
      </w:pPr>
      <w:r>
        <w:rPr>
          <w:rFonts w:hint="eastAsia" w:ascii="仿宋_GB2312" w:hAnsi="Calibri" w:eastAsia="仿宋_GB2312" w:cs="Arial"/>
          <w:color w:val="auto"/>
          <w:sz w:val="32"/>
          <w:szCs w:val="32"/>
        </w:rPr>
        <w:t xml:space="preserve">                  </w:t>
      </w:r>
      <w:r>
        <w:rPr>
          <w:rFonts w:hint="eastAsia" w:ascii="仿宋_GB2312" w:hAnsi="Calibri" w:eastAsia="仿宋_GB2312" w:cs="Arial"/>
          <w:color w:val="auto"/>
          <w:sz w:val="32"/>
          <w:szCs w:val="32"/>
          <w:lang w:eastAsia="zh-CN"/>
        </w:rPr>
        <w:t>202</w:t>
      </w:r>
      <w:r>
        <w:rPr>
          <w:rFonts w:hint="eastAsia" w:ascii="仿宋_GB2312" w:hAnsi="Calibri" w:eastAsia="仿宋_GB2312" w:cs="Arial"/>
          <w:color w:val="auto"/>
          <w:sz w:val="32"/>
          <w:szCs w:val="32"/>
          <w:lang w:val="en-US" w:eastAsia="zh-CN"/>
        </w:rPr>
        <w:t>4</w:t>
      </w:r>
      <w:r>
        <w:rPr>
          <w:rFonts w:hint="eastAsia" w:ascii="仿宋_GB2312" w:hAnsi="Calibri" w:eastAsia="仿宋_GB2312" w:cs="Arial"/>
          <w:color w:val="auto"/>
          <w:sz w:val="32"/>
          <w:szCs w:val="32"/>
          <w:lang w:eastAsia="zh-CN"/>
        </w:rPr>
        <w:t>年</w:t>
      </w:r>
      <w:r>
        <w:rPr>
          <w:rFonts w:hint="eastAsia" w:ascii="仿宋_GB2312" w:hAnsi="Calibri" w:eastAsia="仿宋_GB2312" w:cs="Arial"/>
          <w:color w:val="auto"/>
          <w:sz w:val="32"/>
          <w:szCs w:val="32"/>
          <w:lang w:val="en-US" w:eastAsia="zh-CN"/>
        </w:rPr>
        <w:t>4</w:t>
      </w:r>
      <w:r>
        <w:rPr>
          <w:rFonts w:hint="eastAsia" w:ascii="仿宋_GB2312" w:hAnsi="Calibri" w:eastAsia="仿宋_GB2312" w:cs="Arial"/>
          <w:color w:val="auto"/>
          <w:sz w:val="32"/>
          <w:szCs w:val="32"/>
          <w:lang w:eastAsia="zh-CN"/>
        </w:rPr>
        <w:t>月</w:t>
      </w:r>
      <w:r>
        <w:rPr>
          <w:rFonts w:hint="eastAsia" w:ascii="仿宋_GB2312" w:hAnsi="Calibri" w:eastAsia="仿宋_GB2312" w:cs="Arial"/>
          <w:color w:val="auto"/>
          <w:sz w:val="32"/>
          <w:szCs w:val="32"/>
          <w:lang w:val="en-US" w:eastAsia="zh-CN"/>
        </w:rPr>
        <w:t>24</w:t>
      </w:r>
      <w:r>
        <w:rPr>
          <w:rFonts w:hint="eastAsia" w:ascii="仿宋_GB2312" w:hAnsi="Calibri" w:eastAsia="仿宋_GB2312" w:cs="Arial"/>
          <w:color w:val="auto"/>
          <w:sz w:val="32"/>
          <w:szCs w:val="32"/>
          <w:lang w:eastAsia="zh-CN"/>
        </w:rPr>
        <w:t>日</w:t>
      </w:r>
    </w:p>
    <w:p>
      <w:pPr>
        <w:pStyle w:val="14"/>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pStyle w:val="14"/>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lang w:val="en-US" w:eastAsia="zh-CN" w:bidi="ar-SA"/>
        </w:rPr>
        <w:t>抄送：盟生态环境综合行政执法支队       盟生态环境局东乌珠穆沁旗分局</w:t>
      </w:r>
    </w:p>
    <w:p>
      <w:pPr>
        <w:pStyle w:val="16"/>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rPr>
      </w:pPr>
      <w:r>
        <w:rPr>
          <w:rFonts w:hint="eastAsia" w:ascii="仿宋_GB2312" w:hAnsi="仿宋_GB2312" w:eastAsia="仿宋_GB2312" w:cs="仿宋_GB2312"/>
          <w:color w:val="auto"/>
          <w:kern w:val="2"/>
          <w:sz w:val="28"/>
          <w:szCs w:val="28"/>
          <w:lang w:val="en-US" w:eastAsia="zh-CN" w:bidi="ar-SA"/>
        </w:rPr>
        <w:t>锡林郭勒盟生态环境局办公室             2024年4月24日印发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A5C"/>
    <w:multiLevelType w:val="singleLevel"/>
    <w:tmpl w:val="D61B7A5C"/>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3B018EB6"/>
    <w:multiLevelType w:val="singleLevel"/>
    <w:tmpl w:val="3B018EB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zFkMjhiMGE4NWZhYWJjZTAzNzdkNzQ2ZmI3MTYifQ=="/>
  </w:docVars>
  <w:rsids>
    <w:rsidRoot w:val="008C043C"/>
    <w:rsid w:val="0038300B"/>
    <w:rsid w:val="005F7B71"/>
    <w:rsid w:val="007658FF"/>
    <w:rsid w:val="00820D53"/>
    <w:rsid w:val="008C043C"/>
    <w:rsid w:val="009844B6"/>
    <w:rsid w:val="009F66BD"/>
    <w:rsid w:val="00FE4844"/>
    <w:rsid w:val="02AE1145"/>
    <w:rsid w:val="036D0E8E"/>
    <w:rsid w:val="05421D3D"/>
    <w:rsid w:val="060A4E4B"/>
    <w:rsid w:val="061D0ABC"/>
    <w:rsid w:val="069F3BC7"/>
    <w:rsid w:val="07D4164E"/>
    <w:rsid w:val="08EE4992"/>
    <w:rsid w:val="099F7A3A"/>
    <w:rsid w:val="09DE0562"/>
    <w:rsid w:val="0A430D0D"/>
    <w:rsid w:val="0AA93DF5"/>
    <w:rsid w:val="0B627C36"/>
    <w:rsid w:val="0B85160C"/>
    <w:rsid w:val="0D006C17"/>
    <w:rsid w:val="0D84493F"/>
    <w:rsid w:val="0E3B20E1"/>
    <w:rsid w:val="0E4A266A"/>
    <w:rsid w:val="0E686F94"/>
    <w:rsid w:val="10093E5F"/>
    <w:rsid w:val="10A81CF0"/>
    <w:rsid w:val="152817C5"/>
    <w:rsid w:val="155B515D"/>
    <w:rsid w:val="15A72150"/>
    <w:rsid w:val="16B56AEF"/>
    <w:rsid w:val="17677AB2"/>
    <w:rsid w:val="17B10865"/>
    <w:rsid w:val="19120228"/>
    <w:rsid w:val="1CB824AC"/>
    <w:rsid w:val="1D4A4435"/>
    <w:rsid w:val="1E1836BE"/>
    <w:rsid w:val="1FE033A1"/>
    <w:rsid w:val="20315438"/>
    <w:rsid w:val="208A0FEC"/>
    <w:rsid w:val="214A0C4E"/>
    <w:rsid w:val="216A09F5"/>
    <w:rsid w:val="21A34113"/>
    <w:rsid w:val="22E20377"/>
    <w:rsid w:val="235A4CA6"/>
    <w:rsid w:val="25E116AE"/>
    <w:rsid w:val="27DA63B5"/>
    <w:rsid w:val="280E2503"/>
    <w:rsid w:val="28137B19"/>
    <w:rsid w:val="285447DB"/>
    <w:rsid w:val="28DA4193"/>
    <w:rsid w:val="292875F4"/>
    <w:rsid w:val="29AC18CA"/>
    <w:rsid w:val="29FB0865"/>
    <w:rsid w:val="29FD638B"/>
    <w:rsid w:val="2A1262DA"/>
    <w:rsid w:val="2A59718E"/>
    <w:rsid w:val="2AC46EA9"/>
    <w:rsid w:val="2D3A5D8D"/>
    <w:rsid w:val="2D6B5B59"/>
    <w:rsid w:val="2E5461D3"/>
    <w:rsid w:val="2E7674A3"/>
    <w:rsid w:val="2F0957D2"/>
    <w:rsid w:val="31495728"/>
    <w:rsid w:val="31540F86"/>
    <w:rsid w:val="31A145D7"/>
    <w:rsid w:val="34474DD2"/>
    <w:rsid w:val="35562C74"/>
    <w:rsid w:val="37B704C1"/>
    <w:rsid w:val="37C36E66"/>
    <w:rsid w:val="383C2774"/>
    <w:rsid w:val="3929719C"/>
    <w:rsid w:val="394713D0"/>
    <w:rsid w:val="3BAE4730"/>
    <w:rsid w:val="3BC82C9D"/>
    <w:rsid w:val="3C1C362D"/>
    <w:rsid w:val="3D6407A3"/>
    <w:rsid w:val="3E537961"/>
    <w:rsid w:val="3FC217B1"/>
    <w:rsid w:val="3FC76DC7"/>
    <w:rsid w:val="40B045AD"/>
    <w:rsid w:val="421A2BDB"/>
    <w:rsid w:val="42EC2E6D"/>
    <w:rsid w:val="444A6219"/>
    <w:rsid w:val="45012D7B"/>
    <w:rsid w:val="469E0729"/>
    <w:rsid w:val="48C94277"/>
    <w:rsid w:val="49331971"/>
    <w:rsid w:val="4A832DD5"/>
    <w:rsid w:val="4B49547C"/>
    <w:rsid w:val="4CBB4158"/>
    <w:rsid w:val="4E1F24C4"/>
    <w:rsid w:val="4E651FE8"/>
    <w:rsid w:val="4E762ABE"/>
    <w:rsid w:val="50DB0924"/>
    <w:rsid w:val="56612F25"/>
    <w:rsid w:val="57C9597B"/>
    <w:rsid w:val="580735BC"/>
    <w:rsid w:val="580746F5"/>
    <w:rsid w:val="595C281E"/>
    <w:rsid w:val="5988716F"/>
    <w:rsid w:val="59C748A7"/>
    <w:rsid w:val="59E720E8"/>
    <w:rsid w:val="5A706581"/>
    <w:rsid w:val="5BBD0173"/>
    <w:rsid w:val="5BE121A7"/>
    <w:rsid w:val="5DFE5C52"/>
    <w:rsid w:val="5E2C6C63"/>
    <w:rsid w:val="5EF579C8"/>
    <w:rsid w:val="5F54797E"/>
    <w:rsid w:val="5FAE5456"/>
    <w:rsid w:val="61D70C94"/>
    <w:rsid w:val="63716EC6"/>
    <w:rsid w:val="64405216"/>
    <w:rsid w:val="645C52D0"/>
    <w:rsid w:val="646A4041"/>
    <w:rsid w:val="66D24120"/>
    <w:rsid w:val="67BF46A4"/>
    <w:rsid w:val="68C1444C"/>
    <w:rsid w:val="699456BD"/>
    <w:rsid w:val="699658D9"/>
    <w:rsid w:val="69E45977"/>
    <w:rsid w:val="6AE461D0"/>
    <w:rsid w:val="6B8D008F"/>
    <w:rsid w:val="6BAC3463"/>
    <w:rsid w:val="6BE97F42"/>
    <w:rsid w:val="6D512242"/>
    <w:rsid w:val="6F401568"/>
    <w:rsid w:val="6F7F210C"/>
    <w:rsid w:val="6F9C52CB"/>
    <w:rsid w:val="71026966"/>
    <w:rsid w:val="71641E18"/>
    <w:rsid w:val="73092C77"/>
    <w:rsid w:val="74C97F59"/>
    <w:rsid w:val="75151DA7"/>
    <w:rsid w:val="79E306C6"/>
    <w:rsid w:val="7AFD2CD7"/>
    <w:rsid w:val="7BCC6F38"/>
    <w:rsid w:val="7C3C2310"/>
    <w:rsid w:val="7C4C339B"/>
    <w:rsid w:val="7CAC1243"/>
    <w:rsid w:val="7D060CE3"/>
    <w:rsid w:val="7D2D3A06"/>
    <w:rsid w:val="7E3239CA"/>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autoRedefine/>
    <w:qFormat/>
    <w:uiPriority w:val="0"/>
    <w:pPr>
      <w:keepNext/>
      <w:keepLines/>
      <w:widowControl w:val="0"/>
      <w:adjustRightInd w:val="0"/>
      <w:spacing w:before="160" w:beforeLines="0" w:line="360" w:lineRule="auto"/>
      <w:jc w:val="both"/>
      <w:textAlignment w:val="baseline"/>
      <w:outlineLvl w:val="2"/>
    </w:pPr>
    <w:rPr>
      <w:rFonts w:ascii="Times New Roman" w:hAnsi="Times New Roman" w:eastAsia="黑体" w:cs="Times New Roman"/>
      <w:b/>
      <w:kern w:val="2"/>
      <w:sz w:val="24"/>
      <w:szCs w:val="20"/>
      <w:lang w:val="en-US" w:eastAsia="zh-CN" w:bidi="ar-SA"/>
    </w:rPr>
  </w:style>
  <w:style w:type="character" w:default="1" w:styleId="20">
    <w:name w:val="Default Paragraph Font"/>
    <w:autoRedefine/>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Normal Indent"/>
    <w:basedOn w:val="1"/>
    <w:next w:val="4"/>
    <w:autoRedefine/>
    <w:qFormat/>
    <w:uiPriority w:val="0"/>
    <w:pPr>
      <w:ind w:firstLine="420"/>
    </w:pPr>
    <w:rPr>
      <w:rFonts w:ascii="Times New Roman" w:hAnsi="Times New Roman" w:eastAsia="宋体" w:cs="Times New Roman"/>
      <w:kern w:val="2"/>
      <w:sz w:val="21"/>
      <w:lang w:val="en-US" w:eastAsia="zh-CN" w:bidi="ar-SA"/>
    </w:rPr>
  </w:style>
  <w:style w:type="paragraph" w:styleId="4">
    <w:name w:val="Body Text First Indent 2"/>
    <w:basedOn w:val="5"/>
    <w:next w:val="1"/>
    <w:autoRedefine/>
    <w:qFormat/>
    <w:uiPriority w:val="0"/>
    <w:pPr>
      <w:ind w:firstLine="420" w:firstLineChars="200"/>
    </w:pPr>
    <w:rPr>
      <w:kern w:val="2"/>
      <w:sz w:val="21"/>
      <w:szCs w:val="24"/>
    </w:rPr>
  </w:style>
  <w:style w:type="paragraph" w:styleId="5">
    <w:name w:val="Body Text Indent"/>
    <w:basedOn w:val="1"/>
    <w:next w:val="3"/>
    <w:autoRedefine/>
    <w:qFormat/>
    <w:uiPriority w:val="0"/>
    <w:pPr>
      <w:spacing w:after="120"/>
      <w:ind w:left="420" w:leftChars="200"/>
    </w:pPr>
    <w:rPr>
      <w:kern w:val="0"/>
      <w:sz w:val="24"/>
      <w:szCs w:val="20"/>
    </w:rPr>
  </w:style>
  <w:style w:type="paragraph" w:styleId="6">
    <w:name w:val="E-mail Signature"/>
    <w:basedOn w:val="1"/>
    <w:next w:val="7"/>
    <w:autoRedefine/>
    <w:qFormat/>
    <w:uiPriority w:val="0"/>
    <w:pPr>
      <w:spacing w:line="460" w:lineRule="exact"/>
      <w:ind w:firstLine="200"/>
    </w:pPr>
    <w:rPr>
      <w:sz w:val="24"/>
    </w:rPr>
  </w:style>
  <w:style w:type="paragraph" w:customStyle="1" w:styleId="7">
    <w:name w:val="文章"/>
    <w:basedOn w:val="5"/>
    <w:next w:val="8"/>
    <w:autoRedefine/>
    <w:qFormat/>
    <w:uiPriority w:val="0"/>
    <w:pPr>
      <w:widowControl/>
      <w:ind w:firstLine="480"/>
      <w:jc w:val="center"/>
    </w:pPr>
    <w:rPr>
      <w:sz w:val="26"/>
    </w:rPr>
  </w:style>
  <w:style w:type="paragraph" w:styleId="8">
    <w:name w:val="List"/>
    <w:basedOn w:val="1"/>
    <w:next w:val="9"/>
    <w:autoRedefine/>
    <w:qFormat/>
    <w:uiPriority w:val="0"/>
    <w:pPr>
      <w:ind w:left="200" w:hanging="200" w:hangingChars="200"/>
      <w:contextualSpacing/>
    </w:pPr>
  </w:style>
  <w:style w:type="paragraph" w:styleId="9">
    <w:name w:val="List Bullet 2"/>
    <w:basedOn w:val="1"/>
    <w:next w:val="10"/>
    <w:autoRedefine/>
    <w:semiHidden/>
    <w:unhideWhenUsed/>
    <w:qFormat/>
    <w:uiPriority w:val="99"/>
    <w:pPr>
      <w:numPr>
        <w:ilvl w:val="0"/>
        <w:numId w:val="1"/>
      </w:numPr>
    </w:pPr>
  </w:style>
  <w:style w:type="paragraph" w:customStyle="1" w:styleId="10">
    <w:name w:val="xl70"/>
    <w:basedOn w:val="1"/>
    <w:next w:val="11"/>
    <w:autoRedefine/>
    <w:qFormat/>
    <w:uiPriority w:val="0"/>
    <w:pPr>
      <w:widowControl/>
      <w:spacing w:before="280" w:after="280"/>
    </w:pPr>
    <w:rPr>
      <w:rFonts w:ascii="宋体"/>
    </w:rPr>
  </w:style>
  <w:style w:type="paragraph" w:customStyle="1" w:styleId="11">
    <w:name w:val="正文缩进1"/>
    <w:basedOn w:val="1"/>
    <w:next w:val="12"/>
    <w:autoRedefine/>
    <w:qFormat/>
    <w:uiPriority w:val="0"/>
    <w:pPr>
      <w:ind w:firstLine="420"/>
    </w:pPr>
    <w:rPr>
      <w:szCs w:val="20"/>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4">
    <w:name w:val="Plain Text"/>
    <w:basedOn w:val="1"/>
    <w:next w:val="1"/>
    <w:autoRedefine/>
    <w:qFormat/>
    <w:uiPriority w:val="0"/>
    <w:rPr>
      <w:rFonts w:ascii="宋体" w:hAnsi="Courier New"/>
    </w:rPr>
  </w:style>
  <w:style w:type="paragraph" w:styleId="15">
    <w:name w:val="endnote text"/>
    <w:basedOn w:val="1"/>
    <w:next w:val="14"/>
    <w:autoRedefine/>
    <w:qFormat/>
    <w:uiPriority w:val="0"/>
    <w:pPr>
      <w:snapToGrid w:val="0"/>
      <w:jc w:val="left"/>
    </w:pPr>
  </w:style>
  <w:style w:type="paragraph" w:styleId="16">
    <w:name w:val="footer"/>
    <w:basedOn w:val="1"/>
    <w:next w:val="1"/>
    <w:autoRedefine/>
    <w:semiHidden/>
    <w:unhideWhenUsed/>
    <w:qFormat/>
    <w:uiPriority w:val="99"/>
    <w:pPr>
      <w:tabs>
        <w:tab w:val="center" w:pos="4153"/>
        <w:tab w:val="right" w:pos="8306"/>
      </w:tabs>
      <w:snapToGrid w:val="0"/>
      <w:jc w:val="left"/>
    </w:pPr>
    <w:rPr>
      <w:sz w:val="18"/>
    </w:rPr>
  </w:style>
  <w:style w:type="paragraph" w:styleId="17">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2"/>
    <w:basedOn w:val="1"/>
    <w:next w:val="6"/>
    <w:autoRedefine/>
    <w:semiHidden/>
    <w:qFormat/>
    <w:uiPriority w:val="0"/>
    <w:pPr>
      <w:spacing w:line="240" w:lineRule="exact"/>
      <w:jc w:val="center"/>
    </w:pPr>
    <w:rPr>
      <w:szCs w:val="24"/>
    </w:rPr>
  </w:style>
  <w:style w:type="paragraph" w:customStyle="1" w:styleId="21">
    <w:name w:val="高-正文"/>
    <w:basedOn w:val="1"/>
    <w:autoRedefine/>
    <w:qFormat/>
    <w:uiPriority w:val="0"/>
    <w:pPr>
      <w:topLinePunct/>
      <w:adjustRightInd w:val="0"/>
      <w:snapToGrid w:val="0"/>
      <w:spacing w:line="480" w:lineRule="exact"/>
      <w:ind w:firstLine="600" w:firstLineChars="200"/>
    </w:pPr>
    <w:rPr>
      <w:kern w:val="0"/>
      <w:sz w:val="24"/>
    </w:rPr>
  </w:style>
  <w:style w:type="paragraph" w:customStyle="1" w:styleId="22">
    <w:name w:val="Default"/>
    <w:basedOn w:val="23"/>
    <w:next w:val="24"/>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3">
    <w:name w:val="纯文本1"/>
    <w:basedOn w:val="1"/>
    <w:autoRedefine/>
    <w:qFormat/>
    <w:uiPriority w:val="0"/>
    <w:pPr>
      <w:adjustRightInd w:val="0"/>
      <w:textAlignment w:val="baseline"/>
    </w:pPr>
    <w:rPr>
      <w:rFonts w:ascii="宋体" w:hAnsi="Courier New"/>
      <w:snapToGrid w:val="0"/>
      <w:sz w:val="28"/>
    </w:rPr>
  </w:style>
  <w:style w:type="paragraph" w:customStyle="1" w:styleId="24">
    <w:name w:val="样式35"/>
    <w:basedOn w:val="25"/>
    <w:next w:val="26"/>
    <w:autoRedefine/>
    <w:qFormat/>
    <w:uiPriority w:val="0"/>
    <w:pPr>
      <w:spacing w:line="312" w:lineRule="auto"/>
      <w:ind w:firstLine="567"/>
    </w:pPr>
    <w:rPr>
      <w:rFonts w:ascii="宋体"/>
    </w:rPr>
  </w:style>
  <w:style w:type="paragraph" w:customStyle="1" w:styleId="25">
    <w:name w:val="表 内容"/>
    <w:basedOn w:val="1"/>
    <w:autoRedefine/>
    <w:qFormat/>
    <w:uiPriority w:val="0"/>
    <w:pPr>
      <w:spacing w:line="240" w:lineRule="atLeast"/>
      <w:jc w:val="center"/>
    </w:pPr>
  </w:style>
  <w:style w:type="paragraph" w:customStyle="1" w:styleId="26">
    <w:name w:val="font6"/>
    <w:basedOn w:val="1"/>
    <w:next w:val="18"/>
    <w:autoRedefine/>
    <w:qFormat/>
    <w:uiPriority w:val="0"/>
    <w:pPr>
      <w:widowControl/>
      <w:spacing w:before="100" w:beforeAutospacing="1" w:after="100" w:afterAutospacing="1"/>
      <w:jc w:val="left"/>
    </w:pPr>
    <w:rPr>
      <w:rFonts w:eastAsia="Arial Unicode MS"/>
      <w:kern w:val="0"/>
      <w:sz w:val="24"/>
      <w:szCs w:val="20"/>
    </w:rPr>
  </w:style>
  <w:style w:type="paragraph" w:customStyle="1" w:styleId="27">
    <w:name w:val="我的表格"/>
    <w:basedOn w:val="1"/>
    <w:autoRedefine/>
    <w:qFormat/>
    <w:uiPriority w:val="0"/>
    <w:pPr>
      <w:autoSpaceDE w:val="0"/>
      <w:autoSpaceDN w:val="0"/>
      <w:adjustRightInd w:val="0"/>
      <w:spacing w:line="240" w:lineRule="auto"/>
      <w:ind w:firstLine="0" w:firstLineChars="0"/>
      <w:jc w:val="center"/>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6D99-A5F9-4698-A69F-01EF36BD7954}">
  <ds:schemaRefs/>
</ds:datastoreItem>
</file>

<file path=docProps/app.xml><?xml version="1.0" encoding="utf-8"?>
<Properties xmlns="http://schemas.openxmlformats.org/officeDocument/2006/extended-properties" xmlns:vt="http://schemas.openxmlformats.org/officeDocument/2006/docPropsVTypes">
  <Template>Normal</Template>
  <Pages>4</Pages>
  <Words>1520</Words>
  <Characters>1655</Characters>
  <Lines>14</Lines>
  <Paragraphs>4</Paragraphs>
  <TotalTime>25</TotalTime>
  <ScaleCrop>false</ScaleCrop>
  <LinksUpToDate>false</LinksUpToDate>
  <CharactersWithSpaces>1707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2022-11-11T10:34:00Z</dcterms:created>
  <dc:creator>dn</dc:creator>
  <cp:lastModifiedBy>sargai</cp:lastModifiedBy>
  <cp:lastPrinted>2024-04-24T01:30:00Z</cp:lastPrinted>
  <dcterms:modified xsi:type="dcterms:W3CDTF">2024-04-24T02:44:35Z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7644BCEB3B104CC0BAFE7C902459C352_13</vt:lpwstr>
  </property>
</Properties>
</file>