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C1972">
      <w:pPr>
        <w:keepNext w:val="0"/>
        <w:keepLines w:val="0"/>
        <w:pageBreakBefore w:val="0"/>
        <w:widowControl w:val="0"/>
        <w:kinsoku/>
        <w:wordWrap/>
        <w:overflowPunct/>
        <w:topLinePunct w:val="0"/>
        <w:bidi w:val="0"/>
        <w:snapToGrid w:val="0"/>
        <w:spacing w:line="560" w:lineRule="exact"/>
        <w:jc w:val="center"/>
        <w:rPr>
          <w:rFonts w:ascii="Calibri" w:hAnsi="Calibri" w:eastAsia="宋体" w:cs="Arial"/>
          <w:color w:val="auto"/>
          <w:sz w:val="28"/>
          <w:szCs w:val="28"/>
        </w:rPr>
      </w:pPr>
    </w:p>
    <w:p w14:paraId="26DAADB8">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6D881E33">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1C70C732">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4253346C">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4FB96EB3">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42047423">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47F979F0">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6D42194A">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485D880B">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41E22569">
      <w:pPr>
        <w:keepNext w:val="0"/>
        <w:keepLines w:val="0"/>
        <w:pageBreakBefore w:val="0"/>
        <w:widowControl w:val="0"/>
        <w:kinsoku/>
        <w:wordWrap/>
        <w:overflowPunct/>
        <w:topLinePunct w:val="0"/>
        <w:bidi w:val="0"/>
        <w:snapToGrid w:val="0"/>
        <w:spacing w:line="560" w:lineRule="exact"/>
        <w:jc w:val="center"/>
        <w:rPr>
          <w:rFonts w:hint="eastAsia" w:ascii="仿宋_GB2312" w:hAnsi="Calibri" w:eastAsia="仿宋_GB2312" w:cs="Arial"/>
          <w:color w:val="auto"/>
          <w:sz w:val="32"/>
          <w:szCs w:val="32"/>
        </w:rPr>
      </w:pPr>
    </w:p>
    <w:p w14:paraId="08BCDF2F">
      <w:pPr>
        <w:keepNext w:val="0"/>
        <w:keepLines w:val="0"/>
        <w:pageBreakBefore w:val="0"/>
        <w:widowControl w:val="0"/>
        <w:kinsoku/>
        <w:wordWrap/>
        <w:overflowPunct/>
        <w:topLinePunct w:val="0"/>
        <w:bidi w:val="0"/>
        <w:snapToGrid w:val="0"/>
        <w:spacing w:line="560" w:lineRule="exact"/>
        <w:jc w:val="center"/>
        <w:rPr>
          <w:rFonts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东环审表</w:t>
      </w:r>
      <w:r>
        <w:rPr>
          <w:rFonts w:hint="eastAsia" w:ascii="仿宋_GB2312" w:hAnsi="黑体" w:eastAsia="仿宋_GB2312" w:cs="Arial"/>
          <w:color w:val="auto"/>
          <w:sz w:val="32"/>
          <w:szCs w:val="32"/>
          <w:highlight w:val="none"/>
        </w:rPr>
        <w:t>〔202</w:t>
      </w:r>
      <w:r>
        <w:rPr>
          <w:rFonts w:hint="eastAsia" w:ascii="仿宋_GB2312" w:hAnsi="黑体" w:eastAsia="仿宋_GB2312" w:cs="Arial"/>
          <w:color w:val="auto"/>
          <w:sz w:val="32"/>
          <w:szCs w:val="32"/>
          <w:highlight w:val="none"/>
          <w:lang w:val="en-US" w:eastAsia="zh-CN"/>
        </w:rPr>
        <w:t>4</w:t>
      </w:r>
      <w:r>
        <w:rPr>
          <w:rFonts w:hint="eastAsia" w:ascii="仿宋_GB2312" w:hAnsi="黑体" w:eastAsia="仿宋_GB2312" w:cs="Arial"/>
          <w:color w:val="auto"/>
          <w:sz w:val="32"/>
          <w:szCs w:val="32"/>
          <w:highlight w:val="none"/>
        </w:rPr>
        <w:t>〕</w:t>
      </w:r>
      <w:r>
        <w:rPr>
          <w:rFonts w:hint="eastAsia" w:ascii="仿宋_GB2312" w:hAnsi="Calibri" w:eastAsia="仿宋_GB2312" w:cs="Arial"/>
          <w:color w:val="auto"/>
          <w:sz w:val="32"/>
          <w:szCs w:val="32"/>
          <w:highlight w:val="none"/>
          <w:lang w:val="en-US" w:eastAsia="zh-CN"/>
        </w:rPr>
        <w:t>6</w:t>
      </w:r>
      <w:r>
        <w:rPr>
          <w:rFonts w:hint="eastAsia" w:ascii="仿宋_GB2312" w:hAnsi="Calibri" w:eastAsia="仿宋_GB2312" w:cs="Arial"/>
          <w:color w:val="auto"/>
          <w:sz w:val="32"/>
          <w:szCs w:val="32"/>
          <w:highlight w:val="none"/>
        </w:rPr>
        <w:t xml:space="preserve">号   </w:t>
      </w:r>
    </w:p>
    <w:p w14:paraId="7370F3EF">
      <w:pPr>
        <w:keepNext w:val="0"/>
        <w:keepLines w:val="0"/>
        <w:pageBreakBefore w:val="0"/>
        <w:widowControl w:val="0"/>
        <w:kinsoku/>
        <w:wordWrap/>
        <w:overflowPunct/>
        <w:topLinePunct w:val="0"/>
        <w:bidi w:val="0"/>
        <w:snapToGrid w:val="0"/>
        <w:spacing w:line="560" w:lineRule="exact"/>
        <w:rPr>
          <w:rFonts w:hint="eastAsia" w:ascii="Calibri" w:hAnsi="Calibri" w:eastAsia="宋体" w:cs="Arial"/>
          <w:color w:val="auto"/>
          <w:sz w:val="44"/>
          <w:szCs w:val="44"/>
          <w:highlight w:val="none"/>
        </w:rPr>
      </w:pPr>
      <w:r>
        <w:rPr>
          <w:rFonts w:ascii="Calibri" w:hAnsi="Calibri" w:eastAsia="宋体" w:cs="Arial"/>
          <w:color w:val="auto"/>
          <w:sz w:val="28"/>
          <w:szCs w:val="28"/>
          <w:highlight w:val="none"/>
        </w:rPr>
        <w:t xml:space="preserve"> </w:t>
      </w:r>
    </w:p>
    <w:p w14:paraId="311BCB8C">
      <w:pPr>
        <w:keepNext w:val="0"/>
        <w:keepLines w:val="0"/>
        <w:pageBreakBefore w:val="0"/>
        <w:widowControl w:val="0"/>
        <w:kinsoku/>
        <w:wordWrap/>
        <w:overflowPunct/>
        <w:topLinePunct w:val="0"/>
        <w:autoSpaceDE w:val="0"/>
        <w:bidi w:val="0"/>
        <w:spacing w:line="560" w:lineRule="exact"/>
        <w:jc w:val="center"/>
        <w:textAlignment w:val="baseline"/>
        <w:rPr>
          <w:rFonts w:hint="eastAsia" w:ascii="方正小标宋简体" w:hAnsi="Calibri" w:eastAsia="方正小标宋简体" w:cs="Arial"/>
          <w:color w:val="auto"/>
          <w:sz w:val="44"/>
          <w:szCs w:val="44"/>
          <w:highlight w:val="none"/>
        </w:rPr>
      </w:pPr>
      <w:r>
        <w:rPr>
          <w:rFonts w:hint="eastAsia" w:ascii="方正小标宋简体" w:hAnsi="Calibri" w:eastAsia="方正小标宋简体" w:cs="Arial"/>
          <w:color w:val="auto"/>
          <w:sz w:val="44"/>
          <w:szCs w:val="44"/>
          <w:highlight w:val="none"/>
        </w:rPr>
        <w:t>锡林郭勒盟生态环境局</w:t>
      </w:r>
    </w:p>
    <w:p w14:paraId="6E541F77">
      <w:pPr>
        <w:keepNext w:val="0"/>
        <w:keepLines w:val="0"/>
        <w:pageBreakBefore w:val="0"/>
        <w:widowControl w:val="0"/>
        <w:kinsoku/>
        <w:wordWrap/>
        <w:overflowPunct/>
        <w:topLinePunct w:val="0"/>
        <w:autoSpaceDE w:val="0"/>
        <w:bidi w:val="0"/>
        <w:spacing w:line="560" w:lineRule="exact"/>
        <w:jc w:val="center"/>
        <w:textAlignment w:val="baseline"/>
        <w:rPr>
          <w:rFonts w:hint="eastAsia" w:ascii="方正小标宋简体" w:hAnsi="Calibri" w:eastAsia="方正小标宋简体" w:cs="Arial"/>
          <w:color w:val="auto"/>
          <w:sz w:val="44"/>
          <w:szCs w:val="44"/>
          <w:highlight w:val="none"/>
        </w:rPr>
      </w:pPr>
      <w:r>
        <w:rPr>
          <w:rFonts w:hint="eastAsia" w:ascii="方正小标宋简体" w:hAnsi="Calibri" w:eastAsia="方正小标宋简体" w:cs="Arial"/>
          <w:color w:val="auto"/>
          <w:sz w:val="44"/>
          <w:szCs w:val="44"/>
          <w:highlight w:val="none"/>
        </w:rPr>
        <w:t>关于</w:t>
      </w:r>
      <w:r>
        <w:rPr>
          <w:rFonts w:hint="eastAsia" w:ascii="方正小标宋简体" w:hAnsi="Calibri" w:eastAsia="方正小标宋简体" w:cs="Arial"/>
          <w:color w:val="auto"/>
          <w:sz w:val="44"/>
          <w:szCs w:val="44"/>
          <w:highlight w:val="none"/>
          <w:lang w:eastAsia="zh-CN"/>
        </w:rPr>
        <w:t>内蒙古三和汇元矿业有限公司东乌旗钨矿新建危废暂存间项目</w:t>
      </w:r>
      <w:r>
        <w:rPr>
          <w:rFonts w:hint="eastAsia" w:ascii="方正小标宋简体" w:hAnsi="Calibri" w:eastAsia="方正小标宋简体" w:cs="Arial"/>
          <w:color w:val="auto"/>
          <w:sz w:val="44"/>
          <w:szCs w:val="44"/>
          <w:highlight w:val="none"/>
        </w:rPr>
        <w:t xml:space="preserve">环境影响报告表的批复 </w:t>
      </w:r>
    </w:p>
    <w:p w14:paraId="44D0BCB8">
      <w:pPr>
        <w:keepNext w:val="0"/>
        <w:keepLines w:val="0"/>
        <w:pageBreakBefore w:val="0"/>
        <w:widowControl w:val="0"/>
        <w:kinsoku/>
        <w:wordWrap/>
        <w:overflowPunct/>
        <w:topLinePunct w:val="0"/>
        <w:bidi w:val="0"/>
        <w:adjustRightInd w:val="0"/>
        <w:snapToGrid w:val="0"/>
        <w:spacing w:line="560" w:lineRule="exact"/>
        <w:jc w:val="left"/>
        <w:rPr>
          <w:rFonts w:hint="eastAsia" w:ascii="仿宋_GB2312" w:hAnsi="Calibri" w:eastAsia="仿宋_GB2312" w:cs="Arial"/>
          <w:color w:val="auto"/>
          <w:sz w:val="36"/>
          <w:szCs w:val="36"/>
          <w:highlight w:val="none"/>
        </w:rPr>
      </w:pPr>
      <w:r>
        <w:rPr>
          <w:rFonts w:hint="eastAsia" w:ascii="方正小标宋简体" w:hAnsi="Calibri" w:eastAsia="方正小标宋简体" w:cs="Arial"/>
          <w:color w:val="auto"/>
          <w:sz w:val="44"/>
          <w:szCs w:val="44"/>
          <w:highlight w:val="none"/>
          <w:lang w:val="en-US" w:eastAsia="zh-CN"/>
        </w:rPr>
        <w:t xml:space="preserve"> </w:t>
      </w:r>
      <w:r>
        <w:rPr>
          <w:rFonts w:hint="eastAsia" w:ascii="仿宋_GB2312" w:hAnsi="Calibri" w:eastAsia="仿宋_GB2312" w:cs="Arial"/>
          <w:color w:val="auto"/>
          <w:sz w:val="36"/>
          <w:szCs w:val="36"/>
          <w:highlight w:val="none"/>
        </w:rPr>
        <w:t xml:space="preserve"> </w:t>
      </w:r>
    </w:p>
    <w:p w14:paraId="089B309B">
      <w:pPr>
        <w:keepNext w:val="0"/>
        <w:keepLines w:val="0"/>
        <w:pageBreakBefore w:val="0"/>
        <w:widowControl w:val="0"/>
        <w:kinsoku/>
        <w:wordWrap/>
        <w:overflowPunct/>
        <w:topLinePunct w:val="0"/>
        <w:bidi w:val="0"/>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内蒙古三和汇元矿业有限公司:</w:t>
      </w:r>
    </w:p>
    <w:p w14:paraId="5260D0C0">
      <w:pPr>
        <w:keepNext w:val="0"/>
        <w:keepLines w:val="0"/>
        <w:pageBreakBefore w:val="0"/>
        <w:widowControl w:val="0"/>
        <w:kinsoku/>
        <w:wordWrap/>
        <w:overflowPunct/>
        <w:topLinePunct w:val="0"/>
        <w:autoSpaceDE w:val="0"/>
        <w:bidi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Cs/>
          <w:color w:val="auto"/>
          <w:sz w:val="32"/>
          <w:szCs w:val="32"/>
          <w:highlight w:val="none"/>
        </w:rPr>
        <w:t>你公司委托</w:t>
      </w:r>
      <w:r>
        <w:rPr>
          <w:rFonts w:hint="eastAsia" w:ascii="仿宋_GB2312" w:hAnsi="仿宋_GB2312" w:eastAsia="仿宋_GB2312" w:cs="仿宋_GB2312"/>
          <w:bCs/>
          <w:color w:val="auto"/>
          <w:sz w:val="32"/>
          <w:szCs w:val="32"/>
          <w:highlight w:val="none"/>
          <w:lang w:val="en-US" w:eastAsia="zh-CN"/>
        </w:rPr>
        <w:t>内蒙古昀雅项目管理咨询有限</w:t>
      </w:r>
      <w:r>
        <w:rPr>
          <w:rFonts w:hint="eastAsia" w:ascii="仿宋_GB2312" w:hAnsi="仿宋_GB2312" w:eastAsia="仿宋_GB2312" w:cs="仿宋_GB2312"/>
          <w:bCs/>
          <w:color w:val="auto"/>
          <w:sz w:val="32"/>
          <w:szCs w:val="32"/>
          <w:highlight w:val="none"/>
          <w:lang w:eastAsia="zh-CN"/>
        </w:rPr>
        <w:t>公司</w:t>
      </w:r>
      <w:r>
        <w:rPr>
          <w:rFonts w:hint="eastAsia" w:ascii="仿宋_GB2312" w:hAnsi="仿宋_GB2312" w:eastAsia="仿宋_GB2312" w:cs="仿宋_GB2312"/>
          <w:bCs/>
          <w:color w:val="auto"/>
          <w:sz w:val="32"/>
          <w:szCs w:val="32"/>
          <w:highlight w:val="none"/>
        </w:rPr>
        <w:t>编制的《</w:t>
      </w:r>
      <w:r>
        <w:rPr>
          <w:rFonts w:hint="eastAsia" w:ascii="仿宋_GB2312" w:hAnsi="仿宋_GB2312" w:eastAsia="仿宋_GB2312" w:cs="仿宋_GB2312"/>
          <w:bCs/>
          <w:color w:val="auto"/>
          <w:sz w:val="32"/>
          <w:szCs w:val="32"/>
          <w:highlight w:val="none"/>
          <w:lang w:eastAsia="zh-CN"/>
        </w:rPr>
        <w:t>内蒙古三和汇元矿业有限公司东乌旗钨矿新建危废暂存间项目</w:t>
      </w:r>
      <w:r>
        <w:rPr>
          <w:rFonts w:hint="eastAsia" w:ascii="仿宋_GB2312" w:hAnsi="仿宋_GB2312" w:eastAsia="仿宋_GB2312" w:cs="仿宋_GB2312"/>
          <w:color w:val="auto"/>
          <w:sz w:val="32"/>
          <w:szCs w:val="32"/>
          <w:highlight w:val="none"/>
        </w:rPr>
        <w:t>》环境影响报告表</w:t>
      </w:r>
      <w:r>
        <w:rPr>
          <w:rFonts w:hint="eastAsia" w:ascii="仿宋_GB2312" w:hAnsi="仿宋_GB2312" w:eastAsia="仿宋_GB2312" w:cs="仿宋_GB2312"/>
          <w:color w:val="auto"/>
          <w:sz w:val="32"/>
          <w:szCs w:val="32"/>
          <w:highlight w:val="none"/>
          <w:lang w:val="en-US" w:eastAsia="zh-CN"/>
        </w:rPr>
        <w:t>已</w:t>
      </w:r>
      <w:r>
        <w:rPr>
          <w:rFonts w:hint="eastAsia" w:ascii="仿宋_GB2312" w:hAnsi="仿宋_GB2312" w:eastAsia="仿宋_GB2312" w:cs="仿宋_GB2312"/>
          <w:color w:val="auto"/>
          <w:sz w:val="32"/>
          <w:szCs w:val="32"/>
          <w:highlight w:val="none"/>
        </w:rPr>
        <w:t>收悉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依据《锡林郭勒盟生态环境局关于委托实施行政许可事项的通知》（锡署环字〔2021〕41号），现批复如下</w:t>
      </w:r>
      <w:r>
        <w:rPr>
          <w:rFonts w:hint="eastAsia" w:ascii="仿宋_GB2312" w:hAnsi="仿宋_GB2312" w:eastAsia="仿宋_GB2312" w:cs="仿宋_GB2312"/>
          <w:color w:val="auto"/>
          <w:sz w:val="32"/>
          <w:szCs w:val="32"/>
          <w:highlight w:val="none"/>
          <w:lang w:eastAsia="zh-CN"/>
        </w:rPr>
        <w:t>：</w:t>
      </w:r>
    </w:p>
    <w:p w14:paraId="3C9B0648">
      <w:pPr>
        <w:keepNext w:val="0"/>
        <w:keepLines w:val="0"/>
        <w:pageBreakBefore w:val="0"/>
        <w:widowControl w:val="0"/>
        <w:kinsoku/>
        <w:wordWrap/>
        <w:overflowPunct/>
        <w:topLinePunct w:val="0"/>
        <w:autoSpaceDE w:val="0"/>
        <w:autoSpaceDN/>
        <w:bidi w:val="0"/>
        <w:adjustRightInd w:val="0"/>
        <w:snapToGrid w:val="0"/>
        <w:spacing w:line="560" w:lineRule="exact"/>
        <w:ind w:firstLine="640" w:firstLineChars="200"/>
        <w:textAlignment w:val="auto"/>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一、建设项目基本情况</w:t>
      </w:r>
    </w:p>
    <w:p w14:paraId="2D18850A">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本项目位于内蒙古自治区锡林郭勒盟东乌珠穆沁旗萨麦苏木（原名为沙麦苏木）内蒙古三和汇元矿业有限公司</w:t>
      </w:r>
      <w:r>
        <w:rPr>
          <w:rFonts w:hint="eastAsia" w:ascii="仿宋_GB2312" w:hAnsi="仿宋_GB2312" w:eastAsia="仿宋_GB2312" w:cs="仿宋_GB2312"/>
          <w:color w:val="auto"/>
          <w:sz w:val="32"/>
          <w:szCs w:val="32"/>
          <w:highlight w:val="none"/>
          <w:lang w:eastAsia="zh-CN"/>
        </w:rPr>
        <w:t>内</w:t>
      </w:r>
      <w:r>
        <w:rPr>
          <w:rFonts w:hint="eastAsia" w:ascii="仿宋_GB2312" w:hAnsi="仿宋_GB2312" w:eastAsia="仿宋_GB2312" w:cs="仿宋_GB2312"/>
          <w:color w:val="auto"/>
          <w:sz w:val="32"/>
          <w:szCs w:val="32"/>
          <w:highlight w:val="none"/>
        </w:rPr>
        <w:t>，地理坐标</w:t>
      </w:r>
      <w:r>
        <w:rPr>
          <w:rFonts w:hint="eastAsia" w:ascii="仿宋_GB2312" w:hAnsi="仿宋_GB2312" w:eastAsia="仿宋_GB2312" w:cs="仿宋_GB2312"/>
          <w:color w:val="auto"/>
          <w:sz w:val="32"/>
          <w:szCs w:val="32"/>
          <w:highlight w:val="none"/>
          <w:lang w:val="en-US" w:eastAsia="zh-CN"/>
        </w:rPr>
        <w:t>为东经：116°56′7.807″北纬：45°58′15.693″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属于</w:t>
      </w:r>
      <w:r>
        <w:rPr>
          <w:rFonts w:hint="eastAsia" w:ascii="仿宋_GB2312" w:hAnsi="仿宋_GB2312" w:eastAsia="仿宋_GB2312" w:cs="仿宋_GB2312"/>
          <w:color w:val="auto"/>
          <w:sz w:val="32"/>
          <w:szCs w:val="32"/>
          <w:highlight w:val="none"/>
          <w:lang w:val="en-US" w:eastAsia="zh-CN"/>
        </w:rPr>
        <w:t>新建</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总占地</w:t>
      </w:r>
      <w:r>
        <w:rPr>
          <w:rFonts w:hint="eastAsia" w:ascii="仿宋_GB2312" w:hAnsi="仿宋_GB2312" w:eastAsia="仿宋_GB2312" w:cs="仿宋_GB2312"/>
          <w:color w:val="auto"/>
          <w:sz w:val="32"/>
          <w:szCs w:val="32"/>
          <w:highlight w:val="none"/>
          <w:lang w:val="en-US" w:eastAsia="zh-CN"/>
        </w:rPr>
        <w:t>面积为9</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val="en-US" w:eastAsia="zh-CN"/>
        </w:rPr>
        <w:t>。主体工程为；集装箱式危废暂存间（用于暂存厂区正常生产过程中产生的废矿物油及废蓄电池，集装箱式危废间主体工程直接在厂家完成），一体式2间，总建筑面积9</w:t>
      </w:r>
      <w:r>
        <w:rPr>
          <w:rFonts w:hint="eastAsia" w:ascii="仿宋_GB2312" w:hAnsi="仿宋_GB2312" w:eastAsia="仿宋_GB2312" w:cs="仿宋_GB2312"/>
          <w:color w:val="auto"/>
          <w:sz w:val="32"/>
          <w:szCs w:val="32"/>
          <w:highlight w:val="none"/>
        </w:rPr>
        <w:t>m</w:t>
      </w:r>
      <w:r>
        <w:rPr>
          <w:rFonts w:hint="eastAsia" w:ascii="仿宋_GB2312" w:hAnsi="仿宋_GB2312" w:eastAsia="仿宋_GB2312" w:cs="仿宋_GB2312"/>
          <w:color w:val="auto"/>
          <w:sz w:val="32"/>
          <w:szCs w:val="32"/>
          <w:highlight w:val="none"/>
          <w:vertAlign w:val="superscript"/>
        </w:rPr>
        <w:t>2</w:t>
      </w:r>
      <w:r>
        <w:rPr>
          <w:rFonts w:hint="eastAsia" w:ascii="仿宋_GB2312" w:hAnsi="仿宋_GB2312" w:eastAsia="仿宋_GB2312" w:cs="仿宋_GB2312"/>
          <w:color w:val="auto"/>
          <w:sz w:val="32"/>
          <w:szCs w:val="32"/>
          <w:highlight w:val="none"/>
          <w:lang w:val="en-US" w:eastAsia="zh-CN"/>
        </w:rPr>
        <w:t>，暂存间四周设50cm高裙角、门对侧设导流槽兼收集功能，地面结构为钢板、涂胶、覆2mm厚HDPE膜、混凝土浇筑；裙角、地面、导流槽均采用人工防渗措施，铺设防渗膜，渗透系数≤10</w:t>
      </w:r>
      <w:r>
        <w:rPr>
          <w:rFonts w:hint="eastAsia" w:ascii="仿宋_GB2312" w:hAnsi="仿宋_GB2312" w:eastAsia="仿宋_GB2312" w:cs="仿宋_GB2312"/>
          <w:color w:val="auto"/>
          <w:sz w:val="32"/>
          <w:szCs w:val="32"/>
          <w:highlight w:val="none"/>
          <w:vertAlign w:val="superscript"/>
          <w:lang w:val="en-US" w:eastAsia="zh-CN"/>
        </w:rPr>
        <w:t>-10</w:t>
      </w:r>
      <w:r>
        <w:rPr>
          <w:rFonts w:hint="eastAsia" w:ascii="仿宋_GB2312" w:hAnsi="仿宋_GB2312" w:eastAsia="仿宋_GB2312" w:cs="仿宋_GB2312"/>
          <w:color w:val="auto"/>
          <w:sz w:val="32"/>
          <w:szCs w:val="32"/>
          <w:highlight w:val="none"/>
          <w:lang w:val="en-US" w:eastAsia="zh-CN"/>
        </w:rPr>
        <w:t>cm/s；公用工程为供电系统、消防系统。</w:t>
      </w:r>
    </w:p>
    <w:p w14:paraId="4FDDC7DF">
      <w:pPr>
        <w:keepNext w:val="0"/>
        <w:keepLines w:val="0"/>
        <w:pageBreakBefore w:val="0"/>
        <w:widowControl w:val="0"/>
        <w:kinsoku/>
        <w:wordWrap/>
        <w:overflowPunct/>
        <w:topLinePunct w:val="0"/>
        <w:autoSpaceDN/>
        <w:bidi w:val="0"/>
        <w:spacing w:before="60" w:beforeLines="25"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总投</w:t>
      </w:r>
      <w:r>
        <w:rPr>
          <w:rFonts w:hint="eastAsia" w:ascii="仿宋_GB2312" w:hAnsi="仿宋_GB2312" w:eastAsia="仿宋_GB2312" w:cs="仿宋_GB2312"/>
          <w:bCs/>
          <w:color w:val="auto"/>
          <w:sz w:val="32"/>
          <w:szCs w:val="32"/>
          <w:highlight w:val="none"/>
          <w:lang w:val="en-US" w:eastAsia="zh-CN"/>
        </w:rPr>
        <w:t>70</w:t>
      </w:r>
      <w:r>
        <w:rPr>
          <w:rFonts w:hint="eastAsia" w:ascii="仿宋_GB2312" w:hAnsi="仿宋_GB2312" w:eastAsia="仿宋_GB2312" w:cs="仿宋_GB2312"/>
          <w:bCs/>
          <w:color w:val="auto"/>
          <w:sz w:val="32"/>
          <w:szCs w:val="32"/>
          <w:highlight w:val="none"/>
        </w:rPr>
        <w:t>万元，环保投资</w:t>
      </w:r>
      <w:r>
        <w:rPr>
          <w:rFonts w:hint="eastAsia" w:ascii="仿宋_GB2312" w:hAnsi="仿宋_GB2312" w:eastAsia="仿宋_GB2312" w:cs="仿宋_GB2312"/>
          <w:color w:val="auto"/>
          <w:sz w:val="32"/>
          <w:szCs w:val="32"/>
          <w:highlight w:val="none"/>
          <w:lang w:val="en-US" w:eastAsia="zh-CN"/>
        </w:rPr>
        <w:t>70</w:t>
      </w:r>
      <w:r>
        <w:rPr>
          <w:rFonts w:hint="eastAsia" w:ascii="仿宋_GB2312" w:hAnsi="仿宋_GB2312" w:eastAsia="仿宋_GB2312" w:cs="仿宋_GB2312"/>
          <w:bCs/>
          <w:color w:val="auto"/>
          <w:sz w:val="32"/>
          <w:szCs w:val="32"/>
          <w:highlight w:val="none"/>
        </w:rPr>
        <w:t>万元</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占总投资的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Cs/>
          <w:color w:val="auto"/>
          <w:sz w:val="32"/>
          <w:szCs w:val="32"/>
          <w:highlight w:val="none"/>
        </w:rPr>
        <w:t>。</w:t>
      </w:r>
    </w:p>
    <w:p w14:paraId="4165FB9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GB" w:eastAsia="zh-CN"/>
        </w:rPr>
        <w:t>依</w:t>
      </w:r>
      <w:r>
        <w:rPr>
          <w:rFonts w:hint="eastAsia" w:ascii="仿宋_GB2312" w:hAnsi="仿宋_GB2312" w:eastAsia="仿宋_GB2312" w:cs="仿宋_GB2312"/>
          <w:color w:val="auto"/>
          <w:sz w:val="32"/>
          <w:szCs w:val="32"/>
          <w:highlight w:val="none"/>
          <w:lang w:val="en-GB"/>
        </w:rPr>
        <w:t>据《产业结构调整指导目录》(20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lang w:val="en-GB"/>
        </w:rPr>
        <w:t>年本)，本项目属于</w:t>
      </w:r>
      <w:r>
        <w:rPr>
          <w:rFonts w:hint="eastAsia" w:ascii="仿宋_GB2312" w:hAnsi="仿宋_GB2312" w:eastAsia="仿宋_GB2312" w:cs="仿宋_GB2312"/>
          <w:color w:val="auto"/>
          <w:sz w:val="32"/>
          <w:szCs w:val="32"/>
          <w:highlight w:val="none"/>
          <w:lang w:val="en-US" w:eastAsia="zh-CN"/>
        </w:rPr>
        <w:t>允许类建设项目。</w:t>
      </w:r>
      <w:r>
        <w:rPr>
          <w:rFonts w:hint="eastAsia" w:ascii="仿宋_GB2312" w:hAnsi="仿宋_GB2312" w:eastAsia="仿宋_GB2312" w:cs="仿宋_GB2312"/>
          <w:color w:val="auto"/>
          <w:sz w:val="32"/>
          <w:szCs w:val="32"/>
          <w:highlight w:val="none"/>
          <w:lang w:val="en-GB" w:eastAsia="zh-CN"/>
        </w:rPr>
        <w:t>符合</w:t>
      </w:r>
      <w:r>
        <w:rPr>
          <w:rFonts w:hint="eastAsia" w:ascii="仿宋_GB2312" w:hAnsi="仿宋_GB2312" w:eastAsia="仿宋_GB2312" w:cs="仿宋_GB2312"/>
          <w:color w:val="auto"/>
          <w:sz w:val="32"/>
          <w:szCs w:val="32"/>
          <w:highlight w:val="none"/>
          <w:lang w:val="en-US" w:eastAsia="zh-CN"/>
        </w:rPr>
        <w:t>国家相关法律法规，符合</w:t>
      </w:r>
      <w:r>
        <w:rPr>
          <w:rFonts w:hint="eastAsia" w:ascii="仿宋_GB2312" w:hAnsi="仿宋_GB2312" w:eastAsia="仿宋_GB2312" w:cs="仿宋_GB2312"/>
          <w:color w:val="auto"/>
          <w:sz w:val="32"/>
          <w:szCs w:val="32"/>
          <w:highlight w:val="none"/>
          <w:lang w:val="en-GB" w:eastAsia="zh-CN"/>
        </w:rPr>
        <w:t>国家产业政策要求</w:t>
      </w:r>
      <w:r>
        <w:rPr>
          <w:rFonts w:hint="eastAsia" w:ascii="仿宋_GB2312" w:hAnsi="仿宋_GB2312" w:eastAsia="仿宋_GB2312" w:cs="仿宋_GB2312"/>
          <w:color w:val="auto"/>
          <w:sz w:val="32"/>
          <w:szCs w:val="32"/>
          <w:highlight w:val="none"/>
          <w:lang w:val="en-US" w:eastAsia="zh-CN"/>
        </w:rPr>
        <w:t>及我盟“三线一单”管控要求。</w:t>
      </w:r>
    </w:p>
    <w:p w14:paraId="750F9D08">
      <w:pPr>
        <w:pStyle w:val="13"/>
        <w:keepNext w:val="0"/>
        <w:keepLines w:val="0"/>
        <w:pageBreakBefore w:val="0"/>
        <w:widowControl w:val="0"/>
        <w:kinsoku/>
        <w:wordWrap/>
        <w:overflowPunct/>
        <w:topLinePunct w:val="0"/>
        <w:autoSpaceDE/>
        <w:autoSpaceDN/>
        <w:bidi w:val="0"/>
        <w:adjustRightInd/>
        <w:snapToGrid w:val="0"/>
        <w:spacing w:line="560" w:lineRule="exact"/>
        <w:ind w:firstLine="480" w:firstLineChars="15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在全面落实《</w:t>
      </w:r>
      <w:r>
        <w:rPr>
          <w:rFonts w:hint="eastAsia" w:ascii="仿宋_GB2312" w:hAnsi="仿宋_GB2312" w:eastAsia="仿宋_GB2312" w:cs="仿宋_GB2312"/>
          <w:b w:val="0"/>
          <w:bCs/>
          <w:color w:val="auto"/>
          <w:sz w:val="32"/>
          <w:szCs w:val="32"/>
          <w:highlight w:val="none"/>
          <w:u w:val="none"/>
          <w:lang w:val="en-US" w:eastAsia="zh-CN"/>
        </w:rPr>
        <w:t>报告表</w:t>
      </w:r>
      <w:r>
        <w:rPr>
          <w:rFonts w:hint="eastAsia" w:ascii="仿宋_GB2312" w:hAnsi="仿宋_GB2312" w:eastAsia="仿宋_GB2312" w:cs="仿宋_GB2312"/>
          <w:color w:val="auto"/>
          <w:sz w:val="32"/>
          <w:szCs w:val="32"/>
          <w:highlight w:val="none"/>
          <w:lang w:val="en-US" w:eastAsia="zh-CN"/>
        </w:rPr>
        <w:t>》中提出的各项污染防治措施后，可使环境污染和生态破坏控制在允许范围内，从生态环境保护的角度分析，该项目建设可行。</w:t>
      </w:r>
    </w:p>
    <w:p w14:paraId="399E8273">
      <w:pPr>
        <w:keepNext w:val="0"/>
        <w:keepLines w:val="0"/>
        <w:pageBreakBefore w:val="0"/>
        <w:widowControl w:val="0"/>
        <w:kinsoku/>
        <w:wordWrap/>
        <w:overflowPunct/>
        <w:topLinePunct w:val="0"/>
        <w:bidi w:val="0"/>
        <w:spacing w:line="560" w:lineRule="exact"/>
        <w:ind w:firstLine="640" w:firstLineChars="200"/>
        <w:rPr>
          <w:rFonts w:hint="eastAsia" w:ascii="黑体" w:hAnsi="黑体" w:eastAsia="黑体" w:cs="Arial"/>
          <w:color w:val="auto"/>
          <w:sz w:val="32"/>
          <w:szCs w:val="32"/>
          <w:highlight w:val="none"/>
          <w:lang w:eastAsia="zh-CN"/>
        </w:rPr>
      </w:pPr>
      <w:r>
        <w:rPr>
          <w:rFonts w:hint="eastAsia" w:ascii="黑体" w:hAnsi="黑体" w:eastAsia="黑体" w:cs="Arial"/>
          <w:color w:val="auto"/>
          <w:sz w:val="32"/>
          <w:szCs w:val="32"/>
          <w:highlight w:val="none"/>
        </w:rPr>
        <w:t>二、项目建设及运营</w:t>
      </w:r>
      <w:r>
        <w:rPr>
          <w:rFonts w:hint="eastAsia" w:ascii="黑体" w:hAnsi="黑体" w:eastAsia="黑体" w:cs="Arial"/>
          <w:color w:val="auto"/>
          <w:sz w:val="32"/>
          <w:szCs w:val="32"/>
          <w:highlight w:val="none"/>
          <w:lang w:val="en-US" w:eastAsia="zh-CN"/>
        </w:rPr>
        <w:t>过程中的相关责任</w:t>
      </w:r>
    </w:p>
    <w:p w14:paraId="19A31A8F">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（一）废气方面。</w:t>
      </w:r>
    </w:p>
    <w:p w14:paraId="3F5FD750">
      <w:pPr>
        <w:pStyle w:val="25"/>
        <w:keepNext w:val="0"/>
        <w:keepLines w:val="0"/>
        <w:pageBreakBefore w:val="0"/>
        <w:widowControl w:val="0"/>
        <w:kinsoku/>
        <w:wordWrap/>
        <w:overflowPunct/>
        <w:topLinePunct w:val="0"/>
        <w:autoSpaceDE/>
        <w:autoSpaceDN/>
        <w:bidi w:val="0"/>
        <w:spacing w:line="440" w:lineRule="exact"/>
        <w:ind w:firstLine="640" w:firstLineChars="200"/>
        <w:textAlignment w:val="auto"/>
        <w:rPr>
          <w:rFonts w:hint="eastAsia" w:ascii="仿宋_GB2312" w:eastAsia="仿宋_GB2312"/>
          <w:color w:val="auto"/>
          <w:sz w:val="32"/>
          <w:szCs w:val="32"/>
          <w:highlight w:val="none"/>
          <w:shd w:val="clear" w:color="auto" w:fill="FFFFFF"/>
          <w:lang w:val="en-US" w:eastAsia="zh-CN"/>
        </w:rPr>
      </w:pPr>
      <w:r>
        <w:rPr>
          <w:rFonts w:hint="eastAsia" w:ascii="仿宋_GB2312" w:eastAsia="仿宋_GB2312"/>
          <w:color w:val="auto"/>
          <w:sz w:val="32"/>
          <w:szCs w:val="32"/>
          <w:highlight w:val="none"/>
          <w:shd w:val="clear" w:color="auto" w:fill="FFFFFF"/>
          <w:lang w:val="en-US" w:eastAsia="zh-CN"/>
        </w:rPr>
        <w:t>施工期现场采取封闭式管理，对运输车辆采取限制车速及加盖苫布、遇到恶劣天气禁止施工作业等措施，抑制扬尘对环境的污染。营运期通过废矿物油采用密封桶装，车间安装防爆换气扇等措施降低</w:t>
      </w:r>
      <w:r>
        <w:rPr>
          <w:rFonts w:hint="eastAsia" w:ascii="仿宋" w:hAnsi="仿宋" w:eastAsia="仿宋" w:cs="仿宋"/>
          <w:color w:val="auto"/>
          <w:sz w:val="32"/>
          <w:szCs w:val="32"/>
          <w:lang w:bidi="en-US"/>
        </w:rPr>
        <w:t>废矿物油储存</w:t>
      </w:r>
      <w:r>
        <w:rPr>
          <w:rFonts w:hint="eastAsia" w:ascii="仿宋" w:hAnsi="仿宋" w:eastAsia="仿宋" w:cs="仿宋"/>
          <w:color w:val="auto"/>
          <w:sz w:val="32"/>
          <w:szCs w:val="32"/>
          <w:lang w:eastAsia="zh-CN" w:bidi="en-US"/>
        </w:rPr>
        <w:t>废气</w:t>
      </w:r>
      <w:r>
        <w:rPr>
          <w:rFonts w:hint="eastAsia" w:ascii="仿宋_GB2312" w:eastAsia="仿宋_GB2312"/>
          <w:color w:val="auto"/>
          <w:sz w:val="32"/>
          <w:szCs w:val="32"/>
          <w:highlight w:val="none"/>
          <w:shd w:val="clear" w:color="auto" w:fill="FFFFFF"/>
          <w:lang w:val="en-US" w:eastAsia="zh-CN"/>
        </w:rPr>
        <w:t>，危废暂存间外无组织非甲烷总烃排放浓度需达到《挥发性有机物无组织排放控制标准》（GB37822-2019）附录A中表A.1的限值要求，厂界无组织非甲烷总烃排放浓度需达到《大气污染物综合排放标准》（GB16297-1996）表2中非甲烷总烃限值要求；装卸、运输等过程中易产生破损废旧铅酸蓄电池，发现有破损蓄电池应及时联系危废处置公司拉运，并在库房设置机械排风系统。</w:t>
      </w:r>
    </w:p>
    <w:p w14:paraId="6CF8F11D">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（二）废水方面。</w:t>
      </w:r>
    </w:p>
    <w:p w14:paraId="2845E23D">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textAlignment w:val="auto"/>
        <w:rPr>
          <w:rFonts w:hint="eastAsia" w:ascii="仿宋_GB2312" w:hAnsi="Calibri" w:eastAsia="仿宋_GB2312" w:cs="Arial"/>
          <w:color w:val="auto"/>
          <w:sz w:val="32"/>
          <w:szCs w:val="32"/>
          <w:highlight w:val="yellow"/>
          <w:lang w:eastAsia="zh-CN"/>
        </w:rPr>
      </w:pPr>
      <w:r>
        <w:rPr>
          <w:rFonts w:hint="eastAsia" w:ascii="仿宋_GB2312" w:hAnsi="Calibri" w:eastAsia="仿宋_GB2312" w:cs="Arial"/>
          <w:bCs/>
          <w:color w:val="auto"/>
          <w:sz w:val="32"/>
          <w:szCs w:val="32"/>
          <w:highlight w:val="none"/>
        </w:rPr>
        <w:t>生活污水集中收集后进行处理，严禁向外环境排放</w:t>
      </w:r>
      <w:r>
        <w:rPr>
          <w:rFonts w:hint="eastAsia" w:ascii="仿宋_GB2312" w:hAnsi="Calibri" w:eastAsia="仿宋_GB2312" w:cs="Arial"/>
          <w:bCs/>
          <w:color w:val="auto"/>
          <w:sz w:val="32"/>
          <w:szCs w:val="32"/>
          <w:highlight w:val="none"/>
          <w:lang w:eastAsia="zh-CN"/>
        </w:rPr>
        <w:t>，</w:t>
      </w:r>
      <w:r>
        <w:rPr>
          <w:rFonts w:hint="eastAsia" w:ascii="仿宋_GB2312" w:hAnsi="Calibri" w:eastAsia="仿宋_GB2312" w:cs="Arial"/>
          <w:bCs/>
          <w:color w:val="auto"/>
          <w:sz w:val="32"/>
          <w:szCs w:val="32"/>
          <w:highlight w:val="none"/>
          <w:lang w:val="en-US" w:eastAsia="zh-CN"/>
        </w:rPr>
        <w:t>并执行《污水综合排放标准》（GB8978-1996）三级标准限值;本项目为危险废物暂存项目，只对本厂区危险废物进行收集、贮存，不进行运输、处置、利用，不会产生生产性废水,危废暂存库地面、墙面及集水池严格按照《危险废物贮存污染控制标准》（GB 18597—2023）中要求采取防渗措施。</w:t>
      </w:r>
    </w:p>
    <w:p w14:paraId="6B890529">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rPr>
          <w:rFonts w:hint="eastAsia" w:ascii="楷体_GB2312" w:hAnsi="Calibri" w:eastAsia="楷体_GB2312" w:cs="Arial"/>
          <w:b/>
          <w:bCs/>
          <w:color w:val="auto"/>
          <w:kern w:val="0"/>
          <w:sz w:val="32"/>
          <w:szCs w:val="32"/>
          <w:highlight w:val="none"/>
          <w:lang w:eastAsia="zh-CN"/>
        </w:rPr>
      </w:pPr>
      <w:r>
        <w:rPr>
          <w:rFonts w:hint="eastAsia" w:ascii="楷体_GB2312" w:hAnsi="Calibri" w:eastAsia="楷体_GB2312" w:cs="Arial"/>
          <w:b/>
          <w:bCs/>
          <w:color w:val="auto"/>
          <w:kern w:val="0"/>
          <w:sz w:val="32"/>
          <w:szCs w:val="32"/>
          <w:highlight w:val="none"/>
        </w:rPr>
        <w:t>（三）噪声方面</w:t>
      </w:r>
      <w:r>
        <w:rPr>
          <w:rFonts w:hint="eastAsia" w:ascii="楷体_GB2312" w:hAnsi="Calibri" w:eastAsia="楷体_GB2312" w:cs="Arial"/>
          <w:b/>
          <w:bCs/>
          <w:color w:val="auto"/>
          <w:kern w:val="0"/>
          <w:sz w:val="32"/>
          <w:szCs w:val="32"/>
          <w:highlight w:val="none"/>
          <w:lang w:eastAsia="zh-CN"/>
        </w:rPr>
        <w:t>。</w:t>
      </w:r>
    </w:p>
    <w:p w14:paraId="2B3294ED">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both"/>
        <w:rPr>
          <w:rFonts w:hint="default" w:ascii="仿宋_GB2312" w:hAnsi="Calibri" w:eastAsia="仿宋_GB2312" w:cs="Arial"/>
          <w:color w:val="auto"/>
          <w:sz w:val="32"/>
          <w:szCs w:val="32"/>
          <w:highlight w:val="none"/>
          <w:lang w:val="en-US" w:eastAsia="zh-CN"/>
        </w:rPr>
      </w:pPr>
      <w:r>
        <w:rPr>
          <w:rFonts w:hint="eastAsia" w:ascii="仿宋_GB2312" w:hAnsi="Calibri" w:eastAsia="仿宋_GB2312" w:cs="Arial"/>
          <w:color w:val="auto"/>
          <w:sz w:val="32"/>
          <w:szCs w:val="32"/>
          <w:highlight w:val="none"/>
          <w:lang w:val="en-US" w:eastAsia="zh-CN"/>
        </w:rPr>
        <w:t>加强建设期及营运期</w:t>
      </w:r>
      <w:r>
        <w:rPr>
          <w:rFonts w:hint="eastAsia" w:ascii="仿宋_GB2312" w:hAnsi="Calibri" w:eastAsia="仿宋_GB2312" w:cs="Arial"/>
          <w:color w:val="auto"/>
          <w:sz w:val="32"/>
          <w:szCs w:val="32"/>
          <w:highlight w:val="none"/>
        </w:rPr>
        <w:t>运输车辆</w:t>
      </w:r>
      <w:r>
        <w:rPr>
          <w:rFonts w:hint="eastAsia" w:ascii="仿宋_GB2312" w:hAnsi="Calibri" w:eastAsia="仿宋_GB2312" w:cs="Arial"/>
          <w:color w:val="auto"/>
          <w:sz w:val="32"/>
          <w:szCs w:val="32"/>
          <w:highlight w:val="none"/>
          <w:lang w:val="en-US" w:eastAsia="zh-CN"/>
        </w:rPr>
        <w:t>管理，采取减速慢行</w:t>
      </w:r>
      <w:r>
        <w:rPr>
          <w:rFonts w:hint="eastAsia" w:ascii="仿宋_GB2312" w:hAnsi="Calibri" w:eastAsia="仿宋_GB2312" w:cs="Arial"/>
          <w:color w:val="auto"/>
          <w:sz w:val="32"/>
          <w:szCs w:val="32"/>
          <w:highlight w:val="none"/>
        </w:rPr>
        <w:t>、禁止鸣笛等措施</w:t>
      </w:r>
      <w:r>
        <w:rPr>
          <w:rFonts w:hint="eastAsia" w:ascii="仿宋_GB2312" w:hAnsi="Calibri" w:eastAsia="仿宋_GB2312" w:cs="Arial"/>
          <w:color w:val="auto"/>
          <w:sz w:val="32"/>
          <w:szCs w:val="32"/>
          <w:highlight w:val="none"/>
          <w:lang w:eastAsia="zh-CN"/>
        </w:rPr>
        <w:t>；</w:t>
      </w:r>
      <w:r>
        <w:rPr>
          <w:rFonts w:hint="eastAsia" w:ascii="仿宋_GB2312" w:hAnsi="Calibri" w:eastAsia="仿宋_GB2312" w:cs="Arial"/>
          <w:color w:val="auto"/>
          <w:sz w:val="32"/>
          <w:szCs w:val="32"/>
          <w:highlight w:val="none"/>
          <w:lang w:val="en-US" w:eastAsia="zh-CN"/>
        </w:rPr>
        <w:t>生产设备合理布局，</w:t>
      </w:r>
      <w:r>
        <w:rPr>
          <w:rFonts w:hint="eastAsia" w:ascii="仿宋_GB2312" w:hAnsi="Calibri" w:eastAsia="仿宋_GB2312" w:cs="Arial"/>
          <w:color w:val="auto"/>
          <w:sz w:val="32"/>
          <w:szCs w:val="32"/>
          <w:highlight w:val="none"/>
        </w:rPr>
        <w:t>采取减振、降噪</w:t>
      </w:r>
      <w:r>
        <w:rPr>
          <w:rFonts w:hint="eastAsia" w:ascii="仿宋_GB2312" w:hAnsi="Calibri" w:eastAsia="仿宋_GB2312" w:cs="Arial"/>
          <w:color w:val="auto"/>
          <w:sz w:val="32"/>
          <w:szCs w:val="32"/>
          <w:highlight w:val="none"/>
          <w:lang w:val="en-US" w:eastAsia="zh-CN"/>
        </w:rPr>
        <w:t>等先进技术</w:t>
      </w:r>
      <w:r>
        <w:rPr>
          <w:rFonts w:hint="eastAsia" w:ascii="仿宋_GB2312" w:hAnsi="Calibri" w:eastAsia="仿宋_GB2312" w:cs="Arial"/>
          <w:color w:val="auto"/>
          <w:sz w:val="32"/>
          <w:szCs w:val="32"/>
          <w:highlight w:val="none"/>
        </w:rPr>
        <w:t>措施，</w:t>
      </w:r>
      <w:r>
        <w:rPr>
          <w:rFonts w:hint="eastAsia" w:ascii="仿宋_GB2312" w:hAnsi="Calibri" w:eastAsia="仿宋_GB2312" w:cs="Arial"/>
          <w:color w:val="auto"/>
          <w:sz w:val="32"/>
          <w:szCs w:val="32"/>
          <w:highlight w:val="none"/>
          <w:lang w:val="en-US" w:eastAsia="zh-CN"/>
        </w:rPr>
        <w:t>降低噪声污染。施工期、营运期噪声执行《建筑施工场界环境噪声排放标准》（GB12523-2011），《工业企业厂界环境噪声排放标准》（GB12348-2008）2类标准。</w:t>
      </w:r>
    </w:p>
    <w:p w14:paraId="48A6DFB0">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rPr>
          <w:rFonts w:hint="eastAsia" w:ascii="楷体_GB2312" w:hAnsi="Calibri" w:eastAsia="楷体_GB2312" w:cs="Arial"/>
          <w:b/>
          <w:bCs/>
          <w:color w:val="auto"/>
          <w:sz w:val="32"/>
          <w:szCs w:val="32"/>
          <w:highlight w:val="none"/>
        </w:rPr>
      </w:pPr>
      <w:r>
        <w:rPr>
          <w:rFonts w:hint="eastAsia" w:ascii="楷体_GB2312" w:hAnsi="Calibri" w:eastAsia="楷体_GB2312" w:cs="Arial"/>
          <w:b/>
          <w:bCs/>
          <w:color w:val="auto"/>
          <w:sz w:val="32"/>
          <w:szCs w:val="32"/>
          <w:highlight w:val="none"/>
        </w:rPr>
        <w:t>（四）固废方面。</w:t>
      </w:r>
    </w:p>
    <w:p w14:paraId="503A30E2">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黑体" w:hAnsi="黑体" w:eastAsia="黑体" w:cs="Arial"/>
          <w:color w:val="auto"/>
          <w:sz w:val="32"/>
          <w:szCs w:val="32"/>
          <w:highlight w:val="none"/>
        </w:rPr>
      </w:pPr>
      <w:r>
        <w:rPr>
          <w:rFonts w:hint="eastAsia" w:ascii="仿宋_GB2312" w:hAnsi="Calibri" w:eastAsia="仿宋_GB2312" w:cs="Arial"/>
          <w:color w:val="auto"/>
          <w:sz w:val="32"/>
          <w:szCs w:val="32"/>
          <w:highlight w:val="none"/>
          <w:lang w:val="en-US" w:eastAsia="zh-CN"/>
        </w:rPr>
        <w:t>建设期</w:t>
      </w:r>
      <w:r>
        <w:rPr>
          <w:rFonts w:hint="eastAsia" w:ascii="仿宋_GB2312" w:hAnsi="Calibri" w:eastAsia="仿宋_GB2312" w:cs="Arial"/>
          <w:color w:val="auto"/>
          <w:sz w:val="32"/>
          <w:szCs w:val="32"/>
          <w:highlight w:val="none"/>
        </w:rPr>
        <w:t>产生的弃土、弃料</w:t>
      </w:r>
      <w:r>
        <w:rPr>
          <w:rFonts w:hint="eastAsia" w:ascii="仿宋_GB2312" w:hAnsi="Calibri" w:eastAsia="仿宋_GB2312" w:cs="Arial"/>
          <w:color w:val="auto"/>
          <w:sz w:val="32"/>
          <w:szCs w:val="32"/>
          <w:highlight w:val="none"/>
          <w:lang w:val="en-US" w:eastAsia="zh-CN"/>
        </w:rPr>
        <w:t>等随产随清</w:t>
      </w:r>
      <w:r>
        <w:rPr>
          <w:rFonts w:hint="eastAsia" w:ascii="仿宋_GB2312" w:hAnsi="Calibri" w:eastAsia="仿宋_GB2312" w:cs="Arial"/>
          <w:color w:val="auto"/>
          <w:sz w:val="32"/>
          <w:szCs w:val="32"/>
          <w:highlight w:val="none"/>
        </w:rPr>
        <w:t>，</w:t>
      </w:r>
      <w:r>
        <w:rPr>
          <w:rFonts w:hint="eastAsia" w:ascii="仿宋_GB2312" w:hAnsi="Calibri" w:eastAsia="仿宋_GB2312" w:cs="Arial"/>
          <w:color w:val="auto"/>
          <w:sz w:val="32"/>
          <w:szCs w:val="32"/>
          <w:highlight w:val="none"/>
          <w:lang w:eastAsia="zh-CN"/>
        </w:rPr>
        <w:t>及时回收综合利用</w:t>
      </w:r>
      <w:r>
        <w:rPr>
          <w:rFonts w:hint="eastAsia" w:ascii="仿宋_GB2312" w:hAnsi="Calibri" w:eastAsia="仿宋_GB2312" w:cs="Arial"/>
          <w:color w:val="auto"/>
          <w:sz w:val="32"/>
          <w:szCs w:val="32"/>
          <w:highlight w:val="none"/>
          <w:lang w:val="en-US" w:eastAsia="zh-CN"/>
        </w:rPr>
        <w:t>或</w:t>
      </w:r>
      <w:r>
        <w:rPr>
          <w:rFonts w:hint="eastAsia" w:ascii="仿宋_GB2312" w:hAnsi="Calibri" w:eastAsia="仿宋_GB2312" w:cs="Arial"/>
          <w:color w:val="auto"/>
          <w:sz w:val="32"/>
          <w:szCs w:val="32"/>
          <w:highlight w:val="none"/>
        </w:rPr>
        <w:t>及时清运至</w:t>
      </w:r>
      <w:r>
        <w:rPr>
          <w:rFonts w:hint="eastAsia" w:ascii="仿宋_GB2312" w:eastAsia="仿宋_GB2312" w:cs="Arial"/>
          <w:color w:val="auto"/>
          <w:sz w:val="32"/>
          <w:szCs w:val="32"/>
          <w:highlight w:val="none"/>
          <w:lang w:val="en-US" w:eastAsia="zh-CN"/>
        </w:rPr>
        <w:t>我旗正规处置场所；营运期产生的废矿物油、废蓄电池、电解液等危险废物委托有资质的单位进行处置，</w:t>
      </w:r>
      <w:r>
        <w:rPr>
          <w:rFonts w:hint="eastAsia" w:ascii="仿宋_GB2312" w:hAnsi="Calibri" w:eastAsia="仿宋_GB2312" w:cs="Arial"/>
          <w:color w:val="auto"/>
          <w:sz w:val="32"/>
          <w:szCs w:val="32"/>
          <w:highlight w:val="none"/>
          <w:lang w:val="en-US" w:eastAsia="zh-CN"/>
        </w:rPr>
        <w:t>严格执行</w:t>
      </w:r>
      <w:r>
        <w:rPr>
          <w:rFonts w:hint="eastAsia" w:ascii="仿宋_GB2312" w:hAnsi="仿宋_GB2312" w:eastAsia="仿宋_GB2312" w:cs="仿宋_GB2312"/>
          <w:color w:val="auto"/>
          <w:sz w:val="32"/>
          <w:szCs w:val="32"/>
          <w:highlight w:val="none"/>
          <w:lang w:val="en-US" w:eastAsia="zh-CN"/>
        </w:rPr>
        <w:t>《危险废物贮存污染控制标准》（GB18597-2023）、</w:t>
      </w:r>
      <w:r>
        <w:rPr>
          <w:rFonts w:hint="eastAsia" w:ascii="仿宋_GB2312" w:hAnsi="Calibri" w:eastAsia="仿宋_GB2312" w:cs="Arial"/>
          <w:color w:val="auto"/>
          <w:sz w:val="32"/>
          <w:szCs w:val="32"/>
          <w:highlight w:val="none"/>
          <w:lang w:val="en-US" w:eastAsia="zh-CN"/>
        </w:rPr>
        <w:t>危险废物转移联单制度等相关法律法规及管理要求，张贴危险废物标识，建立危险废物台账，如实记载危险废物种类、数量、性质、产生环节、流向、贮存、利用处置等信息；建设期和营运期产生的</w:t>
      </w:r>
      <w:r>
        <w:rPr>
          <w:rFonts w:hint="eastAsia" w:ascii="仿宋_GB2312" w:hAnsi="Calibri" w:eastAsia="仿宋_GB2312" w:cs="Arial"/>
          <w:color w:val="auto"/>
          <w:sz w:val="32"/>
          <w:szCs w:val="32"/>
          <w:highlight w:val="none"/>
        </w:rPr>
        <w:t>生活垃圾集中收集后</w:t>
      </w:r>
      <w:r>
        <w:rPr>
          <w:rFonts w:hint="default" w:ascii="仿宋_GB2312" w:hAnsi="Calibri" w:eastAsia="仿宋_GB2312" w:cs="Arial"/>
          <w:color w:val="auto"/>
          <w:sz w:val="32"/>
          <w:szCs w:val="32"/>
          <w:highlight w:val="none"/>
          <w:lang w:eastAsia="zh-CN"/>
        </w:rPr>
        <w:t>规范处置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严格按照</w:t>
      </w:r>
      <w:r>
        <w:rPr>
          <w:rFonts w:hint="eastAsia" w:ascii="仿宋_GB2312" w:hAnsi="仿宋_GB2312" w:eastAsia="仿宋_GB2312" w:cs="仿宋_GB2312"/>
          <w:color w:val="auto"/>
          <w:sz w:val="32"/>
          <w:szCs w:val="32"/>
          <w:highlight w:val="none"/>
        </w:rPr>
        <w:t>《一般工业固体废物贮存和填埋污染控制标准》（GB18599-20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）执行。</w:t>
      </w:r>
      <w:r>
        <w:rPr>
          <w:rFonts w:hint="eastAsia" w:ascii="仿宋_GB2312" w:hAnsi="仿宋_GB2312" w:eastAsia="仿宋_GB2312" w:cs="仿宋_GB2312"/>
          <w:color w:val="auto"/>
          <w:sz w:val="32"/>
          <w:szCs w:val="32"/>
          <w:highlight w:val="none"/>
          <w:lang w:val="en-US" w:eastAsia="zh-CN"/>
        </w:rPr>
        <w:t xml:space="preserve">   </w:t>
      </w:r>
    </w:p>
    <w:p w14:paraId="6E54555A">
      <w:pPr>
        <w:keepNext w:val="0"/>
        <w:keepLines w:val="0"/>
        <w:pageBreakBefore w:val="0"/>
        <w:widowControl w:val="0"/>
        <w:numPr>
          <w:ilvl w:val="0"/>
          <w:numId w:val="2"/>
        </w:numPr>
        <w:kinsoku/>
        <w:wordWrap/>
        <w:overflowPunct/>
        <w:topLinePunct w:val="0"/>
        <w:autoSpaceDE w:val="0"/>
        <w:autoSpaceDN w:val="0"/>
        <w:bidi w:val="0"/>
        <w:adjustRightInd w:val="0"/>
        <w:spacing w:line="560" w:lineRule="exact"/>
        <w:ind w:firstLine="640" w:firstLineChars="200"/>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执行“三同时”制度</w:t>
      </w:r>
    </w:p>
    <w:p w14:paraId="47348DE7">
      <w:pPr>
        <w:keepNext w:val="0"/>
        <w:keepLines w:val="0"/>
        <w:pageBreakBefore w:val="0"/>
        <w:widowControl w:val="0"/>
        <w:numPr>
          <w:ilvl w:val="0"/>
          <w:numId w:val="0"/>
        </w:numPr>
        <w:kinsoku/>
        <w:wordWrap/>
        <w:overflowPunct/>
        <w:topLinePunct w:val="0"/>
        <w:autoSpaceDE w:val="0"/>
        <w:autoSpaceDN w:val="0"/>
        <w:bidi w:val="0"/>
        <w:adjustRightInd w:val="0"/>
        <w:spacing w:line="560" w:lineRule="exact"/>
        <w:ind w:firstLine="640" w:firstLineChars="200"/>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本项目建设必须严格执行生态环境保护设施与主体工程同时设计、同时施工、同时投产使用的生态环境保护“三同时”制度。</w:t>
      </w:r>
    </w:p>
    <w:p w14:paraId="5F997237">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（一）要将生态环境保护措施纳入初步设计报告并落实环保设施投资概算。</w:t>
      </w:r>
    </w:p>
    <w:p w14:paraId="46FA9F65">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（二）要将生态环境保护设施建设纳入施工合同，保证生态环境保护设施建设进度和资金。</w:t>
      </w:r>
    </w:p>
    <w:p w14:paraId="6D6C315B">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（三）项目竣工后须按规定程序实施竣工环境保护验收，验收合格后方可正式投运。</w:t>
      </w:r>
    </w:p>
    <w:p w14:paraId="47DB1A40">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黑体" w:hAnsi="黑体" w:eastAsia="黑体" w:cs="Arial"/>
          <w:color w:val="auto"/>
          <w:sz w:val="32"/>
          <w:szCs w:val="32"/>
          <w:highlight w:val="none"/>
        </w:rPr>
      </w:pPr>
      <w:r>
        <w:rPr>
          <w:rFonts w:hint="eastAsia" w:ascii="黑体" w:hAnsi="黑体" w:eastAsia="黑体" w:cs="Arial"/>
          <w:color w:val="auto"/>
          <w:sz w:val="32"/>
          <w:szCs w:val="32"/>
          <w:highlight w:val="none"/>
        </w:rPr>
        <w:t>四、其他要求</w:t>
      </w:r>
    </w:p>
    <w:p w14:paraId="110C625C">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东乌珠穆沁旗生态环境综合行政执法大队对该项目建设期间及运行期间各项生态环境保护措施落实情况进行监督检查和管理。</w:t>
      </w:r>
    </w:p>
    <w:p w14:paraId="50DE787A">
      <w:pPr>
        <w:rPr>
          <w:rFonts w:hint="eastAsia"/>
          <w:color w:val="auto"/>
          <w:highlight w:val="none"/>
        </w:rPr>
      </w:pPr>
    </w:p>
    <w:p w14:paraId="40E91BAD">
      <w:pPr>
        <w:keepNext w:val="0"/>
        <w:keepLines w:val="0"/>
        <w:pageBreakBefore w:val="0"/>
        <w:widowControl w:val="0"/>
        <w:kinsoku/>
        <w:wordWrap/>
        <w:overflowPunct/>
        <w:topLinePunct w:val="0"/>
        <w:autoSpaceDE w:val="0"/>
        <w:autoSpaceDN w:val="0"/>
        <w:bidi w:val="0"/>
        <w:adjustRightInd w:val="0"/>
        <w:spacing w:line="560" w:lineRule="exact"/>
        <w:ind w:firstLine="4160" w:firstLineChars="1300"/>
        <w:rPr>
          <w:rFonts w:hint="eastAsia" w:ascii="仿宋_GB2312" w:hAnsi="Calibri" w:eastAsia="仿宋_GB2312" w:cs="Arial"/>
          <w:color w:val="auto"/>
          <w:sz w:val="32"/>
          <w:szCs w:val="32"/>
          <w:highlight w:val="none"/>
        </w:rPr>
      </w:pPr>
      <w:r>
        <w:rPr>
          <w:rFonts w:hint="eastAsia" w:ascii="仿宋_GB2312" w:hAnsi="Calibri" w:eastAsia="仿宋_GB2312" w:cs="Arial"/>
          <w:color w:val="auto"/>
          <w:sz w:val="32"/>
          <w:szCs w:val="32"/>
          <w:highlight w:val="none"/>
        </w:rPr>
        <w:t>锡林郭勒盟生态环境局</w:t>
      </w:r>
    </w:p>
    <w:p w14:paraId="102DD88B">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center"/>
        <w:rPr>
          <w:rFonts w:hint="eastAsia"/>
          <w:color w:val="auto"/>
          <w:lang w:val="en-US" w:eastAsia="zh-CN"/>
        </w:rPr>
      </w:pPr>
      <w:r>
        <w:rPr>
          <w:rFonts w:hint="eastAsia" w:ascii="仿宋_GB2312" w:hAnsi="Calibri" w:eastAsia="仿宋_GB2312" w:cs="Arial"/>
          <w:color w:val="auto"/>
          <w:sz w:val="32"/>
          <w:szCs w:val="32"/>
          <w:highlight w:val="none"/>
        </w:rPr>
        <w:t xml:space="preserve">                  </w:t>
      </w:r>
      <w:r>
        <w:rPr>
          <w:rFonts w:hint="eastAsia" w:ascii="仿宋_GB2312" w:hAnsi="Calibri" w:eastAsia="仿宋_GB2312" w:cs="Arial"/>
          <w:color w:val="auto"/>
          <w:sz w:val="32"/>
          <w:szCs w:val="32"/>
          <w:highlight w:val="none"/>
          <w:lang w:eastAsia="zh-CN"/>
        </w:rPr>
        <w:t>202</w:t>
      </w:r>
      <w:r>
        <w:rPr>
          <w:rFonts w:hint="eastAsia" w:ascii="仿宋_GB2312" w:hAnsi="Calibri" w:eastAsia="仿宋_GB2312" w:cs="Arial"/>
          <w:color w:val="auto"/>
          <w:sz w:val="32"/>
          <w:szCs w:val="32"/>
          <w:highlight w:val="none"/>
          <w:lang w:val="en-US" w:eastAsia="zh-CN"/>
        </w:rPr>
        <w:t>4</w:t>
      </w:r>
      <w:r>
        <w:rPr>
          <w:rFonts w:hint="eastAsia" w:ascii="仿宋_GB2312" w:hAnsi="Calibri" w:eastAsia="仿宋_GB2312" w:cs="Arial"/>
          <w:color w:val="auto"/>
          <w:sz w:val="32"/>
          <w:szCs w:val="32"/>
          <w:highlight w:val="none"/>
          <w:lang w:eastAsia="zh-CN"/>
        </w:rPr>
        <w:t>年</w:t>
      </w:r>
      <w:r>
        <w:rPr>
          <w:rFonts w:hint="eastAsia" w:ascii="仿宋_GB2312" w:hAnsi="Calibri" w:eastAsia="仿宋_GB2312" w:cs="Arial"/>
          <w:color w:val="auto"/>
          <w:sz w:val="32"/>
          <w:szCs w:val="32"/>
          <w:highlight w:val="none"/>
          <w:lang w:val="en-US" w:eastAsia="zh-CN"/>
        </w:rPr>
        <w:t>6</w:t>
      </w:r>
      <w:r>
        <w:rPr>
          <w:rFonts w:hint="eastAsia" w:ascii="仿宋_GB2312" w:hAnsi="Calibri" w:eastAsia="仿宋_GB2312" w:cs="Arial"/>
          <w:color w:val="auto"/>
          <w:sz w:val="32"/>
          <w:szCs w:val="32"/>
          <w:highlight w:val="none"/>
          <w:lang w:eastAsia="zh-CN"/>
        </w:rPr>
        <w:t>月</w:t>
      </w:r>
      <w:r>
        <w:rPr>
          <w:rFonts w:hint="eastAsia" w:ascii="仿宋_GB2312" w:hAnsi="Calibri" w:eastAsia="仿宋_GB2312" w:cs="Arial"/>
          <w:color w:val="auto"/>
          <w:sz w:val="32"/>
          <w:szCs w:val="32"/>
          <w:highlight w:val="none"/>
          <w:lang w:val="en-US" w:eastAsia="zh-CN"/>
        </w:rPr>
        <w:t>27</w:t>
      </w:r>
      <w:r>
        <w:rPr>
          <w:rFonts w:hint="eastAsia" w:ascii="仿宋_GB2312" w:hAnsi="Calibri" w:eastAsia="仿宋_GB2312" w:cs="Arial"/>
          <w:color w:val="auto"/>
          <w:sz w:val="32"/>
          <w:szCs w:val="32"/>
          <w:highlight w:val="none"/>
          <w:lang w:eastAsia="zh-CN"/>
        </w:rPr>
        <w:t>日</w:t>
      </w:r>
    </w:p>
    <w:p w14:paraId="16E5EBD3">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12700</wp:posOffset>
                </wp:positionH>
                <wp:positionV relativeFrom="paragraph">
                  <wp:posOffset>25400</wp:posOffset>
                </wp:positionV>
                <wp:extent cx="5220335" cy="10795"/>
                <wp:effectExtent l="0" t="4445" r="18415" b="13335"/>
                <wp:wrapNone/>
                <wp:docPr id="12" name="直接箭头连接符 12"/>
                <wp:cNvGraphicFramePr/>
                <a:graphic xmlns:a="http://schemas.openxmlformats.org/drawingml/2006/main">
                  <a:graphicData uri="http://schemas.microsoft.com/office/word/2010/wordprocessingShape">
                    <wps:wsp>
                      <wps:cNvCnPr/>
                      <wps:spPr>
                        <a:xfrm flipV="1">
                          <a:off x="0" y="0"/>
                          <a:ext cx="5220335" cy="10795"/>
                        </a:xfrm>
                        <a:prstGeom prst="straightConnector1">
                          <a:avLst/>
                        </a:prstGeom>
                        <a:ln w="317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1pt;margin-top:2pt;height:0.85pt;width:411.05pt;z-index:251659264;mso-width-relative:page;mso-height-relative:page;" filled="f" stroked="t" coordsize="21600,21600" o:gfxdata="UEsDBAoAAAAAAIdO4kAAAAAAAAAAAAAAAAAEAAAAZHJzL1BLAwQUAAAACACHTuJAy7qnlNUAAAAF&#10;AQAADwAAAGRycy9kb3ducmV2LnhtbE2PQUvDQBCF74L/YRnBS7GbxFRLzKQHodegUfA6zU6TYHY3&#10;ZLdt9Nc7nvQ0PN7jvW/K3WJHdeY5DN4hpOsEFLvWm8F1CO9v+7stqBDJGRq9Y4QvDrCrrq9KKoy/&#10;uFc+N7FTUuJCQQh9jFOhdWh7thTWfmIn3tHPlqLIudNmpouU21FnSfKgLQ1OFnqa+Lnn9rM5WYQP&#10;G5fxZbUZjnU+rcL3fd3Qvka8vUmTJ1CRl/gXhl98QYdKmA7+5ExQI0Imn0SEXI642yxPQR0QNo+g&#10;q1L/p69+AFBLAwQUAAAACACHTuJAQnHRWwsCAAAGBAAADgAAAGRycy9lMm9Eb2MueG1srVO9jhMx&#10;EO6ReAfLPdlNonCwyuaKhKNBEImf3rG9u5b8J4+TTV6CF0CiAiqO6nqeBo7HYOwNAY4mBS6ssWfm&#10;m/k+j+eXe6PJTgZQztZ0PCopkZY7oWxb09evrh48ogQis4JpZ2VNDxLo5eL+vXnvKzlxndNCBoIg&#10;Fqre17SL0VdFAbyThsHIeWnR2bhgWMRjaAsRWI/oRheTsnxY9C4IHxyXAHi7Gpz0iBjOAXRNo7hc&#10;Ob410sYBNUjNIlKCTnmgi9xt00geXzQNyEh0TZFpzDsWQXuT9mIxZ1UbmO8UP7bAzmnhDifDlMWi&#10;J6gVi4xsg/oHyigeHLgmjrgzxUAkK4IsxuUdbV52zMvMBaUGfxId/h8sf75bB6IETsKEEssMvvjt&#10;u5vvbz/efrn+9uHmx9f3yf78iaAfxeo9VJiztOtwPIFfh8R83wRDGq38G8TKWiA7ss9SH05Sy30k&#10;HC9nk0k5nc4o4egblxePZwm9GGASnA8Qn0pnSDJqCjEw1XZx6azFR3VhKMF2zyAOib8SUrK2pK/p&#10;dHyRCjAc0gaHA03jkSjYNrcHTitxpbROGRDazVIHsmNpUPI6NvRXWCqyYtANcdmVwlgV3NaKbHWS&#10;iSdWkHjwqKXFP0RTM0YKSrTEL5esHBmZ0udEoiraojhJ+0HtZG2cOORHyPc4Hlm+4yin+fvznLN/&#10;f9/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u6p5TVAAAABQEAAA8AAAAAAAAAAQAgAAAAIgAA&#10;AGRycy9kb3ducmV2LnhtbFBLAQIUABQAAAAIAIdO4kBCcdFbCwIAAAYEAAAOAAAAAAAAAAEAIAAA&#10;ACQBAABkcnMvZTJvRG9jLnhtbFBLBQYAAAAABgAGAFkBAAChBQAAAAA=&#10;">
                <v:fill on="f" focussize="0,0"/>
                <v:stroke weight="0.25pt" color="#000000" joinstyle="round"/>
                <v:imagedata o:title=""/>
                <o:lock v:ext="edit" aspectratio="f"/>
              </v:shape>
            </w:pict>
          </mc:Fallback>
        </mc:AlternateContent>
      </w:r>
      <w:r>
        <w:rPr>
          <w:rFonts w:hint="eastAsia" w:ascii="仿宋_GB2312" w:hAnsi="仿宋_GB2312" w:eastAsia="仿宋_GB2312" w:cs="仿宋_GB2312"/>
          <w:color w:val="auto"/>
          <w:kern w:val="2"/>
          <w:sz w:val="24"/>
          <w:szCs w:val="24"/>
          <w:lang w:val="en-US" w:eastAsia="zh-CN" w:bidi="ar-SA"/>
        </w:rPr>
        <w:t>抄送：盟生态环境综合行政执法支队       盟生态环境局东乌珠穆沁旗分局</w:t>
      </w:r>
    </w:p>
    <w:p w14:paraId="79EA852F">
      <w:pPr>
        <w:pStyle w:val="13"/>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pacing w:before="62" w:beforeLines="20" w:line="560" w:lineRule="exact"/>
        <w:jc w:val="both"/>
        <w:textAlignment w:val="auto"/>
        <w:rPr>
          <w:rFonts w:ascii="Calibri" w:hAnsi="Calibri" w:eastAsia="宋体" w:cs="Arial"/>
          <w:color w:val="auto"/>
          <w:szCs w:val="21"/>
        </w:rPr>
      </w:pPr>
      <w:r>
        <w:rPr>
          <w:rFonts w:hint="eastAsia" w:ascii="仿宋_GB2312" w:hAnsi="仿宋_GB2312" w:eastAsia="仿宋_GB2312" w:cs="仿宋_GB2312"/>
          <w:color w:val="auto"/>
          <w:kern w:val="2"/>
          <w:sz w:val="28"/>
          <w:szCs w:val="28"/>
          <w:lang w:val="en-US" w:eastAsia="zh-CN" w:bidi="ar-SA"/>
        </w:rPr>
        <w:t>锡林郭勒盟生态环境局办公室             2024年6月27日印发</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58E86">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15A7E">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015A7E">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1B7A5C"/>
    <w:multiLevelType w:val="singleLevel"/>
    <w:tmpl w:val="D61B7A5C"/>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3B018EB6"/>
    <w:multiLevelType w:val="singleLevel"/>
    <w:tmpl w:val="3B018EB6"/>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YzFkMjhiMGE4NWZhYWJjZTAzNzdkNzQ2ZmI3MTYifQ=="/>
  </w:docVars>
  <w:rsids>
    <w:rsidRoot w:val="008C043C"/>
    <w:rsid w:val="0038300B"/>
    <w:rsid w:val="005F7B71"/>
    <w:rsid w:val="007658FF"/>
    <w:rsid w:val="00820D53"/>
    <w:rsid w:val="008C043C"/>
    <w:rsid w:val="009844B6"/>
    <w:rsid w:val="009F66BD"/>
    <w:rsid w:val="00FE4844"/>
    <w:rsid w:val="02313F99"/>
    <w:rsid w:val="02AE1145"/>
    <w:rsid w:val="036D0E8E"/>
    <w:rsid w:val="04F76DD4"/>
    <w:rsid w:val="058A5E9A"/>
    <w:rsid w:val="061D0ABC"/>
    <w:rsid w:val="070F49A2"/>
    <w:rsid w:val="07D4164E"/>
    <w:rsid w:val="07E20276"/>
    <w:rsid w:val="08163A15"/>
    <w:rsid w:val="08EE4992"/>
    <w:rsid w:val="099F7A3A"/>
    <w:rsid w:val="09DE0562"/>
    <w:rsid w:val="0A0F696E"/>
    <w:rsid w:val="0A430D0D"/>
    <w:rsid w:val="0AA93DF5"/>
    <w:rsid w:val="0B627C36"/>
    <w:rsid w:val="0B85160C"/>
    <w:rsid w:val="0B941820"/>
    <w:rsid w:val="0BD22349"/>
    <w:rsid w:val="0D006C17"/>
    <w:rsid w:val="0D84493F"/>
    <w:rsid w:val="0E3B20E1"/>
    <w:rsid w:val="0E4A266A"/>
    <w:rsid w:val="0E686F94"/>
    <w:rsid w:val="10150A56"/>
    <w:rsid w:val="10A81CF0"/>
    <w:rsid w:val="11692E07"/>
    <w:rsid w:val="152817C5"/>
    <w:rsid w:val="155B515D"/>
    <w:rsid w:val="15A72150"/>
    <w:rsid w:val="16B56AEF"/>
    <w:rsid w:val="17677AB2"/>
    <w:rsid w:val="17B10865"/>
    <w:rsid w:val="17DB5C48"/>
    <w:rsid w:val="19120228"/>
    <w:rsid w:val="1ADA4D76"/>
    <w:rsid w:val="1B0818E3"/>
    <w:rsid w:val="1B64761F"/>
    <w:rsid w:val="1BB9498B"/>
    <w:rsid w:val="1CB824AC"/>
    <w:rsid w:val="1E1836BE"/>
    <w:rsid w:val="1E732FC1"/>
    <w:rsid w:val="1F07774F"/>
    <w:rsid w:val="1F422EEA"/>
    <w:rsid w:val="1FE033A1"/>
    <w:rsid w:val="20315438"/>
    <w:rsid w:val="208A0FEC"/>
    <w:rsid w:val="214A0C4E"/>
    <w:rsid w:val="216A09F5"/>
    <w:rsid w:val="21A34113"/>
    <w:rsid w:val="22E20377"/>
    <w:rsid w:val="22FF6810"/>
    <w:rsid w:val="235A4CA6"/>
    <w:rsid w:val="23A52533"/>
    <w:rsid w:val="240B5FA0"/>
    <w:rsid w:val="25E116AE"/>
    <w:rsid w:val="27B32BD6"/>
    <w:rsid w:val="27DA63B5"/>
    <w:rsid w:val="280E2503"/>
    <w:rsid w:val="28137B19"/>
    <w:rsid w:val="292875F4"/>
    <w:rsid w:val="29AC18CA"/>
    <w:rsid w:val="29FB0865"/>
    <w:rsid w:val="29FD638B"/>
    <w:rsid w:val="2A59718E"/>
    <w:rsid w:val="2AC46EA9"/>
    <w:rsid w:val="2D3A5D8D"/>
    <w:rsid w:val="2D542766"/>
    <w:rsid w:val="2D8868B3"/>
    <w:rsid w:val="2E5461D3"/>
    <w:rsid w:val="2E7674A3"/>
    <w:rsid w:val="2EFA0694"/>
    <w:rsid w:val="31495728"/>
    <w:rsid w:val="31540F86"/>
    <w:rsid w:val="31A145D7"/>
    <w:rsid w:val="324F5BF1"/>
    <w:rsid w:val="342033A2"/>
    <w:rsid w:val="34474DD2"/>
    <w:rsid w:val="35562C74"/>
    <w:rsid w:val="37360638"/>
    <w:rsid w:val="37B704C1"/>
    <w:rsid w:val="37C36E66"/>
    <w:rsid w:val="383C2774"/>
    <w:rsid w:val="39047736"/>
    <w:rsid w:val="394713D0"/>
    <w:rsid w:val="398D772B"/>
    <w:rsid w:val="399A59A4"/>
    <w:rsid w:val="39C66799"/>
    <w:rsid w:val="3B4219A0"/>
    <w:rsid w:val="3B914B85"/>
    <w:rsid w:val="3BC82C9D"/>
    <w:rsid w:val="3BDD327F"/>
    <w:rsid w:val="3D6407A3"/>
    <w:rsid w:val="40E816EB"/>
    <w:rsid w:val="416C40CA"/>
    <w:rsid w:val="41CF4659"/>
    <w:rsid w:val="4255690C"/>
    <w:rsid w:val="42EC2E6D"/>
    <w:rsid w:val="42F36125"/>
    <w:rsid w:val="444A6219"/>
    <w:rsid w:val="45763769"/>
    <w:rsid w:val="469E0729"/>
    <w:rsid w:val="47857C94"/>
    <w:rsid w:val="48710218"/>
    <w:rsid w:val="48C94277"/>
    <w:rsid w:val="49E05655"/>
    <w:rsid w:val="4A832DD5"/>
    <w:rsid w:val="4B49547C"/>
    <w:rsid w:val="4CBB4158"/>
    <w:rsid w:val="4D447CA9"/>
    <w:rsid w:val="4D56216C"/>
    <w:rsid w:val="4E1F24C4"/>
    <w:rsid w:val="4E651FE8"/>
    <w:rsid w:val="4E762ABE"/>
    <w:rsid w:val="4FD74E04"/>
    <w:rsid w:val="507F724A"/>
    <w:rsid w:val="50DB0924"/>
    <w:rsid w:val="523D0641"/>
    <w:rsid w:val="523D34F4"/>
    <w:rsid w:val="55652AC4"/>
    <w:rsid w:val="565E627F"/>
    <w:rsid w:val="56612F25"/>
    <w:rsid w:val="57C9597B"/>
    <w:rsid w:val="580735BC"/>
    <w:rsid w:val="580746F5"/>
    <w:rsid w:val="591B0458"/>
    <w:rsid w:val="595C281E"/>
    <w:rsid w:val="59A71CEC"/>
    <w:rsid w:val="59C748A7"/>
    <w:rsid w:val="59E720E8"/>
    <w:rsid w:val="5A706581"/>
    <w:rsid w:val="5ABD109B"/>
    <w:rsid w:val="5AEC372E"/>
    <w:rsid w:val="5B1C2265"/>
    <w:rsid w:val="5BBD0173"/>
    <w:rsid w:val="5BE121A7"/>
    <w:rsid w:val="5DFE5C52"/>
    <w:rsid w:val="5E0771FD"/>
    <w:rsid w:val="5E2C6C63"/>
    <w:rsid w:val="5EE73DC1"/>
    <w:rsid w:val="5EF579C8"/>
    <w:rsid w:val="5F1B49ED"/>
    <w:rsid w:val="5F54797E"/>
    <w:rsid w:val="5FAE5456"/>
    <w:rsid w:val="5FCF6572"/>
    <w:rsid w:val="600A6B30"/>
    <w:rsid w:val="60FB2842"/>
    <w:rsid w:val="61D70C94"/>
    <w:rsid w:val="624A3B5C"/>
    <w:rsid w:val="63716EC6"/>
    <w:rsid w:val="64382ACA"/>
    <w:rsid w:val="64405216"/>
    <w:rsid w:val="645C52D0"/>
    <w:rsid w:val="646A4041"/>
    <w:rsid w:val="652930D1"/>
    <w:rsid w:val="660F30F2"/>
    <w:rsid w:val="66D24120"/>
    <w:rsid w:val="66D9725C"/>
    <w:rsid w:val="67BF46A4"/>
    <w:rsid w:val="68321757"/>
    <w:rsid w:val="68C1444C"/>
    <w:rsid w:val="699456BD"/>
    <w:rsid w:val="699658D9"/>
    <w:rsid w:val="69E45977"/>
    <w:rsid w:val="6B626157"/>
    <w:rsid w:val="6B8D008F"/>
    <w:rsid w:val="6BAC3463"/>
    <w:rsid w:val="6BE97F42"/>
    <w:rsid w:val="6CCF3DD4"/>
    <w:rsid w:val="6D6B5FE4"/>
    <w:rsid w:val="6E453429"/>
    <w:rsid w:val="6F401568"/>
    <w:rsid w:val="6F7F210C"/>
    <w:rsid w:val="6F9C52CB"/>
    <w:rsid w:val="70856F2A"/>
    <w:rsid w:val="71026966"/>
    <w:rsid w:val="729727E7"/>
    <w:rsid w:val="73092C77"/>
    <w:rsid w:val="74C97F59"/>
    <w:rsid w:val="75151DA7"/>
    <w:rsid w:val="75E1200D"/>
    <w:rsid w:val="77A967D7"/>
    <w:rsid w:val="785F7466"/>
    <w:rsid w:val="78656BA2"/>
    <w:rsid w:val="79E306C6"/>
    <w:rsid w:val="79F503F9"/>
    <w:rsid w:val="7AFD2CD7"/>
    <w:rsid w:val="7BCC6F38"/>
    <w:rsid w:val="7C06069C"/>
    <w:rsid w:val="7C3A20F4"/>
    <w:rsid w:val="7C3C2310"/>
    <w:rsid w:val="7C4C339B"/>
    <w:rsid w:val="7CAC1243"/>
    <w:rsid w:val="7D060CE3"/>
    <w:rsid w:val="7D2D3A06"/>
    <w:rsid w:val="7E3239CA"/>
    <w:rsid w:val="7E4A44F7"/>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qFormat="1" w:unhideWhenUsed="0" w:uiPriority="0" w:semiHidden="0"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8">
    <w:name w:val="Default Paragraph Font"/>
    <w:autoRedefine/>
    <w:unhideWhenUsed/>
    <w:qFormat/>
    <w:uiPriority w:val="1"/>
  </w:style>
  <w:style w:type="table" w:default="1" w:styleId="1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E-mail Signature"/>
    <w:basedOn w:val="1"/>
    <w:next w:val="3"/>
    <w:autoRedefine/>
    <w:qFormat/>
    <w:uiPriority w:val="0"/>
    <w:pPr>
      <w:spacing w:line="460" w:lineRule="exact"/>
      <w:ind w:firstLine="200"/>
    </w:pPr>
    <w:rPr>
      <w:sz w:val="24"/>
    </w:rPr>
  </w:style>
  <w:style w:type="paragraph" w:customStyle="1" w:styleId="3">
    <w:name w:val="文章"/>
    <w:basedOn w:val="4"/>
    <w:next w:val="5"/>
    <w:autoRedefine/>
    <w:qFormat/>
    <w:uiPriority w:val="0"/>
    <w:pPr>
      <w:widowControl/>
      <w:ind w:firstLine="480"/>
      <w:jc w:val="center"/>
    </w:pPr>
    <w:rPr>
      <w:sz w:val="26"/>
    </w:rPr>
  </w:style>
  <w:style w:type="paragraph" w:styleId="4">
    <w:name w:val="Body Text Indent"/>
    <w:basedOn w:val="1"/>
    <w:next w:val="1"/>
    <w:autoRedefine/>
    <w:qFormat/>
    <w:uiPriority w:val="0"/>
    <w:pPr>
      <w:spacing w:after="120"/>
      <w:ind w:left="420" w:leftChars="200"/>
    </w:pPr>
    <w:rPr>
      <w:kern w:val="0"/>
      <w:sz w:val="24"/>
      <w:szCs w:val="20"/>
    </w:rPr>
  </w:style>
  <w:style w:type="paragraph" w:styleId="5">
    <w:name w:val="List"/>
    <w:basedOn w:val="1"/>
    <w:next w:val="6"/>
    <w:autoRedefine/>
    <w:qFormat/>
    <w:uiPriority w:val="0"/>
    <w:pPr>
      <w:ind w:left="200" w:hanging="200" w:hangingChars="200"/>
      <w:contextualSpacing/>
    </w:pPr>
  </w:style>
  <w:style w:type="paragraph" w:styleId="6">
    <w:name w:val="List Bullet 2"/>
    <w:basedOn w:val="1"/>
    <w:next w:val="7"/>
    <w:autoRedefine/>
    <w:semiHidden/>
    <w:unhideWhenUsed/>
    <w:qFormat/>
    <w:uiPriority w:val="99"/>
    <w:pPr>
      <w:numPr>
        <w:ilvl w:val="0"/>
        <w:numId w:val="1"/>
      </w:numPr>
    </w:pPr>
  </w:style>
  <w:style w:type="paragraph" w:customStyle="1" w:styleId="7">
    <w:name w:val="xl70"/>
    <w:basedOn w:val="1"/>
    <w:next w:val="8"/>
    <w:autoRedefine/>
    <w:qFormat/>
    <w:uiPriority w:val="0"/>
    <w:pPr>
      <w:widowControl/>
      <w:spacing w:before="280" w:after="280"/>
    </w:pPr>
    <w:rPr>
      <w:rFonts w:ascii="宋体"/>
    </w:rPr>
  </w:style>
  <w:style w:type="paragraph" w:customStyle="1" w:styleId="8">
    <w:name w:val="正文缩进1"/>
    <w:basedOn w:val="1"/>
    <w:next w:val="9"/>
    <w:autoRedefine/>
    <w:qFormat/>
    <w:uiPriority w:val="0"/>
    <w:pPr>
      <w:ind w:firstLine="420"/>
    </w:pPr>
    <w:rPr>
      <w:szCs w:val="20"/>
    </w:rPr>
  </w:style>
  <w:style w:type="paragraph" w:customStyle="1" w:styleId="9">
    <w:name w:val="td1"/>
    <w:basedOn w:val="1"/>
    <w:next w:val="1"/>
    <w:autoRedefine/>
    <w:qFormat/>
    <w:uiPriority w:val="0"/>
    <w:pPr>
      <w:widowControl/>
      <w:spacing w:before="280" w:after="280" w:line="300" w:lineRule="atLeast"/>
      <w:ind w:firstLine="200"/>
    </w:pPr>
    <w:rPr>
      <w:color w:val="000000"/>
      <w:sz w:val="18"/>
    </w:rPr>
  </w:style>
  <w:style w:type="paragraph" w:styleId="10">
    <w:name w:val="Body Text"/>
    <w:basedOn w:val="1"/>
    <w:next w:val="1"/>
    <w:autoRedefine/>
    <w:qFormat/>
    <w:uiPriority w:val="0"/>
    <w:pPr>
      <w:widowControl/>
      <w:snapToGrid w:val="0"/>
      <w:spacing w:before="60" w:after="160" w:line="259" w:lineRule="auto"/>
      <w:ind w:right="113"/>
    </w:pPr>
    <w:rPr>
      <w:kern w:val="0"/>
      <w:sz w:val="18"/>
      <w:szCs w:val="20"/>
    </w:rPr>
  </w:style>
  <w:style w:type="paragraph" w:styleId="11">
    <w:name w:val="Plain Text"/>
    <w:basedOn w:val="1"/>
    <w:next w:val="1"/>
    <w:autoRedefine/>
    <w:qFormat/>
    <w:uiPriority w:val="0"/>
    <w:rPr>
      <w:rFonts w:ascii="宋体" w:hAnsi="Courier New"/>
    </w:rPr>
  </w:style>
  <w:style w:type="paragraph" w:styleId="12">
    <w:name w:val="endnote text"/>
    <w:basedOn w:val="1"/>
    <w:next w:val="11"/>
    <w:autoRedefine/>
    <w:qFormat/>
    <w:uiPriority w:val="0"/>
    <w:pPr>
      <w:snapToGrid w:val="0"/>
      <w:jc w:val="left"/>
    </w:pPr>
  </w:style>
  <w:style w:type="paragraph" w:styleId="13">
    <w:name w:val="footer"/>
    <w:basedOn w:val="1"/>
    <w:next w:val="1"/>
    <w:autoRedefine/>
    <w:semiHidden/>
    <w:unhideWhenUsed/>
    <w:qFormat/>
    <w:uiPriority w:val="99"/>
    <w:pPr>
      <w:tabs>
        <w:tab w:val="center" w:pos="4153"/>
        <w:tab w:val="right" w:pos="8306"/>
      </w:tabs>
      <w:snapToGrid w:val="0"/>
      <w:jc w:val="left"/>
    </w:pPr>
    <w:rPr>
      <w:sz w:val="18"/>
    </w:rPr>
  </w:style>
  <w:style w:type="paragraph" w:styleId="14">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2"/>
    <w:basedOn w:val="1"/>
    <w:next w:val="2"/>
    <w:autoRedefine/>
    <w:semiHidden/>
    <w:qFormat/>
    <w:uiPriority w:val="0"/>
    <w:pPr>
      <w:spacing w:line="240" w:lineRule="exact"/>
      <w:jc w:val="center"/>
    </w:pPr>
    <w:rPr>
      <w:szCs w:val="24"/>
    </w:rPr>
  </w:style>
  <w:style w:type="paragraph" w:styleId="16">
    <w:name w:val="Body Text First Indent 2"/>
    <w:basedOn w:val="4"/>
    <w:next w:val="1"/>
    <w:autoRedefine/>
    <w:qFormat/>
    <w:uiPriority w:val="0"/>
    <w:pPr>
      <w:ind w:firstLine="420" w:firstLineChars="200"/>
    </w:pPr>
    <w:rPr>
      <w:kern w:val="2"/>
      <w:sz w:val="21"/>
      <w:szCs w:val="24"/>
    </w:rPr>
  </w:style>
  <w:style w:type="paragraph" w:customStyle="1" w:styleId="19">
    <w:name w:val="高-正文"/>
    <w:basedOn w:val="1"/>
    <w:autoRedefine/>
    <w:qFormat/>
    <w:uiPriority w:val="0"/>
    <w:pPr>
      <w:topLinePunct/>
      <w:adjustRightInd w:val="0"/>
      <w:snapToGrid w:val="0"/>
      <w:spacing w:line="480" w:lineRule="exact"/>
      <w:ind w:firstLine="600" w:firstLineChars="200"/>
    </w:pPr>
    <w:rPr>
      <w:kern w:val="0"/>
      <w:sz w:val="24"/>
    </w:rPr>
  </w:style>
  <w:style w:type="paragraph" w:customStyle="1" w:styleId="20">
    <w:name w:val="Default"/>
    <w:basedOn w:val="21"/>
    <w:next w:val="22"/>
    <w:autoRedefine/>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21">
    <w:name w:val="纯文本1"/>
    <w:basedOn w:val="1"/>
    <w:autoRedefine/>
    <w:qFormat/>
    <w:uiPriority w:val="0"/>
    <w:pPr>
      <w:adjustRightInd w:val="0"/>
      <w:textAlignment w:val="baseline"/>
    </w:pPr>
    <w:rPr>
      <w:rFonts w:ascii="宋体" w:hAnsi="Courier New"/>
      <w:snapToGrid w:val="0"/>
      <w:sz w:val="28"/>
    </w:rPr>
  </w:style>
  <w:style w:type="paragraph" w:customStyle="1" w:styleId="22">
    <w:name w:val="样式35"/>
    <w:basedOn w:val="23"/>
    <w:next w:val="24"/>
    <w:autoRedefine/>
    <w:qFormat/>
    <w:uiPriority w:val="0"/>
    <w:pPr>
      <w:spacing w:line="312" w:lineRule="auto"/>
      <w:ind w:firstLine="567"/>
    </w:pPr>
    <w:rPr>
      <w:rFonts w:ascii="宋体"/>
    </w:rPr>
  </w:style>
  <w:style w:type="paragraph" w:customStyle="1" w:styleId="23">
    <w:name w:val="表 内容"/>
    <w:basedOn w:val="1"/>
    <w:autoRedefine/>
    <w:qFormat/>
    <w:uiPriority w:val="0"/>
    <w:pPr>
      <w:spacing w:line="240" w:lineRule="atLeast"/>
      <w:jc w:val="center"/>
    </w:pPr>
  </w:style>
  <w:style w:type="paragraph" w:customStyle="1" w:styleId="24">
    <w:name w:val="font6"/>
    <w:basedOn w:val="1"/>
    <w:next w:val="15"/>
    <w:autoRedefine/>
    <w:qFormat/>
    <w:uiPriority w:val="0"/>
    <w:pPr>
      <w:widowControl/>
      <w:spacing w:before="100" w:beforeAutospacing="1" w:after="100" w:afterAutospacing="1"/>
      <w:jc w:val="left"/>
    </w:pPr>
    <w:rPr>
      <w:rFonts w:eastAsia="Arial Unicode MS"/>
      <w:kern w:val="0"/>
      <w:sz w:val="24"/>
      <w:szCs w:val="20"/>
    </w:rPr>
  </w:style>
  <w:style w:type="paragraph" w:customStyle="1" w:styleId="25">
    <w:name w:val="Body text|1"/>
    <w:basedOn w:val="1"/>
    <w:autoRedefine/>
    <w:qFormat/>
    <w:uiPriority w:val="0"/>
    <w:pPr>
      <w:spacing w:line="449" w:lineRule="auto"/>
      <w:ind w:firstLine="40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586D99-A5F9-4698-A69F-01EF36BD7954}">
  <ds:schemaRefs/>
</ds:datastoreItem>
</file>

<file path=docProps/app.xml><?xml version="1.0" encoding="utf-8"?>
<Properties xmlns="http://schemas.openxmlformats.org/officeDocument/2006/extended-properties" xmlns:vt="http://schemas.openxmlformats.org/officeDocument/2006/docPropsVTypes">
  <Template>Normal</Template>
  <Pages>4</Pages>
  <Words>1698</Words>
  <Characters>1843</Characters>
  <Lines>14</Lines>
  <Paragraphs>4</Paragraphs>
  <TotalTime>92</TotalTime>
  <ScaleCrop>false</ScaleCrop>
  <LinksUpToDate>false</LinksUpToDate>
  <CharactersWithSpaces>1893</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2022-11-11T10:34:00Z</dcterms:created>
  <dc:creator>dn</dc:creator>
  <cp:lastModifiedBy>sargai</cp:lastModifiedBy>
  <cp:lastPrinted>2024-06-27T02:18:07Z</cp:lastPrinted>
  <dcterms:modified xsi:type="dcterms:W3CDTF">2024-06-27T02:22:32Z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58CA69F143144A988AEDCED7E41418C8_13</vt:lpwstr>
  </property>
</Properties>
</file>