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998E94">
      <w:pPr>
        <w:keepNext w:val="0"/>
        <w:keepLines w:val="0"/>
        <w:pageBreakBefore w:val="0"/>
        <w:kinsoku/>
        <w:wordWrap/>
        <w:overflowPunct/>
        <w:topLinePunct w:val="0"/>
        <w:autoSpaceDE/>
        <w:autoSpaceDN w:val="0"/>
        <w:bidi w:val="0"/>
        <w:adjustRightInd/>
        <w:snapToGrid/>
        <w:spacing w:before="100" w:beforeAutospacing="0" w:after="100" w:afterAutospacing="0" w:line="560" w:lineRule="exact"/>
        <w:jc w:val="left"/>
        <w:textAlignment w:val="auto"/>
        <w:outlineLvl w:val="9"/>
        <w:rPr>
          <w:rFonts w:hint="eastAsia" w:ascii="仿宋_GB2312" w:hAnsi="仿宋_GB2312" w:eastAsia="仿宋_GB2312"/>
          <w:sz w:val="32"/>
          <w:lang w:eastAsia="zh-CN"/>
        </w:rPr>
      </w:pPr>
    </w:p>
    <w:p w14:paraId="076739ED">
      <w:pPr>
        <w:keepNext w:val="0"/>
        <w:keepLines w:val="0"/>
        <w:pageBreakBefore w:val="0"/>
        <w:kinsoku/>
        <w:wordWrap/>
        <w:overflowPunct/>
        <w:topLinePunct w:val="0"/>
        <w:autoSpaceDE/>
        <w:autoSpaceDN w:val="0"/>
        <w:bidi w:val="0"/>
        <w:adjustRightInd/>
        <w:snapToGrid/>
        <w:spacing w:before="100" w:beforeAutospacing="0" w:after="100" w:afterAutospacing="0" w:line="560" w:lineRule="exact"/>
        <w:jc w:val="left"/>
        <w:textAlignment w:val="auto"/>
        <w:outlineLvl w:val="9"/>
        <w:rPr>
          <w:rFonts w:hint="eastAsia" w:ascii="仿宋_GB2312" w:hAnsi="仿宋_GB2312" w:eastAsia="仿宋_GB2312"/>
          <w:sz w:val="32"/>
        </w:rPr>
      </w:pPr>
    </w:p>
    <w:p w14:paraId="2F769EDA">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rPr>
      </w:pPr>
    </w:p>
    <w:p w14:paraId="09507461">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rPr>
      </w:pPr>
    </w:p>
    <w:p w14:paraId="6B8E821D">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rPr>
      </w:pPr>
    </w:p>
    <w:p w14:paraId="629A08FE">
      <w:pPr>
        <w:keepNext w:val="0"/>
        <w:keepLines w:val="0"/>
        <w:pageBreakBefore w:val="0"/>
        <w:tabs>
          <w:tab w:val="left" w:pos="2818"/>
        </w:tabs>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24"/>
          <w:lang w:eastAsia="zh-CN"/>
        </w:rPr>
      </w:pPr>
    </w:p>
    <w:p w14:paraId="10DED2CF">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rPr>
      </w:pPr>
    </w:p>
    <w:p w14:paraId="04913074">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rPr>
      </w:pPr>
    </w:p>
    <w:p w14:paraId="6F86B761">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rPr>
      </w:pPr>
    </w:p>
    <w:p w14:paraId="0C961A16">
      <w:pPr>
        <w:spacing w:line="360" w:lineRule="auto"/>
        <w:jc w:val="center"/>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val="en-US" w:eastAsia="zh-CN"/>
        </w:rPr>
        <w:t>镶生</w:t>
      </w:r>
      <w:r>
        <w:rPr>
          <w:rFonts w:hint="eastAsia" w:ascii="仿宋_GB2312" w:hAnsi="宋体" w:eastAsia="仿宋_GB2312" w:cs="Times New Roman"/>
          <w:sz w:val="32"/>
          <w:szCs w:val="32"/>
          <w:lang w:eastAsia="zh-CN"/>
        </w:rPr>
        <w:t>环审表〔20</w:t>
      </w:r>
      <w:r>
        <w:rPr>
          <w:rFonts w:hint="eastAsia" w:ascii="仿宋_GB2312" w:hAnsi="宋体" w:eastAsia="仿宋_GB2312" w:cs="Times New Roman"/>
          <w:sz w:val="32"/>
          <w:szCs w:val="32"/>
          <w:lang w:val="en-US" w:eastAsia="zh-CN"/>
        </w:rPr>
        <w:t>24</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lang w:val="en-US" w:eastAsia="zh-CN"/>
        </w:rPr>
        <w:t>18</w:t>
      </w:r>
      <w:r>
        <w:rPr>
          <w:rFonts w:hint="eastAsia" w:ascii="仿宋_GB2312" w:hAnsi="宋体" w:eastAsia="仿宋_GB2312" w:cs="Times New Roman"/>
          <w:sz w:val="32"/>
          <w:szCs w:val="32"/>
          <w:lang w:eastAsia="zh-CN"/>
        </w:rPr>
        <w:t>号</w:t>
      </w:r>
    </w:p>
    <w:p w14:paraId="3FE6024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宋体" w:eastAsia="仿宋_GB2312"/>
          <w:b/>
          <w:sz w:val="28"/>
          <w:szCs w:val="28"/>
        </w:rPr>
      </w:pPr>
    </w:p>
    <w:p w14:paraId="0E66D47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napToGrid/>
          <w:kern w:val="2"/>
          <w:sz w:val="44"/>
          <w:szCs w:val="44"/>
          <w:lang w:val="en-US" w:eastAsia="zh-CN" w:bidi="ar-SA"/>
        </w:rPr>
      </w:pPr>
      <w:r>
        <w:rPr>
          <w:rFonts w:hint="eastAsia" w:ascii="方正小标宋简体" w:hAnsi="方正小标宋简体" w:eastAsia="方正小标宋简体" w:cs="方正小标宋简体"/>
          <w:snapToGrid/>
          <w:kern w:val="2"/>
          <w:sz w:val="44"/>
          <w:szCs w:val="44"/>
          <w:lang w:val="en-US" w:eastAsia="zh-CN" w:bidi="ar-SA"/>
        </w:rPr>
        <w:t>锡林郭勒盟生态环境局</w:t>
      </w:r>
    </w:p>
    <w:p w14:paraId="3FC339C4">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方正小标宋简体" w:hAnsi="方正小标宋简体" w:eastAsia="方正小标宋简体" w:cs="方正小标宋简体"/>
          <w:snapToGrid/>
          <w:kern w:val="2"/>
          <w:sz w:val="44"/>
          <w:szCs w:val="44"/>
          <w:lang w:val="en-US" w:eastAsia="zh-CN" w:bidi="ar-SA"/>
        </w:rPr>
        <w:t>关于内蒙古二连盆地宝勒根陶海油田HT2井等52口勘探项目环境影响报告表的批复</w:t>
      </w:r>
    </w:p>
    <w:p w14:paraId="76BBC00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napToGrid/>
          <w:color w:val="000000"/>
          <w:kern w:val="2"/>
          <w:sz w:val="32"/>
          <w:szCs w:val="32"/>
          <w:lang w:val="en-US" w:eastAsia="zh-CN" w:bidi="ar-SA"/>
        </w:rPr>
      </w:pPr>
    </w:p>
    <w:p w14:paraId="7E0173CA">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陕西延长油田石油（集团）有限责任公司（内蒙古）分公司:</w:t>
      </w:r>
    </w:p>
    <w:p w14:paraId="3B537D5B">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default" w:ascii="仿宋_GB2312" w:hAnsi="仿宋_GB2312" w:eastAsia="仿宋_GB2312" w:cs="仿宋_GB2312"/>
          <w:snapToGrid/>
          <w:color w:val="000000"/>
          <w:kern w:val="2"/>
          <w:sz w:val="32"/>
          <w:szCs w:val="32"/>
          <w:lang w:val="en-US" w:eastAsia="zh-CN" w:bidi="ar-SA"/>
        </w:rPr>
        <w:t>你</w:t>
      </w:r>
      <w:r>
        <w:rPr>
          <w:rFonts w:hint="eastAsia" w:ascii="仿宋_GB2312" w:hAnsi="仿宋_GB2312" w:eastAsia="仿宋_GB2312" w:cs="仿宋_GB2312"/>
          <w:snapToGrid/>
          <w:color w:val="000000"/>
          <w:kern w:val="2"/>
          <w:sz w:val="32"/>
          <w:szCs w:val="32"/>
          <w:lang w:val="en-US" w:eastAsia="zh-CN" w:bidi="ar-SA"/>
        </w:rPr>
        <w:t>公司</w:t>
      </w:r>
      <w:r>
        <w:rPr>
          <w:rFonts w:hint="default" w:ascii="仿宋_GB2312" w:hAnsi="仿宋_GB2312" w:eastAsia="仿宋_GB2312" w:cs="仿宋_GB2312"/>
          <w:snapToGrid/>
          <w:color w:val="000000"/>
          <w:kern w:val="2"/>
          <w:sz w:val="32"/>
          <w:szCs w:val="32"/>
          <w:lang w:val="en-US" w:eastAsia="zh-CN" w:bidi="ar-SA"/>
        </w:rPr>
        <w:t>由</w:t>
      </w:r>
      <w:r>
        <w:rPr>
          <w:rFonts w:hint="eastAsia" w:ascii="仿宋_GB2312" w:hAnsi="仿宋_GB2312" w:eastAsia="仿宋_GB2312" w:cs="仿宋_GB2312"/>
          <w:snapToGrid/>
          <w:color w:val="000000"/>
          <w:kern w:val="2"/>
          <w:sz w:val="32"/>
          <w:szCs w:val="32"/>
          <w:lang w:val="en-US" w:eastAsia="zh-CN" w:bidi="ar-SA"/>
        </w:rPr>
        <w:t>锡林郭勒环保投资有限公司</w:t>
      </w:r>
      <w:r>
        <w:rPr>
          <w:rFonts w:hint="default" w:ascii="仿宋_GB2312" w:hAnsi="仿宋_GB2312" w:eastAsia="仿宋_GB2312" w:cs="仿宋_GB2312"/>
          <w:snapToGrid/>
          <w:color w:val="000000"/>
          <w:kern w:val="2"/>
          <w:sz w:val="32"/>
          <w:szCs w:val="32"/>
          <w:lang w:val="en-US" w:eastAsia="zh-CN" w:bidi="ar-SA"/>
        </w:rPr>
        <w:t>编制的《</w:t>
      </w:r>
      <w:r>
        <w:rPr>
          <w:rFonts w:hint="eastAsia" w:ascii="仿宋_GB2312" w:hAnsi="仿宋_GB2312" w:eastAsia="仿宋_GB2312" w:cs="仿宋_GB2312"/>
          <w:snapToGrid/>
          <w:color w:val="000000"/>
          <w:kern w:val="2"/>
          <w:sz w:val="32"/>
          <w:szCs w:val="32"/>
          <w:lang w:val="en-US" w:eastAsia="zh-CN" w:bidi="ar-SA"/>
        </w:rPr>
        <w:t>内蒙古二连盆地宝勒根陶海油田HT2井等52口勘探项目环境影响报告表》(以下简称《报告表》)已收悉。现批复如下:</w:t>
      </w:r>
    </w:p>
    <w:p w14:paraId="5C4BEBDD">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一、项目概况</w:t>
      </w:r>
    </w:p>
    <w:p w14:paraId="7B65611A">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snapToGrid/>
          <w:color w:val="000000"/>
          <w:kern w:val="2"/>
          <w:sz w:val="32"/>
          <w:szCs w:val="32"/>
          <w:lang w:val="en-US" w:eastAsia="zh-CN" w:bidi="ar-SA"/>
        </w:rPr>
      </w:pPr>
      <w:r>
        <w:rPr>
          <w:rFonts w:hint="default" w:ascii="仿宋_GB2312" w:hAnsi="仿宋_GB2312" w:eastAsia="仿宋_GB2312" w:cs="仿宋_GB2312"/>
          <w:snapToGrid/>
          <w:color w:val="000000"/>
          <w:kern w:val="2"/>
          <w:sz w:val="32"/>
          <w:szCs w:val="32"/>
          <w:lang w:val="en-US" w:eastAsia="zh-CN" w:bidi="ar-SA"/>
        </w:rPr>
        <w:t>内蒙古二连盆地宝勒根陶海油田HT2井等52口勘探项目位于内蒙古自治区锡林郭勒盟镶黄旗巴彦塔拉镇</w:t>
      </w:r>
      <w:r>
        <w:rPr>
          <w:rFonts w:hint="eastAsia" w:ascii="仿宋_GB2312" w:hAnsi="仿宋_GB2312" w:eastAsia="仿宋_GB2312" w:cs="仿宋_GB2312"/>
          <w:snapToGrid/>
          <w:color w:val="000000"/>
          <w:kern w:val="2"/>
          <w:sz w:val="32"/>
          <w:szCs w:val="32"/>
          <w:lang w:val="en-US" w:eastAsia="zh-CN" w:bidi="ar-SA"/>
        </w:rPr>
        <w:t>内</w:t>
      </w:r>
      <w:r>
        <w:rPr>
          <w:rFonts w:hint="default" w:ascii="仿宋_GB2312" w:hAnsi="仿宋_GB2312" w:eastAsia="仿宋_GB2312" w:cs="仿宋_GB2312"/>
          <w:snapToGrid/>
          <w:color w:val="000000"/>
          <w:kern w:val="2"/>
          <w:sz w:val="32"/>
          <w:szCs w:val="32"/>
          <w:lang w:val="en-US" w:eastAsia="zh-CN" w:bidi="ar-SA"/>
        </w:rPr>
        <w:t>，项目总投资</w:t>
      </w:r>
      <w:r>
        <w:rPr>
          <w:rFonts w:hint="eastAsia" w:ascii="仿宋_GB2312" w:hAnsi="仿宋_GB2312" w:eastAsia="仿宋_GB2312" w:cs="仿宋_GB2312"/>
          <w:snapToGrid/>
          <w:color w:val="000000"/>
          <w:kern w:val="2"/>
          <w:sz w:val="32"/>
          <w:szCs w:val="32"/>
          <w:lang w:val="en-US" w:eastAsia="zh-CN" w:bidi="ar-SA"/>
        </w:rPr>
        <w:t>19080</w:t>
      </w:r>
      <w:r>
        <w:rPr>
          <w:rFonts w:hint="default" w:ascii="仿宋_GB2312" w:hAnsi="仿宋_GB2312" w:eastAsia="仿宋_GB2312" w:cs="仿宋_GB2312"/>
          <w:snapToGrid/>
          <w:color w:val="000000"/>
          <w:kern w:val="2"/>
          <w:sz w:val="32"/>
          <w:szCs w:val="32"/>
          <w:lang w:val="en-US" w:eastAsia="zh-CN" w:bidi="ar-SA"/>
        </w:rPr>
        <w:t>万元</w:t>
      </w:r>
      <w:r>
        <w:rPr>
          <w:rFonts w:hint="eastAsia" w:ascii="仿宋_GB2312" w:hAnsi="仿宋_GB2312" w:eastAsia="仿宋_GB2312" w:cs="仿宋_GB2312"/>
          <w:snapToGrid/>
          <w:color w:val="000000"/>
          <w:kern w:val="2"/>
          <w:sz w:val="32"/>
          <w:szCs w:val="32"/>
          <w:lang w:val="en-US" w:eastAsia="zh-CN" w:bidi="ar-SA"/>
        </w:rPr>
        <w:t>,</w:t>
      </w:r>
      <w:r>
        <w:rPr>
          <w:rFonts w:hint="default" w:ascii="仿宋_GB2312" w:hAnsi="仿宋_GB2312" w:eastAsia="仿宋_GB2312" w:cs="仿宋_GB2312"/>
          <w:snapToGrid/>
          <w:color w:val="000000"/>
          <w:kern w:val="2"/>
          <w:sz w:val="32"/>
          <w:szCs w:val="32"/>
          <w:lang w:val="en-US" w:eastAsia="zh-CN" w:bidi="ar-SA"/>
        </w:rPr>
        <w:t>其中环保投资</w:t>
      </w:r>
      <w:r>
        <w:rPr>
          <w:rFonts w:hint="eastAsia" w:ascii="仿宋_GB2312" w:hAnsi="仿宋_GB2312" w:eastAsia="仿宋_GB2312" w:cs="仿宋_GB2312"/>
          <w:snapToGrid/>
          <w:color w:val="000000"/>
          <w:kern w:val="2"/>
          <w:sz w:val="32"/>
          <w:szCs w:val="32"/>
          <w:lang w:val="en-US" w:eastAsia="zh-CN" w:bidi="ar-SA"/>
        </w:rPr>
        <w:t>1248</w:t>
      </w:r>
      <w:r>
        <w:rPr>
          <w:rFonts w:hint="default" w:ascii="仿宋_GB2312" w:hAnsi="仿宋_GB2312" w:eastAsia="仿宋_GB2312" w:cs="仿宋_GB2312"/>
          <w:snapToGrid/>
          <w:color w:val="000000"/>
          <w:kern w:val="2"/>
          <w:sz w:val="32"/>
          <w:szCs w:val="32"/>
          <w:lang w:val="en-US" w:eastAsia="zh-CN" w:bidi="ar-SA"/>
        </w:rPr>
        <w:t>万元，环保投资所占比例为</w:t>
      </w:r>
      <w:r>
        <w:rPr>
          <w:rFonts w:hint="eastAsia" w:ascii="仿宋_GB2312" w:hAnsi="仿宋_GB2312" w:eastAsia="仿宋_GB2312" w:cs="仿宋_GB2312"/>
          <w:snapToGrid/>
          <w:color w:val="000000"/>
          <w:kern w:val="2"/>
          <w:sz w:val="32"/>
          <w:szCs w:val="32"/>
          <w:lang w:val="en-US" w:eastAsia="zh-CN" w:bidi="ar-SA"/>
        </w:rPr>
        <w:t>6.54</w:t>
      </w:r>
      <w:r>
        <w:rPr>
          <w:rFonts w:hint="default" w:ascii="仿宋_GB2312" w:hAnsi="仿宋_GB2312" w:eastAsia="仿宋_GB2312" w:cs="仿宋_GB2312"/>
          <w:snapToGrid/>
          <w:color w:val="000000"/>
          <w:kern w:val="2"/>
          <w:sz w:val="32"/>
          <w:szCs w:val="32"/>
          <w:lang w:val="en-US" w:eastAsia="zh-CN" w:bidi="ar-SA"/>
        </w:rPr>
        <w:t>%。本项目总占地面积为693368m</w:t>
      </w:r>
      <w:r>
        <w:rPr>
          <w:rFonts w:hint="default" w:ascii="仿宋_GB2312" w:hAnsi="仿宋_GB2312" w:eastAsia="仿宋_GB2312" w:cs="仿宋_GB2312"/>
          <w:snapToGrid/>
          <w:color w:val="000000"/>
          <w:kern w:val="2"/>
          <w:sz w:val="32"/>
          <w:szCs w:val="32"/>
          <w:vertAlign w:val="superscript"/>
          <w:lang w:val="en-US" w:eastAsia="zh-CN" w:bidi="ar-SA"/>
        </w:rPr>
        <w:t>2</w:t>
      </w:r>
      <w:r>
        <w:rPr>
          <w:rFonts w:hint="default" w:ascii="仿宋_GB2312" w:hAnsi="仿宋_GB2312" w:eastAsia="仿宋_GB2312" w:cs="仿宋_GB2312"/>
          <w:snapToGrid/>
          <w:color w:val="000000"/>
          <w:kern w:val="2"/>
          <w:sz w:val="32"/>
          <w:szCs w:val="32"/>
          <w:lang w:val="en-US" w:eastAsia="zh-CN" w:bidi="ar-SA"/>
        </w:rPr>
        <w:t>，单口探井占地面积为13334m</w:t>
      </w:r>
      <w:r>
        <w:rPr>
          <w:rFonts w:hint="default" w:ascii="仿宋_GB2312" w:hAnsi="仿宋_GB2312" w:eastAsia="仿宋_GB2312" w:cs="仿宋_GB2312"/>
          <w:snapToGrid/>
          <w:color w:val="000000"/>
          <w:kern w:val="2"/>
          <w:sz w:val="32"/>
          <w:szCs w:val="32"/>
          <w:vertAlign w:val="superscript"/>
          <w:lang w:val="en-US" w:eastAsia="zh-CN" w:bidi="ar-SA"/>
        </w:rPr>
        <w:t>2</w:t>
      </w:r>
      <w:r>
        <w:rPr>
          <w:rFonts w:hint="default" w:ascii="仿宋_GB2312" w:hAnsi="仿宋_GB2312" w:eastAsia="仿宋_GB2312" w:cs="仿宋_GB2312"/>
          <w:snapToGrid/>
          <w:color w:val="000000"/>
          <w:kern w:val="2"/>
          <w:sz w:val="32"/>
          <w:szCs w:val="32"/>
          <w:lang w:val="en-US" w:eastAsia="zh-CN" w:bidi="ar-SA"/>
        </w:rPr>
        <w:t>，占地类型主要为牧草地。项目采用二开方式钻井，设计井深1700m，单口探井试采油时间为10天，单口探井预计试油抽油量5t/d，单口探井试采油总量为50t</w:t>
      </w:r>
      <w:r>
        <w:rPr>
          <w:rFonts w:hint="eastAsia" w:ascii="仿宋_GB2312" w:hAnsi="仿宋_GB2312" w:eastAsia="仿宋_GB2312" w:cs="仿宋_GB2312"/>
          <w:snapToGrid/>
          <w:color w:val="000000"/>
          <w:kern w:val="2"/>
          <w:sz w:val="32"/>
          <w:szCs w:val="32"/>
          <w:lang w:val="en-US" w:eastAsia="zh-CN" w:bidi="ar-SA"/>
        </w:rPr>
        <w:t>。</w:t>
      </w:r>
    </w:p>
    <w:p w14:paraId="1DA04B96">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产业结构调整指导目录》（2024年本），评价对本项目建设与产业政策的相符性进行分析，本项目属于《产业结构调整指导目录》（2024年本）中“鼓励类—七、石油天然气—1.石油天然气开采：常规石油、天然气勘探与开采，页岩气、页岩油、致密油（气）、油砂、天然气水合物等非常规资源勘探开发”，符合国家产业政策的要求。</w:t>
      </w:r>
      <w:r>
        <w:rPr>
          <w:rFonts w:hint="default" w:ascii="仿宋_GB2312" w:hAnsi="仿宋_GB2312" w:eastAsia="仿宋_GB2312" w:cs="仿宋_GB2312"/>
          <w:snapToGrid/>
          <w:color w:val="000000"/>
          <w:kern w:val="2"/>
          <w:sz w:val="32"/>
          <w:szCs w:val="32"/>
          <w:lang w:val="en-US" w:eastAsia="zh-CN" w:bidi="ar-SA"/>
        </w:rPr>
        <w:t>《报告表》认为，在全面落实各项污染防治措施的前提下，项目建设对环境</w:t>
      </w:r>
      <w:bookmarkStart w:id="0" w:name="_GoBack"/>
      <w:bookmarkEnd w:id="0"/>
      <w:r>
        <w:rPr>
          <w:rFonts w:hint="default" w:ascii="仿宋_GB2312" w:hAnsi="仿宋_GB2312" w:eastAsia="仿宋_GB2312" w:cs="仿宋_GB2312"/>
          <w:snapToGrid/>
          <w:color w:val="000000"/>
          <w:kern w:val="2"/>
          <w:sz w:val="32"/>
          <w:szCs w:val="32"/>
          <w:lang w:val="en-US" w:eastAsia="zh-CN" w:bidi="ar-SA"/>
        </w:rPr>
        <w:t>的不利影响能够得到一定的缓解和控制。我局原则同意本环境影响报告表的总体评价结论和拟采取的环境保护措施。</w:t>
      </w:r>
    </w:p>
    <w:p w14:paraId="1300A103">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二、项目建设与运行过程中应重点做好以下工作</w:t>
      </w:r>
    </w:p>
    <w:p w14:paraId="4997960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color w:val="000000"/>
          <w:kern w:val="2"/>
          <w:sz w:val="32"/>
          <w:szCs w:val="32"/>
          <w:lang w:val="en-US" w:eastAsia="zh-CN" w:bidi="ar-SA"/>
        </w:rPr>
      </w:pP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一</w:t>
      </w: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z w:val="32"/>
          <w:szCs w:val="32"/>
          <w:lang w:val="en-US" w:eastAsia="zh-CN"/>
        </w:rPr>
        <w:t>落实生态环境保护措施。</w:t>
      </w:r>
      <w:r>
        <w:rPr>
          <w:rFonts w:hint="eastAsia" w:ascii="仿宋_GB2312" w:hAnsi="仿宋_GB2312" w:eastAsia="仿宋_GB2312" w:cs="仿宋_GB2312"/>
          <w:snapToGrid/>
          <w:color w:val="000000"/>
          <w:kern w:val="2"/>
          <w:sz w:val="32"/>
          <w:szCs w:val="32"/>
          <w:lang w:val="en-US" w:eastAsia="zh-CN" w:bidi="ar-SA"/>
        </w:rPr>
        <w:t>施工期充分利用区域内自然地形地貌，尽可能减少占地面积，减少对植被的破坏面积；减少挖方、填方量，尽量做到工程自身土石方平衡；在各场地周围采取临时拦挡措施，挖方及时回填，不能回填的，堆放在指定场所，并做好临时拦挡措施；土石方运输要严格遵守作业制度，采用车况良好的斗车，避免过量装料，防止松散土石料的散落，减少水土流失；施工结束后及时清理、松土、覆盖熟化土，复种或选择当地适宜植物及时恢复绿化；要尽快恢复工程建设中破坏的植被，尽量减少外来物种可利用的生境，以防范和限制外来物种入侵；在临时占用草原植被恢复中选择适合本地区的针茅、羊草、糙隐子草等植物种进行播种，同时采用混播方式种植，临时占用草原采用人工撒播或条播两种方式。</w:t>
      </w:r>
    </w:p>
    <w:p w14:paraId="38A31201">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snapToGrid/>
          <w:color w:val="000000"/>
          <w:kern w:val="2"/>
          <w:sz w:val="32"/>
          <w:szCs w:val="32"/>
          <w:lang w:val="en-US" w:eastAsia="zh-CN" w:bidi="ar-SA"/>
        </w:rPr>
        <w:t>(二)落实大气污染防治措施。</w:t>
      </w:r>
      <w:r>
        <w:rPr>
          <w:rFonts w:hint="eastAsia" w:ascii="仿宋_GB2312" w:hAnsi="仿宋_GB2312" w:eastAsia="仿宋_GB2312" w:cs="仿宋_GB2312"/>
          <w:color w:val="000000"/>
          <w:sz w:val="32"/>
          <w:szCs w:val="32"/>
          <w:lang w:val="en-US" w:eastAsia="zh-CN"/>
        </w:rPr>
        <w:t>施工期采用低能耗、高效率的柴油发电机，采用污染物指标符合国家标准且低含硫量的优质柴油，减少污染物排放，确保施工机械用柴油机尾气达到《非道路移动机械用柴油机排气污染物排放限值及测量方法（中国第三、四阶段）》（GB20891-2014）及修改单中相关要求；密闭卧式储油罐采用防腐贮罐，采用环密技术防止烃类泄漏，加强原油装车过程管理，装车过程中，密闭卧式储油罐中的油水混合物通过密闭卧式储油罐输油管输送到拉油罐车里，确保输油管出口浸没于罐车液面之下，有效地降低烃类气体的挥发，须满足《陆上石油天然气开采工业大气污染物排放标准》（GB39728-2020）要求；加强对施工机械和运输车辆的保养及维护，保证发动机正常运行，使汽车燃料充分燃烧，合理设计施工站场进出口道路，保证车辆能够迅速地进出而减少怠速时间，减少汽车尾气的排放量；定期清扫散落在施工场地的泥土，配备洒水车或其它洒水设备，及时对施工作业面进行洒水抑尘；严禁运输建筑材料和设备的车辆超载行驶，运输沙土、水泥、土方的车辆行驶过程中应加盖篷布；合理规划施工进度，及时开挖，及时回填，防止土方风化起尘；优化新建井场道路，尽量利用现有油区道路，减少新建钻前路的长度，缩小道路扬尘影响范围；对施工过程中使用频繁或运输负荷较大的道路路面进行硬化处理，以减少路面扬尘，须满足《大气污染物综合排放标准》（GB16297-1996）新污染源大气污染物排放限值要求。</w:t>
      </w:r>
    </w:p>
    <w:p w14:paraId="01E9FA22">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auto"/>
          <w:spacing w:val="0"/>
          <w:w w:val="100"/>
          <w:position w:val="0"/>
          <w:sz w:val="32"/>
          <w:szCs w:val="32"/>
          <w:lang w:val="en-US" w:eastAsia="zh-CN"/>
        </w:rPr>
      </w:pP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三</w:t>
      </w: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落实</w:t>
      </w:r>
      <w:r>
        <w:rPr>
          <w:rFonts w:hint="default" w:ascii="楷体_GB2312" w:hAnsi="楷体_GB2312" w:eastAsia="楷体_GB2312" w:cs="楷体_GB2312"/>
          <w:snapToGrid/>
          <w:color w:val="000000"/>
          <w:kern w:val="2"/>
          <w:sz w:val="32"/>
          <w:szCs w:val="32"/>
          <w:lang w:val="en-US" w:eastAsia="zh-CN" w:bidi="ar-SA"/>
        </w:rPr>
        <w:t>水污染防治</w:t>
      </w:r>
      <w:r>
        <w:rPr>
          <w:rFonts w:hint="eastAsia" w:ascii="楷体_GB2312" w:hAnsi="楷体_GB2312" w:eastAsia="楷体_GB2312" w:cs="楷体_GB2312"/>
          <w:snapToGrid/>
          <w:color w:val="000000"/>
          <w:kern w:val="2"/>
          <w:sz w:val="32"/>
          <w:szCs w:val="32"/>
          <w:lang w:val="en-US" w:eastAsia="zh-CN" w:bidi="ar-SA"/>
        </w:rPr>
        <w:t>措施。</w:t>
      </w:r>
      <w:r>
        <w:rPr>
          <w:rFonts w:hint="eastAsia" w:ascii="仿宋_GB2312" w:hAnsi="仿宋_GB2312" w:eastAsia="仿宋_GB2312" w:cs="仿宋_GB2312"/>
          <w:color w:val="auto"/>
          <w:spacing w:val="0"/>
          <w:w w:val="100"/>
          <w:position w:val="0"/>
          <w:sz w:val="32"/>
          <w:szCs w:val="32"/>
          <w:lang w:val="en-US" w:eastAsia="zh-CN"/>
        </w:rPr>
        <w:t>施工期钻井过程必须采用无毒无害的水基钻井液，避免对浅层地下水造成污染；每口油井钻井过程中配备钻井液循环罐，含除砂器、除泥器、振动筛、离心机等装置，钻井废水中约70%的上清液循环利用；严格操作程序，减少钻井液的跑冒滴漏，减少废钻井液产生量；钻井结束后，剩余钻井废水排至井场附近的防渗泥浆池中，自然蒸发后与钻井泥浆统一加药进行无害化固化稳定及填埋处理；在暴雨较多的夏、秋季节，在钻井井场的泥浆池周围（主要是上游方向）设临时围挡，阻止暴雨时地表漫流和径流进入泥浆池；试油、压裂作业前，配备废水地上收集罐，对压裂废水进行统一收集，压裂液应优先在井场内进行循环利用，压裂作业结束后，试油废水等安排罐车运至现有污水处理站处理，原油储油罐废水收集至污水罐，运输至污水处理站处理达标后回注，不外排；压裂液配置应防止洒漏，剩余压裂液应回收利用，不得随意排放，压裂车出口与井口采用高压密闭连接，施工中做到密闭作业，密闭施工；严格按照操作规程施工，提高固井质量，并定期检查。避免因发生固井质量问题造成含油污水泄漏而引起地下水污染；注水泥固井时，按设计要求使水泥浆在管外环形空间上返到规定的高度，确保安全封闭此深度内的地下水含水层；本项目钻前工程、钻井工程、试油工程各时段产生的生活污水经移动厕所收集后，由抽污水罐车拉运至集输站污水处理系统处理。</w:t>
      </w:r>
    </w:p>
    <w:p w14:paraId="0B1641B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pacing w:val="0"/>
          <w:w w:val="100"/>
          <w:position w:val="0"/>
          <w:sz w:val="32"/>
          <w:szCs w:val="32"/>
          <w:lang w:val="en-US" w:eastAsia="zh-CN"/>
        </w:rPr>
      </w:pP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四</w:t>
      </w: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落实</w:t>
      </w:r>
      <w:r>
        <w:rPr>
          <w:rFonts w:hint="default" w:ascii="楷体_GB2312" w:hAnsi="楷体_GB2312" w:eastAsia="楷体_GB2312" w:cs="楷体_GB2312"/>
          <w:snapToGrid/>
          <w:color w:val="000000"/>
          <w:kern w:val="2"/>
          <w:sz w:val="32"/>
          <w:szCs w:val="32"/>
          <w:lang w:val="en-US" w:eastAsia="zh-CN" w:bidi="ar-SA"/>
        </w:rPr>
        <w:t>固体废物污染防治</w:t>
      </w:r>
      <w:r>
        <w:rPr>
          <w:rFonts w:hint="eastAsia" w:ascii="楷体_GB2312" w:hAnsi="楷体_GB2312" w:eastAsia="楷体_GB2312" w:cs="楷体_GB2312"/>
          <w:snapToGrid/>
          <w:color w:val="000000"/>
          <w:kern w:val="2"/>
          <w:sz w:val="32"/>
          <w:szCs w:val="32"/>
          <w:lang w:val="en-US" w:eastAsia="zh-CN" w:bidi="ar-SA"/>
        </w:rPr>
        <w:t>措施</w:t>
      </w:r>
      <w:r>
        <w:rPr>
          <w:rFonts w:hint="default" w:ascii="楷体_GB2312" w:hAnsi="楷体_GB2312" w:eastAsia="楷体_GB2312" w:cs="楷体_GB2312"/>
          <w:snapToGrid/>
          <w:color w:val="000000"/>
          <w:kern w:val="2"/>
          <w:sz w:val="32"/>
          <w:szCs w:val="32"/>
          <w:lang w:val="en-US" w:eastAsia="zh-CN" w:bidi="ar-SA"/>
        </w:rPr>
        <w:t>。</w:t>
      </w:r>
      <w:r>
        <w:rPr>
          <w:rFonts w:hint="eastAsia" w:ascii="仿宋_GB2312" w:hAnsi="仿宋_GB2312" w:eastAsia="仿宋_GB2312" w:cs="仿宋_GB2312"/>
          <w:color w:val="auto"/>
          <w:spacing w:val="0"/>
          <w:w w:val="100"/>
          <w:position w:val="0"/>
          <w:sz w:val="32"/>
          <w:szCs w:val="32"/>
          <w:lang w:val="en-US" w:eastAsia="zh-CN"/>
        </w:rPr>
        <w:t>施工期产生的废弃泥浆排入井场泥浆池中进行无害化固化稳定处理，然后进行填埋覆土绿化；泥浆池开挖整平后应对底部进行压实，四周及底部采取防渗措施，渗透系数小于1.0×10</w:t>
      </w:r>
      <w:r>
        <w:rPr>
          <w:rFonts w:hint="eastAsia" w:ascii="仿宋_GB2312" w:hAnsi="仿宋_GB2312" w:eastAsia="仿宋_GB2312" w:cs="仿宋_GB2312"/>
          <w:color w:val="auto"/>
          <w:spacing w:val="0"/>
          <w:w w:val="100"/>
          <w:position w:val="0"/>
          <w:sz w:val="32"/>
          <w:szCs w:val="32"/>
          <w:vertAlign w:val="superscript"/>
          <w:lang w:val="en-US" w:eastAsia="zh-CN"/>
        </w:rPr>
        <w:t>-10</w:t>
      </w:r>
      <w:r>
        <w:rPr>
          <w:rFonts w:hint="eastAsia" w:ascii="仿宋_GB2312" w:hAnsi="仿宋_GB2312" w:eastAsia="仿宋_GB2312" w:cs="仿宋_GB2312"/>
          <w:color w:val="auto"/>
          <w:spacing w:val="0"/>
          <w:w w:val="100"/>
          <w:position w:val="0"/>
          <w:sz w:val="32"/>
          <w:szCs w:val="32"/>
          <w:lang w:val="en-US" w:eastAsia="zh-CN"/>
        </w:rPr>
        <w:t>cm/s，铺设的防渗膜应向泥浆池外部延伸≥2m，并将边缘压实，避免钻井废水及泥浆溢出对池外未防渗区域土壤造成影响；在井场铺设防渗布，并配备泄油器、刮油器等设备，及时回收产生的落地油和含油污泥，回收的危险废物全部运至集输站危废暂存点暂存，定期送有资质单位进行处置；井场压裂、试油等作业产生的废防渗布、废润滑油及包装桶均收集后送至集输站危废暂存点，定期交有资质单位回收后处置，须满足《危险废物贮存污染控制标准》（GB18597-2023）中的要求；钻井添加剂产生的废弃包装袋收集后定期外售至废品回收公司回收处置；各井场开钻前首先在施工营地的生活区设置集中生活垃圾堆放点，生活垃圾统一收集后，送当地环卫部门指定地点集中处置。</w:t>
      </w:r>
    </w:p>
    <w:p w14:paraId="384A256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楷体_GB2312" w:hAnsi="楷体_GB2312" w:eastAsia="楷体_GB2312" w:cs="楷体_GB2312"/>
          <w:snapToGrid/>
          <w:color w:val="000000"/>
          <w:kern w:val="2"/>
          <w:sz w:val="32"/>
          <w:szCs w:val="32"/>
          <w:lang w:val="en-US" w:eastAsia="zh-CN" w:bidi="ar-SA"/>
        </w:rPr>
      </w:pP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五</w:t>
      </w: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color w:val="auto"/>
          <w:spacing w:val="0"/>
          <w:w w:val="100"/>
          <w:position w:val="0"/>
          <w:sz w:val="32"/>
          <w:szCs w:val="32"/>
          <w:lang w:val="en-US" w:eastAsia="zh-CN"/>
        </w:rPr>
        <w:t>落实噪声污</w:t>
      </w:r>
      <w:r>
        <w:rPr>
          <w:rFonts w:hint="eastAsia" w:ascii="楷体_GB2312" w:hAnsi="楷体_GB2312" w:eastAsia="楷体_GB2312" w:cs="楷体_GB2312"/>
          <w:sz w:val="32"/>
          <w:szCs w:val="32"/>
          <w:lang w:val="en-US" w:eastAsia="zh-CN"/>
        </w:rPr>
        <w:t>染防治措施。</w:t>
      </w:r>
      <w:r>
        <w:rPr>
          <w:rFonts w:hint="eastAsia" w:ascii="仿宋_GB2312" w:hAnsi="仿宋_GB2312" w:eastAsia="仿宋_GB2312" w:cs="仿宋_GB2312"/>
          <w:sz w:val="32"/>
          <w:szCs w:val="32"/>
          <w:lang w:val="en-US" w:eastAsia="zh-CN"/>
        </w:rPr>
        <w:t>施工期合理安排施工作业时间，严禁在夜间进行高噪声施工作业，避免噪声扰民；尽量选用低噪声机械设备或自带隔声、消声的设备，降低设备声级，同时做好施工设备及运输车辆的维护保养，有效降低机械设备运转及车辆行驶的噪声源强；各种管材轻拿轻放，减少撞击性噪声，合理安排强噪声施工机械的工作频次，合理调配车辆来往行车密度，尽量避开附近居民休息时间，须满足《建筑施工场界环境噪声排放标准》（GB12523-2011）中噪声排放限值要求。</w:t>
      </w:r>
    </w:p>
    <w:p w14:paraId="067E01A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color w:val="000000"/>
          <w:kern w:val="2"/>
          <w:sz w:val="32"/>
          <w:szCs w:val="32"/>
          <w:lang w:val="en-US" w:eastAsia="zh-CN" w:bidi="ar-SA"/>
        </w:rPr>
      </w:pP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六</w:t>
      </w: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z w:val="32"/>
          <w:szCs w:val="32"/>
          <w:lang w:val="en-US" w:eastAsia="zh-CN"/>
        </w:rPr>
        <w:t>落实地下水环境保护措施。</w:t>
      </w:r>
      <w:r>
        <w:rPr>
          <w:rFonts w:hint="eastAsia" w:ascii="仿宋_GB2312" w:hAnsi="仿宋_GB2312" w:eastAsia="仿宋_GB2312" w:cs="仿宋_GB2312"/>
          <w:snapToGrid/>
          <w:color w:val="000000"/>
          <w:kern w:val="2"/>
          <w:sz w:val="32"/>
          <w:szCs w:val="32"/>
          <w:lang w:val="en-US" w:eastAsia="zh-CN" w:bidi="ar-SA"/>
        </w:rPr>
        <w:t>根据《环境影响评价技术导则-地下水环境》(HJ610-2016）中“建设项目污染分区防控对策”相关要求，泥浆池、井口、污水收集罐、油罐设为重点防渗区，机械设备区、钻井、固井材料储存区设为一般防渗区。</w:t>
      </w:r>
    </w:p>
    <w:p w14:paraId="115246C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kern w:val="2"/>
          <w:szCs w:val="32"/>
          <w:lang w:val="en-US" w:eastAsia="zh-CN" w:bidi="en-US"/>
        </w:rPr>
      </w:pP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七</w:t>
      </w: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z w:val="32"/>
          <w:szCs w:val="32"/>
          <w:lang w:val="en-US" w:eastAsia="zh-CN"/>
        </w:rPr>
        <w:t>加强环境风险防范。</w:t>
      </w:r>
      <w:r>
        <w:rPr>
          <w:rFonts w:hint="eastAsia" w:ascii="仿宋_GB2312" w:hAnsi="仿宋_GB2312" w:eastAsia="仿宋_GB2312" w:cs="仿宋_GB2312"/>
          <w:sz w:val="32"/>
          <w:szCs w:val="32"/>
          <w:lang w:val="en-US" w:eastAsia="zh-CN"/>
        </w:rPr>
        <w:t>制定《突发事故应急预案》，建立有效的环境风险防范与应急管理体系并不断完善，配置必要的应急救援设备，并加强人员培训、演练等。</w:t>
      </w:r>
    </w:p>
    <w:p w14:paraId="0BF16FCE">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三、项目建设必须严格执行环境保护设施与主体工程同时设计、同时施工、同时投产使用的环境保护"三同时"制度。</w:t>
      </w:r>
      <w:r>
        <w:rPr>
          <w:rFonts w:hint="default" w:ascii="仿宋_GB2312" w:hAnsi="仿宋_GB2312" w:eastAsia="仿宋_GB2312" w:cs="仿宋_GB2312"/>
          <w:snapToGrid/>
          <w:color w:val="000000"/>
          <w:kern w:val="2"/>
          <w:sz w:val="32"/>
          <w:szCs w:val="32"/>
          <w:lang w:val="en-US" w:eastAsia="zh-CN" w:bidi="ar-SA"/>
        </w:rPr>
        <w:t>须按规定程序实施竣工环境保护验收。验收合格后方可正式投入使用。</w:t>
      </w:r>
    </w:p>
    <w:p w14:paraId="678D0139">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四、环境影响报告表经批准后,项目性质、规模、地点、采  用的生产工艺或者防治污染、防止生态破坏的措施发生重大变动，应当重新报批该项目环境影响报告表。</w:t>
      </w:r>
    </w:p>
    <w:p w14:paraId="569FC2B3">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五、锡林郭勒盟生态环境局镶黄旗分局将组织开展该项目的"三同时”监督检查及日常监督管理工作。</w:t>
      </w:r>
    </w:p>
    <w:p w14:paraId="3B814E1D">
      <w:pPr>
        <w:keepNext w:val="0"/>
        <w:keepLines w:val="0"/>
        <w:pageBreakBefore w:val="0"/>
        <w:wordWrap/>
        <w:overflowPunct/>
        <w:topLinePunct w:val="0"/>
        <w:bidi w:val="0"/>
        <w:spacing w:line="560" w:lineRule="exact"/>
        <w:ind w:left="0" w:leftChars="0" w:right="0"/>
        <w:jc w:val="right"/>
        <w:rPr>
          <w:rFonts w:hint="default" w:ascii="Times New Roman" w:hAnsi="Times New Roman" w:eastAsia="仿宋" w:cs="Times New Roman"/>
          <w:spacing w:val="36"/>
          <w:w w:val="102"/>
          <w:sz w:val="32"/>
          <w:szCs w:val="32"/>
        </w:rPr>
      </w:pPr>
    </w:p>
    <w:p w14:paraId="7E6F7ED0">
      <w:pPr>
        <w:keepNext w:val="0"/>
        <w:keepLines w:val="0"/>
        <w:pageBreakBefore w:val="0"/>
        <w:wordWrap/>
        <w:overflowPunct/>
        <w:topLinePunct w:val="0"/>
        <w:bidi w:val="0"/>
        <w:spacing w:line="560" w:lineRule="exact"/>
        <w:ind w:left="0" w:leftChars="0" w:right="0"/>
        <w:jc w:val="right"/>
        <w:rPr>
          <w:rFonts w:hint="default" w:ascii="Times New Roman" w:hAnsi="Times New Roman" w:eastAsia="仿宋" w:cs="Times New Roman"/>
          <w:spacing w:val="36"/>
          <w:w w:val="102"/>
          <w:sz w:val="32"/>
          <w:szCs w:val="32"/>
        </w:rPr>
      </w:pPr>
    </w:p>
    <w:p w14:paraId="37194D22">
      <w:pPr>
        <w:keepNext w:val="0"/>
        <w:keepLines w:val="0"/>
        <w:pageBreakBefore w:val="0"/>
        <w:wordWrap w:val="0"/>
        <w:overflowPunct/>
        <w:topLinePunct w:val="0"/>
        <w:bidi w:val="0"/>
        <w:spacing w:line="560" w:lineRule="exact"/>
        <w:ind w:left="0" w:leftChars="0" w:right="0"/>
        <w:jc w:val="right"/>
        <w:rPr>
          <w:rFonts w:hint="default" w:ascii="仿宋_GB2312" w:hAnsi="仿宋_GB2312" w:eastAsia="仿宋_GB2312" w:cs="仿宋_GB2312"/>
          <w:spacing w:val="3"/>
          <w:sz w:val="32"/>
          <w:szCs w:val="32"/>
          <w:lang w:val="en-US" w:eastAsia="zh-CN"/>
        </w:rPr>
      </w:pPr>
      <w:r>
        <w:rPr>
          <w:rFonts w:hint="eastAsia" w:ascii="仿宋_GB2312" w:hAnsi="仿宋_GB2312" w:eastAsia="仿宋_GB2312" w:cs="仿宋_GB2312"/>
          <w:spacing w:val="36"/>
          <w:w w:val="102"/>
          <w:sz w:val="32"/>
          <w:szCs w:val="32"/>
        </w:rPr>
        <w:t>锡林郭勒盟生态环境局</w:t>
      </w:r>
      <w:r>
        <w:rPr>
          <w:rFonts w:hint="eastAsia" w:ascii="仿宋_GB2312" w:hAnsi="仿宋_GB2312" w:eastAsia="仿宋_GB2312" w:cs="仿宋_GB2312"/>
          <w:spacing w:val="36"/>
          <w:w w:val="102"/>
          <w:sz w:val="32"/>
          <w:szCs w:val="32"/>
          <w:lang w:val="en-US" w:eastAsia="zh-CN"/>
        </w:rPr>
        <w:t xml:space="preserve">   </w:t>
      </w:r>
    </w:p>
    <w:p w14:paraId="0419C7B3">
      <w:pPr>
        <w:keepNext w:val="0"/>
        <w:keepLines w:val="0"/>
        <w:pageBreakBefore w:val="0"/>
        <w:wordWrap w:val="0"/>
        <w:overflowPunct/>
        <w:topLinePunct w:val="0"/>
        <w:bidi w:val="0"/>
        <w:spacing w:line="560" w:lineRule="exact"/>
        <w:ind w:left="0" w:leftChars="0" w:right="0"/>
        <w:jc w:val="right"/>
        <w:rPr>
          <w:rFonts w:hint="eastAsia" w:ascii="仿宋_GB2312" w:hAnsi="仿宋_GB2312" w:eastAsia="仿宋_GB2312" w:cs="仿宋_GB2312"/>
          <w:spacing w:val="18"/>
          <w:w w:val="105"/>
          <w:sz w:val="32"/>
          <w:szCs w:val="32"/>
          <w:lang w:val="en-US" w:eastAsia="zh-CN"/>
        </w:rPr>
      </w:pPr>
      <w:r>
        <w:rPr>
          <w:rFonts w:hint="eastAsia" w:ascii="仿宋_GB2312" w:hAnsi="仿宋_GB2312" w:eastAsia="仿宋_GB2312" w:cs="仿宋_GB2312"/>
          <w:spacing w:val="18"/>
          <w:w w:val="105"/>
          <w:sz w:val="32"/>
          <w:szCs w:val="32"/>
        </w:rPr>
        <w:t>202</w:t>
      </w:r>
      <w:r>
        <w:rPr>
          <w:rFonts w:hint="eastAsia" w:ascii="仿宋_GB2312" w:hAnsi="仿宋_GB2312" w:eastAsia="仿宋_GB2312" w:cs="仿宋_GB2312"/>
          <w:spacing w:val="18"/>
          <w:w w:val="105"/>
          <w:sz w:val="32"/>
          <w:szCs w:val="32"/>
          <w:lang w:val="en-US" w:eastAsia="zh-CN"/>
        </w:rPr>
        <w:t>4</w:t>
      </w:r>
      <w:r>
        <w:rPr>
          <w:rFonts w:hint="eastAsia" w:ascii="仿宋_GB2312" w:hAnsi="仿宋_GB2312" w:eastAsia="仿宋_GB2312" w:cs="仿宋_GB2312"/>
          <w:spacing w:val="18"/>
          <w:w w:val="105"/>
          <w:sz w:val="32"/>
          <w:szCs w:val="32"/>
        </w:rPr>
        <w:t>年</w:t>
      </w:r>
      <w:r>
        <w:rPr>
          <w:rFonts w:hint="eastAsia" w:ascii="仿宋_GB2312" w:hAnsi="仿宋_GB2312" w:eastAsia="仿宋_GB2312" w:cs="仿宋_GB2312"/>
          <w:spacing w:val="18"/>
          <w:w w:val="105"/>
          <w:sz w:val="32"/>
          <w:szCs w:val="32"/>
          <w:lang w:val="en-US" w:eastAsia="zh-CN"/>
        </w:rPr>
        <w:t>9</w:t>
      </w:r>
      <w:r>
        <w:rPr>
          <w:rFonts w:hint="eastAsia" w:ascii="仿宋_GB2312" w:hAnsi="仿宋_GB2312" w:eastAsia="仿宋_GB2312" w:cs="仿宋_GB2312"/>
          <w:spacing w:val="18"/>
          <w:w w:val="105"/>
          <w:sz w:val="32"/>
          <w:szCs w:val="32"/>
        </w:rPr>
        <w:t>月</w:t>
      </w:r>
      <w:r>
        <w:rPr>
          <w:rFonts w:hint="eastAsia" w:ascii="仿宋_GB2312" w:hAnsi="仿宋_GB2312" w:eastAsia="仿宋_GB2312" w:cs="仿宋_GB2312"/>
          <w:spacing w:val="18"/>
          <w:w w:val="105"/>
          <w:sz w:val="32"/>
          <w:szCs w:val="32"/>
          <w:lang w:val="en-US" w:eastAsia="zh-CN"/>
        </w:rPr>
        <w:t xml:space="preserve">18日     </w:t>
      </w:r>
    </w:p>
    <w:p w14:paraId="298D3313">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260985</wp:posOffset>
                </wp:positionV>
                <wp:extent cx="5629275" cy="10160"/>
                <wp:effectExtent l="0" t="4445" r="9525" b="13970"/>
                <wp:wrapNone/>
                <wp:docPr id="13" name="直接连接符 13"/>
                <wp:cNvGraphicFramePr/>
                <a:graphic xmlns:a="http://schemas.openxmlformats.org/drawingml/2006/main">
                  <a:graphicData uri="http://schemas.microsoft.com/office/word/2010/wordprocessingShape">
                    <wps:wsp>
                      <wps:cNvCnPr/>
                      <wps:spPr>
                        <a:xfrm flipV="1">
                          <a:off x="0" y="0"/>
                          <a:ext cx="562927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pt;margin-top:20.55pt;height:0.8pt;width:443.25pt;z-index:251660288;mso-width-relative:page;mso-height-relative:page;" filled="f" stroked="t" coordsize="21600,21600" o:gfxdata="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KmZuTWAAAACAEAAA8AAAAAAAAAAQAgAAAAIgAAAGRycy9kb3du&#10;cmV2LnhtbFBLAQIUABQAAAAIAIdO4kADrrNmAQIAAPQDAAAOAAAAAAAAAAEAIAAAACUBAABkcnMv&#10;ZTJvRG9jLnhtbFBLBQYAAAAABgAGAFkBAACYBQAAAAA=&#10;">
                <v:fill on="f" focussize="0,0"/>
                <v:stroke color="#000000" joinstyle="round"/>
                <v:imagedata o:title=""/>
                <o:lock v:ext="edit" aspectratio="f"/>
              </v:line>
            </w:pict>
          </mc:Fallback>
        </mc:AlternateContent>
      </w:r>
    </w:p>
    <w:p w14:paraId="52A2233E">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default" w:ascii="仿宋" w:hAnsi="仿宋" w:eastAsia="仿宋"/>
          <w:sz w:val="32"/>
          <w:szCs w:val="32"/>
          <w:lang w:val="en-US" w:eastAsia="zh-CN"/>
        </w:rPr>
      </w:pPr>
      <w: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244475</wp:posOffset>
                </wp:positionV>
                <wp:extent cx="5629275" cy="10160"/>
                <wp:effectExtent l="0" t="4445" r="9525" b="13970"/>
                <wp:wrapNone/>
                <wp:docPr id="12" name="直接连接符 12"/>
                <wp:cNvGraphicFramePr/>
                <a:graphic xmlns:a="http://schemas.openxmlformats.org/drawingml/2006/main">
                  <a:graphicData uri="http://schemas.microsoft.com/office/word/2010/wordprocessingShape">
                    <wps:wsp>
                      <wps:cNvCnPr/>
                      <wps:spPr>
                        <a:xfrm flipV="1">
                          <a:off x="0" y="0"/>
                          <a:ext cx="562927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25pt;margin-top:19.25pt;height:0.8pt;width:443.25pt;z-index:251660288;mso-width-relative:page;mso-height-relative:page;" filled="f" stroked="t" coordsize="21600,21600" o:gfxdata="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rBWdPWAAAACAEAAA8AAAAAAAAAAQAgAAAAIgAAAGRycy9kb3du&#10;cmV2LnhtbFBLAQIUABQAAAAIAIdO4kB3d7eoAQIAAPQDAAAOAAAAAAAAAAEAIAAAACUBAABkcnMv&#10;ZTJvRG9jLnhtbFBLBQYAAAAABgAGAFkBAACYBQAAAAA=&#10;">
                <v:fill on="f" focussize="0,0"/>
                <v:stroke color="#000000" joinstyle="round"/>
                <v:imagedata o:title=""/>
                <o:lock v:ext="edit" aspectratio="f"/>
              </v:line>
            </w:pict>
          </mc:Fallback>
        </mc:AlternateContent>
      </w:r>
      <w:r>
        <w:rPr>
          <w:rFonts w:hint="eastAsia" w:ascii="仿宋" w:hAnsi="仿宋" w:eastAsia="仿宋"/>
          <w:sz w:val="32"/>
          <w:szCs w:val="32"/>
        </w:rPr>
        <w:t>抄送：</w:t>
      </w:r>
      <w:r>
        <w:rPr>
          <w:rFonts w:hint="eastAsia" w:ascii="仿宋_GB2312" w:hAnsi="仿宋_GB2312" w:eastAsia="仿宋_GB2312" w:cs="仿宋_GB2312"/>
          <w:kern w:val="2"/>
          <w:sz w:val="28"/>
          <w:szCs w:val="28"/>
          <w:lang w:val="en-US" w:eastAsia="zh-CN" w:bidi="ar-SA"/>
        </w:rPr>
        <w:t>盟生态环境综合行政执法支队，盟生态环境局镶黄旗分局</w:t>
      </w:r>
    </w:p>
    <w:p w14:paraId="5FF074FC">
      <w:pPr>
        <w:keepNext w:val="0"/>
        <w:keepLines w:val="0"/>
        <w:pageBreakBefore w:val="0"/>
        <w:widowControl/>
        <w:kinsoku w:val="0"/>
        <w:wordWrap/>
        <w:overflowPunct/>
        <w:topLinePunct w:val="0"/>
        <w:autoSpaceDE w:val="0"/>
        <w:autoSpaceDN w:val="0"/>
        <w:bidi w:val="0"/>
        <w:adjustRightInd w:val="0"/>
        <w:snapToGrid w:val="0"/>
        <w:spacing w:line="420" w:lineRule="exact"/>
        <w:ind w:firstLine="210" w:firstLineChars="100"/>
        <w:textAlignment w:val="baseline"/>
        <w:rPr>
          <w:rFonts w:hint="default" w:ascii="Times New Roman" w:hAnsi="Times New Roman" w:eastAsia="仿宋" w:cs="Times New Roman"/>
          <w:spacing w:val="36"/>
          <w:w w:val="102"/>
          <w:sz w:val="33"/>
          <w:szCs w:val="33"/>
        </w:rPr>
      </w:pPr>
      <w: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304800</wp:posOffset>
                </wp:positionV>
                <wp:extent cx="5629275" cy="10160"/>
                <wp:effectExtent l="0" t="4445" r="9525" b="13970"/>
                <wp:wrapNone/>
                <wp:docPr id="11" name="直接连接符 11"/>
                <wp:cNvGraphicFramePr/>
                <a:graphic xmlns:a="http://schemas.openxmlformats.org/drawingml/2006/main">
                  <a:graphicData uri="http://schemas.microsoft.com/office/word/2010/wordprocessingShape">
                    <wps:wsp>
                      <wps:cNvCnPr/>
                      <wps:spPr>
                        <a:xfrm flipV="1">
                          <a:off x="0" y="0"/>
                          <a:ext cx="562927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75pt;margin-top:24pt;height:0.8pt;width:443.25pt;z-index:251660288;mso-width-relative:page;mso-height-relative:page;" filled="f" stroked="t" coordsize="21600,21600" o:gfxdata="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em957WAAAACAEAAA8AAAAAAAAAAQAgAAAAIgAAAGRycy9kb3du&#10;cmV2LnhtbFBLAQIUABQAAAAIAIdO4kCqGsshAQIAAPQDAAAOAAAAAAAAAAEAIAAAACUBAABkcnMv&#10;ZTJvRG9jLnhtbFBLBQYAAAAABgAGAFkBAACYBQAAAAA=&#10;">
                <v:fill on="f" focussize="0,0"/>
                <v:stroke color="#000000" joinstyle="round"/>
                <v:imagedata o:title=""/>
                <o:lock v:ext="edit" aspectratio="f"/>
              </v:line>
            </w:pict>
          </mc:Fallback>
        </mc:AlternateContent>
      </w:r>
      <w:r>
        <w:rPr>
          <w:rFonts w:hint="eastAsia" w:ascii="仿宋" w:hAnsi="仿宋" w:eastAsia="仿宋"/>
          <w:sz w:val="32"/>
          <w:szCs w:val="32"/>
        </w:rPr>
        <w:t xml:space="preserve">锡林郭勒盟生态环境局办公室 </w:t>
      </w:r>
      <w:r>
        <w:rPr>
          <w:rFonts w:hint="eastAsia" w:ascii="仿宋" w:hAnsi="仿宋" w:eastAsia="仿宋"/>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9</w:t>
      </w:r>
      <w:r>
        <w:rPr>
          <w:rFonts w:hint="eastAsia" w:ascii="仿宋" w:hAnsi="仿宋" w:eastAsia="仿宋"/>
          <w:sz w:val="32"/>
          <w:szCs w:val="32"/>
        </w:rPr>
        <w:t>月</w:t>
      </w:r>
      <w:r>
        <w:rPr>
          <w:rFonts w:hint="eastAsia" w:ascii="仿宋" w:hAnsi="仿宋" w:eastAsia="仿宋"/>
          <w:sz w:val="32"/>
          <w:szCs w:val="32"/>
          <w:lang w:val="en-US" w:eastAsia="zh-CN"/>
        </w:rPr>
        <w:t>18</w:t>
      </w:r>
      <w:r>
        <w:rPr>
          <w:rFonts w:hint="eastAsia" w:ascii="仿宋" w:hAnsi="仿宋" w:eastAsia="仿宋"/>
          <w:sz w:val="32"/>
          <w:szCs w:val="32"/>
        </w:rPr>
        <w:t>日印发</w:t>
      </w:r>
    </w:p>
    <w:sectPr>
      <w:footerReference r:id="rId5" w:type="default"/>
      <w:pgSz w:w="12050" w:h="16920"/>
      <w:pgMar w:top="1984" w:right="1587" w:bottom="1701" w:left="1587" w:header="0" w:footer="862" w:gutter="0"/>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Arial Unicode MS">
    <w:altName w:val="Arial"/>
    <w:panose1 w:val="020B0604020202020204"/>
    <w:charset w:val="00"/>
    <w:family w:val="roman"/>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42D8B">
    <w:pPr>
      <w:spacing w:line="68" w:lineRule="exact"/>
      <w:ind w:firstLine="4330"/>
      <w:rPr>
        <w:rFonts w:ascii="仿宋" w:hAnsi="仿宋" w:eastAsia="仿宋" w:cs="仿宋"/>
        <w:sz w:val="10"/>
        <w:szCs w:val="10"/>
      </w:rPr>
    </w:pPr>
    <w:r>
      <w:rPr>
        <w:sz w:val="1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BD36D2">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0pt;height:144pt;width:144pt;mso-position-horizontal:outside;mso-position-horizontal-relative:margin;mso-wrap-style:none;z-index:251659264;mso-width-relative:page;mso-height-relative:page;" filled="f" stroked="f" coordsize="21600,21600" o:gfxdata="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I9KHLTAAAACAEAAA8AAAAAAAAAAQAgAAAAIgAAAGRycy9kb3ducmV2LnhtbFBLAQIU&#10;ABQAAAAIAIdO4kBrhfn7MQIAAGEEAAAOAAAAAAAAAAEAIAAAACIBAABkcnMvZTJvRG9jLnhtbFBL&#10;BQYAAAAABgAGAFkBAADFBQAAAAA=&#10;">
              <v:fill on="f" focussize="0,0"/>
              <v:stroke on="f" weight="0.5pt"/>
              <v:imagedata o:title=""/>
              <o:lock v:ext="edit" aspectratio="f"/>
              <v:textbox inset="0mm,0mm,0mm,0mm" style="mso-fit-shape-to-text:t;">
                <w:txbxContent>
                  <w:p w14:paraId="25BD36D2">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TlmZTM0NzEyODNiZWU4YTM3NGJjNzRmMWZiNDc3YTcifQ=="/>
  </w:docVars>
  <w:rsids>
    <w:rsidRoot w:val="00000000"/>
    <w:rsid w:val="000303B3"/>
    <w:rsid w:val="000A5010"/>
    <w:rsid w:val="001141B7"/>
    <w:rsid w:val="00207696"/>
    <w:rsid w:val="004B0EBE"/>
    <w:rsid w:val="00515C5E"/>
    <w:rsid w:val="00575386"/>
    <w:rsid w:val="0066491C"/>
    <w:rsid w:val="00813E7E"/>
    <w:rsid w:val="00847DE1"/>
    <w:rsid w:val="00920A7E"/>
    <w:rsid w:val="00A87DE8"/>
    <w:rsid w:val="00BE4957"/>
    <w:rsid w:val="00ED3BD8"/>
    <w:rsid w:val="00EF19E6"/>
    <w:rsid w:val="00F036C9"/>
    <w:rsid w:val="01160EA3"/>
    <w:rsid w:val="014F03EF"/>
    <w:rsid w:val="01565C22"/>
    <w:rsid w:val="01674DF2"/>
    <w:rsid w:val="019D73AC"/>
    <w:rsid w:val="019E3125"/>
    <w:rsid w:val="01CF3E6B"/>
    <w:rsid w:val="01D6466C"/>
    <w:rsid w:val="01DD1E9F"/>
    <w:rsid w:val="02691984"/>
    <w:rsid w:val="02785C89"/>
    <w:rsid w:val="029C3B08"/>
    <w:rsid w:val="02BC7D06"/>
    <w:rsid w:val="02CB0C50"/>
    <w:rsid w:val="02E963B2"/>
    <w:rsid w:val="02FF5E45"/>
    <w:rsid w:val="03166D3B"/>
    <w:rsid w:val="03410286"/>
    <w:rsid w:val="042711AF"/>
    <w:rsid w:val="0433224A"/>
    <w:rsid w:val="04697120"/>
    <w:rsid w:val="04775006"/>
    <w:rsid w:val="04820BAF"/>
    <w:rsid w:val="04976040"/>
    <w:rsid w:val="04AB0032"/>
    <w:rsid w:val="04AE18D1"/>
    <w:rsid w:val="04C904B8"/>
    <w:rsid w:val="04D07A99"/>
    <w:rsid w:val="04ED1856"/>
    <w:rsid w:val="04FC263C"/>
    <w:rsid w:val="05145A0C"/>
    <w:rsid w:val="0521388A"/>
    <w:rsid w:val="0526590B"/>
    <w:rsid w:val="054E09BE"/>
    <w:rsid w:val="056C665D"/>
    <w:rsid w:val="05704E4E"/>
    <w:rsid w:val="05793C8D"/>
    <w:rsid w:val="058F1702"/>
    <w:rsid w:val="05D463B4"/>
    <w:rsid w:val="05D47115"/>
    <w:rsid w:val="05D94D8A"/>
    <w:rsid w:val="05EA3927"/>
    <w:rsid w:val="05FD496D"/>
    <w:rsid w:val="060774EA"/>
    <w:rsid w:val="060A0D89"/>
    <w:rsid w:val="064668EB"/>
    <w:rsid w:val="06523A66"/>
    <w:rsid w:val="06783F44"/>
    <w:rsid w:val="067A7CBC"/>
    <w:rsid w:val="078D2AA3"/>
    <w:rsid w:val="07A72E3D"/>
    <w:rsid w:val="08381BDD"/>
    <w:rsid w:val="083E11BD"/>
    <w:rsid w:val="0854278F"/>
    <w:rsid w:val="087A397A"/>
    <w:rsid w:val="089E2D75"/>
    <w:rsid w:val="09024A32"/>
    <w:rsid w:val="092D40FB"/>
    <w:rsid w:val="09774987"/>
    <w:rsid w:val="097B26B0"/>
    <w:rsid w:val="099655F9"/>
    <w:rsid w:val="09B1630C"/>
    <w:rsid w:val="09B91F92"/>
    <w:rsid w:val="09BF1E8A"/>
    <w:rsid w:val="09D26E62"/>
    <w:rsid w:val="09FF478C"/>
    <w:rsid w:val="0A1E3055"/>
    <w:rsid w:val="0A2E5BD4"/>
    <w:rsid w:val="0A3463D4"/>
    <w:rsid w:val="0A917CCA"/>
    <w:rsid w:val="0AB909AB"/>
    <w:rsid w:val="0AE24082"/>
    <w:rsid w:val="0B2162A2"/>
    <w:rsid w:val="0B2F5BEE"/>
    <w:rsid w:val="0B3B57FD"/>
    <w:rsid w:val="0B426F27"/>
    <w:rsid w:val="0B427448"/>
    <w:rsid w:val="0B4827D7"/>
    <w:rsid w:val="0B9E41C6"/>
    <w:rsid w:val="0BCA3CD2"/>
    <w:rsid w:val="0BF615A4"/>
    <w:rsid w:val="0C2D2378"/>
    <w:rsid w:val="0C550884"/>
    <w:rsid w:val="0C5745FC"/>
    <w:rsid w:val="0C5B5596"/>
    <w:rsid w:val="0C6531BD"/>
    <w:rsid w:val="0C965C0F"/>
    <w:rsid w:val="0D076EA1"/>
    <w:rsid w:val="0D1118E5"/>
    <w:rsid w:val="0D18464C"/>
    <w:rsid w:val="0D251429"/>
    <w:rsid w:val="0D251FBE"/>
    <w:rsid w:val="0D5C45C0"/>
    <w:rsid w:val="0D6E7E4F"/>
    <w:rsid w:val="0DB628CD"/>
    <w:rsid w:val="0DF0289C"/>
    <w:rsid w:val="0DF465A6"/>
    <w:rsid w:val="0E100F06"/>
    <w:rsid w:val="0E16243F"/>
    <w:rsid w:val="0E172295"/>
    <w:rsid w:val="0E3C04AA"/>
    <w:rsid w:val="0E8105F7"/>
    <w:rsid w:val="0EBC43EC"/>
    <w:rsid w:val="0F0335D4"/>
    <w:rsid w:val="0F184516"/>
    <w:rsid w:val="0F221EFE"/>
    <w:rsid w:val="0F490B74"/>
    <w:rsid w:val="0FB047D2"/>
    <w:rsid w:val="0FCE7EF0"/>
    <w:rsid w:val="0FE20B82"/>
    <w:rsid w:val="0FE964D3"/>
    <w:rsid w:val="10247AE3"/>
    <w:rsid w:val="107C2883"/>
    <w:rsid w:val="10AD5132"/>
    <w:rsid w:val="10B50EC4"/>
    <w:rsid w:val="10EB6B67"/>
    <w:rsid w:val="10F44005"/>
    <w:rsid w:val="10F5124C"/>
    <w:rsid w:val="1111746F"/>
    <w:rsid w:val="111D29E0"/>
    <w:rsid w:val="113D6C93"/>
    <w:rsid w:val="11494D01"/>
    <w:rsid w:val="114E06C3"/>
    <w:rsid w:val="118A126C"/>
    <w:rsid w:val="11B12810"/>
    <w:rsid w:val="11E42DD6"/>
    <w:rsid w:val="11F00ED9"/>
    <w:rsid w:val="11F254F3"/>
    <w:rsid w:val="12307DC9"/>
    <w:rsid w:val="124F5C67"/>
    <w:rsid w:val="12954B76"/>
    <w:rsid w:val="12B5207C"/>
    <w:rsid w:val="12C0114D"/>
    <w:rsid w:val="12CB75A7"/>
    <w:rsid w:val="12E70925"/>
    <w:rsid w:val="136E25AE"/>
    <w:rsid w:val="13930956"/>
    <w:rsid w:val="13A10973"/>
    <w:rsid w:val="13C133CE"/>
    <w:rsid w:val="13C92283"/>
    <w:rsid w:val="13CA1B57"/>
    <w:rsid w:val="13CD7229"/>
    <w:rsid w:val="13DE083C"/>
    <w:rsid w:val="13F07810"/>
    <w:rsid w:val="13FF321A"/>
    <w:rsid w:val="14025795"/>
    <w:rsid w:val="143B7DAA"/>
    <w:rsid w:val="14423DE3"/>
    <w:rsid w:val="144C6C7C"/>
    <w:rsid w:val="14C05AD1"/>
    <w:rsid w:val="14C8247D"/>
    <w:rsid w:val="14E60C13"/>
    <w:rsid w:val="152139F9"/>
    <w:rsid w:val="15236017"/>
    <w:rsid w:val="15540F5A"/>
    <w:rsid w:val="157C7F80"/>
    <w:rsid w:val="15915A0E"/>
    <w:rsid w:val="15BC0979"/>
    <w:rsid w:val="15EC4007"/>
    <w:rsid w:val="15F1161D"/>
    <w:rsid w:val="15F7693B"/>
    <w:rsid w:val="163D4C93"/>
    <w:rsid w:val="166167A3"/>
    <w:rsid w:val="16842491"/>
    <w:rsid w:val="168B3804"/>
    <w:rsid w:val="168D3A3C"/>
    <w:rsid w:val="168D57EA"/>
    <w:rsid w:val="16D03928"/>
    <w:rsid w:val="16E660BF"/>
    <w:rsid w:val="176A6365"/>
    <w:rsid w:val="17E27FC0"/>
    <w:rsid w:val="17F953D1"/>
    <w:rsid w:val="18062C2E"/>
    <w:rsid w:val="181A12FF"/>
    <w:rsid w:val="181C1189"/>
    <w:rsid w:val="18A1113E"/>
    <w:rsid w:val="18EF4579"/>
    <w:rsid w:val="18F02060"/>
    <w:rsid w:val="19003D38"/>
    <w:rsid w:val="190D676E"/>
    <w:rsid w:val="192F70D4"/>
    <w:rsid w:val="19382D98"/>
    <w:rsid w:val="19481967"/>
    <w:rsid w:val="198836FD"/>
    <w:rsid w:val="19CC487B"/>
    <w:rsid w:val="19E2098A"/>
    <w:rsid w:val="1A002F7A"/>
    <w:rsid w:val="1A2D037C"/>
    <w:rsid w:val="1A534654"/>
    <w:rsid w:val="1A840CB2"/>
    <w:rsid w:val="1A853C38"/>
    <w:rsid w:val="1ABF125E"/>
    <w:rsid w:val="1B0E5B3B"/>
    <w:rsid w:val="1B1059B5"/>
    <w:rsid w:val="1B32070E"/>
    <w:rsid w:val="1B5D7B73"/>
    <w:rsid w:val="1BA75234"/>
    <w:rsid w:val="1BE1766A"/>
    <w:rsid w:val="1BEA6DE1"/>
    <w:rsid w:val="1C0F0A4F"/>
    <w:rsid w:val="1C5B1EE6"/>
    <w:rsid w:val="1CD75A11"/>
    <w:rsid w:val="1CEE0CE4"/>
    <w:rsid w:val="1D320E99"/>
    <w:rsid w:val="1D81772B"/>
    <w:rsid w:val="1DFB5FB7"/>
    <w:rsid w:val="1E107ADD"/>
    <w:rsid w:val="1E1257C2"/>
    <w:rsid w:val="1E1D38F7"/>
    <w:rsid w:val="1E430E84"/>
    <w:rsid w:val="1E4C1AE7"/>
    <w:rsid w:val="1E6D33C6"/>
    <w:rsid w:val="1E8F3080"/>
    <w:rsid w:val="1EAA4A5F"/>
    <w:rsid w:val="1ED33FB6"/>
    <w:rsid w:val="1F0805CC"/>
    <w:rsid w:val="1F373135"/>
    <w:rsid w:val="1F4B48B0"/>
    <w:rsid w:val="1F6F0182"/>
    <w:rsid w:val="1F864E6A"/>
    <w:rsid w:val="1F8A789D"/>
    <w:rsid w:val="1F8F028E"/>
    <w:rsid w:val="1F9757DB"/>
    <w:rsid w:val="1FA96FEC"/>
    <w:rsid w:val="1FB27619"/>
    <w:rsid w:val="1FBE07C2"/>
    <w:rsid w:val="20453774"/>
    <w:rsid w:val="20474C5B"/>
    <w:rsid w:val="206E2046"/>
    <w:rsid w:val="20713A86"/>
    <w:rsid w:val="20A41EE5"/>
    <w:rsid w:val="20FB39EF"/>
    <w:rsid w:val="21022930"/>
    <w:rsid w:val="211E5AAE"/>
    <w:rsid w:val="21350F58"/>
    <w:rsid w:val="213F1567"/>
    <w:rsid w:val="21575EA1"/>
    <w:rsid w:val="21594194"/>
    <w:rsid w:val="216E6B17"/>
    <w:rsid w:val="2184145D"/>
    <w:rsid w:val="219C2D85"/>
    <w:rsid w:val="21A15481"/>
    <w:rsid w:val="22161381"/>
    <w:rsid w:val="224D5449"/>
    <w:rsid w:val="22734E06"/>
    <w:rsid w:val="227A5764"/>
    <w:rsid w:val="22D62AE6"/>
    <w:rsid w:val="22F66958"/>
    <w:rsid w:val="22FE4C52"/>
    <w:rsid w:val="23053AB0"/>
    <w:rsid w:val="230E380E"/>
    <w:rsid w:val="2364691A"/>
    <w:rsid w:val="238B69C1"/>
    <w:rsid w:val="23937187"/>
    <w:rsid w:val="23D06D16"/>
    <w:rsid w:val="23F51552"/>
    <w:rsid w:val="2417457B"/>
    <w:rsid w:val="243C3EF4"/>
    <w:rsid w:val="24546D13"/>
    <w:rsid w:val="246758CC"/>
    <w:rsid w:val="246B28E3"/>
    <w:rsid w:val="247826EE"/>
    <w:rsid w:val="24C30629"/>
    <w:rsid w:val="24C617B0"/>
    <w:rsid w:val="24CE259C"/>
    <w:rsid w:val="24FE5B05"/>
    <w:rsid w:val="2500187D"/>
    <w:rsid w:val="253F55D6"/>
    <w:rsid w:val="2540611D"/>
    <w:rsid w:val="25670F7D"/>
    <w:rsid w:val="257E3356"/>
    <w:rsid w:val="25922771"/>
    <w:rsid w:val="259721E1"/>
    <w:rsid w:val="25987D07"/>
    <w:rsid w:val="260346AD"/>
    <w:rsid w:val="26176E7E"/>
    <w:rsid w:val="262E5F76"/>
    <w:rsid w:val="26393B6B"/>
    <w:rsid w:val="267021A1"/>
    <w:rsid w:val="267D6303"/>
    <w:rsid w:val="26BE554B"/>
    <w:rsid w:val="26E72CF4"/>
    <w:rsid w:val="2710589B"/>
    <w:rsid w:val="279302CF"/>
    <w:rsid w:val="27BF014F"/>
    <w:rsid w:val="27D01194"/>
    <w:rsid w:val="27DA3456"/>
    <w:rsid w:val="27FC27CF"/>
    <w:rsid w:val="28135FEE"/>
    <w:rsid w:val="2838212A"/>
    <w:rsid w:val="28486705"/>
    <w:rsid w:val="284A74CB"/>
    <w:rsid w:val="28773C04"/>
    <w:rsid w:val="28991E5C"/>
    <w:rsid w:val="289D6EC8"/>
    <w:rsid w:val="28B70E79"/>
    <w:rsid w:val="28EC690F"/>
    <w:rsid w:val="29086BE9"/>
    <w:rsid w:val="290874A2"/>
    <w:rsid w:val="2916341D"/>
    <w:rsid w:val="293A636E"/>
    <w:rsid w:val="296E7C07"/>
    <w:rsid w:val="297C6606"/>
    <w:rsid w:val="29B41A1A"/>
    <w:rsid w:val="29EF7B3D"/>
    <w:rsid w:val="2A111E36"/>
    <w:rsid w:val="2A161F2E"/>
    <w:rsid w:val="2A2E2B0A"/>
    <w:rsid w:val="2A3C3357"/>
    <w:rsid w:val="2A816FBC"/>
    <w:rsid w:val="2A8233B1"/>
    <w:rsid w:val="2AAD7DB1"/>
    <w:rsid w:val="2AD90BA6"/>
    <w:rsid w:val="2ADE4398"/>
    <w:rsid w:val="2AE916BD"/>
    <w:rsid w:val="2B314BC8"/>
    <w:rsid w:val="2B674404"/>
    <w:rsid w:val="2B774362"/>
    <w:rsid w:val="2B7B7D5E"/>
    <w:rsid w:val="2BC77098"/>
    <w:rsid w:val="2BEE541D"/>
    <w:rsid w:val="2C0316DE"/>
    <w:rsid w:val="2C0B206C"/>
    <w:rsid w:val="2C0D166E"/>
    <w:rsid w:val="2C4A0AE9"/>
    <w:rsid w:val="2CA730E3"/>
    <w:rsid w:val="2CD07532"/>
    <w:rsid w:val="2D064294"/>
    <w:rsid w:val="2D0E03CF"/>
    <w:rsid w:val="2D3734E5"/>
    <w:rsid w:val="2D4652DE"/>
    <w:rsid w:val="2D5C786C"/>
    <w:rsid w:val="2D6B7AAF"/>
    <w:rsid w:val="2D76092E"/>
    <w:rsid w:val="2DAA4A7C"/>
    <w:rsid w:val="2DB66F7C"/>
    <w:rsid w:val="2DBB4593"/>
    <w:rsid w:val="2DC72F38"/>
    <w:rsid w:val="2E057F57"/>
    <w:rsid w:val="2E776F13"/>
    <w:rsid w:val="2E9C2616"/>
    <w:rsid w:val="2EB815FE"/>
    <w:rsid w:val="2EEB3529"/>
    <w:rsid w:val="2F087CAC"/>
    <w:rsid w:val="2F5026B0"/>
    <w:rsid w:val="2F5B5954"/>
    <w:rsid w:val="2F7013AD"/>
    <w:rsid w:val="2F8B0703"/>
    <w:rsid w:val="2F8E5400"/>
    <w:rsid w:val="2F9A6C85"/>
    <w:rsid w:val="2FB83E8C"/>
    <w:rsid w:val="2FE57FED"/>
    <w:rsid w:val="300D70B8"/>
    <w:rsid w:val="3026282A"/>
    <w:rsid w:val="30393E95"/>
    <w:rsid w:val="30502CF4"/>
    <w:rsid w:val="306453B6"/>
    <w:rsid w:val="30710775"/>
    <w:rsid w:val="3090363A"/>
    <w:rsid w:val="30AE5029"/>
    <w:rsid w:val="30CC4D09"/>
    <w:rsid w:val="30FC45CB"/>
    <w:rsid w:val="3103697D"/>
    <w:rsid w:val="31065FC5"/>
    <w:rsid w:val="31477BE9"/>
    <w:rsid w:val="31807BD3"/>
    <w:rsid w:val="31A6555A"/>
    <w:rsid w:val="3225110E"/>
    <w:rsid w:val="323808A8"/>
    <w:rsid w:val="32521727"/>
    <w:rsid w:val="326F550E"/>
    <w:rsid w:val="3272726D"/>
    <w:rsid w:val="329C61C8"/>
    <w:rsid w:val="32A95C2D"/>
    <w:rsid w:val="32E53E60"/>
    <w:rsid w:val="32EC3440"/>
    <w:rsid w:val="33114959"/>
    <w:rsid w:val="3353635E"/>
    <w:rsid w:val="33A87367"/>
    <w:rsid w:val="33B15439"/>
    <w:rsid w:val="33D62126"/>
    <w:rsid w:val="33E368F4"/>
    <w:rsid w:val="33FC4EAD"/>
    <w:rsid w:val="341E587B"/>
    <w:rsid w:val="34297002"/>
    <w:rsid w:val="34485C44"/>
    <w:rsid w:val="3469366F"/>
    <w:rsid w:val="348C6C89"/>
    <w:rsid w:val="349D49F2"/>
    <w:rsid w:val="349D5386"/>
    <w:rsid w:val="35001E09"/>
    <w:rsid w:val="350C1B78"/>
    <w:rsid w:val="3522139B"/>
    <w:rsid w:val="35236EAC"/>
    <w:rsid w:val="357C1960"/>
    <w:rsid w:val="357C2CDC"/>
    <w:rsid w:val="359070E7"/>
    <w:rsid w:val="360F5BC5"/>
    <w:rsid w:val="364B5A10"/>
    <w:rsid w:val="36BB3B00"/>
    <w:rsid w:val="36C941C4"/>
    <w:rsid w:val="36D2307F"/>
    <w:rsid w:val="36E903C3"/>
    <w:rsid w:val="37163E07"/>
    <w:rsid w:val="371D201C"/>
    <w:rsid w:val="37335AE2"/>
    <w:rsid w:val="377063EE"/>
    <w:rsid w:val="37776E01"/>
    <w:rsid w:val="37E25D40"/>
    <w:rsid w:val="37E65BEF"/>
    <w:rsid w:val="37F018ED"/>
    <w:rsid w:val="38875938"/>
    <w:rsid w:val="389F011B"/>
    <w:rsid w:val="38FA69E8"/>
    <w:rsid w:val="39154DEE"/>
    <w:rsid w:val="392A6CA6"/>
    <w:rsid w:val="399F1B54"/>
    <w:rsid w:val="39BD11EE"/>
    <w:rsid w:val="39CB14DD"/>
    <w:rsid w:val="39EE09E5"/>
    <w:rsid w:val="39F06295"/>
    <w:rsid w:val="3A297440"/>
    <w:rsid w:val="3A59585F"/>
    <w:rsid w:val="3AAC5453"/>
    <w:rsid w:val="3AC55853"/>
    <w:rsid w:val="3AE31E89"/>
    <w:rsid w:val="3B253CAF"/>
    <w:rsid w:val="3B4958D4"/>
    <w:rsid w:val="3B516536"/>
    <w:rsid w:val="3BE253E0"/>
    <w:rsid w:val="3C3D6ABB"/>
    <w:rsid w:val="3C570D2E"/>
    <w:rsid w:val="3C6D55F2"/>
    <w:rsid w:val="3C975B58"/>
    <w:rsid w:val="3C9E39FD"/>
    <w:rsid w:val="3CFE5A61"/>
    <w:rsid w:val="3D093329"/>
    <w:rsid w:val="3D1A2F01"/>
    <w:rsid w:val="3D212A9A"/>
    <w:rsid w:val="3D2B3758"/>
    <w:rsid w:val="3D597924"/>
    <w:rsid w:val="3D6E7EA5"/>
    <w:rsid w:val="3D971526"/>
    <w:rsid w:val="3D995F73"/>
    <w:rsid w:val="3DB261BA"/>
    <w:rsid w:val="3DD76E2F"/>
    <w:rsid w:val="3E0C738C"/>
    <w:rsid w:val="3E4D6651"/>
    <w:rsid w:val="3E5D37CB"/>
    <w:rsid w:val="3E603179"/>
    <w:rsid w:val="3E730B94"/>
    <w:rsid w:val="3EBF1A09"/>
    <w:rsid w:val="3ED100BA"/>
    <w:rsid w:val="3F367F1D"/>
    <w:rsid w:val="3F52287D"/>
    <w:rsid w:val="3F7B6278"/>
    <w:rsid w:val="3FD80FD4"/>
    <w:rsid w:val="3FEC76B6"/>
    <w:rsid w:val="400058EF"/>
    <w:rsid w:val="4004626D"/>
    <w:rsid w:val="401A7A33"/>
    <w:rsid w:val="40370BEE"/>
    <w:rsid w:val="40D93256"/>
    <w:rsid w:val="40F302C1"/>
    <w:rsid w:val="40F850A2"/>
    <w:rsid w:val="411E5C8C"/>
    <w:rsid w:val="41393CF5"/>
    <w:rsid w:val="41405083"/>
    <w:rsid w:val="414E28B0"/>
    <w:rsid w:val="41526B64"/>
    <w:rsid w:val="41924807"/>
    <w:rsid w:val="41A1168D"/>
    <w:rsid w:val="41B45A71"/>
    <w:rsid w:val="41E304D3"/>
    <w:rsid w:val="41F32F91"/>
    <w:rsid w:val="42084BCD"/>
    <w:rsid w:val="42132BCD"/>
    <w:rsid w:val="42452E8B"/>
    <w:rsid w:val="42654E02"/>
    <w:rsid w:val="426B4382"/>
    <w:rsid w:val="42957651"/>
    <w:rsid w:val="42A258CA"/>
    <w:rsid w:val="42C10446"/>
    <w:rsid w:val="42EF09FB"/>
    <w:rsid w:val="42F26851"/>
    <w:rsid w:val="4328219C"/>
    <w:rsid w:val="436126C4"/>
    <w:rsid w:val="438B7C9A"/>
    <w:rsid w:val="438D657A"/>
    <w:rsid w:val="439C1000"/>
    <w:rsid w:val="43C93571"/>
    <w:rsid w:val="44095C00"/>
    <w:rsid w:val="444B446B"/>
    <w:rsid w:val="44A57FD7"/>
    <w:rsid w:val="44B9344A"/>
    <w:rsid w:val="44C935EA"/>
    <w:rsid w:val="44D02BC2"/>
    <w:rsid w:val="44D6558C"/>
    <w:rsid w:val="44E55C1C"/>
    <w:rsid w:val="44E65F85"/>
    <w:rsid w:val="451A5BEB"/>
    <w:rsid w:val="452A6FDD"/>
    <w:rsid w:val="463E4B82"/>
    <w:rsid w:val="468477C0"/>
    <w:rsid w:val="46B300A5"/>
    <w:rsid w:val="46B8390E"/>
    <w:rsid w:val="470D1EAB"/>
    <w:rsid w:val="4735160D"/>
    <w:rsid w:val="47456240"/>
    <w:rsid w:val="476D241D"/>
    <w:rsid w:val="47E744AA"/>
    <w:rsid w:val="48213971"/>
    <w:rsid w:val="482F5E51"/>
    <w:rsid w:val="489177E2"/>
    <w:rsid w:val="49064E04"/>
    <w:rsid w:val="493F3295"/>
    <w:rsid w:val="49570C8B"/>
    <w:rsid w:val="49920446"/>
    <w:rsid w:val="49B3048D"/>
    <w:rsid w:val="49E16015"/>
    <w:rsid w:val="49FA0676"/>
    <w:rsid w:val="4A0E0C60"/>
    <w:rsid w:val="4A132BEA"/>
    <w:rsid w:val="4A524669"/>
    <w:rsid w:val="4A6A1FC2"/>
    <w:rsid w:val="4A71301D"/>
    <w:rsid w:val="4A802994"/>
    <w:rsid w:val="4A823615"/>
    <w:rsid w:val="4A8A55C1"/>
    <w:rsid w:val="4A8A55E5"/>
    <w:rsid w:val="4A8B709D"/>
    <w:rsid w:val="4A8E6E5F"/>
    <w:rsid w:val="4A9A648E"/>
    <w:rsid w:val="4AA571F9"/>
    <w:rsid w:val="4AB91025"/>
    <w:rsid w:val="4ABD5996"/>
    <w:rsid w:val="4AC45190"/>
    <w:rsid w:val="4ACE54AE"/>
    <w:rsid w:val="4AE72A13"/>
    <w:rsid w:val="4B4B2FA2"/>
    <w:rsid w:val="4B7309FB"/>
    <w:rsid w:val="4B786A8C"/>
    <w:rsid w:val="4B835429"/>
    <w:rsid w:val="4B9A5CD8"/>
    <w:rsid w:val="4B9E5B3A"/>
    <w:rsid w:val="4BB24DCF"/>
    <w:rsid w:val="4BF76C86"/>
    <w:rsid w:val="4BF976A8"/>
    <w:rsid w:val="4C8F5111"/>
    <w:rsid w:val="4C9B7E6F"/>
    <w:rsid w:val="4CB93F3C"/>
    <w:rsid w:val="4CD80866"/>
    <w:rsid w:val="4CE4545C"/>
    <w:rsid w:val="4CF51AE2"/>
    <w:rsid w:val="4CFA195C"/>
    <w:rsid w:val="4D2B4E39"/>
    <w:rsid w:val="4D482FBD"/>
    <w:rsid w:val="4D6F007A"/>
    <w:rsid w:val="4DBD1DF1"/>
    <w:rsid w:val="4DCE449B"/>
    <w:rsid w:val="4DDB4F92"/>
    <w:rsid w:val="4DE67291"/>
    <w:rsid w:val="4DEB5934"/>
    <w:rsid w:val="4DED79F7"/>
    <w:rsid w:val="4DFE5208"/>
    <w:rsid w:val="4E6F3F3D"/>
    <w:rsid w:val="4E713DF7"/>
    <w:rsid w:val="4EB33338"/>
    <w:rsid w:val="4ECE0172"/>
    <w:rsid w:val="4EEC17DA"/>
    <w:rsid w:val="4F1A530E"/>
    <w:rsid w:val="4F4A6E30"/>
    <w:rsid w:val="4F587A3C"/>
    <w:rsid w:val="4F6273C0"/>
    <w:rsid w:val="4F9475C8"/>
    <w:rsid w:val="4FC4501C"/>
    <w:rsid w:val="4FD221F1"/>
    <w:rsid w:val="4FE727D8"/>
    <w:rsid w:val="501A744F"/>
    <w:rsid w:val="50593A6B"/>
    <w:rsid w:val="506B7C43"/>
    <w:rsid w:val="507019A1"/>
    <w:rsid w:val="50853B31"/>
    <w:rsid w:val="511C6226"/>
    <w:rsid w:val="51534796"/>
    <w:rsid w:val="515822B1"/>
    <w:rsid w:val="515B2142"/>
    <w:rsid w:val="51894824"/>
    <w:rsid w:val="51C35300"/>
    <w:rsid w:val="51C4760A"/>
    <w:rsid w:val="51DD06CC"/>
    <w:rsid w:val="51F865DB"/>
    <w:rsid w:val="521536EF"/>
    <w:rsid w:val="521A5985"/>
    <w:rsid w:val="5256365E"/>
    <w:rsid w:val="52BA27BB"/>
    <w:rsid w:val="52EA7776"/>
    <w:rsid w:val="530879CB"/>
    <w:rsid w:val="530D42FA"/>
    <w:rsid w:val="53514ECE"/>
    <w:rsid w:val="535A6478"/>
    <w:rsid w:val="537B113C"/>
    <w:rsid w:val="539529C9"/>
    <w:rsid w:val="53BF7267"/>
    <w:rsid w:val="53D224B3"/>
    <w:rsid w:val="53E73A84"/>
    <w:rsid w:val="540255D9"/>
    <w:rsid w:val="54224844"/>
    <w:rsid w:val="54603AAF"/>
    <w:rsid w:val="54663266"/>
    <w:rsid w:val="547148FC"/>
    <w:rsid w:val="54A113F4"/>
    <w:rsid w:val="54C81A80"/>
    <w:rsid w:val="54C83633"/>
    <w:rsid w:val="55052414"/>
    <w:rsid w:val="55154874"/>
    <w:rsid w:val="551654C9"/>
    <w:rsid w:val="551B39E5"/>
    <w:rsid w:val="554E4208"/>
    <w:rsid w:val="556861D7"/>
    <w:rsid w:val="556E7FB9"/>
    <w:rsid w:val="556F5ADF"/>
    <w:rsid w:val="558A0F60"/>
    <w:rsid w:val="55925286"/>
    <w:rsid w:val="55A41C2D"/>
    <w:rsid w:val="55AD3A8A"/>
    <w:rsid w:val="55E34CE0"/>
    <w:rsid w:val="55E464CD"/>
    <w:rsid w:val="55F90990"/>
    <w:rsid w:val="56050989"/>
    <w:rsid w:val="56295042"/>
    <w:rsid w:val="56785D5C"/>
    <w:rsid w:val="56A45831"/>
    <w:rsid w:val="56B149AE"/>
    <w:rsid w:val="56D30EB1"/>
    <w:rsid w:val="56E27C44"/>
    <w:rsid w:val="56E60B21"/>
    <w:rsid w:val="571F77CE"/>
    <w:rsid w:val="572C48AA"/>
    <w:rsid w:val="57400A23"/>
    <w:rsid w:val="576F2F50"/>
    <w:rsid w:val="57811E04"/>
    <w:rsid w:val="578A6CD9"/>
    <w:rsid w:val="578E252E"/>
    <w:rsid w:val="579B3F7E"/>
    <w:rsid w:val="57DF519E"/>
    <w:rsid w:val="582232DD"/>
    <w:rsid w:val="587442AD"/>
    <w:rsid w:val="589F0489"/>
    <w:rsid w:val="58B57CAD"/>
    <w:rsid w:val="58BC103B"/>
    <w:rsid w:val="590C63AF"/>
    <w:rsid w:val="591022F4"/>
    <w:rsid w:val="591C7D2C"/>
    <w:rsid w:val="595C5ED8"/>
    <w:rsid w:val="597013FA"/>
    <w:rsid w:val="59C25456"/>
    <w:rsid w:val="59C570F2"/>
    <w:rsid w:val="59D70C4B"/>
    <w:rsid w:val="59EA2BD2"/>
    <w:rsid w:val="59EA607C"/>
    <w:rsid w:val="5A120A63"/>
    <w:rsid w:val="5A144EA7"/>
    <w:rsid w:val="5A1F56FD"/>
    <w:rsid w:val="5A427419"/>
    <w:rsid w:val="5A4840FD"/>
    <w:rsid w:val="5A4B1F43"/>
    <w:rsid w:val="5A662087"/>
    <w:rsid w:val="5A8B6F17"/>
    <w:rsid w:val="5AA1498D"/>
    <w:rsid w:val="5AA30C31"/>
    <w:rsid w:val="5AA36B2A"/>
    <w:rsid w:val="5AB22733"/>
    <w:rsid w:val="5AEA013B"/>
    <w:rsid w:val="5B0E3A7B"/>
    <w:rsid w:val="5B3422A2"/>
    <w:rsid w:val="5B4F7A87"/>
    <w:rsid w:val="5B6E13B8"/>
    <w:rsid w:val="5BA31AED"/>
    <w:rsid w:val="5BB24978"/>
    <w:rsid w:val="5BEA2363"/>
    <w:rsid w:val="5BEB33AD"/>
    <w:rsid w:val="5BF05DAB"/>
    <w:rsid w:val="5C097076"/>
    <w:rsid w:val="5C28441B"/>
    <w:rsid w:val="5C573256"/>
    <w:rsid w:val="5C5F565F"/>
    <w:rsid w:val="5C6735EF"/>
    <w:rsid w:val="5C7B2FBB"/>
    <w:rsid w:val="5C824AD3"/>
    <w:rsid w:val="5CBF10FA"/>
    <w:rsid w:val="5CCE3A33"/>
    <w:rsid w:val="5CD01AE3"/>
    <w:rsid w:val="5D031423"/>
    <w:rsid w:val="5D046777"/>
    <w:rsid w:val="5D9115E9"/>
    <w:rsid w:val="5D9E3405"/>
    <w:rsid w:val="5DCF5051"/>
    <w:rsid w:val="5DDB01B6"/>
    <w:rsid w:val="5E0E482D"/>
    <w:rsid w:val="5E5B22B9"/>
    <w:rsid w:val="5E5C0CDB"/>
    <w:rsid w:val="5E927D5B"/>
    <w:rsid w:val="5E9F11E3"/>
    <w:rsid w:val="5EAE1426"/>
    <w:rsid w:val="5EC37AEA"/>
    <w:rsid w:val="5ED50151"/>
    <w:rsid w:val="5EF959F2"/>
    <w:rsid w:val="5F44721D"/>
    <w:rsid w:val="5F4A1A8C"/>
    <w:rsid w:val="5F6D12E1"/>
    <w:rsid w:val="5F824661"/>
    <w:rsid w:val="5F8B5C0B"/>
    <w:rsid w:val="5FBA3DFB"/>
    <w:rsid w:val="5FCD5B46"/>
    <w:rsid w:val="600D73F1"/>
    <w:rsid w:val="604005D6"/>
    <w:rsid w:val="60651FB9"/>
    <w:rsid w:val="6093657B"/>
    <w:rsid w:val="60CC7399"/>
    <w:rsid w:val="613C6FAE"/>
    <w:rsid w:val="613D1187"/>
    <w:rsid w:val="61DF5D9B"/>
    <w:rsid w:val="61F950AE"/>
    <w:rsid w:val="6224739D"/>
    <w:rsid w:val="62250D41"/>
    <w:rsid w:val="622C5484"/>
    <w:rsid w:val="627E3805"/>
    <w:rsid w:val="628C1A7E"/>
    <w:rsid w:val="62917E1C"/>
    <w:rsid w:val="62B161ED"/>
    <w:rsid w:val="62B45479"/>
    <w:rsid w:val="62D80B9A"/>
    <w:rsid w:val="62E16CBE"/>
    <w:rsid w:val="634E31D8"/>
    <w:rsid w:val="63944015"/>
    <w:rsid w:val="63A948B2"/>
    <w:rsid w:val="63AA6DA9"/>
    <w:rsid w:val="63D538F9"/>
    <w:rsid w:val="63E44975"/>
    <w:rsid w:val="640B731B"/>
    <w:rsid w:val="64C71494"/>
    <w:rsid w:val="64CC3191"/>
    <w:rsid w:val="65235ED9"/>
    <w:rsid w:val="65433AE2"/>
    <w:rsid w:val="65536205"/>
    <w:rsid w:val="658C0569"/>
    <w:rsid w:val="65B64922"/>
    <w:rsid w:val="65DE4CE7"/>
    <w:rsid w:val="65F17726"/>
    <w:rsid w:val="664408C2"/>
    <w:rsid w:val="664D29AB"/>
    <w:rsid w:val="665D0B44"/>
    <w:rsid w:val="6661108B"/>
    <w:rsid w:val="668C4743"/>
    <w:rsid w:val="66B27F22"/>
    <w:rsid w:val="66C142B3"/>
    <w:rsid w:val="675C3547"/>
    <w:rsid w:val="67D143D7"/>
    <w:rsid w:val="67DE774C"/>
    <w:rsid w:val="680B7043"/>
    <w:rsid w:val="68304EAB"/>
    <w:rsid w:val="683B1F2B"/>
    <w:rsid w:val="68415F73"/>
    <w:rsid w:val="68420A03"/>
    <w:rsid w:val="688078CF"/>
    <w:rsid w:val="68AF46C8"/>
    <w:rsid w:val="68D70AE9"/>
    <w:rsid w:val="68ED7FBF"/>
    <w:rsid w:val="690A7914"/>
    <w:rsid w:val="690D33B0"/>
    <w:rsid w:val="69142915"/>
    <w:rsid w:val="69202C76"/>
    <w:rsid w:val="69344C1E"/>
    <w:rsid w:val="69417FC4"/>
    <w:rsid w:val="69733998"/>
    <w:rsid w:val="697D0373"/>
    <w:rsid w:val="699C5EFD"/>
    <w:rsid w:val="69A267ED"/>
    <w:rsid w:val="69A2778F"/>
    <w:rsid w:val="69B31286"/>
    <w:rsid w:val="69B8088F"/>
    <w:rsid w:val="69EE301F"/>
    <w:rsid w:val="69F774BF"/>
    <w:rsid w:val="6A040A94"/>
    <w:rsid w:val="6A1A7B2E"/>
    <w:rsid w:val="6A360BD8"/>
    <w:rsid w:val="6A7554EE"/>
    <w:rsid w:val="6AA13260"/>
    <w:rsid w:val="6AA95198"/>
    <w:rsid w:val="6AAD0407"/>
    <w:rsid w:val="6ACF2E50"/>
    <w:rsid w:val="6AD14E1A"/>
    <w:rsid w:val="6BBA2569"/>
    <w:rsid w:val="6BC71D79"/>
    <w:rsid w:val="6BF863D7"/>
    <w:rsid w:val="6BFE1706"/>
    <w:rsid w:val="6C053CCB"/>
    <w:rsid w:val="6C060AF4"/>
    <w:rsid w:val="6C303DC2"/>
    <w:rsid w:val="6C635F46"/>
    <w:rsid w:val="6C68355C"/>
    <w:rsid w:val="6CAA7353"/>
    <w:rsid w:val="6CAE41B9"/>
    <w:rsid w:val="6CB60DE7"/>
    <w:rsid w:val="6CC95802"/>
    <w:rsid w:val="6CF748E0"/>
    <w:rsid w:val="6CFE0904"/>
    <w:rsid w:val="6D5373CF"/>
    <w:rsid w:val="6D8D0DA1"/>
    <w:rsid w:val="6D972C6E"/>
    <w:rsid w:val="6DA2444F"/>
    <w:rsid w:val="6DBC462A"/>
    <w:rsid w:val="6DDE15FC"/>
    <w:rsid w:val="6DFD3D93"/>
    <w:rsid w:val="6E05519A"/>
    <w:rsid w:val="6E331654"/>
    <w:rsid w:val="6E354459"/>
    <w:rsid w:val="6E35746E"/>
    <w:rsid w:val="6E3A7246"/>
    <w:rsid w:val="6E4A4966"/>
    <w:rsid w:val="6E4B4084"/>
    <w:rsid w:val="6E4B5340"/>
    <w:rsid w:val="6E6F096E"/>
    <w:rsid w:val="6E7F693B"/>
    <w:rsid w:val="6E872694"/>
    <w:rsid w:val="6E891568"/>
    <w:rsid w:val="6E922B12"/>
    <w:rsid w:val="6EA14B04"/>
    <w:rsid w:val="6EA75E92"/>
    <w:rsid w:val="6F170D10"/>
    <w:rsid w:val="6F4F44B5"/>
    <w:rsid w:val="6F634ED2"/>
    <w:rsid w:val="6F686E13"/>
    <w:rsid w:val="6F973151"/>
    <w:rsid w:val="6FE078AE"/>
    <w:rsid w:val="6FFE7D34"/>
    <w:rsid w:val="700C2451"/>
    <w:rsid w:val="701946FF"/>
    <w:rsid w:val="701F74FE"/>
    <w:rsid w:val="7040034C"/>
    <w:rsid w:val="70551947"/>
    <w:rsid w:val="70A628A5"/>
    <w:rsid w:val="70DC62C7"/>
    <w:rsid w:val="70EC07BF"/>
    <w:rsid w:val="7128150C"/>
    <w:rsid w:val="71347EB1"/>
    <w:rsid w:val="719F1439"/>
    <w:rsid w:val="71C465B7"/>
    <w:rsid w:val="71C57827"/>
    <w:rsid w:val="71E33685"/>
    <w:rsid w:val="721939B7"/>
    <w:rsid w:val="721C23E9"/>
    <w:rsid w:val="72334F0E"/>
    <w:rsid w:val="72510345"/>
    <w:rsid w:val="727367B7"/>
    <w:rsid w:val="72A71B76"/>
    <w:rsid w:val="72B5390F"/>
    <w:rsid w:val="72C74EA1"/>
    <w:rsid w:val="72CE5BF7"/>
    <w:rsid w:val="73025106"/>
    <w:rsid w:val="73256EFA"/>
    <w:rsid w:val="734A69F3"/>
    <w:rsid w:val="73A44F2A"/>
    <w:rsid w:val="73A82490"/>
    <w:rsid w:val="74205A4B"/>
    <w:rsid w:val="74542618"/>
    <w:rsid w:val="74977C4C"/>
    <w:rsid w:val="753B29A2"/>
    <w:rsid w:val="75563DE9"/>
    <w:rsid w:val="75596138"/>
    <w:rsid w:val="75A77E9D"/>
    <w:rsid w:val="75E63744"/>
    <w:rsid w:val="75F4331A"/>
    <w:rsid w:val="760638A0"/>
    <w:rsid w:val="763D7D59"/>
    <w:rsid w:val="764A6957"/>
    <w:rsid w:val="76672F99"/>
    <w:rsid w:val="76AC6B33"/>
    <w:rsid w:val="77170059"/>
    <w:rsid w:val="772B2868"/>
    <w:rsid w:val="77320DDE"/>
    <w:rsid w:val="776668EA"/>
    <w:rsid w:val="777234E1"/>
    <w:rsid w:val="777271A3"/>
    <w:rsid w:val="77AB254F"/>
    <w:rsid w:val="77CE2A7E"/>
    <w:rsid w:val="77FA34D6"/>
    <w:rsid w:val="78077E48"/>
    <w:rsid w:val="78547CFC"/>
    <w:rsid w:val="78615304"/>
    <w:rsid w:val="78F93137"/>
    <w:rsid w:val="78FB3062"/>
    <w:rsid w:val="790C78A0"/>
    <w:rsid w:val="790E2D96"/>
    <w:rsid w:val="7927654D"/>
    <w:rsid w:val="793E51B7"/>
    <w:rsid w:val="79494343"/>
    <w:rsid w:val="795B7F6F"/>
    <w:rsid w:val="79607369"/>
    <w:rsid w:val="79654980"/>
    <w:rsid w:val="798752D5"/>
    <w:rsid w:val="79875969"/>
    <w:rsid w:val="79953E26"/>
    <w:rsid w:val="799B52C3"/>
    <w:rsid w:val="79AE0FE0"/>
    <w:rsid w:val="79AF56BF"/>
    <w:rsid w:val="79C47A4D"/>
    <w:rsid w:val="79C55D59"/>
    <w:rsid w:val="79D0374F"/>
    <w:rsid w:val="79DD4337"/>
    <w:rsid w:val="79FF3FFE"/>
    <w:rsid w:val="7A124B07"/>
    <w:rsid w:val="7A41719B"/>
    <w:rsid w:val="7A680BCB"/>
    <w:rsid w:val="7A7E03EF"/>
    <w:rsid w:val="7A8523D0"/>
    <w:rsid w:val="7A8B6668"/>
    <w:rsid w:val="7B002BB2"/>
    <w:rsid w:val="7B242D44"/>
    <w:rsid w:val="7B4A7D03"/>
    <w:rsid w:val="7B6E59A9"/>
    <w:rsid w:val="7B74406A"/>
    <w:rsid w:val="7B8C2698"/>
    <w:rsid w:val="7BF158FB"/>
    <w:rsid w:val="7BF2506D"/>
    <w:rsid w:val="7C423B15"/>
    <w:rsid w:val="7C4B6B9A"/>
    <w:rsid w:val="7C9C63D4"/>
    <w:rsid w:val="7CBB3234"/>
    <w:rsid w:val="7CCD740C"/>
    <w:rsid w:val="7CD73DE6"/>
    <w:rsid w:val="7CDD6416"/>
    <w:rsid w:val="7D1975CD"/>
    <w:rsid w:val="7D1E1A15"/>
    <w:rsid w:val="7D5B4A17"/>
    <w:rsid w:val="7D6675B7"/>
    <w:rsid w:val="7D695822"/>
    <w:rsid w:val="7D8A0E59"/>
    <w:rsid w:val="7DA30699"/>
    <w:rsid w:val="7DCF1645"/>
    <w:rsid w:val="7DED3F8B"/>
    <w:rsid w:val="7DF246CB"/>
    <w:rsid w:val="7E02125E"/>
    <w:rsid w:val="7E236173"/>
    <w:rsid w:val="7E274B82"/>
    <w:rsid w:val="7E6F77A5"/>
    <w:rsid w:val="7E92785A"/>
    <w:rsid w:val="7EB80334"/>
    <w:rsid w:val="7EB937C3"/>
    <w:rsid w:val="7F1056A1"/>
    <w:rsid w:val="7F204E4A"/>
    <w:rsid w:val="7F2E6AFB"/>
    <w:rsid w:val="7F4F5EB6"/>
    <w:rsid w:val="7F800765"/>
    <w:rsid w:val="7F807128"/>
    <w:rsid w:val="7FAF59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5">
    <w:name w:val="heading 1"/>
    <w:basedOn w:val="1"/>
    <w:next w:val="1"/>
    <w:autoRedefine/>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character" w:default="1" w:styleId="12">
    <w:name w:val="Default Paragraph Font"/>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3"/>
    <w:autoRedefine/>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styleId="3">
    <w:name w:val="Body Text First Indent 2"/>
    <w:basedOn w:val="4"/>
    <w:next w:val="1"/>
    <w:autoRedefine/>
    <w:qFormat/>
    <w:uiPriority w:val="0"/>
    <w:pPr>
      <w:ind w:firstLine="420" w:firstLineChars="200"/>
    </w:pPr>
  </w:style>
  <w:style w:type="paragraph" w:styleId="4">
    <w:name w:val="Body Text Indent"/>
    <w:basedOn w:val="1"/>
    <w:next w:val="3"/>
    <w:autoRedefine/>
    <w:qFormat/>
    <w:uiPriority w:val="0"/>
    <w:pPr>
      <w:spacing w:after="120"/>
      <w:ind w:left="420" w:leftChars="200"/>
    </w:pPr>
  </w:style>
  <w:style w:type="paragraph" w:styleId="6">
    <w:name w:val="Body Text"/>
    <w:basedOn w:val="1"/>
    <w:next w:val="1"/>
    <w:autoRedefine/>
    <w:qFormat/>
    <w:uiPriority w:val="0"/>
    <w:pPr>
      <w:widowControl/>
      <w:snapToGrid w:val="0"/>
      <w:spacing w:before="60" w:after="160" w:line="259" w:lineRule="auto"/>
      <w:ind w:right="113"/>
    </w:pPr>
    <w:rPr>
      <w:kern w:val="0"/>
      <w:sz w:val="18"/>
      <w:szCs w:val="20"/>
    </w:rPr>
  </w:style>
  <w:style w:type="paragraph" w:styleId="7">
    <w:name w:val="Body Text Indent 2"/>
    <w:basedOn w:val="1"/>
    <w:autoRedefine/>
    <w:qFormat/>
    <w:uiPriority w:val="99"/>
    <w:pPr>
      <w:spacing w:after="120" w:line="480" w:lineRule="auto"/>
      <w:ind w:left="420" w:leftChars="200"/>
    </w:pPr>
  </w:style>
  <w:style w:type="paragraph" w:styleId="8">
    <w:name w:val="footer"/>
    <w:basedOn w:val="1"/>
    <w:next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w:basedOn w:val="6"/>
    <w:next w:val="1"/>
    <w:autoRedefine/>
    <w:qFormat/>
    <w:uiPriority w:val="0"/>
    <w:pPr>
      <w:widowControl w:val="0"/>
      <w:snapToGrid/>
      <w:spacing w:before="0" w:after="120" w:line="240" w:lineRule="auto"/>
      <w:ind w:right="0" w:firstLine="420" w:firstLineChars="100"/>
    </w:pPr>
    <w:rPr>
      <w:kern w:val="2"/>
      <w:sz w:val="21"/>
    </w:rPr>
  </w:style>
  <w:style w:type="paragraph" w:customStyle="1" w:styleId="13">
    <w:name w:val="xl27"/>
    <w:basedOn w:val="1"/>
    <w:autoRedefine/>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table" w:customStyle="1" w:styleId="14">
    <w:name w:val="Table Normal"/>
    <w:autoRedefine/>
    <w:semiHidden/>
    <w:unhideWhenUsed/>
    <w:qFormat/>
    <w:uiPriority w:val="0"/>
    <w:tblPr>
      <w:tblCellMar>
        <w:top w:w="0" w:type="dxa"/>
        <w:left w:w="0" w:type="dxa"/>
        <w:bottom w:w="0" w:type="dxa"/>
        <w:right w:w="0" w:type="dxa"/>
      </w:tblCellMar>
    </w:tblPr>
  </w:style>
  <w:style w:type="paragraph" w:customStyle="1" w:styleId="15">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
    <w:name w:val="p15"/>
    <w:basedOn w:val="1"/>
    <w:autoRedefine/>
    <w:qFormat/>
    <w:uiPriority w:val="0"/>
    <w:pPr>
      <w:widowControl/>
      <w:spacing w:before="100" w:after="10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3094</Words>
  <Characters>3234</Characters>
  <TotalTime>8</TotalTime>
  <ScaleCrop>false</ScaleCrop>
  <LinksUpToDate>false</LinksUpToDate>
  <CharactersWithSpaces>3254</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2022-07-01T15:16:00Z</dcterms:created>
  <dc:creator>Kingsoft-PDF</dc:creator>
  <cp:keywords>62be9f2e3ff9110015dc12b0</cp:keywords>
  <cp:lastModifiedBy>元宝</cp:lastModifiedBy>
  <cp:lastPrinted>2024-09-09T07:44:00Z</cp:lastPrinted>
  <dcterms:modified xsi:type="dcterms:W3CDTF">2024-09-18T02:52:16Z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2022-07-01T15:16:09Z</vt:filetime>
  </property>
  <property fmtid="{D5CDD505-2E9C-101B-9397-08002B2CF9AE}" pid="4" name="KSOProductBuildVer">
    <vt:lpwstr>2052-12.1.0.18276</vt:lpwstr>
  </property>
  <property fmtid="{D5CDD505-2E9C-101B-9397-08002B2CF9AE}" pid="5" name="ICV">
    <vt:lpwstr>9C49328259654AAF99221FEEA7A2A736_13</vt:lpwstr>
  </property>
</Properties>
</file>