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sz w:val="36"/>
          <w:szCs w:val="36"/>
          <w:highlight w:val="none"/>
        </w:rPr>
      </w:pPr>
    </w:p>
    <w:p>
      <w:pPr>
        <w:rPr>
          <w:rFonts w:hint="default" w:ascii="Times New Roman" w:hAnsi="Times New Roman" w:eastAsia="宋体" w:cs="Times New Roman"/>
          <w:sz w:val="36"/>
          <w:szCs w:val="36"/>
          <w:highlight w:val="none"/>
        </w:rPr>
      </w:pPr>
    </w:p>
    <w:p>
      <w:pPr>
        <w:rPr>
          <w:rFonts w:hint="default" w:ascii="Times New Roman" w:hAnsi="Times New Roman" w:eastAsia="宋体" w:cs="Times New Roman"/>
          <w:sz w:val="36"/>
          <w:szCs w:val="36"/>
          <w:highlight w:val="none"/>
        </w:rPr>
      </w:pPr>
    </w:p>
    <w:p>
      <w:pPr>
        <w:jc w:val="center"/>
        <w:outlineLvl w:val="0"/>
        <w:rPr>
          <w:rFonts w:hint="default" w:ascii="Times New Roman" w:hAnsi="Times New Roman" w:eastAsia="宋体" w:cs="Times New Roman"/>
          <w:bCs/>
          <w:sz w:val="72"/>
          <w:szCs w:val="72"/>
          <w:highlight w:val="none"/>
        </w:rPr>
      </w:pPr>
      <w:r>
        <w:rPr>
          <w:rFonts w:hint="default" w:ascii="Times New Roman" w:hAnsi="Times New Roman" w:eastAsia="宋体" w:cs="Times New Roman"/>
          <w:bCs/>
          <w:sz w:val="72"/>
          <w:szCs w:val="72"/>
          <w:highlight w:val="none"/>
        </w:rPr>
        <w:t>建设项目环境影响报告表</w:t>
      </w:r>
    </w:p>
    <w:p>
      <w:pPr>
        <w:spacing w:before="192" w:beforeLines="80"/>
        <w:jc w:val="center"/>
        <w:rPr>
          <w:rFonts w:hint="default" w:ascii="Times New Roman" w:hAnsi="Times New Roman" w:eastAsia="宋体" w:cs="Times New Roman"/>
          <w:bCs/>
          <w:sz w:val="48"/>
          <w:szCs w:val="48"/>
          <w:highlight w:val="none"/>
          <w:lang w:val="en-US" w:eastAsia="zh-CN"/>
        </w:rPr>
      </w:pPr>
      <w:r>
        <w:rPr>
          <w:rFonts w:hint="default" w:ascii="Times New Roman" w:hAnsi="Times New Roman" w:eastAsia="宋体" w:cs="Times New Roman"/>
          <w:bCs/>
          <w:sz w:val="48"/>
          <w:szCs w:val="48"/>
          <w:highlight w:val="none"/>
        </w:rPr>
        <w:t>（污染影响类）</w:t>
      </w:r>
    </w:p>
    <w:p>
      <w:pPr>
        <w:rPr>
          <w:rFonts w:hint="default" w:ascii="Times New Roman" w:hAnsi="Times New Roman" w:eastAsia="宋体" w:cs="Times New Roman"/>
          <w:highlight w:val="none"/>
        </w:rPr>
      </w:pPr>
    </w:p>
    <w:p>
      <w:pPr>
        <w:jc w:val="center"/>
        <w:rPr>
          <w:rFonts w:hint="default" w:ascii="Times New Roman" w:hAnsi="Times New Roman" w:eastAsia="宋体" w:cs="Times New Roman"/>
          <w:sz w:val="52"/>
          <w:szCs w:val="52"/>
          <w:highlight w:val="none"/>
        </w:rPr>
      </w:pPr>
    </w:p>
    <w:p>
      <w:pPr>
        <w:jc w:val="center"/>
        <w:rPr>
          <w:rFonts w:hint="default" w:ascii="Times New Roman" w:hAnsi="Times New Roman" w:eastAsia="宋体" w:cs="Times New Roman"/>
          <w:sz w:val="52"/>
          <w:szCs w:val="52"/>
          <w:highlight w:val="none"/>
        </w:rPr>
      </w:pPr>
    </w:p>
    <w:p>
      <w:pPr>
        <w:jc w:val="center"/>
        <w:rPr>
          <w:rFonts w:hint="default" w:ascii="Times New Roman" w:hAnsi="Times New Roman" w:eastAsia="宋体" w:cs="Times New Roman"/>
          <w:sz w:val="52"/>
          <w:szCs w:val="52"/>
          <w:highlight w:val="none"/>
        </w:rPr>
      </w:pPr>
    </w:p>
    <w:p>
      <w:pPr>
        <w:jc w:val="center"/>
        <w:rPr>
          <w:rFonts w:hint="default" w:ascii="Times New Roman" w:hAnsi="Times New Roman" w:eastAsia="宋体" w:cs="Times New Roman"/>
          <w:sz w:val="52"/>
          <w:szCs w:val="52"/>
          <w:highlight w:val="none"/>
        </w:rPr>
      </w:pPr>
    </w:p>
    <w:p>
      <w:pPr>
        <w:ind w:firstLine="0"/>
        <w:jc w:val="center"/>
        <w:rPr>
          <w:rFonts w:hint="default" w:ascii="Times New Roman" w:hAnsi="Times New Roman" w:eastAsia="宋体" w:cs="Times New Roman"/>
          <w:sz w:val="44"/>
          <w:szCs w:val="44"/>
          <w:highlight w:val="none"/>
        </w:rPr>
      </w:pPr>
    </w:p>
    <w:p>
      <w:pPr>
        <w:ind w:firstLine="0"/>
        <w:jc w:val="center"/>
        <w:rPr>
          <w:rFonts w:hint="default" w:ascii="Times New Roman" w:hAnsi="Times New Roman" w:eastAsia="宋体" w:cs="Times New Roman"/>
          <w:sz w:val="44"/>
          <w:szCs w:val="44"/>
          <w:highlight w:val="none"/>
        </w:rPr>
      </w:pPr>
    </w:p>
    <w:p>
      <w:pPr>
        <w:ind w:firstLine="0"/>
        <w:jc w:val="center"/>
        <w:rPr>
          <w:rFonts w:hint="default" w:ascii="Times New Roman" w:hAnsi="Times New Roman" w:eastAsia="宋体" w:cs="Times New Roman"/>
          <w:sz w:val="44"/>
          <w:szCs w:val="44"/>
          <w:highlight w:val="none"/>
        </w:rPr>
      </w:pPr>
    </w:p>
    <w:p>
      <w:pPr>
        <w:ind w:firstLine="0"/>
        <w:jc w:val="center"/>
        <w:rPr>
          <w:rFonts w:hint="default" w:ascii="Times New Roman" w:hAnsi="Times New Roman" w:eastAsia="宋体" w:cs="Times New Roman"/>
          <w:sz w:val="44"/>
          <w:szCs w:val="44"/>
          <w:highlight w:val="none"/>
        </w:rPr>
      </w:pPr>
      <w:bookmarkStart w:id="40" w:name="_GoBack"/>
      <w:bookmarkEnd w:id="40"/>
    </w:p>
    <w:p>
      <w:pPr>
        <w:ind w:firstLine="0"/>
        <w:jc w:val="center"/>
        <w:rPr>
          <w:rFonts w:hint="default" w:ascii="Times New Roman" w:hAnsi="Times New Roman" w:eastAsia="宋体" w:cs="Times New Roman"/>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30"/>
          <w:szCs w:val="30"/>
          <w:highlight w:val="none"/>
          <w:u w:val="single"/>
          <w:lang w:eastAsia="zh-CN"/>
        </w:rPr>
      </w:pPr>
      <w:r>
        <w:rPr>
          <w:rFonts w:hint="default" w:ascii="Times New Roman" w:hAnsi="Times New Roman" w:eastAsia="宋体" w:cs="Times New Roman"/>
          <w:sz w:val="30"/>
          <w:szCs w:val="30"/>
          <w:highlight w:val="none"/>
        </w:rPr>
        <w:t>项目名称：</w:t>
      </w:r>
      <w:r>
        <w:rPr>
          <w:rFonts w:hint="eastAsia" w:cs="Times New Roman"/>
          <w:sz w:val="30"/>
          <w:szCs w:val="30"/>
          <w:highlight w:val="none"/>
          <w:u w:val="single"/>
          <w:lang w:eastAsia="zh-CN"/>
        </w:rPr>
        <w:t>内蒙古翰鑫金属制造有限公司金属拉丝生产项目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30"/>
          <w:szCs w:val="30"/>
          <w:highlight w:val="none"/>
          <w:lang w:val="en-US" w:eastAsia="zh-CN"/>
        </w:rPr>
      </w:pPr>
      <w:r>
        <w:rPr>
          <w:rFonts w:hint="default" w:ascii="Times New Roman" w:hAnsi="Times New Roman" w:eastAsia="宋体" w:cs="Times New Roman"/>
          <w:sz w:val="30"/>
          <w:szCs w:val="30"/>
          <w:highlight w:val="none"/>
        </w:rPr>
        <w:t>建设单位（盖章）：</w:t>
      </w:r>
      <w:r>
        <w:rPr>
          <w:rFonts w:hint="eastAsia" w:cs="Times New Roman"/>
          <w:sz w:val="30"/>
          <w:szCs w:val="30"/>
          <w:highlight w:val="none"/>
          <w:u w:val="single"/>
          <w:lang w:val="en-US" w:eastAsia="zh-CN"/>
        </w:rPr>
        <w:t>内蒙古翰鑫金属制造有限公司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30"/>
          <w:szCs w:val="30"/>
          <w:highlight w:val="none"/>
          <w:lang w:val="en-US" w:eastAsia="zh-CN"/>
        </w:rPr>
      </w:pPr>
      <w:r>
        <w:rPr>
          <w:rFonts w:hint="default" w:ascii="Times New Roman" w:hAnsi="Times New Roman" w:eastAsia="宋体" w:cs="Times New Roman"/>
          <w:sz w:val="30"/>
          <w:szCs w:val="30"/>
          <w:highlight w:val="none"/>
        </w:rPr>
        <w:t>编制日期：</w:t>
      </w:r>
      <w:r>
        <w:rPr>
          <w:rFonts w:hint="default" w:ascii="Times New Roman" w:hAnsi="Times New Roman" w:eastAsia="宋体" w:cs="Times New Roman"/>
          <w:sz w:val="30"/>
          <w:szCs w:val="30"/>
          <w:highlight w:val="none"/>
          <w:u w:val="single"/>
        </w:rPr>
        <w:t>202</w:t>
      </w:r>
      <w:r>
        <w:rPr>
          <w:rFonts w:hint="default" w:ascii="Times New Roman" w:hAnsi="Times New Roman" w:eastAsia="宋体" w:cs="Times New Roman"/>
          <w:sz w:val="30"/>
          <w:szCs w:val="30"/>
          <w:highlight w:val="none"/>
          <w:u w:val="single"/>
          <w:lang w:val="en-US" w:eastAsia="zh-CN"/>
        </w:rPr>
        <w:t>4</w:t>
      </w:r>
      <w:r>
        <w:rPr>
          <w:rFonts w:hint="default" w:ascii="Times New Roman" w:hAnsi="Times New Roman" w:eastAsia="宋体" w:cs="Times New Roman"/>
          <w:sz w:val="30"/>
          <w:szCs w:val="30"/>
          <w:highlight w:val="none"/>
          <w:u w:val="single"/>
        </w:rPr>
        <w:t>年</w:t>
      </w:r>
      <w:r>
        <w:rPr>
          <w:rFonts w:hint="eastAsia" w:cs="Times New Roman"/>
          <w:sz w:val="30"/>
          <w:szCs w:val="30"/>
          <w:highlight w:val="none"/>
          <w:u w:val="single"/>
          <w:lang w:val="en-US" w:eastAsia="zh-CN"/>
        </w:rPr>
        <w:t>8</w:t>
      </w:r>
      <w:r>
        <w:rPr>
          <w:rFonts w:hint="default" w:ascii="Times New Roman" w:hAnsi="Times New Roman" w:eastAsia="宋体" w:cs="Times New Roman"/>
          <w:sz w:val="30"/>
          <w:szCs w:val="30"/>
          <w:highlight w:val="none"/>
          <w:u w:val="single"/>
        </w:rPr>
        <w:t>月</w:t>
      </w:r>
    </w:p>
    <w:p>
      <w:pPr>
        <w:spacing w:line="288" w:lineRule="auto"/>
        <w:ind w:firstLine="1040"/>
        <w:rPr>
          <w:rFonts w:hint="default" w:ascii="Times New Roman" w:hAnsi="Times New Roman" w:eastAsia="宋体" w:cs="Times New Roman"/>
          <w:sz w:val="36"/>
          <w:szCs w:val="36"/>
          <w:highlight w:val="none"/>
        </w:rPr>
      </w:pPr>
      <w:bookmarkStart w:id="0" w:name="_Hlk57884087"/>
    </w:p>
    <w:bookmarkEnd w:id="0"/>
    <w:p>
      <w:pPr>
        <w:spacing w:line="288" w:lineRule="auto"/>
        <w:jc w:val="center"/>
        <w:rPr>
          <w:rFonts w:hint="default" w:ascii="Times New Roman" w:hAnsi="Times New Roman" w:eastAsia="宋体" w:cs="Times New Roman"/>
          <w:sz w:val="36"/>
          <w:szCs w:val="36"/>
          <w:highlight w:val="none"/>
        </w:rPr>
      </w:pPr>
    </w:p>
    <w:p>
      <w:pPr>
        <w:spacing w:line="288" w:lineRule="auto"/>
        <w:jc w:val="center"/>
        <w:rPr>
          <w:rFonts w:hint="default" w:ascii="Times New Roman" w:hAnsi="Times New Roman" w:eastAsia="宋体" w:cs="Times New Roman"/>
          <w:sz w:val="36"/>
          <w:szCs w:val="36"/>
          <w:highlight w:val="none"/>
        </w:rPr>
      </w:pPr>
    </w:p>
    <w:p>
      <w:pPr>
        <w:spacing w:line="288" w:lineRule="auto"/>
        <w:jc w:val="center"/>
        <w:rPr>
          <w:rFonts w:hint="default" w:ascii="Times New Roman" w:hAnsi="Times New Roman" w:eastAsia="宋体" w:cs="Times New Roman"/>
          <w:sz w:val="36"/>
          <w:szCs w:val="36"/>
          <w:highlight w:val="none"/>
        </w:rPr>
      </w:pPr>
    </w:p>
    <w:p>
      <w:pPr>
        <w:spacing w:line="288" w:lineRule="auto"/>
        <w:jc w:val="center"/>
        <w:rPr>
          <w:rFonts w:hint="default" w:ascii="Times New Roman" w:hAnsi="Times New Roman" w:eastAsia="宋体" w:cs="Times New Roman"/>
          <w:sz w:val="36"/>
          <w:szCs w:val="36"/>
          <w:highlight w:val="none"/>
        </w:rPr>
      </w:pPr>
      <w:r>
        <w:rPr>
          <w:rFonts w:hint="default" w:ascii="Times New Roman" w:hAnsi="Times New Roman" w:eastAsia="宋体" w:cs="Times New Roman"/>
          <w:sz w:val="36"/>
          <w:szCs w:val="36"/>
          <w:highlight w:val="none"/>
        </w:rPr>
        <w:t>中华人民共和国生态环境部制</w:t>
      </w:r>
    </w:p>
    <w:p>
      <w:pPr>
        <w:spacing w:line="288" w:lineRule="auto"/>
        <w:ind w:firstLine="1040"/>
        <w:rPr>
          <w:rFonts w:hint="default" w:ascii="Times New Roman" w:hAnsi="Times New Roman" w:eastAsia="宋体" w:cs="Times New Roman"/>
          <w:sz w:val="36"/>
          <w:szCs w:val="36"/>
          <w:highlight w:val="none"/>
        </w:rPr>
        <w:sectPr>
          <w:headerReference r:id="rId3" w:type="default"/>
          <w:footerReference r:id="rId4" w:type="default"/>
          <w:footerReference r:id="rId5" w:type="even"/>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9"/>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宋体"/>
          <w:lang w:eastAsia="zh-CN"/>
        </w:rPr>
        <w:drawing>
          <wp:inline distT="0" distB="0" distL="114300" distR="114300">
            <wp:extent cx="5274310" cy="7464425"/>
            <wp:effectExtent l="0" t="0" r="2540" b="3175"/>
            <wp:docPr id="4" name="图片 4" descr="内蒙古翰鑫金属制造有限公司金属拉丝生产项目(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内蒙古翰鑫金属制造有限公司金属拉丝生产项目(2)_00(1)"/>
                    <pic:cNvPicPr>
                      <a:picLocks noChangeAspect="1"/>
                    </pic:cNvPicPr>
                  </pic:nvPicPr>
                  <pic:blipFill>
                    <a:blip r:embed="rId9"/>
                    <a:stretch>
                      <a:fillRect/>
                    </a:stretch>
                  </pic:blipFill>
                  <pic:spPr>
                    <a:xfrm>
                      <a:off x="0" y="0"/>
                      <a:ext cx="5274310" cy="7464425"/>
                    </a:xfrm>
                    <a:prstGeom prst="rect">
                      <a:avLst/>
                    </a:prstGeom>
                  </pic:spPr>
                </pic:pic>
              </a:graphicData>
            </a:graphic>
          </wp:inline>
        </w:drawing>
      </w:r>
    </w:p>
    <w:p>
      <w:pPr>
        <w:pStyle w:val="26"/>
        <w:spacing w:after="12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一、建设项目基本情况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71"/>
        <w:gridCol w:w="600"/>
        <w:gridCol w:w="1901"/>
        <w:gridCol w:w="1672"/>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802" w:type="dxa"/>
            <w:gridSpan w:val="3"/>
            <w:vAlign w:val="center"/>
          </w:tcPr>
          <w:p>
            <w:pPr>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内蒙古翰鑫金属制造有限公司金属拉丝生产项目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802" w:type="dxa"/>
            <w:gridSpan w:val="3"/>
            <w:vAlign w:val="center"/>
          </w:tcPr>
          <w:p>
            <w:pPr>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2404-152527-04-05-369500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901"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张文斌</w:t>
            </w:r>
          </w:p>
        </w:tc>
        <w:tc>
          <w:tcPr>
            <w:tcW w:w="167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229"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13020258829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802" w:type="dxa"/>
            <w:gridSpan w:val="3"/>
            <w:vAlign w:val="center"/>
          </w:tcPr>
          <w:p>
            <w:pPr>
              <w:widowControl/>
              <w:jc w:val="center"/>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none"/>
              </w:rPr>
              <w:t>内蒙古自治区锡林郭勒盟太仆寺旗宝昌镇市场中路与腾飞路交叉口东北方向140米3号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802"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经度：</w:t>
            </w:r>
            <w:r>
              <w:rPr>
                <w:rFonts w:hint="eastAsia" w:cs="Times New Roman"/>
                <w:color w:val="auto"/>
                <w:sz w:val="24"/>
                <w:szCs w:val="24"/>
                <w:highlight w:val="none"/>
                <w:lang w:val="en-US" w:eastAsia="zh-CN"/>
              </w:rPr>
              <w:t>115</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lang w:val="en-US" w:eastAsia="zh-CN"/>
              </w:rPr>
              <w:t>30.340</w:t>
            </w:r>
            <w:r>
              <w:rPr>
                <w:rFonts w:hint="default" w:ascii="Times New Roman" w:hAnsi="Times New Roman" w:eastAsia="宋体" w:cs="Times New Roman"/>
                <w:color w:val="auto"/>
                <w:sz w:val="24"/>
                <w:szCs w:val="24"/>
                <w:highlight w:val="none"/>
              </w:rPr>
              <w:t>秒，纬度：</w:t>
            </w:r>
            <w:r>
              <w:rPr>
                <w:rFonts w:hint="eastAsia"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lang w:val="en-US" w:eastAsia="zh-CN"/>
              </w:rPr>
              <w:t>34.630</w:t>
            </w:r>
            <w:r>
              <w:rPr>
                <w:rFonts w:hint="default" w:ascii="Times New Roman" w:hAnsi="Times New Roman" w:eastAsia="宋体" w:cs="Times New Roman"/>
                <w:color w:val="auto"/>
                <w:sz w:val="24"/>
                <w:szCs w:val="24"/>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901" w:type="dxa"/>
            <w:vAlign w:val="center"/>
          </w:tcPr>
          <w:p>
            <w:pPr>
              <w:widowControl/>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kern w:val="0"/>
                <w:sz w:val="24"/>
                <w:szCs w:val="24"/>
                <w:highlight w:val="none"/>
                <w:lang w:val="en-US" w:eastAsia="zh-CN"/>
              </w:rPr>
              <w:t>C3340</w:t>
            </w:r>
            <w:r>
              <w:rPr>
                <w:rFonts w:hint="eastAsia" w:ascii="Times New Roman" w:hAnsi="Times New Roman" w:eastAsia="宋体" w:cs="Times New Roman"/>
                <w:color w:val="auto"/>
                <w:spacing w:val="0"/>
                <w:sz w:val="24"/>
                <w:szCs w:val="24"/>
                <w:highlight w:val="none"/>
                <w:lang w:val="en-US" w:eastAsia="zh-CN"/>
              </w:rPr>
              <w:t>金属线绳及其制品制造</w:t>
            </w:r>
          </w:p>
        </w:tc>
        <w:tc>
          <w:tcPr>
            <w:tcW w:w="1672" w:type="dxa"/>
            <w:vAlign w:val="center"/>
          </w:tcPr>
          <w:p>
            <w:pPr>
              <w:jc w:val="center"/>
              <w:rPr>
                <w:rFonts w:hint="default" w:ascii="Times New Roman" w:hAnsi="Times New Roman" w:eastAsia="宋体" w:cs="Times New Roman"/>
                <w:color w:val="auto"/>
                <w:sz w:val="24"/>
                <w:szCs w:val="24"/>
                <w:highlight w:val="none"/>
              </w:rPr>
            </w:pPr>
            <w:bookmarkStart w:id="1" w:name="_Hlk49843745"/>
            <w:r>
              <w:rPr>
                <w:rFonts w:hint="default" w:ascii="Times New Roman" w:hAnsi="Times New Roman" w:eastAsia="宋体" w:cs="Times New Roman"/>
                <w:color w:val="auto"/>
                <w:sz w:val="24"/>
                <w:szCs w:val="24"/>
                <w:highlight w:val="none"/>
              </w:rPr>
              <w:t>建设项目</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1"/>
          </w:p>
        </w:tc>
        <w:tc>
          <w:tcPr>
            <w:tcW w:w="3229" w:type="dxa"/>
            <w:vAlign w:val="center"/>
          </w:tcPr>
          <w:p>
            <w:pP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sz w:val="24"/>
                <w:szCs w:val="24"/>
                <w:highlight w:val="none"/>
                <w:lang w:eastAsia="zh-CN"/>
              </w:rPr>
              <w:t>三十</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eastAsia="zh-CN"/>
              </w:rPr>
              <w:t>金属制品业</w:t>
            </w:r>
            <w:r>
              <w:rPr>
                <w:rFonts w:hint="eastAsia" w:ascii="Times New Roman" w:hAnsi="Times New Roman" w:eastAsia="宋体" w:cs="Times New Roman"/>
                <w:color w:val="auto"/>
                <w:spacing w:val="0"/>
                <w:sz w:val="24"/>
                <w:szCs w:val="24"/>
                <w:highlight w:val="none"/>
                <w:lang w:val="en-US" w:eastAsia="zh-CN"/>
              </w:rPr>
              <w:t>33、68金属线绳及其制品制造334“其他（仅分割、焊接、组装的除外：年用非溶剂型低VOCs含量涂料10吨以下的除外）”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901"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67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229"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项目审批（核准/备案）部门（选填）</w:t>
            </w:r>
          </w:p>
        </w:tc>
        <w:tc>
          <w:tcPr>
            <w:tcW w:w="1901"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太仆寺旗发展和改革委员会</w:t>
            </w:r>
          </w:p>
        </w:tc>
        <w:tc>
          <w:tcPr>
            <w:tcW w:w="167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3229"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901"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5000</w:t>
            </w:r>
          </w:p>
        </w:tc>
        <w:tc>
          <w:tcPr>
            <w:tcW w:w="1672" w:type="dxa"/>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229"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901" w:type="dxa"/>
            <w:shd w:val="clear" w:color="auto" w:fill="auto"/>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1.28</w:t>
            </w:r>
          </w:p>
        </w:tc>
        <w:tc>
          <w:tcPr>
            <w:tcW w:w="1672" w:type="dxa"/>
            <w:shd w:val="clear" w:color="auto" w:fill="auto"/>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229" w:type="dxa"/>
            <w:shd w:val="clear" w:color="auto" w:fill="auto"/>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0"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901" w:type="dxa"/>
            <w:shd w:val="clear" w:color="auto" w:fill="auto"/>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lang w:val="en-US" w:eastAsia="zh-CN"/>
              </w:rPr>
              <w:t>是</w:t>
            </w:r>
          </w:p>
        </w:tc>
        <w:tc>
          <w:tcPr>
            <w:tcW w:w="1672" w:type="dxa"/>
            <w:shd w:val="clear" w:color="auto" w:fill="auto"/>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用地面积（m²）</w:t>
            </w:r>
          </w:p>
        </w:tc>
        <w:tc>
          <w:tcPr>
            <w:tcW w:w="3229" w:type="dxa"/>
            <w:shd w:val="clear" w:color="auto" w:fill="auto"/>
            <w:vAlign w:val="center"/>
          </w:tcPr>
          <w:p>
            <w:pPr>
              <w:jc w:val="center"/>
              <w:rPr>
                <w:rFonts w:hint="default" w:ascii="Times New Roman" w:hAnsi="Times New Roman" w:eastAsia="宋体" w:cs="Times New Roman"/>
                <w:color w:val="auto"/>
                <w:sz w:val="24"/>
                <w:szCs w:val="24"/>
                <w:highlight w:val="none"/>
                <w:lang w:val="en-US" w:eastAsia="zh-CN"/>
              </w:rPr>
            </w:pPr>
            <w:r>
              <w:rPr>
                <w:rStyle w:val="36"/>
                <w:rFonts w:hint="eastAsia" w:cs="Times New Roman"/>
                <w:color w:val="auto"/>
                <w:kern w:val="0"/>
                <w:sz w:val="24"/>
                <w:szCs w:val="24"/>
                <w:highlight w:val="none"/>
                <w:lang w:val="en-US" w:eastAsia="zh-CN"/>
              </w:rPr>
              <w:t>3000m²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9" w:type="dxa"/>
            <w:vAlign w:val="center"/>
          </w:tcPr>
          <w:p>
            <w:pPr>
              <w:autoSpaceDE w:val="0"/>
              <w:autoSpaceDN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673" w:type="dxa"/>
            <w:gridSpan w:val="5"/>
            <w:vAlign w:val="center"/>
          </w:tcPr>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根据《建设项目环境影响报告表编制技术指南》（试行），本项目不需要设置专题评价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9" w:type="dxa"/>
            <w:vAlign w:val="center"/>
          </w:tcPr>
          <w:p>
            <w:pPr>
              <w:autoSpaceDE w:val="0"/>
              <w:autoSpaceDN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规划情况</w:t>
            </w:r>
          </w:p>
        </w:tc>
        <w:tc>
          <w:tcPr>
            <w:tcW w:w="7673" w:type="dxa"/>
            <w:gridSpan w:val="5"/>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宋体"/>
                <w:b/>
                <w:bCs/>
                <w:color w:val="auto"/>
                <w:kern w:val="0"/>
                <w:sz w:val="24"/>
                <w:szCs w:val="21"/>
                <w:highlight w:val="none"/>
                <w:lang w:val="en-US" w:eastAsia="zh-CN"/>
              </w:rPr>
            </w:pPr>
            <w:r>
              <w:rPr>
                <w:rFonts w:hint="eastAsia" w:ascii="Times New Roman" w:hAnsi="Times New Roman" w:eastAsia="宋体" w:cs="宋体"/>
                <w:b/>
                <w:bCs/>
                <w:color w:val="auto"/>
                <w:kern w:val="0"/>
                <w:sz w:val="24"/>
                <w:szCs w:val="21"/>
                <w:highlight w:val="none"/>
                <w:lang w:val="en-US" w:eastAsia="zh-CN"/>
              </w:rPr>
              <w:t>一、园区规划性质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bookmarkStart w:id="2" w:name="_Toc330919961"/>
            <w:bookmarkStart w:id="3" w:name="_Toc315627765"/>
            <w:r>
              <w:rPr>
                <w:rFonts w:hint="eastAsia" w:ascii="Times New Roman" w:hAnsi="Times New Roman" w:eastAsia="宋体" w:cs="宋体"/>
                <w:color w:val="auto"/>
                <w:kern w:val="0"/>
                <w:sz w:val="24"/>
                <w:szCs w:val="21"/>
                <w:highlight w:val="none"/>
                <w:lang w:val="en-US" w:eastAsia="zh-CN"/>
              </w:rPr>
              <w:t>主要产业定位：以高新技术产业为主，绿色农畜产品加工、装备制造业为辅的三大板块。宝昌高新技术产业园区实施“布局基地化，产业集群化，企业集团化”的集中发展道路，要按照国家产业政策的要求，充分发挥自身的资源优势，坚持资源和生态可承载发展战略，做好资源整合与开发。发展循环经济，延伸产业链条，促进产业升级。增强工业自主创新能力、可持续发展能力和市场竞争力。宝昌高新技术产业园区发展应以第二产业为主，巩固第一产业，推动第三产业。第二产业以高新技术产业为主，大力发展风电和光能，依托自然资源的优势，发展高新技术产业，发展畜牧产品和食品加工业，发展装备制造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宋体"/>
                <w:b/>
                <w:bCs/>
                <w:color w:val="auto"/>
                <w:kern w:val="0"/>
                <w:sz w:val="24"/>
                <w:szCs w:val="21"/>
                <w:highlight w:val="none"/>
                <w:lang w:val="en-US" w:eastAsia="zh-CN"/>
              </w:rPr>
            </w:pPr>
            <w:bookmarkStart w:id="4" w:name="_Toc464475379"/>
            <w:bookmarkStart w:id="5" w:name="_Toc468886703"/>
            <w:r>
              <w:rPr>
                <w:rFonts w:hint="eastAsia" w:ascii="Times New Roman" w:hAnsi="Times New Roman" w:eastAsia="宋体" w:cs="宋体"/>
                <w:b/>
                <w:bCs/>
                <w:color w:val="auto"/>
                <w:kern w:val="0"/>
                <w:sz w:val="24"/>
                <w:szCs w:val="21"/>
                <w:highlight w:val="none"/>
                <w:lang w:val="en-US" w:eastAsia="zh-CN"/>
              </w:rPr>
              <w:t>二、园区建设用地规模</w:t>
            </w:r>
            <w:bookmarkEnd w:id="2"/>
            <w:bookmarkEnd w:id="3"/>
            <w:bookmarkEnd w:id="4"/>
            <w:bookmarkEnd w:id="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规划总工业用地为21.3km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，占规划总用地的71%，其中一类工业用地面积为6.6km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，主要包括绿色农畜产品加工区。二类工业用地面积为14.7km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，主要包括高新技术产业区和装备制造基地，其中高新技术产业区占地8.3km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，装备制造区占地6.4km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公用设施用地总面积为0.25km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；行政管理及商业总用地面积为0.6km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；仓储物流总用地面积为1.05km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；园区道路与交通设施用地面积约为2.7km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；园区绿地与广场用地面积约为4.1km</w:t>
            </w:r>
            <w:r>
              <w:rPr>
                <w:rFonts w:hint="eastAsia" w:ascii="Times New Roman" w:hAnsi="Times New Roman" w:eastAsia="宋体" w:cs="宋体"/>
                <w:color w:val="auto"/>
                <w:kern w:val="0"/>
                <w:sz w:val="24"/>
                <w:szCs w:val="21"/>
                <w:highlight w:val="none"/>
                <w:vertAlign w:val="superscript"/>
                <w:lang w:val="en-US" w:eastAsia="zh-CN"/>
              </w:rPr>
              <w:t>2</w:t>
            </w:r>
            <w:r>
              <w:rPr>
                <w:rFonts w:hint="eastAsia" w:ascii="Times New Roman" w:hAnsi="Times New Roman" w:eastAsia="宋体" w:cs="宋体"/>
                <w:color w:val="auto"/>
                <w:kern w:val="0"/>
                <w:sz w:val="24"/>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本项目位于园区工业用地范围内，属于一类工业用地。</w:t>
            </w:r>
            <w:bookmarkStart w:id="6" w:name="_Toc312154994"/>
            <w:bookmarkStart w:id="7" w:name="_Toc330919962"/>
            <w:bookmarkStart w:id="8" w:name="_Toc315627766"/>
          </w:p>
          <w:bookmarkEnd w:id="6"/>
          <w:bookmarkEnd w:id="7"/>
          <w:bookmarkEnd w:id="8"/>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宋体"/>
                <w:b/>
                <w:bCs/>
                <w:color w:val="auto"/>
                <w:kern w:val="0"/>
                <w:sz w:val="24"/>
                <w:szCs w:val="21"/>
                <w:highlight w:val="none"/>
                <w:lang w:val="en-US" w:eastAsia="zh-CN"/>
              </w:rPr>
            </w:pPr>
            <w:bookmarkStart w:id="9" w:name="_Toc468886704"/>
            <w:bookmarkStart w:id="10" w:name="_Toc464475380"/>
            <w:r>
              <w:rPr>
                <w:rFonts w:hint="eastAsia" w:ascii="Times New Roman" w:hAnsi="Times New Roman" w:eastAsia="宋体" w:cs="宋体"/>
                <w:b/>
                <w:bCs/>
                <w:color w:val="auto"/>
                <w:kern w:val="0"/>
                <w:sz w:val="24"/>
                <w:szCs w:val="21"/>
                <w:highlight w:val="none"/>
                <w:lang w:val="en-US" w:eastAsia="zh-CN"/>
              </w:rPr>
              <w:t>三、功能分区及产业链规划</w:t>
            </w:r>
            <w:bookmarkEnd w:id="9"/>
            <w:bookmarkEnd w:id="10"/>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（1）功能分区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结合规划用地及周边的现状建设条件，园区形成“一核、两轴、三区”的规划空间结构。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“一核”是规划一个生产配套服务核心；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 xml:space="preserve">“两轴”是以道路绿化轴和自然生态轴。道路绿化轴：沿工业大街、东环路、南环路、科技路、化工街规划的道路景观轴，横贯整个园区，规划加快道路沿线绿化林带的建设。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自然生态轴：沿经四路规划的自然生态轴沿东环路将周边山体景观往南渗透整个园区。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“三区”是指新技术产业聚居区，装备制造区和农畜产品聚居区。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（2）产业链延伸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根据园区产业布局，高新技术产业区、装备制造区和农畜产品区在园区内穿插分布，锡张高速以西重点布置农畜产品区，部分布置装备制造区和高新技术区。锡张高速以东以高新技术产业区为主，其次布设装备制造区，此外还布设部分农畜产品区。园区主要功能区为高新技术产业区、装备制造区和农畜产品区。各功能区产业相对独立而无法形成完整产业链。建议高新技术产业区和装备制造产业区</w:t>
            </w:r>
            <w:r>
              <w:rPr>
                <w:rFonts w:hint="eastAsia" w:cs="宋体"/>
                <w:color w:val="auto"/>
                <w:kern w:val="0"/>
                <w:sz w:val="24"/>
                <w:szCs w:val="21"/>
                <w:highlight w:val="none"/>
                <w:lang w:val="en-US" w:eastAsia="zh-CN"/>
              </w:rPr>
              <w:t>加强</w:t>
            </w:r>
            <w:r>
              <w:rPr>
                <w:rFonts w:hint="eastAsia" w:ascii="Times New Roman" w:hAnsi="Times New Roman" w:eastAsia="宋体" w:cs="宋体"/>
                <w:color w:val="auto"/>
                <w:kern w:val="0"/>
                <w:sz w:val="24"/>
                <w:szCs w:val="21"/>
                <w:highlight w:val="none"/>
                <w:lang w:val="en-US" w:eastAsia="zh-CN"/>
              </w:rPr>
              <w:t>产业间联系，在装备制造区可增设建材加工等产业，回收高新技术产业区和装备制造区废料，作为建材加工的原料，延长产业链。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bidi="ar-SA"/>
              </w:rPr>
            </w:pPr>
            <w:r>
              <w:rPr>
                <w:rFonts w:hint="eastAsia" w:ascii="Times New Roman" w:hAnsi="Times New Roman" w:eastAsia="宋体" w:cs="宋体"/>
                <w:color w:val="auto"/>
                <w:kern w:val="0"/>
                <w:sz w:val="24"/>
                <w:szCs w:val="21"/>
                <w:highlight w:val="none"/>
                <w:lang w:val="en-US" w:eastAsia="zh-CN"/>
              </w:rPr>
              <w:t>本项目为电缆制造项目，为内蒙古璟程电缆有限公司太仆寺旗新能源电缆生产项目配套的电缆生产项目，属于高新技术产业，符合园区整体要求。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9" w:type="dxa"/>
            <w:vAlign w:val="center"/>
          </w:tcPr>
          <w:p>
            <w:pPr>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规划环境影响评价情况</w:t>
            </w:r>
          </w:p>
        </w:tc>
        <w:tc>
          <w:tcPr>
            <w:tcW w:w="7673" w:type="dxa"/>
            <w:gridSpan w:val="5"/>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bidi="ar-SA"/>
              </w:rPr>
            </w:pPr>
            <w:r>
              <w:rPr>
                <w:rFonts w:hint="eastAsia" w:ascii="Times New Roman" w:hAnsi="Times New Roman" w:eastAsia="宋体" w:cs="宋体"/>
                <w:color w:val="auto"/>
                <w:kern w:val="0"/>
                <w:sz w:val="24"/>
                <w:szCs w:val="21"/>
                <w:highlight w:val="none"/>
                <w:lang w:val="en-US" w:eastAsia="zh-CN"/>
              </w:rPr>
              <w:t>2014年3月，内蒙古轻化工设计院有限责任公司编制完成了《锡林郭勒盟宝昌高新技术产业园区总体规划（2013-2030）》，2014年4月，锡林郭勒盟行政公署以锡署字</w:t>
            </w:r>
            <w:r>
              <w:rPr>
                <w:rFonts w:hint="eastAsia" w:cs="宋体"/>
                <w:color w:val="auto"/>
                <w:kern w:val="0"/>
                <w:sz w:val="24"/>
                <w:szCs w:val="21"/>
                <w:highlight w:val="none"/>
                <w:lang w:val="en-US" w:eastAsia="zh-CN"/>
              </w:rPr>
              <w:t>〔</w:t>
            </w:r>
            <w:r>
              <w:rPr>
                <w:rFonts w:hint="eastAsia" w:ascii="Times New Roman" w:hAnsi="Times New Roman" w:eastAsia="宋体" w:cs="宋体"/>
                <w:color w:val="auto"/>
                <w:kern w:val="0"/>
                <w:sz w:val="24"/>
                <w:szCs w:val="21"/>
                <w:highlight w:val="none"/>
                <w:lang w:val="en-US" w:eastAsia="zh-CN"/>
              </w:rPr>
              <w:t>2014</w:t>
            </w:r>
            <w:r>
              <w:rPr>
                <w:rFonts w:hint="eastAsia" w:cs="宋体"/>
                <w:color w:val="auto"/>
                <w:kern w:val="0"/>
                <w:sz w:val="24"/>
                <w:szCs w:val="21"/>
                <w:highlight w:val="none"/>
                <w:lang w:val="en-US" w:eastAsia="zh-CN"/>
              </w:rPr>
              <w:t>〕</w:t>
            </w:r>
            <w:r>
              <w:rPr>
                <w:rFonts w:hint="eastAsia" w:ascii="Times New Roman" w:hAnsi="Times New Roman" w:eastAsia="宋体" w:cs="宋体"/>
                <w:color w:val="auto"/>
                <w:kern w:val="0"/>
                <w:sz w:val="24"/>
                <w:szCs w:val="21"/>
                <w:highlight w:val="none"/>
                <w:lang w:val="en-US" w:eastAsia="zh-CN"/>
              </w:rPr>
              <w:t>53号文对宝昌高新技术产业园区晋升为盟级工业园区予以批复。2015年1月22日锡林郭勒盟环境保护局以锡署环审书[2015]4号对《锡林郭勒盟宝昌高新技术产业园区总体规划环境影响报告书》进行了批复。2017年12月，太仆寺旗宝昌高新技术产业园区管委会对《锡林郭勒盟宝昌高新技术产业园区总体规划（2013-2030）》进行了修编，2018年3月，锡林郭勒盟环境保护局以锡署环审书[2018]4号对《锡林郭勒盟宝昌高新技术产业园区总体规划（修编）环境影响报告书》出具了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849" w:type="dxa"/>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规划及规划环境影响评价符合性分析</w:t>
            </w:r>
          </w:p>
        </w:tc>
        <w:tc>
          <w:tcPr>
            <w:tcW w:w="7673"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与《锡林郭勒盟宝昌高新技术产业园区总体规划（2013-2030）》相符性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（1）与园区土地利用总体规划的符合性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本项目位于锡林郭勒盟宝昌高新技术产业园区的中西部，M2地块，根据《锡林郭勒盟宝昌高新技术产业园区总体规划（2013-2030）》，该地块属于二类工业用地。因此，本项目</w:t>
            </w:r>
            <w:r>
              <w:rPr>
                <w:rFonts w:hint="eastAsia" w:cs="Times New Roman"/>
                <w:color w:val="auto"/>
                <w:sz w:val="24"/>
                <w:highlight w:val="none"/>
                <w:lang w:val="en-US" w:eastAsia="zh-CN"/>
              </w:rPr>
              <w:t>与</w:t>
            </w:r>
            <w:r>
              <w:rPr>
                <w:rFonts w:hint="eastAsia" w:ascii="Times New Roman" w:hAnsi="Times New Roman" w:eastAsia="宋体" w:cs="Times New Roman"/>
                <w:color w:val="auto"/>
                <w:sz w:val="24"/>
                <w:highlight w:val="none"/>
                <w:lang w:val="en-US" w:eastAsia="zh-CN"/>
              </w:rPr>
              <w:t>园区土地利用总体规划相符。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（2）与园区产业功能定位及布局相符性分析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宋体"/>
                <w:color w:val="auto"/>
                <w:kern w:val="0"/>
                <w:sz w:val="24"/>
                <w:szCs w:val="21"/>
                <w:highlight w:val="none"/>
                <w:lang w:val="en-US" w:eastAsia="zh-CN"/>
              </w:rPr>
              <w:t>园区主要产业定位：园区建设以高新技术开发为基础，以战略性新兴产业、轻工建材业、农畜产品加工业为三大支柱产业。本项目位于园区战略性新兴产业区。本项目以电缆制造及智能生产线设备研发项目，属于电缆制造及智能生产线设备研发项目，符合战略性新兴产业区发展定位，项目不新增占地，</w:t>
            </w:r>
            <w:r>
              <w:rPr>
                <w:rFonts w:hint="default" w:ascii="Times New Roman" w:hAnsi="Times New Roman" w:eastAsia="宋体" w:cs="Times New Roman"/>
                <w:spacing w:val="-2"/>
                <w:sz w:val="24"/>
                <w:szCs w:val="24"/>
                <w:lang w:val="en-US" w:eastAsia="zh-CN"/>
              </w:rPr>
              <w:t>项目依托内蒙古璟程电缆有限公司</w:t>
            </w:r>
            <w:r>
              <w:rPr>
                <w:rFonts w:hint="eastAsia" w:ascii="Times New Roman" w:hAnsi="Times New Roman" w:eastAsia="宋体" w:cs="Times New Roman"/>
                <w:spacing w:val="-2"/>
                <w:sz w:val="24"/>
                <w:szCs w:val="24"/>
                <w:lang w:val="en-US" w:eastAsia="zh-CN"/>
              </w:rPr>
              <w:t>现有厂房进行生产</w:t>
            </w:r>
            <w:r>
              <w:rPr>
                <w:rFonts w:hint="eastAsia" w:ascii="Times New Roman" w:hAnsi="Times New Roman" w:eastAsia="宋体" w:cs="宋体"/>
                <w:color w:val="auto"/>
                <w:kern w:val="0"/>
                <w:sz w:val="24"/>
                <w:szCs w:val="21"/>
                <w:highlight w:val="none"/>
                <w:lang w:val="en-US" w:eastAsia="zh-CN"/>
              </w:rPr>
              <w:t>。与</w:t>
            </w:r>
            <w:r>
              <w:rPr>
                <w:rFonts w:hint="eastAsia" w:ascii="Times New Roman" w:hAnsi="Times New Roman" w:eastAsia="宋体" w:cs="Times New Roman"/>
                <w:color w:val="auto"/>
                <w:sz w:val="24"/>
                <w:highlight w:val="none"/>
                <w:lang w:val="en-US" w:eastAsia="zh-CN"/>
              </w:rPr>
              <w:t>园区产业功能定位及布局相符</w:t>
            </w:r>
            <w:r>
              <w:rPr>
                <w:rFonts w:hint="eastAsia"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（3）与园区禁止入园清单符合性分析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对于达不到进区企业要求的建设项目不支持进入。这类项目包括：①国际上和国家各部门禁止或准备禁止生产的项目、明令淘</w:t>
            </w:r>
            <w:r>
              <w:rPr>
                <w:rFonts w:hint="eastAsia" w:cs="Times New Roman"/>
                <w:color w:val="auto"/>
                <w:sz w:val="24"/>
                <w:highlight w:val="none"/>
                <w:lang w:val="en-US" w:eastAsia="zh-CN"/>
              </w:rPr>
              <w:t>汰的</w:t>
            </w:r>
            <w:r>
              <w:rPr>
                <w:rFonts w:hint="eastAsia" w:ascii="Times New Roman" w:hAnsi="Times New Roman" w:eastAsia="宋体" w:cs="Times New Roman"/>
                <w:color w:val="auto"/>
                <w:sz w:val="24"/>
                <w:highlight w:val="none"/>
                <w:lang w:val="en-US" w:eastAsia="zh-CN"/>
              </w:rPr>
              <w:t>项目；②生产方式落后、高能耗、严重浪费资源和污染资源的项目；③污染严重，破坏自然生态和损害人体健康又无治理技术或难以治理的项目；④严禁引进不符合经济规模要求，经济效益差，污染严重的“十五小”及“新五小”企业。与园区禁入项目的清单符合性见表1</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所示。</w:t>
            </w:r>
          </w:p>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1-1 </w:t>
            </w:r>
            <w:r>
              <w:rPr>
                <w:rFonts w:hint="eastAsia" w:ascii="Times New Roman" w:hAnsi="Times New Roman" w:eastAsia="宋体" w:cs="Times New Roman"/>
                <w:b/>
                <w:bCs/>
                <w:color w:val="auto"/>
                <w:sz w:val="21"/>
                <w:szCs w:val="21"/>
                <w:highlight w:val="none"/>
                <w:lang w:val="en-US" w:eastAsia="zh-CN"/>
              </w:rPr>
              <w:t xml:space="preserve"> 与园区禁入项目的清单符合性</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17"/>
              <w:gridCol w:w="2054"/>
              <w:gridCol w:w="199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要求</w:t>
                  </w: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行业</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禁止发展内容</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80"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不符合国家产业政策、不符合园区产业定位、工艺落后、污染严重的企业</w:t>
                  </w: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农畜产品加工</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禁止新增酿造等高耗水行业</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机械装备制造</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电镀等涉重表面处理、设备和工艺属于国家和省级产业政策中的限制类和淘汰类</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新材料</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路板生产和电镀等涉重行业</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轻工</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不符合相关行业准入条件的项目</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本项目符合《产业结构调整指导目录（</w:t>
                  </w:r>
                  <w:r>
                    <w:rPr>
                      <w:rFonts w:hint="eastAsia" w:cs="Times New Roman"/>
                      <w:color w:val="auto"/>
                      <w:sz w:val="21"/>
                      <w:szCs w:val="21"/>
                      <w:highlight w:val="none"/>
                      <w:vertAlign w:val="baseline"/>
                      <w:lang w:val="en-US" w:eastAsia="zh-CN"/>
                    </w:rPr>
                    <w:t>2024</w:t>
                  </w:r>
                  <w:r>
                    <w:rPr>
                      <w:rFonts w:hint="eastAsia" w:ascii="Times New Roman" w:hAnsi="Times New Roman" w:eastAsia="宋体" w:cs="Times New Roman"/>
                      <w:color w:val="auto"/>
                      <w:sz w:val="21"/>
                      <w:szCs w:val="21"/>
                      <w:highlight w:val="none"/>
                      <w:vertAlign w:val="baseline"/>
                      <w:lang w:val="en-US" w:eastAsia="zh-CN"/>
                    </w:rPr>
                    <w:t>年本）》中鼓励类、限制类及淘汰类项目，因此属于允许类项目，同时项目取得了太仆寺旗发展和改革委员会备案意见（项目代码</w:t>
                  </w:r>
                  <w:r>
                    <w:rPr>
                      <w:rFonts w:hint="eastAsia" w:cs="Times New Roman"/>
                      <w:color w:val="auto"/>
                      <w:sz w:val="21"/>
                      <w:szCs w:val="21"/>
                      <w:highlight w:val="none"/>
                      <w:vertAlign w:val="baseline"/>
                      <w:lang w:val="en-US" w:eastAsia="zh-CN"/>
                    </w:rPr>
                    <w:t>2404-152527-04-05-369500</w:t>
                  </w:r>
                  <w:r>
                    <w:rPr>
                      <w:rFonts w:hint="eastAsia" w:ascii="Times New Roman" w:hAnsi="Times New Roman" w:eastAsia="宋体" w:cs="Times New Roman"/>
                      <w:color w:val="auto"/>
                      <w:sz w:val="21"/>
                      <w:szCs w:val="21"/>
                      <w:highlight w:val="none"/>
                      <w:vertAlign w:val="baseline"/>
                      <w:lang w:val="en-US" w:eastAsia="zh-CN"/>
                    </w:rPr>
                    <w:t>）</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家具制造</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设备和工艺属于国家和自治区产业政策中的限制类和淘汰类</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建材</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设备和工艺属于国家和自治区产业政策中的限制类和淘汰类</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纸塑制品加工</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设备、规模和工艺属于国家和自治区产业政策中的淘汰类</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其他</w:t>
                  </w:r>
                </w:p>
              </w:tc>
              <w:tc>
                <w:tcPr>
                  <w:tcW w:w="137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其他不在园区行业定位内的项目（如传统造纸、皮革、印染等）</w:t>
                  </w:r>
                </w:p>
              </w:tc>
              <w:tc>
                <w:tcPr>
                  <w:tcW w:w="133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本项目不属于</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pPr>
              <w:pStyle w:val="66"/>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经以上分析本项目与《锡林郭勒盟宝昌高新技术产业园区总体规划（修编）》规划要求相符。</w:t>
            </w:r>
          </w:p>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pPr>
            <w:r>
              <w:drawing>
                <wp:inline distT="0" distB="0" distL="114300" distR="114300">
                  <wp:extent cx="4729480" cy="3169285"/>
                  <wp:effectExtent l="0" t="0" r="13970"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4729480" cy="3169285"/>
                          </a:xfrm>
                          <a:prstGeom prst="rect">
                            <a:avLst/>
                          </a:prstGeom>
                          <a:noFill/>
                          <a:ln>
                            <a:noFill/>
                          </a:ln>
                        </pic:spPr>
                      </pic:pic>
                    </a:graphicData>
                  </a:graphic>
                </wp:inline>
              </w:drawing>
            </w:r>
          </w:p>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eastAsia="宋体"/>
                <w:b/>
                <w:bCs/>
                <w:lang w:val="en-US" w:eastAsia="zh-CN"/>
              </w:rPr>
            </w:pPr>
            <w:r>
              <w:rPr>
                <w:rFonts w:hint="eastAsia"/>
                <w:b/>
                <w:bCs/>
                <w:lang w:val="en-US" w:eastAsia="zh-CN"/>
              </w:rPr>
              <w:t>图1-1  项目与园区相对位置图</w:t>
            </w:r>
          </w:p>
          <w:p>
            <w:pPr>
              <w:pStyle w:val="66"/>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宋体" w:cs="宋体"/>
                <w:color w:val="auto"/>
                <w:kern w:val="0"/>
                <w:sz w:val="24"/>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4" w:hRule="atLeast"/>
          <w:jc w:val="center"/>
        </w:trPr>
        <w:tc>
          <w:tcPr>
            <w:tcW w:w="1120" w:type="dxa"/>
            <w:gridSpan w:val="2"/>
            <w:vAlign w:val="center"/>
          </w:tcPr>
          <w:p>
            <w:pPr>
              <w:autoSpaceDE w:val="0"/>
              <w:autoSpaceDN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其他符合性分析</w:t>
            </w:r>
          </w:p>
        </w:tc>
        <w:tc>
          <w:tcPr>
            <w:tcW w:w="7402" w:type="dxa"/>
            <w:gridSpan w:val="4"/>
          </w:tcPr>
          <w:p>
            <w:pPr>
              <w:pStyle w:val="4"/>
              <w:spacing w:before="0" w:after="0"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1、“三线一单”符合性分析</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项目与“</w:t>
            </w:r>
            <w:r>
              <w:rPr>
                <w:rFonts w:hint="default" w:ascii="Times New Roman" w:hAnsi="Times New Roman" w:eastAsia="宋体" w:cs="Times New Roman"/>
                <w:color w:val="auto"/>
                <w:sz w:val="24"/>
                <w:highlight w:val="none"/>
                <w:lang w:val="en-US" w:eastAsia="zh-CN"/>
              </w:rPr>
              <w:t>三线一单</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符合性分析</w:t>
            </w:r>
            <w:r>
              <w:rPr>
                <w:rFonts w:hint="eastAsia" w:ascii="Times New Roman" w:hAnsi="Times New Roman" w:eastAsia="宋体" w:cs="Times New Roman"/>
                <w:color w:val="auto"/>
                <w:sz w:val="24"/>
                <w:highlight w:val="none"/>
                <w:lang w:val="en-US" w:eastAsia="zh-CN"/>
              </w:rPr>
              <w:t>见下表。</w:t>
            </w:r>
          </w:p>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三线一单</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612"/>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b/>
                      <w:color w:val="auto"/>
                      <w:position w:val="0"/>
                      <w:sz w:val="21"/>
                      <w:szCs w:val="21"/>
                      <w:highlight w:val="none"/>
                    </w:rPr>
                  </w:pPr>
                  <w:r>
                    <w:rPr>
                      <w:rFonts w:hint="default" w:ascii="Times New Roman" w:hAnsi="Times New Roman" w:eastAsia="宋体" w:cs="Times New Roman"/>
                      <w:b/>
                      <w:color w:val="auto"/>
                      <w:position w:val="0"/>
                      <w:sz w:val="21"/>
                      <w:szCs w:val="21"/>
                      <w:highlight w:val="none"/>
                    </w:rPr>
                    <w:t>内容</w:t>
                  </w:r>
                </w:p>
              </w:tc>
              <w:tc>
                <w:tcPr>
                  <w:tcW w:w="3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b/>
                      <w:color w:val="auto"/>
                      <w:position w:val="0"/>
                      <w:sz w:val="21"/>
                      <w:szCs w:val="21"/>
                      <w:highlight w:val="none"/>
                    </w:rPr>
                  </w:pPr>
                  <w:r>
                    <w:rPr>
                      <w:rFonts w:hint="default" w:ascii="Times New Roman" w:hAnsi="Times New Roman" w:eastAsia="宋体" w:cs="Times New Roman"/>
                      <w:b/>
                      <w:color w:val="auto"/>
                      <w:position w:val="0"/>
                      <w:sz w:val="21"/>
                      <w:szCs w:val="21"/>
                      <w:highlight w:val="none"/>
                    </w:rPr>
                    <w:t>符合性分析</w:t>
                  </w:r>
                </w:p>
              </w:tc>
              <w:tc>
                <w:tcPr>
                  <w:tcW w:w="59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b/>
                      <w:color w:val="auto"/>
                      <w:position w:val="0"/>
                      <w:sz w:val="21"/>
                      <w:szCs w:val="21"/>
                      <w:highlight w:val="none"/>
                    </w:rPr>
                  </w:pPr>
                  <w:r>
                    <w:rPr>
                      <w:rFonts w:hint="default" w:ascii="Times New Roman" w:hAnsi="Times New Roman" w:eastAsia="宋体" w:cs="Times New Roman"/>
                      <w:b/>
                      <w:color w:val="auto"/>
                      <w:positio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生态保护红线</w:t>
                  </w:r>
                </w:p>
              </w:tc>
              <w:tc>
                <w:tcPr>
                  <w:tcW w:w="3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both"/>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宋体"/>
                      <w:color w:val="auto"/>
                      <w:sz w:val="21"/>
                      <w:szCs w:val="21"/>
                      <w:highlight w:val="none"/>
                      <w:vertAlign w:val="baseline"/>
                      <w:lang w:val="en-US" w:eastAsia="zh-CN"/>
                    </w:rPr>
                    <w:t>根据《锡林郭勒盟生态环境保护委员会办公室关于印发锡林郭勒盟</w:t>
                  </w:r>
                  <w:r>
                    <w:rPr>
                      <w:rFonts w:hint="eastAsia" w:ascii="Times New Roman" w:hAnsi="Times New Roman" w:eastAsia="宋体" w:cs="宋体"/>
                      <w:color w:val="auto"/>
                      <w:sz w:val="21"/>
                      <w:szCs w:val="21"/>
                      <w:highlight w:val="none"/>
                      <w:vertAlign w:val="baseline"/>
                      <w:lang w:val="en-US" w:eastAsia="zh-CN"/>
                    </w:rPr>
                    <w:t>“</w:t>
                  </w:r>
                  <w:r>
                    <w:rPr>
                      <w:rFonts w:hint="default" w:ascii="Times New Roman" w:hAnsi="Times New Roman" w:eastAsia="宋体" w:cs="宋体"/>
                      <w:color w:val="auto"/>
                      <w:sz w:val="21"/>
                      <w:szCs w:val="21"/>
                      <w:highlight w:val="none"/>
                      <w:vertAlign w:val="baseline"/>
                      <w:lang w:val="en-US" w:eastAsia="zh-CN"/>
                    </w:rPr>
                    <w:t>三线一单</w:t>
                  </w:r>
                  <w:r>
                    <w:rPr>
                      <w:rFonts w:hint="eastAsia" w:ascii="Times New Roman" w:hAnsi="Times New Roman" w:eastAsia="宋体" w:cs="宋体"/>
                      <w:color w:val="auto"/>
                      <w:sz w:val="21"/>
                      <w:szCs w:val="21"/>
                      <w:highlight w:val="none"/>
                      <w:vertAlign w:val="baseline"/>
                      <w:lang w:val="en-US" w:eastAsia="zh-CN"/>
                    </w:rPr>
                    <w:t>”</w:t>
                  </w:r>
                  <w:r>
                    <w:rPr>
                      <w:rFonts w:hint="default" w:ascii="Times New Roman" w:hAnsi="Times New Roman" w:eastAsia="宋体" w:cs="宋体"/>
                      <w:color w:val="auto"/>
                      <w:sz w:val="21"/>
                      <w:szCs w:val="21"/>
                      <w:highlight w:val="none"/>
                      <w:vertAlign w:val="baseline"/>
                      <w:lang w:val="en-US" w:eastAsia="zh-CN"/>
                    </w:rPr>
                    <w:t>生态环境分区管控意见修改单和锡林郭勒盟生态环境准入清单的通知（锡环委办发〔2024〕1号）》，锡林郭勒盟共划分环境管控单元157个，包括优先保护单元、重点管控单元、一般管控单元三类，实施分类管控。</w:t>
                  </w:r>
                  <w:r>
                    <w:rPr>
                      <w:rFonts w:hint="eastAsia" w:ascii="Times New Roman" w:hAnsi="Times New Roman" w:cs="Times New Roman"/>
                      <w:color w:val="auto"/>
                      <w:sz w:val="21"/>
                      <w:szCs w:val="21"/>
                      <w:highlight w:val="none"/>
                      <w:u w:val="none"/>
                      <w:lang w:val="en-US" w:eastAsia="zh-CN"/>
                    </w:rPr>
                    <w:t>锡林郭勒盟太仆寺旗宝昌镇佰惠生糖业有限公司院内</w:t>
                  </w:r>
                  <w:r>
                    <w:rPr>
                      <w:rFonts w:hint="default" w:ascii="Times New Roman" w:hAnsi="Times New Roman" w:eastAsia="宋体" w:cs="宋体"/>
                      <w:color w:val="auto"/>
                      <w:sz w:val="21"/>
                      <w:szCs w:val="21"/>
                      <w:highlight w:val="none"/>
                      <w:vertAlign w:val="baseline"/>
                      <w:lang w:val="en-US" w:eastAsia="zh-CN"/>
                    </w:rPr>
                    <w:t>，属于</w:t>
                  </w:r>
                  <w:r>
                    <w:rPr>
                      <w:rFonts w:hint="eastAsia" w:ascii="宋体" w:hAnsi="宋体" w:eastAsia="宋体" w:cs="宋体"/>
                      <w:color w:val="auto"/>
                      <w:sz w:val="21"/>
                      <w:szCs w:val="21"/>
                      <w:highlight w:val="none"/>
                      <w:vertAlign w:val="baseline"/>
                      <w:lang w:val="en-US" w:eastAsia="zh-CN"/>
                    </w:rPr>
                    <w:t>“内蒙古锡林郭勒承接产业开发区</w:t>
                  </w:r>
                  <w:r>
                    <w:rPr>
                      <w:rFonts w:hint="eastAsia" w:ascii="宋体" w:hAnsi="宋体" w:cs="宋体"/>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宝昌产业园</w:t>
                  </w:r>
                  <w:r>
                    <w:rPr>
                      <w:rFonts w:hint="eastAsia" w:ascii="宋体" w:hAnsi="宋体" w:cs="宋体"/>
                      <w:color w:val="auto"/>
                      <w:sz w:val="21"/>
                      <w:szCs w:val="21"/>
                      <w:highlight w:val="none"/>
                      <w:vertAlign w:val="baseline"/>
                      <w:lang w:val="en-US" w:eastAsia="zh-CN"/>
                    </w:rPr>
                    <w:t>重点</w:t>
                  </w:r>
                  <w:r>
                    <w:rPr>
                      <w:rFonts w:hint="eastAsia" w:ascii="宋体" w:hAnsi="宋体" w:eastAsia="宋体" w:cs="宋体"/>
                      <w:color w:val="auto"/>
                      <w:sz w:val="21"/>
                      <w:szCs w:val="21"/>
                      <w:highlight w:val="none"/>
                      <w:vertAlign w:val="baseline"/>
                      <w:lang w:val="en-US" w:eastAsia="zh-CN"/>
                    </w:rPr>
                    <w:t>管控单元”（环境管控单元编码为</w:t>
                  </w:r>
                  <w:r>
                    <w:rPr>
                      <w:rFonts w:hint="default" w:ascii="Times New Roman" w:hAnsi="Times New Roman" w:eastAsia="宋体" w:cs="Times New Roman"/>
                      <w:color w:val="auto"/>
                      <w:sz w:val="21"/>
                      <w:szCs w:val="21"/>
                      <w:highlight w:val="none"/>
                      <w:vertAlign w:val="baseline"/>
                      <w:lang w:val="en-US" w:eastAsia="zh-CN"/>
                    </w:rPr>
                    <w:t>ZH15252720004</w:t>
                  </w:r>
                  <w:r>
                    <w:rPr>
                      <w:rFonts w:hint="eastAsia" w:ascii="宋体" w:hAnsi="宋体" w:eastAsia="宋体" w:cs="宋体"/>
                      <w:color w:val="auto"/>
                      <w:sz w:val="21"/>
                      <w:szCs w:val="21"/>
                      <w:highlight w:val="none"/>
                      <w:vertAlign w:val="baseline"/>
                      <w:lang w:val="en-US" w:eastAsia="zh-CN"/>
                    </w:rPr>
                    <w:t>）中的“</w:t>
                  </w:r>
                  <w:r>
                    <w:rPr>
                      <w:rFonts w:hint="eastAsia" w:ascii="宋体" w:hAnsi="宋体" w:cs="宋体"/>
                      <w:color w:val="auto"/>
                      <w:sz w:val="21"/>
                      <w:szCs w:val="21"/>
                      <w:highlight w:val="none"/>
                      <w:vertAlign w:val="baseline"/>
                      <w:lang w:val="en-US" w:eastAsia="zh-CN"/>
                    </w:rPr>
                    <w:t>重点</w:t>
                  </w:r>
                  <w:r>
                    <w:rPr>
                      <w:rFonts w:hint="eastAsia" w:ascii="宋体" w:hAnsi="宋体" w:eastAsia="宋体" w:cs="宋体"/>
                      <w:color w:val="auto"/>
                      <w:sz w:val="21"/>
                      <w:szCs w:val="21"/>
                      <w:highlight w:val="none"/>
                      <w:vertAlign w:val="baseline"/>
                      <w:lang w:val="en-US" w:eastAsia="zh-CN"/>
                    </w:rPr>
                    <w:t>管控单元”</w:t>
                  </w:r>
                  <w:r>
                    <w:rPr>
                      <w:rFonts w:hint="default" w:ascii="Times New Roman" w:hAnsi="Times New Roman" w:eastAsia="宋体" w:cs="宋体"/>
                      <w:color w:val="auto"/>
                      <w:sz w:val="21"/>
                      <w:szCs w:val="21"/>
                      <w:highlight w:val="none"/>
                      <w:vertAlign w:val="baseline"/>
                      <w:lang w:val="en-US" w:eastAsia="zh-CN"/>
                    </w:rPr>
                    <w:t>。项目所在区域内无自然保护区、风景名胜区、文物古迹等需要特殊保护的环境敏感目标，项目区不在生态保护红线范围内，符合生态保护红线要求。</w:t>
                  </w:r>
                </w:p>
              </w:tc>
              <w:tc>
                <w:tcPr>
                  <w:tcW w:w="59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资源利用上线</w:t>
                  </w:r>
                </w:p>
              </w:tc>
              <w:tc>
                <w:tcPr>
                  <w:tcW w:w="3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left"/>
                    <w:textAlignment w:val="auto"/>
                    <w:rPr>
                      <w:rFonts w:hint="default" w:ascii="Times New Roman" w:hAnsi="Times New Roman" w:eastAsia="Times New Roman" w:cs="Times New Roman"/>
                      <w:color w:val="auto"/>
                      <w:position w:val="0"/>
                      <w:sz w:val="21"/>
                      <w:szCs w:val="21"/>
                      <w:highlight w:val="none"/>
                    </w:rPr>
                  </w:pPr>
                  <w:r>
                    <w:rPr>
                      <w:rFonts w:hint="eastAsia" w:ascii="Times New Roman" w:hAnsi="Times New Roman" w:eastAsia="宋体" w:cs="宋体"/>
                      <w:color w:val="auto"/>
                      <w:sz w:val="21"/>
                      <w:szCs w:val="21"/>
                      <w:highlight w:val="none"/>
                      <w:vertAlign w:val="baseline"/>
                      <w:lang w:val="en-US" w:eastAsia="zh-CN"/>
                    </w:rPr>
                    <w:t>本项目运营过程中需要一定的电资源的消耗，项目消耗资源符合清洁生产中能源消耗要求，本项目资源消耗量相对区域资源总量所占比例极小，用电量不会触及区域资源利用上线要求。</w:t>
                  </w:r>
                </w:p>
              </w:tc>
              <w:tc>
                <w:tcPr>
                  <w:tcW w:w="59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环境质量底线</w:t>
                  </w:r>
                </w:p>
              </w:tc>
              <w:tc>
                <w:tcPr>
                  <w:tcW w:w="3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both"/>
                    <w:textAlignment w:val="auto"/>
                    <w:rPr>
                      <w:rFonts w:hint="default" w:ascii="Times New Roman" w:hAnsi="Times New Roman" w:eastAsia="Times New Roman" w:cs="Times New Roman"/>
                      <w:color w:val="auto"/>
                      <w:position w:val="0"/>
                      <w:sz w:val="21"/>
                      <w:szCs w:val="21"/>
                      <w:highlight w:val="none"/>
                    </w:rPr>
                  </w:pPr>
                  <w:r>
                    <w:rPr>
                      <w:rFonts w:hint="eastAsia" w:ascii="Times New Roman" w:hAnsi="Times New Roman" w:eastAsia="宋体" w:cs="宋体"/>
                      <w:color w:val="auto"/>
                      <w:sz w:val="21"/>
                      <w:szCs w:val="21"/>
                      <w:highlight w:val="none"/>
                      <w:vertAlign w:val="baseline"/>
                      <w:lang w:val="en-US" w:eastAsia="zh-CN"/>
                    </w:rPr>
                    <w:t>项目区域环境空气质量属于《环境空气质量标准》（GB3095-2012）中二类功能区，根据内蒙古自治区环境保护厅发布的《2023年内蒙古自治区生态环境状况公报》，本项目所在区域锡林郭勒盟为环境空气质量达标区；声环境属于《声环境质量标准》（GB3096-2008）3类声功能区。区域环境质量现状较好，具有环境容量，项目采取合理的治理措施后，在正常运营情况下，各项污染物均能达标排放，不会明显降低区域环境质量，不会突破当地环境质量底线。</w:t>
                  </w:r>
                </w:p>
              </w:tc>
              <w:tc>
                <w:tcPr>
                  <w:tcW w:w="59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负面清单</w:t>
                  </w:r>
                </w:p>
              </w:tc>
              <w:tc>
                <w:tcPr>
                  <w:tcW w:w="391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both"/>
                    <w:textAlignment w:val="auto"/>
                    <w:rPr>
                      <w:rFonts w:hint="default" w:ascii="Times New Roman" w:hAnsi="Times New Roman" w:eastAsia="Times New Roman" w:cs="Times New Roman"/>
                      <w:color w:val="auto"/>
                      <w:position w:val="0"/>
                      <w:sz w:val="21"/>
                      <w:szCs w:val="21"/>
                      <w:highlight w:val="none"/>
                    </w:rPr>
                  </w:pPr>
                  <w:r>
                    <w:rPr>
                      <w:rFonts w:hint="eastAsia" w:ascii="Times New Roman" w:hAnsi="Times New Roman" w:eastAsia="宋体" w:cs="宋体"/>
                      <w:color w:val="auto"/>
                      <w:sz w:val="21"/>
                      <w:szCs w:val="21"/>
                      <w:highlight w:val="none"/>
                      <w:vertAlign w:val="baseline"/>
                      <w:lang w:val="en-US" w:eastAsia="zh-CN"/>
                    </w:rPr>
                    <w:t>本项目位于</w:t>
                  </w:r>
                  <w:r>
                    <w:rPr>
                      <w:rFonts w:hint="eastAsia" w:ascii="Times New Roman" w:hAnsi="Times New Roman" w:cs="Times New Roman"/>
                      <w:color w:val="auto"/>
                      <w:sz w:val="21"/>
                      <w:szCs w:val="21"/>
                      <w:highlight w:val="none"/>
                      <w:u w:val="none"/>
                      <w:lang w:val="en-US" w:eastAsia="zh-CN"/>
                    </w:rPr>
                    <w:t>锡林郭勒盟太仆寺旗宝昌镇佰惠生糖业有限公司院内</w:t>
                  </w:r>
                  <w:r>
                    <w:rPr>
                      <w:rFonts w:hint="eastAsia" w:ascii="Times New Roman" w:hAnsi="Times New Roman" w:eastAsia="宋体" w:cs="宋体"/>
                      <w:color w:val="auto"/>
                      <w:sz w:val="21"/>
                      <w:szCs w:val="21"/>
                      <w:highlight w:val="none"/>
                      <w:vertAlign w:val="baseline"/>
                      <w:lang w:val="en-US" w:eastAsia="zh-CN"/>
                    </w:rPr>
                    <w:t>，依据《锡林郭勒盟生态环境准入清单》中“锡林郭勒盟太仆寺旗生态环境准入清单”，本项目属于</w:t>
                  </w:r>
                  <w:r>
                    <w:rPr>
                      <w:rFonts w:hint="eastAsia" w:ascii="Times New Roman" w:hAnsi="Times New Roman" w:cs="宋体"/>
                      <w:color w:val="auto"/>
                      <w:sz w:val="21"/>
                      <w:szCs w:val="21"/>
                      <w:highlight w:val="none"/>
                      <w:vertAlign w:val="baseline"/>
                      <w:lang w:val="en-US" w:eastAsia="zh-CN"/>
                    </w:rPr>
                    <w:t>重点</w:t>
                  </w:r>
                  <w:r>
                    <w:rPr>
                      <w:rFonts w:hint="eastAsia" w:ascii="Times New Roman" w:hAnsi="Times New Roman" w:eastAsia="宋体" w:cs="宋体"/>
                      <w:color w:val="auto"/>
                      <w:sz w:val="21"/>
                      <w:szCs w:val="21"/>
                      <w:highlight w:val="none"/>
                      <w:vertAlign w:val="baseline"/>
                      <w:lang w:val="en-US" w:eastAsia="zh-CN"/>
                    </w:rPr>
                    <w:t>管控单元，本项目符合该管控单元中空间布局约束、污染物排放管控、环境风险管控、资源利用效率要求。因此，本项目的建设符合环境准入要求。本项目符合《内蒙古自治区国家重点生态功能区产业准入负面清单（试行）》中“太仆寺旗国家重点生态功能区产业准入负面清单”要求，因此，本项目的建设符合环境准入要求。</w:t>
                  </w:r>
                </w:p>
              </w:tc>
              <w:tc>
                <w:tcPr>
                  <w:tcW w:w="59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firstLine="0"/>
                    <w:jc w:val="center"/>
                    <w:textAlignment w:val="auto"/>
                    <w:rPr>
                      <w:rFonts w:hint="default" w:ascii="Times New Roman" w:hAnsi="Times New Roman" w:eastAsia="Times New Roman" w:cs="Times New Roman"/>
                      <w:color w:val="auto"/>
                      <w:position w:val="0"/>
                      <w:sz w:val="21"/>
                      <w:szCs w:val="21"/>
                      <w:highlight w:val="none"/>
                    </w:rPr>
                  </w:pPr>
                  <w:r>
                    <w:rPr>
                      <w:rFonts w:hint="default" w:ascii="Times New Roman" w:hAnsi="Times New Roman" w:eastAsia="宋体" w:cs="Times New Roman"/>
                      <w:color w:val="auto"/>
                      <w:position w:val="0"/>
                      <w:sz w:val="21"/>
                      <w:szCs w:val="21"/>
                      <w:highlight w:val="none"/>
                    </w:rPr>
                    <w:t>符合</w:t>
                  </w:r>
                </w:p>
              </w:tc>
            </w:tr>
          </w:tbl>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与生态环境准入清单“内蒙古锡林郭勒承接产业开发区</w:t>
            </w:r>
            <w:r>
              <w:rPr>
                <w:rFonts w:hint="eastAsia"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宝昌产业园重点管控单元（ZH15252720004）”</w:t>
            </w:r>
            <w:r>
              <w:rPr>
                <w:rFonts w:hint="default" w:ascii="Times New Roman" w:hAnsi="Times New Roman" w:eastAsia="宋体" w:cs="Times New Roman"/>
                <w:b/>
                <w:bCs/>
                <w:color w:val="auto"/>
                <w:sz w:val="21"/>
                <w:szCs w:val="21"/>
                <w:highlight w:val="none"/>
                <w:lang w:val="en-US" w:eastAsia="zh-CN"/>
              </w:rPr>
              <w:t>符合性分析</w:t>
            </w:r>
          </w:p>
          <w:tbl>
            <w:tblPr>
              <w:tblStyle w:val="31"/>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69"/>
              <w:gridCol w:w="82"/>
              <w:gridCol w:w="3625"/>
              <w:gridCol w:w="1583"/>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3049"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符合性分析</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本项目情况</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空间布局约束</w:t>
                  </w:r>
                </w:p>
              </w:tc>
              <w:tc>
                <w:tcPr>
                  <w:tcW w:w="4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执行锡林郭勒盟总体准入要求中第一条关于空间布局约束的准入要求。</w:t>
                  </w: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禁止布局现有化工园区以外新的化工园区。禁止在海河流域内蒙古锡林郭勒盟段及主要支流岸线1公里范围内扩大现有园区的面积。</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不涉及</w:t>
                  </w:r>
                </w:p>
              </w:tc>
              <w:tc>
                <w:tcPr>
                  <w:tcW w:w="35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color w:val="auto"/>
                      <w:highlight w:val="none"/>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color w:val="auto"/>
                      <w:highlight w:val="none"/>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新（改、扩）建化工项目必须符合规划环评及审查意见相关要求，必须与居民区或城市规划的居住用地保持足够的缓冲距离。</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不属于化工项目</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严禁水泥、电解铝、平板玻璃等行业新增产能，对确有必要新建的项目实行等量或减量置换。</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全盟各旗县市（区）及以上城市建成区基本淘汰每小时10蒸吨及以下燃煤锅炉及茶浴炉、经营性炉灶、储粮烘干设备等燃煤设施，原则上不再新建每小时35蒸吨以下的燃煤锅炉，其他地区原则上不再新建每小时10蒸吨以下的燃煤锅炉。</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本项目不涉及锅炉建设</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禁止在城市主导风向上风向新建涉气重污染项目。</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w:t>
                  </w:r>
                  <w:r>
                    <w:rPr>
                      <w:rFonts w:hint="eastAsia" w:ascii="Times New Roman" w:hAnsi="Times New Roman" w:cs="Times New Roman"/>
                      <w:color w:val="auto"/>
                      <w:sz w:val="21"/>
                      <w:szCs w:val="21"/>
                      <w:highlight w:val="none"/>
                      <w:vertAlign w:val="baseline"/>
                      <w:lang w:val="en-US" w:eastAsia="zh-CN"/>
                    </w:rPr>
                    <w:t>属于</w:t>
                  </w:r>
                  <w:r>
                    <w:rPr>
                      <w:rFonts w:hint="eastAsia" w:ascii="Times New Roman" w:hAnsi="Times New Roman" w:eastAsia="宋体" w:cs="Times New Roman"/>
                      <w:color w:val="auto"/>
                      <w:sz w:val="21"/>
                      <w:szCs w:val="21"/>
                      <w:highlight w:val="none"/>
                      <w:vertAlign w:val="baseline"/>
                      <w:lang w:val="en-US" w:eastAsia="zh-CN"/>
                    </w:rPr>
                    <w:t>涉气重污染项目</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重大项目原则上布局在优化开发区和重点开发区，并符合城乡规划和土地利用总体规划。推进企业向工业集聚区集中，并实施工业集聚区生态化改造。严禁地下水超采区新建高耗水、高污染项目，已建项目要采用先进节水技术，提高用水水平。</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w:t>
                  </w:r>
                  <w:r>
                    <w:rPr>
                      <w:rFonts w:hint="eastAsia" w:ascii="Times New Roman" w:hAnsi="Times New Roman" w:cs="Times New Roman"/>
                      <w:color w:val="auto"/>
                      <w:sz w:val="21"/>
                      <w:szCs w:val="21"/>
                      <w:highlight w:val="none"/>
                      <w:vertAlign w:val="baseline"/>
                      <w:lang w:val="en-US" w:eastAsia="zh-CN"/>
                    </w:rPr>
                    <w:t>属于</w:t>
                  </w:r>
                  <w:r>
                    <w:rPr>
                      <w:rFonts w:hint="eastAsia" w:ascii="Times New Roman" w:hAnsi="Times New Roman" w:eastAsia="宋体" w:cs="Times New Roman"/>
                      <w:color w:val="auto"/>
                      <w:sz w:val="21"/>
                      <w:szCs w:val="21"/>
                      <w:highlight w:val="none"/>
                      <w:vertAlign w:val="baseline"/>
                      <w:lang w:val="en-US" w:eastAsia="zh-CN"/>
                    </w:rPr>
                    <w:t>高耗水、高污染项目</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7.</w:t>
                  </w:r>
                  <w:r>
                    <w:rPr>
                      <w:rFonts w:hint="default" w:ascii="Times New Roman" w:hAnsi="Times New Roman" w:eastAsia="宋体" w:cs="Times New Roman"/>
                      <w:color w:val="auto"/>
                      <w:sz w:val="21"/>
                      <w:szCs w:val="21"/>
                      <w:highlight w:val="none"/>
                      <w:vertAlign w:val="baseline"/>
                      <w:lang w:val="en-US" w:eastAsia="zh-CN"/>
                    </w:rPr>
                    <w:t>新建、改扩建《管控目录》中的</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两高</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项目，项目选址必须进园区，工艺技术装备须达到同行业先进水平，符合新增产能管控。</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本项目不属于“两高”项目</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禁止在燃气管网和集中供热管网覆盖的区域新建、改建、扩建分散燃烧煤炭、重油、渣油的集中供热设施；已建成的不能达标排放的集中供热设施应当在规定的期限内拆除。</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eastAsia="宋体" w:cs="Times New Roman"/>
                      <w:color w:val="auto"/>
                      <w:sz w:val="21"/>
                      <w:szCs w:val="21"/>
                      <w:highlight w:val="none"/>
                      <w:vertAlign w:val="baseline"/>
                      <w:lang w:val="en-US" w:eastAsia="zh-CN"/>
                    </w:rPr>
                    <w:t>禁止在自然保护区、饮用水水源保护区、风景名胜区等敏感区域内新建、扩建、改建工业炉窑。</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本项目不涉及敏感区域</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baseline"/>
                      <w:lang w:val="en-US" w:eastAsia="zh-CN"/>
                    </w:rPr>
                    <w:t>禁止在河湖管理范围内向河湖排放、倾倒、处置油类、酸液、碱液或者剧毒废液污染物等；禁止新建、改建、扩建围堤、阻水渠道、阻水道路；禁止弃置、倾倒、堆放、掩埋固体废物。</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11.</w:t>
                  </w:r>
                  <w:r>
                    <w:rPr>
                      <w:rFonts w:hint="default" w:ascii="Times New Roman" w:hAnsi="Times New Roman" w:eastAsia="宋体" w:cs="Times New Roman"/>
                      <w:color w:val="auto"/>
                      <w:sz w:val="21"/>
                      <w:szCs w:val="21"/>
                      <w:highlight w:val="none"/>
                      <w:vertAlign w:val="baseline"/>
                      <w:lang w:val="en-US" w:eastAsia="zh-CN"/>
                    </w:rPr>
                    <w:t>禁止在崩塌、滑坡危险区和泥石流易发区从事取土、挖砂、采石等可能造成水土流失的活动。永久基本农田集中区域不得新建可能造成土壤污染的建设项目。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本项目不涉及基本农田</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r>
                    <w:rPr>
                      <w:rFonts w:hint="default" w:ascii="Times New Roman" w:hAnsi="Times New Roman" w:eastAsia="宋体" w:cs="Times New Roman"/>
                      <w:color w:val="auto"/>
                      <w:sz w:val="21"/>
                      <w:szCs w:val="21"/>
                      <w:highlight w:val="none"/>
                      <w:vertAlign w:val="baseline"/>
                      <w:lang w:val="en-US" w:eastAsia="zh-CN"/>
                    </w:rPr>
                    <w:t>在饮用水水源准保护区内，禁止下列行为：（一）新建、扩建化工、生物发酵、电镀、皮革、冶炼、放射性、炼油、炼焦以及其他严重污染水体的建设项目，改建增加排污量的项目；（二）进行可能严重影响饮用水水源水质和水量的矿产勘查、采选等活动；（三）倾倒、堆放工业废渣、垃圾、粪便以及其他废弃物；（四）破坏水源涵养林、护岸林以及水源保护相关植被的活动；（五）法律、法规规定的其他可能污染饮用水水源的行为。在饮用水水源二级保护区内，除饮用水水源准保护区内禁止的行为外，禁止下列行为：（一）设置排污口；（二）新建、改建、扩建排放污染物的建设项目或者其他设施；（三）影响水源补给的活动以及与饮用水供水无关的勘查、开采活动；（四）新建、扩建油库、加油站；（五）建立火葬场、墓地；（六）设置畜禽养殖场、养殖小区；（七）利用未经净化处理达标的污水灌溉农田；（八）超过标准使用农药、化肥、含磷洗涤剂；（九）掩埋、弃置动物尸体；（十）法律、法规规定的其他可能污染饮用水水源的行为。在饮用水水源一级保护区内，除饮用水水源准保护区、二级保护区内禁止的行为外，还禁止下列行为：（一）新建、改建、扩建与供水设施和保护水源无关的建设项目；（二）从事网箱养殖、旅游、游泳、垂钓或者其他可能污染饮用水水体的行为。</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本项目不涉及饮用水水源保护区</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2.禁止不符合园区产业定位及规划环评等要求的项目入园；国家明令淘汰的落后产能和不符合国家产业政策的项目，禁止向园区转移。</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3.禁止新扩建未纳入规划的火电项目（包括抽凝式燃煤热电项目）。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4.禁止工艺落后、设备陈旧、污染严重的项目入区。</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污染物排放管控</w:t>
                  </w:r>
                </w:p>
              </w:tc>
              <w:tc>
                <w:tcPr>
                  <w:tcW w:w="4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执行锡林郭勒盟总体准入要求中第二条关于污染物排放管控的准入要求。</w:t>
                  </w: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严格落实污染物排放总量控制制度，把主要污染物排放总量指标作为环评审批的前置条件。对未完成上一年度主要污染物总量减排目标的地区或企业、环境质量未达到环境功能区划要求、被实施区域限批的地区及未进行排污权交易的工业企业建设项目暂停新增主要污染物排放建设项目的总量审批。</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本项目不在重点地区，不属于重点行业，且位于园区内，并进行环境影响评价，本项目排放VOCs总量未达到总量核准要求，不需要申请总量</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本项目不在限批区域</w:t>
                  </w:r>
                </w:p>
              </w:tc>
              <w:tc>
                <w:tcPr>
                  <w:tcW w:w="35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color w:val="auto"/>
                      <w:highlight w:val="none"/>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color w:val="auto"/>
                      <w:highlight w:val="none"/>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45米以上高架源纳入自治区重点污染源在线监控并实现与生态环境部门联网。</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加强矿山开采污染治理。强化矿山开采、储存、装卸、运输过程的污染防治，确保粉尘达标排放。</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重点行业粉状物料堆场必须进行全封闭，块状物料必须安装抑尘设施。</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本项目不属于重点行业</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所有新建城镇污水处理设施要执行一级A排放标准。</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加大对纯凝机组和热电联产机组技术改造力度，加快供热管网建设，推进老旧管网改造，降低系统能耗，充分释放和提高供热能力，淘汰管网覆盖范围内的燃煤锅炉和散煤。</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7.</w:t>
                  </w:r>
                  <w:r>
                    <w:rPr>
                      <w:rFonts w:hint="default" w:ascii="Times New Roman" w:hAnsi="Times New Roman" w:eastAsia="宋体" w:cs="Times New Roman"/>
                      <w:color w:val="auto"/>
                      <w:sz w:val="21"/>
                      <w:szCs w:val="21"/>
                      <w:highlight w:val="none"/>
                      <w:vertAlign w:val="baseline"/>
                      <w:lang w:val="en-US" w:eastAsia="zh-CN"/>
                    </w:rPr>
                    <w:t>对新发现的小型造纸、制革、印染、染料、炼焦、炼硫、炼砷、炼油、电镀、农药等严重污染水环境的</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十小</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企业坚决依法予以取缔。</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本项目不属于</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十小</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企业</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8.贮存煤炭、煤矸石、煤渣、煤灰等易产生煤尘的物料应当密闭；不能密闭的，应当设置不低于堆放物高度的严密围挡，并采取有效覆盖措施防治煤尘污染。</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9.禁止露天焚烧沥青、油毡、橡胶、塑料、皮革、垃圾以及其他产生有毒有害烟尘和恶臭气体的物质；确需焚烧处理的，应当采用专用焚烧装置。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10.禁止在居民住宅楼、未配套设立专用烟道的商住综合楼以及商住综合楼内与居住层相邻的商业楼层内新建、改建、扩建产生油烟、异味、废气的餐饮服务项目。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11.排放工业废水的企业应当采取有效措施，收集和处理产生的全部废水，应当达标排放。含有毒有害水污染物的工业废水应当分类收集和处理，禁止稀释排放。</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本项目不涉及工业废水排放</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12.禁止餐饮、洗浴、洗涤、洗车经营者直接向雨水排放系统、河道等外环境排放污水。</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13.禁止含酚废水作为煤气水封水、冲渣水。</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本项目不涉及含酚废水</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14.禁止生产、销售、使用不符合国家标准的农用薄膜。禁止将危险废物混入生活垃圾或者其他废物贮存、运输。</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4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15.禁止以任何方式进口固体废物。禁止境外的固体废物进境倾倒、堆放、处置。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2.新建排放重金属污染物的建设项目全面执行重金属重点污染物排放限值要求</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3.入区企业必须采用先进的、密封性能好的生产设备、化学物料存贮容器和输送管道，最大限度减少无组织废气排放；同时还要采用先进的治理和回收技术，严格按照有关规定，实现达标排放。</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4.优先引进污染轻、技术先进、生产规模大的项目。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5.入区企业提出明确的废气污染源治理要求，必须确保其达标排放后才可批准生产。同时确保“三同时”制度的执行，对污染物排放量进行全过程控制。</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环境风险防控</w:t>
                  </w: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园区应建立突发环境事件应急防控体系，增强突发环境事件处置能力。</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本项目环境风险等级为简单分析，不属于重大环境风险项目</w:t>
                  </w:r>
                </w:p>
              </w:tc>
              <w:tc>
                <w:tcPr>
                  <w:tcW w:w="35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color w:val="auto"/>
                      <w:highlight w:val="none"/>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2.严格落实工业集聚区环境风险各项防控措施。对高风险化学品生产、使用进行严格限制，并逐步淘汰替代。</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3.开展涉危涉化企业、有风险隐患渣场等风险排查和整改工作，及时消除隐患</w:t>
                  </w:r>
                  <w:r>
                    <w:rPr>
                      <w:rFonts w:hint="default" w:ascii="Times New Roman" w:hAnsi="Times New Roman" w:eastAsia="宋体" w:cs="Times New Roman"/>
                      <w:color w:val="auto"/>
                      <w:sz w:val="21"/>
                      <w:szCs w:val="21"/>
                      <w:highlight w:val="none"/>
                      <w:vertAlign w:val="baseline"/>
                      <w:lang w:val="en-US" w:eastAsia="zh-CN"/>
                    </w:rPr>
                    <w:t>。按要求建设园区隔离带、绿化防护带等设施。</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4.加强消防和风险事故防范意识和应急措施，特别是使用易燃、易爆、有毒、有害等危险化学品的企业，必须有相应的危险品管理制度。</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本项目不涉及有毒有害物质排放</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4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5.建立完备的事故废水调储系统。厂区分区防渗；建立区域土壤及地下水监测监控体系。</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资源利用效率要求</w:t>
                  </w:r>
                </w:p>
              </w:tc>
              <w:tc>
                <w:tcPr>
                  <w:tcW w:w="523"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执行锡林郭勒盟总体准入要求中第一条关于空间布局约束的准入要求。</w:t>
                  </w: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禁止布局现有化工园区以外新的化工园区。禁止在海河流域内蒙古锡林郭勒盟段及主要支流岸线1公里范围内扩大现有园区的面积。</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不涉及</w:t>
                  </w:r>
                </w:p>
              </w:tc>
              <w:tc>
                <w:tcPr>
                  <w:tcW w:w="35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新（改、扩）建化工项目必须符合规划环评及审查意见相关要求，必须与居民区或城市规划的居住用地保持足够的缓冲距离。</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本项目不属于化工</w:t>
                  </w:r>
                  <w:r>
                    <w:rPr>
                      <w:rFonts w:hint="default" w:ascii="Times New Roman" w:hAnsi="Times New Roman" w:eastAsia="宋体" w:cs="Times New Roman"/>
                      <w:color w:val="auto"/>
                      <w:sz w:val="21"/>
                      <w:szCs w:val="21"/>
                      <w:highlight w:val="none"/>
                      <w:vertAlign w:val="baseline"/>
                      <w:lang w:val="en-US" w:eastAsia="zh-CN"/>
                    </w:rPr>
                    <w:t>项目</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严禁水泥、电解铝、平板玻璃等行业新增产能，对确有必要新建的项目实行等量或减量置换。</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全盟各旗县市（区）及以上城市建成区基本淘汰每小时10蒸吨及以下燃煤锅炉及茶浴炉、经营性炉灶、储粮烘干设备等燃煤设施，原则上不再新建每小时35蒸吨以下的燃煤锅炉，其他地区原则上不再新建每小时10蒸吨以下的燃煤锅炉。</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本项目不涉及锅炉建设</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禁止在城市主导风向上风向新建涉气重污染项目。</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本项目不</w:t>
                  </w:r>
                  <w:r>
                    <w:rPr>
                      <w:rFonts w:hint="eastAsia" w:ascii="Times New Roman" w:hAnsi="Times New Roman" w:cs="Times New Roman"/>
                      <w:color w:val="auto"/>
                      <w:sz w:val="21"/>
                      <w:szCs w:val="21"/>
                      <w:highlight w:val="none"/>
                      <w:vertAlign w:val="baseline"/>
                      <w:lang w:val="en-US" w:eastAsia="zh-CN"/>
                    </w:rPr>
                    <w:t>属于</w:t>
                  </w:r>
                  <w:r>
                    <w:rPr>
                      <w:rFonts w:hint="eastAsia" w:ascii="Times New Roman" w:hAnsi="Times New Roman" w:eastAsia="宋体" w:cs="Times New Roman"/>
                      <w:color w:val="auto"/>
                      <w:sz w:val="21"/>
                      <w:szCs w:val="21"/>
                      <w:highlight w:val="none"/>
                      <w:vertAlign w:val="baseline"/>
                      <w:lang w:val="en-US" w:eastAsia="zh-CN"/>
                    </w:rPr>
                    <w:t>涉气重污染项目</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重大项目原则上布局在优化开发区和重点开发区，并符合城乡规划和土地利用总体规划。推进企业向工业集聚区集中，并实施工业集聚区生态化改造。严禁地下水超采区新建高耗水、高污染项目，已建项目要采用先进节水技术，提高用水水平。</w:t>
                  </w:r>
                </w:p>
              </w:tc>
              <w:tc>
                <w:tcPr>
                  <w:tcW w:w="11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本项目不</w:t>
                  </w:r>
                  <w:r>
                    <w:rPr>
                      <w:rFonts w:hint="eastAsia" w:ascii="Times New Roman" w:hAnsi="Times New Roman" w:cs="Times New Roman"/>
                      <w:color w:val="auto"/>
                      <w:sz w:val="21"/>
                      <w:szCs w:val="21"/>
                      <w:highlight w:val="none"/>
                      <w:vertAlign w:val="baseline"/>
                      <w:lang w:val="en-US" w:eastAsia="zh-CN"/>
                    </w:rPr>
                    <w:t>属于</w:t>
                  </w:r>
                  <w:r>
                    <w:rPr>
                      <w:rFonts w:hint="eastAsia" w:ascii="Times New Roman" w:hAnsi="Times New Roman" w:eastAsia="宋体" w:cs="Times New Roman"/>
                      <w:color w:val="auto"/>
                      <w:sz w:val="21"/>
                      <w:szCs w:val="21"/>
                      <w:highlight w:val="none"/>
                      <w:vertAlign w:val="baseline"/>
                      <w:lang w:val="en-US" w:eastAsia="zh-CN"/>
                    </w:rPr>
                    <w:t>高耗水、高污染项目</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7.</w:t>
                  </w:r>
                  <w:r>
                    <w:rPr>
                      <w:rFonts w:hint="default" w:ascii="Times New Roman" w:hAnsi="Times New Roman" w:eastAsia="宋体" w:cs="Times New Roman"/>
                      <w:color w:val="auto"/>
                      <w:sz w:val="21"/>
                      <w:szCs w:val="21"/>
                      <w:highlight w:val="none"/>
                      <w:vertAlign w:val="baseline"/>
                      <w:lang w:val="en-US" w:eastAsia="zh-CN"/>
                    </w:rPr>
                    <w:t>新建、改扩建《管控目录》中的</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两高</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项目，项目选址必须进园区，工艺技术装备须达到同行业先进水平，符合新增产能管控。</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本项目不属于“两高”项目</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禁止在燃气管网和集中供热管网覆盖的区域新建、改建、扩建分散燃烧煤炭、重油、渣油的集中供热设施；已建成的不能达标排放的集中供热设施应当在规定的期限内拆除。</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eastAsia="宋体" w:cs="Times New Roman"/>
                      <w:color w:val="auto"/>
                      <w:sz w:val="21"/>
                      <w:szCs w:val="21"/>
                      <w:highlight w:val="none"/>
                      <w:vertAlign w:val="baseline"/>
                      <w:lang w:val="en-US" w:eastAsia="zh-CN"/>
                    </w:rPr>
                    <w:t>禁止在自然保护区、饮用水水源保护区、风景名胜区等敏感区域内新建、扩建、改建工业炉窑。</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本项目不涉及敏感区域</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baseline"/>
                      <w:lang w:val="en-US" w:eastAsia="zh-CN"/>
                    </w:rPr>
                    <w:t>禁止在河湖管理范围内向河湖排放、倾倒、处置油类、酸液、碱液或者剧毒废液污染物等；禁止新建、改建、扩建围堤、阻水渠道、阻水道路；禁止弃置、倾倒、堆放、掩埋固体废物。</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11.</w:t>
                  </w:r>
                  <w:r>
                    <w:rPr>
                      <w:rFonts w:hint="default" w:ascii="Times New Roman" w:hAnsi="Times New Roman" w:eastAsia="宋体" w:cs="Times New Roman"/>
                      <w:color w:val="auto"/>
                      <w:sz w:val="21"/>
                      <w:szCs w:val="21"/>
                      <w:highlight w:val="none"/>
                      <w:vertAlign w:val="baseline"/>
                      <w:lang w:val="en-US" w:eastAsia="zh-CN"/>
                    </w:rPr>
                    <w:t>禁止在崩塌、滑坡危险区和泥石流易发区从事取土、挖砂、采石等可能造成水土流失的活动。永久基本农田集中区域不得新建可能造成土壤污染的建设项目。</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本项目不涉及基本农田</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523"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12.</w:t>
                  </w:r>
                  <w:r>
                    <w:rPr>
                      <w:rFonts w:hint="default" w:ascii="Times New Roman" w:hAnsi="Times New Roman" w:eastAsia="宋体" w:cs="Times New Roman"/>
                      <w:color w:val="auto"/>
                      <w:sz w:val="21"/>
                      <w:szCs w:val="21"/>
                      <w:highlight w:val="none"/>
                      <w:vertAlign w:val="baseline"/>
                      <w:lang w:val="en-US" w:eastAsia="zh-CN"/>
                    </w:rPr>
                    <w:t>在饮用水水源准保护区内，禁止下列行为：（一）新建、扩建化工、生物发酵、电镀、皮革、冶炼、放射性、炼油、炼焦以及其他严重污染水体的建设项目，改建增加排污量的项目；（二）进行可能严重影响饮用水水源水质和水量的矿产勘查、采选等活动；（三）倾倒、堆放工业废渣、垃圾、粪便以及其他废弃物；（四）破坏水源涵养林、护岸林以及水源保护相关植被的活动；（五）法律、法规规定的其他可能污染饮用水水源的行为。在饮用水水源二级保护区内，除饮用水水源准保护区内禁止的行为外，禁止下列行为：（一）设置排污口；（二）新建、改建、扩建排放污染物的建设项目或者其他设施；（三）影响水源补给的活动以及与饮用水供水无关的勘查、开采活动；（四）新建、扩建油库、加油站；（五）建立火葬场、墓地；（六）设置畜禽养殖场、养殖小区；（七）利用未经净化处理达标的污水灌溉农田；（八）超过标准使用农药、化肥、含磷洗涤剂；（九）掩埋、弃置动物尸体；（十）法律、法规规定的其他可能污染饮用水水源的行为。在饮用水水源一级保护区内，除饮用水水源准保护区、二级保护区内禁止的行为外，还禁止下列行为：（一）新建、改建、扩建与供水设施和保护水源无关的建设项目；（二）从事网箱养殖、旅游、游泳、垂钓或者其他可能污染饮用水水体的行为。</w:t>
                  </w:r>
                </w:p>
              </w:tc>
              <w:tc>
                <w:tcPr>
                  <w:tcW w:w="11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本项目不涉及饮用水水源保护区</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304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2.禁止不符合园区产业定位及规划环评等要求的项目入园；国家明令淘汰的落后产能和不符合国家产业政策的项目，禁止向园区转移。</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cs="Times New Roman"/>
                      <w:color w:val="auto"/>
                      <w:sz w:val="21"/>
                      <w:szCs w:val="21"/>
                      <w:highlight w:val="none"/>
                      <w:vertAlign w:val="baseline"/>
                      <w:lang w:val="en-US" w:eastAsia="zh-CN"/>
                    </w:rPr>
                    <w:t>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304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3.禁止新扩建未纳入规划的火电项目（包括抽凝式燃煤热电项目）</w:t>
                  </w:r>
                  <w:r>
                    <w:rPr>
                      <w:rFonts w:hint="default" w:ascii="Times New Roman" w:hAnsi="Times New Roman" w:eastAsia="宋体" w:cs="Times New Roman"/>
                      <w:color w:val="auto"/>
                      <w:sz w:val="21"/>
                      <w:szCs w:val="21"/>
                      <w:highlight w:val="none"/>
                      <w:vertAlign w:val="baseline"/>
                      <w:lang w:val="en-US" w:eastAsia="zh-CN"/>
                    </w:rPr>
                    <w:t>。</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304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4.禁止工艺落后、设备陈旧、污染严重的项目入区。</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w:t>
                  </w:r>
                </w:p>
              </w:tc>
              <w:tc>
                <w:tcPr>
                  <w:tcW w:w="3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bl>
          <w:p>
            <w:pPr>
              <w:pStyle w:val="66"/>
              <w:keepNext w:val="0"/>
              <w:keepLines w:val="0"/>
              <w:pageBreakBefore w:val="0"/>
              <w:widowControl w:val="0"/>
              <w:kinsoku/>
              <w:wordWrap/>
              <w:overflowPunct/>
              <w:topLinePunct w:val="0"/>
              <w:autoSpaceDE w:val="0"/>
              <w:autoSpaceDN w:val="0"/>
              <w:bidi w:val="0"/>
              <w:adjustRightInd w:val="0"/>
              <w:snapToGrid w:val="0"/>
              <w:ind w:firstLine="482"/>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sz w:val="24"/>
                <w:szCs w:val="24"/>
              </w:rPr>
              <w:t>经以上分析，本项目与《锡林郭勒盟生态环境保护委员会办公室关于印发锡林郭勒盟</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三线一单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生态环境分区管控意见修改单和锡林郭勒盟生态环境准入清单的通知（锡环委办发〔2024〕1号）》符合</w:t>
            </w:r>
            <w:r>
              <w:rPr>
                <w:rFonts w:hint="eastAsia" w:ascii="Times New Roman" w:hAnsi="Times New Roman" w:cs="Times New Roman"/>
                <w:color w:val="auto"/>
                <w:highlight w:val="none"/>
                <w:lang w:val="en-US" w:eastAsia="zh-CN"/>
              </w:rPr>
              <w:t>。</w:t>
            </w:r>
          </w:p>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z w:val="21"/>
                <w:szCs w:val="21"/>
              </w:rPr>
            </w:pPr>
            <w:r>
              <w:rPr>
                <w:b/>
                <w:bCs/>
                <w:sz w:val="21"/>
                <w:szCs w:val="21"/>
              </w:rPr>
              <w:drawing>
                <wp:inline distT="0" distB="0" distL="114300" distR="114300">
                  <wp:extent cx="4279900" cy="3010535"/>
                  <wp:effectExtent l="0" t="0" r="0" b="1206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4279900" cy="3010535"/>
                          </a:xfrm>
                          <a:prstGeom prst="rect">
                            <a:avLst/>
                          </a:prstGeom>
                          <a:noFill/>
                          <a:ln>
                            <a:noFill/>
                          </a:ln>
                        </pic:spPr>
                      </pic:pic>
                    </a:graphicData>
                  </a:graphic>
                </wp:inline>
              </w:drawing>
            </w:r>
          </w:p>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图1-1  项目与管控单元的相对位置图</w:t>
            </w:r>
          </w:p>
          <w:p>
            <w:pPr>
              <w:pStyle w:val="6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b/>
                <w:bCs/>
                <w:sz w:val="21"/>
                <w:szCs w:val="21"/>
                <w:lang w:val="en-US" w:eastAsia="zh-CN"/>
              </w:rPr>
            </w:pPr>
          </w:p>
          <w:p>
            <w:pPr>
              <w:pStyle w:val="66"/>
              <w:ind w:firstLine="48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lang w:val="en-US" w:eastAsia="zh-CN"/>
              </w:rPr>
              <w:t>2</w:t>
            </w:r>
            <w:r>
              <w:rPr>
                <w:rFonts w:hint="default" w:ascii="Times New Roman" w:hAnsi="Times New Roman" w:eastAsia="宋体" w:cs="Times New Roman"/>
                <w:b/>
                <w:bCs/>
                <w:color w:val="auto"/>
                <w:szCs w:val="22"/>
                <w:highlight w:val="none"/>
              </w:rPr>
              <w:t>、产业政策符合性</w:t>
            </w:r>
          </w:p>
          <w:p>
            <w:pPr>
              <w:pStyle w:val="66"/>
              <w:ind w:firstLine="480"/>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rPr>
              <w:t>根据国家发改委发布的《产业结构调整指导目录（20</w:t>
            </w:r>
            <w:r>
              <w:rPr>
                <w:rFonts w:hint="default" w:ascii="Times New Roman" w:hAnsi="Times New Roman" w:eastAsia="宋体" w:cs="Times New Roman"/>
                <w:bCs/>
                <w:color w:val="auto"/>
                <w:highlight w:val="none"/>
                <w:lang w:val="en-US" w:eastAsia="zh-CN"/>
              </w:rPr>
              <w:t>24</w:t>
            </w:r>
            <w:r>
              <w:rPr>
                <w:rFonts w:hint="default" w:ascii="Times New Roman" w:hAnsi="Times New Roman" w:eastAsia="宋体" w:cs="Times New Roman"/>
                <w:bCs/>
                <w:color w:val="auto"/>
                <w:highlight w:val="none"/>
              </w:rPr>
              <w:t>年本）》，本项目不属于鼓励类、限制类和淘汰类产业项目，</w:t>
            </w:r>
            <w:r>
              <w:rPr>
                <w:rFonts w:hint="default" w:ascii="Times New Roman" w:hAnsi="Times New Roman" w:eastAsia="宋体" w:cs="Times New Roman"/>
                <w:color w:val="auto"/>
                <w:highlight w:val="none"/>
              </w:rPr>
              <w:t>属于允许类项目</w:t>
            </w:r>
            <w:r>
              <w:rPr>
                <w:rFonts w:hint="eastAsia" w:cs="Times New Roman"/>
                <w:color w:val="auto"/>
                <w:highlight w:val="none"/>
                <w:lang w:eastAsia="zh-CN"/>
              </w:rPr>
              <w:t>；</w:t>
            </w:r>
            <w:r>
              <w:rPr>
                <w:rFonts w:hint="eastAsia" w:cs="Times New Roman"/>
                <w:color w:val="auto"/>
                <w:highlight w:val="none"/>
                <w:lang w:val="en-US" w:eastAsia="zh-CN"/>
              </w:rPr>
              <w:t>同时项目已取得太仆寺旗发展和改革委员会备案文件，项目代码：</w:t>
            </w:r>
            <w:r>
              <w:rPr>
                <w:rFonts w:hint="eastAsia" w:cs="Times New Roman"/>
                <w:color w:val="auto"/>
                <w:sz w:val="24"/>
                <w:szCs w:val="24"/>
                <w:highlight w:val="none"/>
                <w:lang w:val="en-US" w:eastAsia="zh-CN"/>
              </w:rPr>
              <w:t>2404-152527-04-05-369500。综上，项目符合国家产业政策。</w:t>
            </w:r>
          </w:p>
          <w:p>
            <w:pPr>
              <w:pStyle w:val="4"/>
              <w:spacing w:before="0" w:after="0" w:line="360"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kern w:val="0"/>
                <w:sz w:val="24"/>
                <w:szCs w:val="24"/>
                <w:highlight w:val="none"/>
                <w:lang w:val="en-US" w:eastAsia="zh-CN"/>
              </w:rPr>
              <w:t>3</w:t>
            </w:r>
            <w:r>
              <w:rPr>
                <w:rFonts w:hint="default" w:ascii="Times New Roman" w:hAnsi="Times New Roman" w:eastAsia="宋体" w:cs="Times New Roman"/>
                <w:bCs w:val="0"/>
                <w:color w:val="auto"/>
                <w:kern w:val="0"/>
                <w:sz w:val="24"/>
                <w:szCs w:val="24"/>
                <w:highlight w:val="none"/>
              </w:rPr>
              <w:t>、选址合理性分析</w:t>
            </w:r>
          </w:p>
          <w:p>
            <w:pPr>
              <w:widowControl/>
              <w:spacing w:line="360" w:lineRule="auto"/>
              <w:ind w:firstLine="48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1"/>
                <w:sz w:val="24"/>
                <w:szCs w:val="24"/>
                <w:lang w:val="en-US" w:eastAsia="zh-CN"/>
              </w:rPr>
              <w:t>项目</w:t>
            </w:r>
            <w:r>
              <w:rPr>
                <w:rFonts w:hint="eastAsia" w:ascii="宋体" w:hAnsi="宋体" w:eastAsia="宋体" w:cs="Times New Roman"/>
                <w:spacing w:val="1"/>
                <w:sz w:val="24"/>
                <w:lang w:val="en-US" w:eastAsia="zh-CN"/>
              </w:rPr>
              <w:t>位</w:t>
            </w:r>
            <w:r>
              <w:rPr>
                <w:rFonts w:hint="eastAsia" w:ascii="宋体" w:hAnsi="宋体" w:eastAsia="宋体" w:cs="Times New Roman"/>
                <w:spacing w:val="1"/>
                <w:sz w:val="24"/>
                <w:highlight w:val="none"/>
                <w:lang w:val="en-US" w:eastAsia="zh-CN"/>
              </w:rPr>
              <w:t>于</w:t>
            </w:r>
            <w:r>
              <w:rPr>
                <w:rFonts w:hint="eastAsia" w:ascii="宋体" w:hAnsi="宋体" w:eastAsia="宋体" w:cs="Times New Roman"/>
                <w:spacing w:val="1"/>
                <w:sz w:val="24"/>
                <w:highlight w:val="none"/>
              </w:rPr>
              <w:t>锡林郭勒盟宝昌高新技术产业园</w:t>
            </w:r>
            <w:r>
              <w:rPr>
                <w:rFonts w:hint="eastAsia" w:ascii="宋体" w:hAnsi="宋体" w:cs="Times New Roman"/>
                <w:spacing w:val="1"/>
                <w:sz w:val="24"/>
                <w:highlight w:val="none"/>
                <w:lang w:eastAsia="zh-CN"/>
              </w:rPr>
              <w:t>内蒙古</w:t>
            </w:r>
            <w:r>
              <w:rPr>
                <w:rFonts w:hint="eastAsia" w:ascii="宋体" w:hAnsi="宋体" w:eastAsia="宋体" w:cs="宋体"/>
                <w:color w:val="auto"/>
                <w:spacing w:val="1"/>
                <w:sz w:val="24"/>
                <w:szCs w:val="24"/>
                <w:lang w:val="en-US" w:eastAsia="zh-CN"/>
              </w:rPr>
              <w:t>璟程电缆有限公司</w:t>
            </w:r>
            <w:r>
              <w:rPr>
                <w:rFonts w:hint="eastAsia" w:ascii="宋体" w:hAnsi="宋体" w:cs="宋体"/>
                <w:color w:val="auto"/>
                <w:spacing w:val="1"/>
                <w:sz w:val="24"/>
                <w:szCs w:val="24"/>
                <w:lang w:val="en-US" w:eastAsia="zh-CN"/>
              </w:rPr>
              <w:t>现有厂区内</w:t>
            </w:r>
            <w:r>
              <w:rPr>
                <w:rFonts w:hint="eastAsia" w:ascii="宋体" w:hAnsi="宋体" w:eastAsia="宋体" w:cs="宋体"/>
                <w:color w:val="auto"/>
                <w:sz w:val="24"/>
                <w:szCs w:val="24"/>
                <w:lang w:val="en-US"/>
              </w:rPr>
              <w:t>，</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lang w:val="en-US" w:eastAsia="zh-CN"/>
              </w:rPr>
              <w:t>涉及新增用地，</w:t>
            </w:r>
            <w:r>
              <w:rPr>
                <w:rFonts w:hint="eastAsia" w:ascii="宋体" w:hAnsi="宋体" w:eastAsia="宋体" w:cs="宋体"/>
                <w:color w:val="auto"/>
                <w:kern w:val="2"/>
                <w:sz w:val="24"/>
                <w:szCs w:val="24"/>
                <w:highlight w:val="none"/>
                <w:lang w:val="en-US" w:eastAsia="zh-CN" w:bidi="ar-SA"/>
              </w:rPr>
              <w:t>项目现有土地类型为</w:t>
            </w:r>
            <w:r>
              <w:rPr>
                <w:rFonts w:hint="eastAsia" w:ascii="宋体" w:hAnsi="宋体" w:eastAsia="宋体" w:cs="宋体"/>
                <w:bCs/>
                <w:color w:val="auto"/>
                <w:kern w:val="0"/>
                <w:sz w:val="24"/>
                <w:szCs w:val="24"/>
                <w:lang w:val="en-US" w:eastAsia="zh-CN" w:bidi="ar-SA"/>
              </w:rPr>
              <w:t>工业用地，</w:t>
            </w:r>
            <w:r>
              <w:rPr>
                <w:rFonts w:hint="eastAsia" w:ascii="宋体" w:hAnsi="宋体" w:eastAsia="宋体" w:cs="宋体"/>
                <w:color w:val="auto"/>
                <w:kern w:val="2"/>
                <w:sz w:val="24"/>
                <w:szCs w:val="24"/>
                <w:highlight w:val="none"/>
                <w:lang w:val="en-US" w:eastAsia="zh-CN" w:bidi="ar-SA"/>
              </w:rPr>
              <w:t>项目选址合理。</w:t>
            </w:r>
          </w:p>
          <w:p>
            <w:pPr>
              <w:pStyle w:val="4"/>
              <w:spacing w:before="0" w:after="0" w:line="360" w:lineRule="auto"/>
              <w:ind w:firstLine="482" w:firstLineChars="200"/>
              <w:rPr>
                <w:rFonts w:hint="default" w:ascii="Times New Roman" w:hAnsi="Times New Roman" w:eastAsia="宋体" w:cs="Times New Roman"/>
                <w:bCs w:val="0"/>
                <w:color w:val="auto"/>
                <w:kern w:val="0"/>
                <w:sz w:val="24"/>
                <w:szCs w:val="24"/>
                <w:highlight w:val="none"/>
                <w:lang w:val="en-US" w:eastAsia="zh-CN"/>
              </w:rPr>
            </w:pPr>
            <w:r>
              <w:rPr>
                <w:rFonts w:hint="eastAsia" w:ascii="Times New Roman" w:hAnsi="Times New Roman" w:eastAsia="宋体" w:cs="Times New Roman"/>
                <w:bCs w:val="0"/>
                <w:color w:val="auto"/>
                <w:kern w:val="0"/>
                <w:sz w:val="24"/>
                <w:szCs w:val="24"/>
                <w:highlight w:val="none"/>
                <w:lang w:val="en-US" w:eastAsia="zh-CN"/>
              </w:rPr>
              <w:t>4、项目与《内蒙古自治区挥发性综合整治行动方案》符合性分析</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Autospacing="0" w:line="360" w:lineRule="auto"/>
              <w:ind w:firstLine="0" w:firstLineChars="0"/>
              <w:jc w:val="center"/>
              <w:textAlignment w:val="auto"/>
              <w:rPr>
                <w:rFonts w:hint="default" w:ascii="Times New Roman" w:hAnsi="Times New Roman" w:eastAsia="宋体" w:cs="宋体"/>
                <w:b/>
                <w:color w:val="auto"/>
                <w:sz w:val="21"/>
                <w:szCs w:val="21"/>
                <w:highlight w:val="none"/>
                <w:lang w:val="en-US" w:eastAsia="zh-CN"/>
              </w:rPr>
            </w:pPr>
            <w:r>
              <w:rPr>
                <w:rFonts w:hint="eastAsia" w:ascii="Times New Roman" w:hAnsi="Times New Roman" w:eastAsia="宋体" w:cs="宋体"/>
                <w:b/>
                <w:color w:val="auto"/>
                <w:sz w:val="21"/>
                <w:szCs w:val="21"/>
                <w:highlight w:val="none"/>
                <w:lang w:val="en-US" w:eastAsia="zh-CN"/>
              </w:rPr>
              <w:t>表1-4 内蒙古自治区挥发性综合整治行动方案符合性分析</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3"/>
              <w:gridCol w:w="1983"/>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主要内容</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r>
                    <w:rPr>
                      <w:rFonts w:hint="eastAsia" w:ascii="Times New Roman" w:hAnsi="Times New Roman" w:eastAsia="宋体"/>
                      <w:color w:val="auto"/>
                      <w:sz w:val="21"/>
                      <w:szCs w:val="21"/>
                      <w:highlight w:val="none"/>
                      <w:vertAlign w:val="baseline"/>
                      <w:lang w:val="en-US" w:eastAsia="zh-CN"/>
                    </w:rPr>
                    <w:t>情况</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（一）重点行业：重点推进全区石化、化工（含焦化）、制药、工业涂装和包装印刷重点行业以及机动车、油品储运等交通源VOCs污染防治，每个行业实施1</w:t>
                  </w:r>
                  <w:r>
                    <w:rPr>
                      <w:rFonts w:hint="eastAsia" w:ascii="Times New Roman" w:hAnsi="Times New Roman"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2个重点示范工程。</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各盟市要结合自身产业结构特征、VOCs排放来源等，确定本地区VOCs控制重点行业；充分考虑行业产能利用率、生产工艺特征以及污染物排放情况等，结合环境空气质量季节性变化特征，研究制定行业生产调控措施。</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项目为电缆制造项目，不属于重点行业</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（二）重点污染物：加强活性强的VOCs排放控制，主要为芳香烃、烯烃、炔烃、醛类等。各盟市要围绕本地区环境空气质量改善需求，基于O</w:t>
                  </w:r>
                  <w:r>
                    <w:rPr>
                      <w:rFonts w:hint="eastAsia" w:ascii="Times New Roman" w:hAnsi="Times New Roman" w:eastAsia="宋体"/>
                      <w:color w:val="auto"/>
                      <w:sz w:val="21"/>
                      <w:szCs w:val="21"/>
                      <w:highlight w:val="none"/>
                      <w:vertAlign w:val="subscript"/>
                      <w:lang w:val="en-US" w:eastAsia="zh-CN"/>
                    </w:rPr>
                    <w:t>3</w:t>
                  </w:r>
                  <w:r>
                    <w:rPr>
                      <w:rFonts w:hint="eastAsia" w:ascii="Times New Roman" w:hAnsi="Times New Roman" w:eastAsia="宋体"/>
                      <w:color w:val="auto"/>
                      <w:sz w:val="21"/>
                      <w:szCs w:val="21"/>
                      <w:highlight w:val="none"/>
                      <w:vertAlign w:val="baseline"/>
                      <w:lang w:val="en-US" w:eastAsia="zh-CN"/>
                    </w:rPr>
                    <w:t>和PM</w:t>
                  </w:r>
                  <w:r>
                    <w:rPr>
                      <w:rFonts w:hint="eastAsia" w:ascii="Times New Roman" w:hAnsi="Times New Roman" w:eastAsia="宋体"/>
                      <w:color w:val="auto"/>
                      <w:sz w:val="21"/>
                      <w:szCs w:val="21"/>
                      <w:highlight w:val="none"/>
                      <w:vertAlign w:val="subscript"/>
                      <w:lang w:val="en-US" w:eastAsia="zh-CN"/>
                    </w:rPr>
                    <w:t>2.5</w:t>
                  </w:r>
                  <w:r>
                    <w:rPr>
                      <w:rFonts w:hint="eastAsia" w:ascii="Times New Roman" w:hAnsi="Times New Roman" w:eastAsia="宋体"/>
                      <w:color w:val="auto"/>
                      <w:sz w:val="21"/>
                      <w:szCs w:val="21"/>
                      <w:highlight w:val="none"/>
                      <w:vertAlign w:val="baseline"/>
                      <w:lang w:val="en-US" w:eastAsia="zh-CN"/>
                    </w:rPr>
                    <w:t>来源解析，确定VOCs控制重点。对于控制O</w:t>
                  </w:r>
                  <w:r>
                    <w:rPr>
                      <w:rFonts w:hint="eastAsia" w:ascii="Times New Roman" w:hAnsi="Times New Roman" w:eastAsia="宋体"/>
                      <w:color w:val="auto"/>
                      <w:sz w:val="21"/>
                      <w:szCs w:val="21"/>
                      <w:highlight w:val="none"/>
                      <w:vertAlign w:val="subscript"/>
                      <w:lang w:val="en-US" w:eastAsia="zh-CN"/>
                    </w:rPr>
                    <w:t>3</w:t>
                  </w:r>
                  <w:r>
                    <w:rPr>
                      <w:rFonts w:hint="eastAsia" w:ascii="Times New Roman" w:hAnsi="Times New Roman" w:eastAsia="宋体"/>
                      <w:color w:val="auto"/>
                      <w:sz w:val="21"/>
                      <w:szCs w:val="21"/>
                      <w:highlight w:val="none"/>
                      <w:vertAlign w:val="baseline"/>
                      <w:lang w:val="en-US" w:eastAsia="zh-CN"/>
                    </w:rPr>
                    <w:t>而言，重点控制污染物主要为间/对</w:t>
                  </w:r>
                  <w:r>
                    <w:rPr>
                      <w:rFonts w:hint="eastAsia"/>
                      <w:color w:val="auto"/>
                      <w:sz w:val="21"/>
                      <w:szCs w:val="21"/>
                      <w:highlight w:val="none"/>
                      <w:vertAlign w:val="baseline"/>
                      <w:lang w:val="en-US" w:eastAsia="zh-CN"/>
                    </w:rPr>
                    <w:t>－</w:t>
                  </w:r>
                  <w:r>
                    <w:rPr>
                      <w:rFonts w:hint="eastAsia" w:ascii="Times New Roman" w:hAnsi="Times New Roman" w:eastAsia="宋体"/>
                      <w:color w:val="auto"/>
                      <w:sz w:val="21"/>
                      <w:szCs w:val="21"/>
                      <w:highlight w:val="none"/>
                      <w:vertAlign w:val="baseline"/>
                      <w:lang w:val="en-US" w:eastAsia="zh-CN"/>
                    </w:rPr>
                    <w:t>二甲苯、乙烯、丙烯、甲醛、甲苯、乙醛、1,3-丁二烯、1,2,4-三甲基苯、邻-二甲苯、苯乙烯等；对于控制PM</w:t>
                  </w:r>
                  <w:r>
                    <w:rPr>
                      <w:rFonts w:hint="eastAsia" w:ascii="Times New Roman" w:hAnsi="Times New Roman" w:eastAsia="宋体"/>
                      <w:color w:val="auto"/>
                      <w:sz w:val="21"/>
                      <w:szCs w:val="21"/>
                      <w:highlight w:val="none"/>
                      <w:vertAlign w:val="subscript"/>
                      <w:lang w:val="en-US" w:eastAsia="zh-CN"/>
                    </w:rPr>
                    <w:t>2.5</w:t>
                  </w:r>
                  <w:r>
                    <w:rPr>
                      <w:rFonts w:hint="eastAsia" w:ascii="Times New Roman" w:hAnsi="Times New Roman" w:eastAsia="宋体"/>
                      <w:color w:val="auto"/>
                      <w:sz w:val="21"/>
                      <w:szCs w:val="21"/>
                      <w:highlight w:val="none"/>
                      <w:vertAlign w:val="baseline"/>
                      <w:lang w:val="en-US" w:eastAsia="zh-CN"/>
                    </w:rPr>
                    <w:t>而言，重点控制污染物主要为甲苯、正十二烷、间/对</w:t>
                  </w:r>
                  <w:r>
                    <w:rPr>
                      <w:rFonts w:hint="eastAsia"/>
                      <w:color w:val="auto"/>
                      <w:sz w:val="21"/>
                      <w:szCs w:val="21"/>
                      <w:highlight w:val="none"/>
                      <w:vertAlign w:val="baseline"/>
                      <w:lang w:val="en-US" w:eastAsia="zh-CN"/>
                    </w:rPr>
                    <w:t>－</w:t>
                  </w:r>
                  <w:r>
                    <w:rPr>
                      <w:rFonts w:hint="eastAsia" w:ascii="Times New Roman" w:hAnsi="Times New Roman" w:eastAsia="宋体"/>
                      <w:color w:val="auto"/>
                      <w:sz w:val="21"/>
                      <w:szCs w:val="21"/>
                      <w:highlight w:val="none"/>
                      <w:vertAlign w:val="baseline"/>
                      <w:lang w:val="en-US" w:eastAsia="zh-CN"/>
                    </w:rPr>
                    <w:t>二甲苯、苯乙烯、正十一烷、正癸烷、乙苯、邻</w:t>
                  </w:r>
                  <w:r>
                    <w:rPr>
                      <w:rFonts w:hint="eastAsia"/>
                      <w:color w:val="auto"/>
                      <w:sz w:val="21"/>
                      <w:szCs w:val="21"/>
                      <w:highlight w:val="none"/>
                      <w:vertAlign w:val="baseline"/>
                      <w:lang w:val="en-US" w:eastAsia="zh-CN"/>
                    </w:rPr>
                    <w:t>－</w:t>
                  </w:r>
                  <w:r>
                    <w:rPr>
                      <w:rFonts w:hint="eastAsia" w:ascii="Times New Roman" w:hAnsi="Times New Roman" w:eastAsia="宋体"/>
                      <w:color w:val="auto"/>
                      <w:sz w:val="21"/>
                      <w:szCs w:val="21"/>
                      <w:highlight w:val="none"/>
                      <w:vertAlign w:val="baseline"/>
                      <w:lang w:val="en-US" w:eastAsia="zh-CN"/>
                    </w:rPr>
                    <w:t>二甲苯、1,3-丁二烯、甲基环己烷、正壬烷等。同时，要强化苯乙烯、甲硫醇、甲硫醚等恶臭类VOCs的排放控制。</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项目生产过程中不涉及方案提及活性强的VOCs污染物</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加快其他工业行业综合治理：各盟市应结合本地产业结构特征和VOCs治理重点，因地制宜选择其他工业行业开展VOCs治理。纺织印染行业应重点加强化纤纺丝、热定型、涂层等工序VOCs排放治理；木材加工行业应重点加强干燥、涂胶、热压过程VOCs排放治理。</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项目选用含VOCs低的原料，</w:t>
                  </w:r>
                  <w:r>
                    <w:rPr>
                      <w:rFonts w:hint="eastAsia"/>
                      <w:color w:val="auto"/>
                      <w:sz w:val="21"/>
                      <w:szCs w:val="21"/>
                      <w:highlight w:val="none"/>
                      <w:vertAlign w:val="baseline"/>
                      <w:lang w:val="en-US" w:eastAsia="zh-CN"/>
                    </w:rPr>
                    <w:t>VOCs以无组织形式排放</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加快产业结构调整：各盟市要全面开展涉VOCs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推进区域环境综合整治和企业升级改造。2019年底前基本完成涉VOCs“散乱污”企业排查工作，2020年底前依法依规完成清理整顿工作。</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项目不属于“散乱污”，</w:t>
                  </w:r>
                  <w:r>
                    <w:rPr>
                      <w:rFonts w:hint="eastAsia"/>
                      <w:color w:val="auto"/>
                      <w:sz w:val="21"/>
                      <w:szCs w:val="21"/>
                      <w:highlight w:val="none"/>
                      <w:vertAlign w:val="baseline"/>
                      <w:lang w:val="en-US" w:eastAsia="zh-CN"/>
                    </w:rPr>
                    <w:t>项目</w:t>
                  </w:r>
                  <w:r>
                    <w:rPr>
                      <w:rFonts w:hint="eastAsia" w:ascii="Times New Roman" w:hAnsi="Times New Roman" w:eastAsia="宋体"/>
                      <w:color w:val="auto"/>
                      <w:sz w:val="21"/>
                      <w:szCs w:val="21"/>
                      <w:highlight w:val="none"/>
                      <w:vertAlign w:val="baseline"/>
                      <w:lang w:val="en-US" w:eastAsia="zh-CN"/>
                    </w:rPr>
                    <w:t>还未开工建设，已取得发改委核准批复</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7"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13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r>
                    <w:rPr>
                      <w:rFonts w:hint="eastAsia" w:ascii="Times New Roman" w:hAnsi="Times New Roman" w:eastAsia="宋体"/>
                      <w:color w:val="auto"/>
                      <w:sz w:val="21"/>
                      <w:szCs w:val="21"/>
                      <w:highlight w:val="none"/>
                      <w:vertAlign w:val="baseline"/>
                      <w:lang w:val="en-US" w:eastAsia="zh-CN"/>
                    </w:rPr>
                    <w:t>不在重点地区，不属于重点行业，且位于园区内，并进行环境影响评价，</w:t>
                  </w:r>
                  <w:r>
                    <w:rPr>
                      <w:rFonts w:hint="eastAsia"/>
                      <w:color w:val="auto"/>
                      <w:sz w:val="21"/>
                      <w:szCs w:val="21"/>
                      <w:highlight w:val="none"/>
                      <w:vertAlign w:val="baseline"/>
                      <w:lang w:val="en-US" w:eastAsia="zh-CN"/>
                    </w:rPr>
                    <w:t>项目</w:t>
                  </w:r>
                  <w:r>
                    <w:rPr>
                      <w:rFonts w:hint="eastAsia" w:ascii="Times New Roman" w:hAnsi="Times New Roman" w:eastAsia="宋体"/>
                      <w:color w:val="auto"/>
                      <w:sz w:val="21"/>
                      <w:szCs w:val="21"/>
                      <w:highlight w:val="none"/>
                      <w:vertAlign w:val="baseline"/>
                      <w:lang w:val="en-US" w:eastAsia="zh-CN"/>
                    </w:rPr>
                    <w:t>排放VOCs总量未达到总量核准要求，不需要申请总量，项目在投产前要求建设单位申领排污许可证，</w:t>
                  </w:r>
                  <w:r>
                    <w:rPr>
                      <w:rFonts w:hint="eastAsia"/>
                      <w:color w:val="auto"/>
                      <w:sz w:val="21"/>
                      <w:szCs w:val="21"/>
                      <w:highlight w:val="none"/>
                      <w:vertAlign w:val="baseline"/>
                      <w:lang w:val="en-US" w:eastAsia="zh-CN"/>
                    </w:rPr>
                    <w:t>项目</w:t>
                  </w:r>
                  <w:r>
                    <w:rPr>
                      <w:rFonts w:hint="eastAsia" w:ascii="Times New Roman" w:hAnsi="Times New Roman" w:eastAsia="宋体"/>
                      <w:color w:val="auto"/>
                      <w:sz w:val="21"/>
                      <w:szCs w:val="21"/>
                      <w:highlight w:val="none"/>
                      <w:vertAlign w:val="baseline"/>
                      <w:lang w:val="en-US" w:eastAsia="zh-CN"/>
                    </w:rPr>
                    <w:t>选用含VOCs低的原料，产生的挥发性有机物</w:t>
                  </w:r>
                  <w:r>
                    <w:rPr>
                      <w:rFonts w:hint="eastAsia"/>
                      <w:color w:val="auto"/>
                      <w:sz w:val="21"/>
                      <w:szCs w:val="21"/>
                      <w:highlight w:val="none"/>
                      <w:vertAlign w:val="baseline"/>
                      <w:lang w:val="en-US" w:eastAsia="zh-CN"/>
                    </w:rPr>
                    <w:t>以无组织形式排放。</w:t>
                  </w:r>
                </w:p>
              </w:tc>
              <w:tc>
                <w:tcPr>
                  <w:tcW w:w="520"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bidi w:val="0"/>
              <w:spacing w:line="360" w:lineRule="auto"/>
              <w:textAlignment w:val="auto"/>
              <w:rPr>
                <w:rFonts w:hint="eastAsia" w:ascii="Times New Roman" w:hAnsi="Times New Roman" w:eastAsia="宋体"/>
                <w:color w:val="auto"/>
                <w:sz w:val="24"/>
                <w:highlight w:val="none"/>
                <w:lang w:val="en-US" w:eastAsia="zh-CN"/>
              </w:rPr>
            </w:pPr>
          </w:p>
          <w:p>
            <w:pPr>
              <w:widowControl/>
              <w:spacing w:line="360" w:lineRule="auto"/>
              <w:rPr>
                <w:rFonts w:hint="default" w:ascii="宋体" w:hAnsi="宋体" w:eastAsia="宋体" w:cs="宋体"/>
                <w:color w:val="auto"/>
                <w:kern w:val="2"/>
                <w:sz w:val="24"/>
                <w:szCs w:val="24"/>
                <w:highlight w:val="none"/>
                <w:lang w:val="en-US" w:eastAsia="zh-CN" w:bidi="ar-SA"/>
              </w:rPr>
            </w:pPr>
          </w:p>
        </w:tc>
      </w:tr>
    </w:tbl>
    <w:p>
      <w:pPr>
        <w:spacing w:line="360" w:lineRule="auto"/>
        <w:outlineLvl w:val="0"/>
        <w:rPr>
          <w:rFonts w:hint="default" w:ascii="Times New Roman" w:hAnsi="Times New Roman" w:eastAsia="宋体" w:cs="Times New Roman"/>
          <w:sz w:val="30"/>
          <w:highlight w:val="none"/>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6"/>
        <w:spacing w:after="12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433" w:type="dxa"/>
            <w:vAlign w:val="center"/>
          </w:tcPr>
          <w:p>
            <w:pPr>
              <w:pStyle w:val="26"/>
              <w:spacing w:after="1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1"/>
                <w:highlight w:val="none"/>
              </w:rPr>
              <w:t>建设内容</w:t>
            </w:r>
          </w:p>
        </w:tc>
        <w:tc>
          <w:tcPr>
            <w:tcW w:w="8089" w:type="dxa"/>
          </w:tcPr>
          <w:p>
            <w:pPr>
              <w:pStyle w:val="66"/>
              <w:keepNext w:val="0"/>
              <w:keepLines w:val="0"/>
              <w:pageBreakBefore w:val="0"/>
              <w:kinsoku/>
              <w:wordWrap/>
              <w:overflowPunct/>
              <w:topLinePunct w:val="0"/>
              <w:bidi w:val="0"/>
              <w:adjustRightInd w:val="0"/>
              <w:snapToGrid w:val="0"/>
              <w:ind w:firstLine="482"/>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项目建设背景</w:t>
            </w:r>
          </w:p>
          <w:p>
            <w:pPr>
              <w:pStyle w:val="66"/>
              <w:keepNext w:val="0"/>
              <w:keepLines w:val="0"/>
              <w:pageBreakBefore w:val="0"/>
              <w:kinsoku/>
              <w:wordWrap/>
              <w:overflowPunct/>
              <w:topLinePunct w:val="0"/>
              <w:bidi w:val="0"/>
              <w:adjustRightInd w:val="0"/>
              <w:snapToGrid w:val="0"/>
              <w:ind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内蒙古翰鑫金属制造有限公司</w:t>
            </w:r>
            <w:r>
              <w:rPr>
                <w:rFonts w:hint="default" w:ascii="Times New Roman" w:hAnsi="Times New Roman" w:cs="Times New Roman"/>
                <w:color w:val="auto"/>
                <w:highlight w:val="none"/>
                <w:lang w:val="en-US" w:eastAsia="zh-CN"/>
              </w:rPr>
              <w:t>成立于2024年1月9日，公司位于内蒙古自治区锡林郭勒盟太仆寺旗宝昌镇市场中路与腾飞路交叉口东北方向140米3号</w:t>
            </w:r>
            <w:r>
              <w:rPr>
                <w:rFonts w:hint="eastAsia" w:cs="Times New Roman"/>
                <w:color w:val="auto"/>
                <w:highlight w:val="none"/>
                <w:lang w:val="en-US" w:eastAsia="zh-CN"/>
              </w:rPr>
              <w:t>。</w:t>
            </w:r>
            <w:r>
              <w:rPr>
                <w:rFonts w:hint="default" w:ascii="Times New Roman" w:hAnsi="Times New Roman" w:eastAsia="宋体" w:cs="Times New Roman"/>
                <w:spacing w:val="-2"/>
                <w:sz w:val="24"/>
                <w:szCs w:val="24"/>
                <w:highlight w:val="none"/>
                <w:lang w:val="en-US" w:eastAsia="zh-CN"/>
              </w:rPr>
              <w:t>项目依托内蒙古璟程电缆有限公司</w:t>
            </w:r>
            <w:r>
              <w:rPr>
                <w:rFonts w:hint="eastAsia" w:ascii="Times New Roman" w:hAnsi="Times New Roman" w:eastAsia="宋体" w:cs="Times New Roman"/>
                <w:spacing w:val="-2"/>
                <w:sz w:val="24"/>
                <w:szCs w:val="24"/>
                <w:highlight w:val="none"/>
                <w:lang w:val="en-US" w:eastAsia="zh-CN"/>
              </w:rPr>
              <w:t>现有厂房进行生产</w:t>
            </w:r>
            <w:r>
              <w:rPr>
                <w:rFonts w:hint="default" w:ascii="Times New Roman" w:hAnsi="Times New Roman" w:eastAsia="宋体" w:cs="Times New Roman"/>
                <w:spacing w:val="-2"/>
                <w:sz w:val="24"/>
                <w:szCs w:val="24"/>
                <w:highlight w:val="none"/>
                <w:lang w:val="en-US" w:eastAsia="zh-CN"/>
              </w:rPr>
              <w:t>，为内蒙古璟程电缆有限公司供应商。</w:t>
            </w:r>
            <w:r>
              <w:rPr>
                <w:rFonts w:hint="default" w:ascii="Times New Roman" w:hAnsi="Times New Roman" w:eastAsia="宋体" w:cs="Times New Roman"/>
                <w:sz w:val="24"/>
                <w:szCs w:val="24"/>
                <w:highlight w:val="none"/>
              </w:rPr>
              <w:t>项目不新增占地</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不新建厂房。</w:t>
            </w:r>
            <w:r>
              <w:rPr>
                <w:rFonts w:hint="default" w:ascii="Times New Roman" w:hAnsi="Times New Roman" w:cs="Times New Roman"/>
                <w:color w:val="auto"/>
                <w:highlight w:val="none"/>
                <w:lang w:val="en-US" w:eastAsia="zh-CN"/>
              </w:rPr>
              <w:t>主要从事金属电缆拉丝生产</w:t>
            </w:r>
            <w:r>
              <w:rPr>
                <w:rFonts w:hint="eastAsia" w:ascii="Times New Roman" w:hAnsi="Times New Roman" w:cs="Times New Roman"/>
                <w:color w:val="auto"/>
                <w:highlight w:val="none"/>
                <w:lang w:val="en-US" w:eastAsia="zh-CN"/>
              </w:rPr>
              <w:t>，年产电缆导线</w:t>
            </w:r>
            <w:r>
              <w:rPr>
                <w:rFonts w:hint="eastAsia" w:cs="Times New Roman"/>
                <w:color w:val="auto"/>
                <w:highlight w:val="none"/>
                <w:lang w:val="en-US" w:eastAsia="zh-CN"/>
              </w:rPr>
              <w:t>3000</w:t>
            </w:r>
            <w:r>
              <w:rPr>
                <w:rFonts w:hint="eastAsia" w:ascii="Times New Roman" w:hAnsi="Times New Roman" w:cs="Times New Roman"/>
                <w:color w:val="auto"/>
                <w:highlight w:val="none"/>
                <w:lang w:val="en-US" w:eastAsia="zh-CN"/>
              </w:rPr>
              <w:t>t/a</w:t>
            </w:r>
            <w:r>
              <w:rPr>
                <w:rFonts w:hint="default" w:ascii="Times New Roman" w:hAnsi="Times New Roman" w:cs="Times New Roman"/>
                <w:color w:val="auto"/>
                <w:highlight w:val="none"/>
                <w:lang w:val="en-US" w:eastAsia="zh-CN"/>
              </w:rPr>
              <w:t>。</w:t>
            </w:r>
          </w:p>
          <w:p>
            <w:pPr>
              <w:pStyle w:val="66"/>
              <w:keepNext w:val="0"/>
              <w:keepLines w:val="0"/>
              <w:pageBreakBefore w:val="0"/>
              <w:kinsoku/>
              <w:wordWrap/>
              <w:overflowPunct/>
              <w:topLinePunct w:val="0"/>
              <w:bidi w:val="0"/>
              <w:adjustRightInd w:val="0"/>
              <w:snapToGrid w:val="0"/>
              <w:ind w:firstLine="482"/>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、项目基本情况</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color w:val="auto"/>
                <w:kern w:val="2"/>
                <w:highlight w:val="none"/>
                <w:lang w:eastAsia="zh-CN"/>
              </w:rPr>
            </w:pPr>
            <w:r>
              <w:rPr>
                <w:rFonts w:hint="default" w:ascii="Times New Roman" w:hAnsi="Times New Roman" w:eastAsia="宋体" w:cs="Times New Roman"/>
                <w:color w:val="auto"/>
                <w:highlight w:val="none"/>
              </w:rPr>
              <w:t>（1）项目名称：</w:t>
            </w:r>
            <w:r>
              <w:rPr>
                <w:rFonts w:hint="eastAsia" w:cs="Times New Roman"/>
                <w:color w:val="auto"/>
                <w:kern w:val="2"/>
                <w:highlight w:val="none"/>
                <w:lang w:eastAsia="zh-CN"/>
              </w:rPr>
              <w:t>内蒙古翰鑫金属制造有限公司金属拉丝生产项目</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（2）建设性质：新建</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（3）建设单位：</w:t>
            </w:r>
            <w:r>
              <w:rPr>
                <w:rFonts w:hint="eastAsia" w:cs="Times New Roman"/>
                <w:color w:val="auto"/>
                <w:highlight w:val="none"/>
                <w:lang w:eastAsia="zh-CN"/>
              </w:rPr>
              <w:t>内蒙古翰鑫金属制造有限公司</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建设规模和建设内容：</w:t>
            </w:r>
            <w:r>
              <w:rPr>
                <w:rFonts w:hint="eastAsia" w:cs="Times New Roman"/>
                <w:spacing w:val="-9"/>
                <w:sz w:val="24"/>
                <w:szCs w:val="24"/>
                <w:highlight w:val="none"/>
                <w:lang w:eastAsia="zh-CN"/>
              </w:rPr>
              <w:t>项目</w:t>
            </w:r>
            <w:r>
              <w:rPr>
                <w:rFonts w:hint="eastAsia" w:cs="Times New Roman"/>
                <w:spacing w:val="-9"/>
                <w:sz w:val="24"/>
                <w:szCs w:val="24"/>
                <w:highlight w:val="none"/>
                <w:lang w:val="en-US" w:eastAsia="zh-CN"/>
              </w:rPr>
              <w:t>购置60盘框绞机2台，54盘框绞机1台，拉丝机4套，并丝机1台</w:t>
            </w:r>
            <w:r>
              <w:rPr>
                <w:rFonts w:hint="eastAsia" w:cs="Times New Roman"/>
                <w:color w:val="auto"/>
                <w:sz w:val="24"/>
                <w:szCs w:val="24"/>
                <w:highlight w:val="none"/>
                <w:lang w:val="en-US" w:eastAsia="zh-CN"/>
              </w:rPr>
              <w:t>；年产电缆导体3000t/a。</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rPr>
              <w:t>（</w:t>
            </w:r>
            <w:r>
              <w:rPr>
                <w:rFonts w:hint="default" w:ascii="Times New Roman" w:hAnsi="Times New Roman" w:eastAsia="宋体" w:cs="Times New Roman"/>
                <w:bCs/>
                <w:color w:val="auto"/>
                <w:highlight w:val="none"/>
                <w:lang w:val="en-US" w:eastAsia="zh-CN"/>
              </w:rPr>
              <w:t>5</w:t>
            </w:r>
            <w:r>
              <w:rPr>
                <w:rFonts w:hint="default" w:ascii="Times New Roman" w:hAnsi="Times New Roman" w:eastAsia="宋体" w:cs="Times New Roman"/>
                <w:bCs/>
                <w:color w:val="auto"/>
                <w:highlight w:val="none"/>
              </w:rPr>
              <w:t>）建设地点：</w:t>
            </w:r>
            <w:r>
              <w:rPr>
                <w:rFonts w:hint="eastAsia" w:cs="Times New Roman"/>
                <w:bCs/>
                <w:color w:val="auto"/>
                <w:highlight w:val="none"/>
                <w:lang w:val="en-US" w:eastAsia="zh-CN"/>
              </w:rPr>
              <w:t>锡林郭勒盟太仆寺旗宝昌镇市场中路与腾飞路交叉口东北方向140米3号</w:t>
            </w:r>
            <w:r>
              <w:rPr>
                <w:rFonts w:hint="default" w:ascii="Times New Roman" w:hAnsi="Times New Roman" w:eastAsia="宋体" w:cs="Times New Roman"/>
                <w:bCs/>
                <w:color w:val="auto"/>
                <w:highlight w:val="none"/>
              </w:rPr>
              <w:t>，项目中心点坐标为：经度：115°17′30.3</w:t>
            </w:r>
            <w:r>
              <w:rPr>
                <w:rFonts w:hint="eastAsia" w:cs="Times New Roman"/>
                <w:bCs/>
                <w:color w:val="auto"/>
                <w:highlight w:val="none"/>
                <w:lang w:val="en-US" w:eastAsia="zh-CN"/>
              </w:rPr>
              <w:t>00</w:t>
            </w:r>
            <w:r>
              <w:rPr>
                <w:rFonts w:hint="default" w:ascii="Times New Roman" w:hAnsi="Times New Roman" w:eastAsia="宋体" w:cs="Times New Roman"/>
                <w:bCs/>
                <w:color w:val="auto"/>
                <w:highlight w:val="none"/>
              </w:rPr>
              <w:t>，纬度：″41°50′34.78</w:t>
            </w:r>
            <w:r>
              <w:rPr>
                <w:rFonts w:hint="eastAsia" w:cs="Times New Roman"/>
                <w:bCs/>
                <w:color w:val="auto"/>
                <w:highlight w:val="none"/>
                <w:lang w:val="en-US" w:eastAsia="zh-CN"/>
              </w:rPr>
              <w:t>0</w:t>
            </w:r>
            <w:r>
              <w:rPr>
                <w:rFonts w:hint="default" w:ascii="Times New Roman" w:hAnsi="Times New Roman" w:eastAsia="宋体" w:cs="Times New Roman"/>
                <w:bCs/>
                <w:color w:val="auto"/>
                <w:highlight w:val="none"/>
              </w:rPr>
              <w:t>″。</w:t>
            </w:r>
            <w:r>
              <w:rPr>
                <w:rFonts w:hint="eastAsia" w:cs="Times New Roman"/>
                <w:bCs/>
                <w:color w:val="auto"/>
                <w:highlight w:val="none"/>
                <w:lang w:val="en-US" w:eastAsia="zh-CN"/>
              </w:rPr>
              <w:t>项目四周均为工业用地及厂房。</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）劳动定员及工作制度：项目劳动定员</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名，年工作3</w:t>
            </w:r>
            <w:r>
              <w:rPr>
                <w:rFonts w:hint="eastAsia" w:cs="Times New Roman"/>
                <w:color w:val="auto"/>
                <w:sz w:val="24"/>
                <w:highlight w:val="none"/>
                <w:lang w:val="en-US" w:eastAsia="zh-CN"/>
              </w:rPr>
              <w:t>40d</w:t>
            </w:r>
            <w:r>
              <w:rPr>
                <w:rFonts w:hint="default" w:ascii="Times New Roman" w:hAnsi="Times New Roman" w:eastAsia="宋体" w:cs="Times New Roman"/>
                <w:color w:val="auto"/>
                <w:sz w:val="24"/>
                <w:highlight w:val="none"/>
              </w:rPr>
              <w:t>，每天工作8</w:t>
            </w:r>
            <w:r>
              <w:rPr>
                <w:rFonts w:hint="eastAsia" w:cs="Times New Roman"/>
                <w:color w:val="auto"/>
                <w:sz w:val="24"/>
                <w:highlight w:val="none"/>
                <w:lang w:val="en-US" w:eastAsia="zh-CN"/>
              </w:rPr>
              <w:t>h</w:t>
            </w:r>
            <w:r>
              <w:rPr>
                <w:rFonts w:hint="default" w:ascii="Times New Roman" w:hAnsi="Times New Roman" w:eastAsia="宋体" w:cs="Times New Roman"/>
                <w:color w:val="auto"/>
                <w:sz w:val="24"/>
                <w:highlight w:val="none"/>
              </w:rPr>
              <w:t>。</w:t>
            </w:r>
          </w:p>
          <w:p>
            <w:pPr>
              <w:pStyle w:val="66"/>
              <w:keepNext w:val="0"/>
              <w:keepLines w:val="0"/>
              <w:pageBreakBefore w:val="0"/>
              <w:kinsoku/>
              <w:wordWrap/>
              <w:overflowPunct/>
              <w:topLinePunct w:val="0"/>
              <w:bidi w:val="0"/>
              <w:adjustRightInd w:val="0"/>
              <w:snapToGrid w:val="0"/>
              <w:ind w:firstLine="482"/>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3、工程建设内容</w:t>
            </w:r>
          </w:p>
          <w:p>
            <w:pPr>
              <w:pStyle w:val="66"/>
              <w:keepNext w:val="0"/>
              <w:keepLines w:val="0"/>
              <w:pageBreakBefore w:val="0"/>
              <w:kinsoku/>
              <w:wordWrap/>
              <w:overflowPunct/>
              <w:topLinePunct w:val="0"/>
              <w:bidi w:val="0"/>
              <w:adjustRightInd w:val="0"/>
              <w:snapToGrid w:val="0"/>
              <w:ind w:firstLine="480"/>
              <w:textAlignment w:val="auto"/>
              <w:rPr>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highlight w:val="none"/>
              </w:rPr>
              <w:t>建设内容主要为</w:t>
            </w:r>
            <w:r>
              <w:rPr>
                <w:rFonts w:ascii="宋体" w:hAnsi="宋体" w:eastAsia="宋体" w:cs="宋体"/>
                <w:spacing w:val="-1"/>
                <w:sz w:val="24"/>
                <w:szCs w:val="24"/>
              </w:rPr>
              <w:t>裸电线车间</w:t>
            </w:r>
            <w:r>
              <w:rPr>
                <w:rFonts w:hint="default" w:ascii="Times New Roman" w:hAnsi="Times New Roman" w:eastAsia="宋体" w:cs="Times New Roman"/>
                <w:color w:val="auto"/>
                <w:highlight w:val="none"/>
              </w:rPr>
              <w:t>及</w:t>
            </w:r>
            <w:r>
              <w:rPr>
                <w:rFonts w:hint="eastAsia" w:cs="Times New Roman"/>
                <w:color w:val="auto"/>
                <w:highlight w:val="none"/>
                <w:lang w:eastAsia="zh-CN"/>
              </w:rPr>
              <w:t>储运工程</w:t>
            </w:r>
            <w:r>
              <w:rPr>
                <w:rFonts w:hint="default" w:ascii="Times New Roman" w:hAnsi="Times New Roman" w:eastAsia="宋体" w:cs="Times New Roman"/>
                <w:color w:val="auto"/>
                <w:highlight w:val="none"/>
              </w:rPr>
              <w:t>组成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建设</w:t>
            </w:r>
            <w:r>
              <w:rPr>
                <w:rFonts w:hint="default" w:ascii="Times New Roman" w:hAnsi="Times New Roman" w:eastAsia="宋体" w:cs="Times New Roman"/>
                <w:color w:val="auto"/>
                <w:szCs w:val="20"/>
                <w:highlight w:val="none"/>
              </w:rPr>
              <w:t>项目具体组成详表2-</w:t>
            </w:r>
            <w:r>
              <w:rPr>
                <w:rFonts w:hint="eastAsia" w:cs="Times New Roman"/>
                <w:color w:val="auto"/>
                <w:szCs w:val="20"/>
                <w:highlight w:val="none"/>
                <w:lang w:val="en-US" w:eastAsia="zh-CN"/>
              </w:rPr>
              <w:t>1</w:t>
            </w:r>
            <w:r>
              <w:rPr>
                <w:rFonts w:hint="default" w:ascii="Times New Roman" w:hAnsi="Times New Roman" w:eastAsia="宋体" w:cs="Times New Roman"/>
                <w:color w:val="auto"/>
                <w:szCs w:val="20"/>
                <w:highlight w:val="none"/>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 xml:space="preserve">1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项目组成一览表</w:t>
            </w:r>
          </w:p>
          <w:tbl>
            <w:tblPr>
              <w:tblStyle w:val="124"/>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525"/>
              <w:gridCol w:w="757"/>
              <w:gridCol w:w="5103"/>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2" w:type="pct"/>
                  <w:gridSpan w:val="3"/>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建设内容</w:t>
                  </w:r>
                </w:p>
              </w:tc>
              <w:tc>
                <w:tcPr>
                  <w:tcW w:w="3295"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主要工程建设内容及规模。</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64"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主体工程</w:t>
                  </w:r>
                </w:p>
              </w:tc>
              <w:tc>
                <w:tcPr>
                  <w:tcW w:w="828" w:type="pct"/>
                  <w:gridSpan w:val="2"/>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电缆生产区</w:t>
                  </w:r>
                </w:p>
              </w:tc>
              <w:tc>
                <w:tcPr>
                  <w:tcW w:w="3295" w:type="pct"/>
                  <w:tcBorders>
                    <w:tl2br w:val="nil"/>
                    <w:tr2bl w:val="nil"/>
                  </w:tcBorders>
                  <w:vAlign w:val="center"/>
                </w:tcPr>
                <w:p>
                  <w:pPr>
                    <w:keepNext w:val="0"/>
                    <w:keepLines w:val="0"/>
                    <w:pageBreakBefore w:val="0"/>
                    <w:widowControl/>
                    <w:kinsoku/>
                    <w:wordWrap/>
                    <w:topLinePunct w:val="0"/>
                    <w:bidi w:val="0"/>
                    <w:snapToGrid w:val="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包括</w:t>
                  </w:r>
                  <w:r>
                    <w:rPr>
                      <w:rFonts w:hint="default" w:ascii="Times New Roman" w:hAnsi="Times New Roman" w:eastAsia="宋体" w:cs="Times New Roman"/>
                      <w:color w:val="auto"/>
                      <w:highlight w:val="none"/>
                      <w:lang w:val="en-US" w:eastAsia="zh-CN"/>
                    </w:rPr>
                    <w:t>60盘框绞机</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台，54盘框绞机1台，拉丝机</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套，并丝机</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台</w:t>
                  </w:r>
                  <w:r>
                    <w:rPr>
                      <w:rFonts w:hint="default" w:ascii="Times New Roman" w:hAnsi="Times New Roman" w:eastAsia="宋体" w:cs="Times New Roman"/>
                      <w:color w:val="auto"/>
                      <w:highlight w:val="none"/>
                    </w:rPr>
                    <w:t>等。</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pct"/>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办公用房</w:t>
                  </w:r>
                </w:p>
              </w:tc>
              <w:tc>
                <w:tcPr>
                  <w:tcW w:w="828" w:type="pct"/>
                  <w:gridSpan w:val="2"/>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办公区</w:t>
                  </w:r>
                </w:p>
              </w:tc>
              <w:tc>
                <w:tcPr>
                  <w:tcW w:w="3295" w:type="pct"/>
                  <w:tcBorders>
                    <w:tl2br w:val="nil"/>
                    <w:tr2bl w:val="nil"/>
                  </w:tcBorders>
                  <w:shd w:val="clear" w:color="auto" w:fill="auto"/>
                  <w:vAlign w:val="center"/>
                </w:tcPr>
                <w:p>
                  <w:pPr>
                    <w:keepNext w:val="0"/>
                    <w:keepLines w:val="0"/>
                    <w:pageBreakBefore w:val="0"/>
                    <w:widowControl/>
                    <w:kinsoku/>
                    <w:wordWrap/>
                    <w:topLinePunct w:val="0"/>
                    <w:bidi w:val="0"/>
                    <w:snapToGrid w:val="0"/>
                    <w:jc w:val="both"/>
                    <w:textAlignment w:val="auto"/>
                    <w:rPr>
                      <w:rFonts w:hint="default" w:ascii="Times New Roman" w:hAnsi="Times New Roman" w:eastAsia="宋体" w:cs="Times New Roman"/>
                      <w:color w:val="auto"/>
                      <w:highlight w:val="none"/>
                      <w:lang w:val="en-US"/>
                    </w:rPr>
                  </w:pPr>
                  <w:r>
                    <w:rPr>
                      <w:rFonts w:hint="eastAsia" w:cs="Times New Roman"/>
                      <w:color w:val="auto"/>
                      <w:kern w:val="0"/>
                      <w:sz w:val="21"/>
                      <w:szCs w:val="21"/>
                      <w:highlight w:val="none"/>
                      <w:lang w:val="en-US" w:eastAsia="zh-CN" w:bidi="ar-SA"/>
                    </w:rPr>
                    <w:t>包括办公室</w:t>
                  </w:r>
                  <w:r>
                    <w:rPr>
                      <w:rFonts w:hint="eastAsia" w:cs="Times New Roman"/>
                      <w:color w:val="auto"/>
                      <w:highlight w:val="none"/>
                      <w:lang w:val="en-US" w:eastAsia="zh-CN"/>
                    </w:rPr>
                    <w:t>50m</w:t>
                  </w:r>
                  <w:r>
                    <w:rPr>
                      <w:rFonts w:hint="eastAsia" w:cs="Times New Roman"/>
                      <w:color w:val="auto"/>
                      <w:highlight w:val="none"/>
                      <w:vertAlign w:val="superscript"/>
                      <w:lang w:val="en-US" w:eastAsia="zh-CN"/>
                    </w:rPr>
                    <w:t>2</w:t>
                  </w:r>
                  <w:r>
                    <w:rPr>
                      <w:rFonts w:hint="eastAsia" w:cs="Times New Roman"/>
                      <w:color w:val="auto"/>
                      <w:kern w:val="0"/>
                      <w:sz w:val="21"/>
                      <w:szCs w:val="21"/>
                      <w:highlight w:val="none"/>
                      <w:lang w:val="en-US" w:eastAsia="zh-CN" w:bidi="ar-SA"/>
                    </w:rPr>
                    <w:t>、财务室</w:t>
                  </w:r>
                  <w:r>
                    <w:rPr>
                      <w:rFonts w:hint="eastAsia" w:cs="Times New Roman"/>
                      <w:color w:val="auto"/>
                      <w:highlight w:val="none"/>
                      <w:lang w:val="en-US" w:eastAsia="zh-CN"/>
                    </w:rPr>
                    <w:t>15m</w:t>
                  </w:r>
                  <w:r>
                    <w:rPr>
                      <w:rFonts w:hint="eastAsia" w:cs="Times New Roman"/>
                      <w:color w:val="auto"/>
                      <w:highlight w:val="none"/>
                      <w:vertAlign w:val="superscript"/>
                      <w:lang w:val="en-US" w:eastAsia="zh-CN"/>
                    </w:rPr>
                    <w:t>2</w:t>
                  </w:r>
                  <w:r>
                    <w:rPr>
                      <w:rFonts w:hint="eastAsia" w:cs="Times New Roman"/>
                      <w:color w:val="auto"/>
                      <w:kern w:val="0"/>
                      <w:sz w:val="21"/>
                      <w:szCs w:val="21"/>
                      <w:highlight w:val="none"/>
                      <w:lang w:val="en-US" w:eastAsia="zh-CN" w:bidi="ar-SA"/>
                    </w:rPr>
                    <w:t>，用于日常办公。</w:t>
                  </w:r>
                </w:p>
              </w:tc>
              <w:tc>
                <w:tcPr>
                  <w:tcW w:w="411" w:type="pct"/>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eastAsia" w:cs="Times New Roman"/>
                      <w:color w:val="auto"/>
                      <w:highlight w:val="none"/>
                      <w:lang w:eastAsia="zh-CN"/>
                    </w:rPr>
                  </w:pPr>
                  <w:r>
                    <w:rPr>
                      <w:rFonts w:hint="eastAsia" w:cs="Times New Roman"/>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64" w:type="pct"/>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default" w:cs="Times New Roman"/>
                      <w:color w:val="auto"/>
                      <w:kern w:val="2"/>
                      <w:highlight w:val="none"/>
                      <w:lang w:val="en-US" w:eastAsia="zh-CN"/>
                    </w:rPr>
                  </w:pPr>
                  <w:r>
                    <w:rPr>
                      <w:rFonts w:hint="eastAsia" w:cs="Times New Roman"/>
                      <w:color w:val="auto"/>
                      <w:kern w:val="2"/>
                      <w:highlight w:val="none"/>
                      <w:lang w:val="en-US" w:eastAsia="zh-CN"/>
                    </w:rPr>
                    <w:t>辅助工程</w:t>
                  </w:r>
                </w:p>
              </w:tc>
              <w:tc>
                <w:tcPr>
                  <w:tcW w:w="828" w:type="pct"/>
                  <w:gridSpan w:val="2"/>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控制室、测试室、电房</w:t>
                  </w:r>
                </w:p>
              </w:tc>
              <w:tc>
                <w:tcPr>
                  <w:tcW w:w="3295" w:type="pct"/>
                  <w:tcBorders>
                    <w:tl2br w:val="nil"/>
                    <w:tr2bl w:val="nil"/>
                  </w:tcBorders>
                  <w:shd w:val="clear" w:color="auto" w:fill="auto"/>
                  <w:vAlign w:val="center"/>
                </w:tcPr>
                <w:p>
                  <w:pPr>
                    <w:keepNext w:val="0"/>
                    <w:keepLines w:val="0"/>
                    <w:pageBreakBefore w:val="0"/>
                    <w:widowControl/>
                    <w:kinsoku/>
                    <w:wordWrap/>
                    <w:topLinePunct w:val="0"/>
                    <w:bidi w:val="0"/>
                    <w:snapToGrid w:val="0"/>
                    <w:jc w:val="both"/>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控制室</w:t>
                  </w:r>
                  <w:r>
                    <w:rPr>
                      <w:rFonts w:hint="eastAsia" w:cs="Times New Roman"/>
                      <w:color w:val="auto"/>
                      <w:highlight w:val="none"/>
                      <w:lang w:val="en-US" w:eastAsia="zh-CN"/>
                    </w:rPr>
                    <w:t>30m</w:t>
                  </w:r>
                  <w:r>
                    <w:rPr>
                      <w:rFonts w:hint="eastAsia" w:cs="Times New Roman"/>
                      <w:color w:val="auto"/>
                      <w:highlight w:val="none"/>
                      <w:vertAlign w:val="superscript"/>
                      <w:lang w:val="en-US" w:eastAsia="zh-CN"/>
                    </w:rPr>
                    <w:t>2</w:t>
                  </w:r>
                  <w:r>
                    <w:rPr>
                      <w:rFonts w:hint="eastAsia" w:cs="Times New Roman"/>
                      <w:color w:val="auto"/>
                      <w:kern w:val="0"/>
                      <w:sz w:val="21"/>
                      <w:szCs w:val="21"/>
                      <w:highlight w:val="none"/>
                      <w:lang w:val="en-US" w:eastAsia="zh-CN" w:bidi="ar-SA"/>
                    </w:rPr>
                    <w:t>、测试室15</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2</w:t>
                  </w:r>
                  <w:r>
                    <w:rPr>
                      <w:rFonts w:hint="eastAsia" w:cs="Times New Roman"/>
                      <w:color w:val="auto"/>
                      <w:kern w:val="0"/>
                      <w:sz w:val="21"/>
                      <w:szCs w:val="21"/>
                      <w:highlight w:val="none"/>
                      <w:lang w:val="en-US" w:eastAsia="zh-CN" w:bidi="ar-SA"/>
                    </w:rPr>
                    <w:t>、电房</w:t>
                  </w:r>
                  <w:r>
                    <w:rPr>
                      <w:rFonts w:hint="eastAsia" w:cs="Times New Roman"/>
                      <w:color w:val="auto"/>
                      <w:highlight w:val="none"/>
                      <w:lang w:val="en-US" w:eastAsia="zh-CN"/>
                    </w:rPr>
                    <w:t>30m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，用于辅助生产。</w:t>
                  </w:r>
                </w:p>
              </w:tc>
              <w:tc>
                <w:tcPr>
                  <w:tcW w:w="411" w:type="pct"/>
                  <w:tcBorders>
                    <w:tl2br w:val="nil"/>
                    <w:tr2bl w:val="nil"/>
                  </w:tcBorders>
                  <w:shd w:val="clear" w:color="auto" w:fill="auto"/>
                  <w:vAlign w:val="center"/>
                </w:tcPr>
                <w:p>
                  <w:pPr>
                    <w:pStyle w:val="67"/>
                    <w:keepNext w:val="0"/>
                    <w:keepLines w:val="0"/>
                    <w:pageBreakBefore w:val="0"/>
                    <w:kinsoku/>
                    <w:wordWrap/>
                    <w:topLinePunct w:val="0"/>
                    <w:bidi w:val="0"/>
                    <w:snapToGrid w:val="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restar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r>
                    <w:rPr>
                      <w:rFonts w:hint="eastAsia" w:cs="Times New Roman"/>
                      <w:color w:val="auto"/>
                      <w:highlight w:val="none"/>
                      <w:lang w:eastAsia="zh-CN"/>
                    </w:rPr>
                    <w:t>储运</w:t>
                  </w:r>
                  <w:r>
                    <w:rPr>
                      <w:rFonts w:hint="default" w:ascii="Times New Roman" w:hAnsi="Times New Roman" w:eastAsia="宋体" w:cs="Times New Roman"/>
                      <w:color w:val="auto"/>
                      <w:highlight w:val="none"/>
                    </w:rPr>
                    <w:t>工程</w:t>
                  </w:r>
                </w:p>
              </w:tc>
              <w:tc>
                <w:tcPr>
                  <w:tcW w:w="828" w:type="pct"/>
                  <w:gridSpan w:val="2"/>
                  <w:tcBorders>
                    <w:tl2br w:val="nil"/>
                    <w:tr2bl w:val="nil"/>
                  </w:tcBorders>
                  <w:vAlign w:val="center"/>
                </w:tcPr>
                <w:p>
                  <w:pPr>
                    <w:pStyle w:val="76"/>
                    <w:keepNext w:val="0"/>
                    <w:keepLines w:val="0"/>
                    <w:pageBreakBefore w:val="0"/>
                    <w:kinsoku/>
                    <w:wordWrap/>
                    <w:topLinePunct w:val="0"/>
                    <w:bidi w:val="0"/>
                    <w:snapToGrid w:val="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拉丝油池</w:t>
                  </w:r>
                </w:p>
              </w:tc>
              <w:tc>
                <w:tcPr>
                  <w:tcW w:w="3295" w:type="pct"/>
                  <w:tcBorders>
                    <w:tl2br w:val="nil"/>
                    <w:tr2bl w:val="nil"/>
                  </w:tcBorders>
                  <w:vAlign w:val="center"/>
                </w:tcPr>
                <w:p>
                  <w:pPr>
                    <w:keepNext w:val="0"/>
                    <w:keepLines w:val="0"/>
                    <w:pageBreakBefore w:val="0"/>
                    <w:widowControl/>
                    <w:kinsoku/>
                    <w:wordWrap/>
                    <w:topLinePunct w:val="0"/>
                    <w:bidi w:val="0"/>
                    <w:snapToGrid w:val="0"/>
                    <w:jc w:val="both"/>
                    <w:textAlignment w:val="auto"/>
                    <w:rPr>
                      <w:rFonts w:hint="default"/>
                      <w:color w:val="000000"/>
                      <w:kern w:val="0"/>
                      <w:szCs w:val="21"/>
                      <w:highlight w:val="none"/>
                      <w:vertAlign w:val="baseline"/>
                      <w:lang w:val="en-US" w:eastAsia="zh-CN" w:bidi="ar"/>
                    </w:rPr>
                  </w:pPr>
                  <w:r>
                    <w:rPr>
                      <w:rFonts w:hint="eastAsia"/>
                      <w:color w:val="000000"/>
                      <w:kern w:val="0"/>
                      <w:szCs w:val="21"/>
                      <w:highlight w:val="none"/>
                      <w:lang w:val="en-US" w:eastAsia="zh-CN" w:bidi="ar"/>
                    </w:rPr>
                    <w:t>项目设置1座42</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的拉丝油池，用于存储拉丝油。</w:t>
                  </w:r>
                  <w:r>
                    <w:rPr>
                      <w:rFonts w:hint="eastAsia" w:ascii="Times New Roman" w:hAnsi="Times New Roman" w:cs="Times New Roman"/>
                      <w:color w:val="000000"/>
                      <w:sz w:val="21"/>
                      <w:szCs w:val="21"/>
                      <w:highlight w:val="none"/>
                      <w:lang w:val="en-US" w:eastAsia="zh-CN"/>
                    </w:rPr>
                    <w:t>拉丝</w:t>
                  </w:r>
                  <w:r>
                    <w:rPr>
                      <w:rFonts w:hint="default" w:ascii="Times New Roman" w:hAnsi="Times New Roman" w:cs="Times New Roman"/>
                      <w:color w:val="000000"/>
                      <w:sz w:val="21"/>
                      <w:szCs w:val="21"/>
                      <w:highlight w:val="none"/>
                      <w:lang w:val="en-US" w:eastAsia="zh-CN"/>
                    </w:rPr>
                    <w:t>油池</w:t>
                  </w:r>
                  <w:r>
                    <w:rPr>
                      <w:rFonts w:hint="eastAsia" w:cs="Times New Roman"/>
                      <w:color w:val="000000"/>
                      <w:sz w:val="21"/>
                      <w:szCs w:val="21"/>
                      <w:highlight w:val="none"/>
                      <w:lang w:val="en-US" w:eastAsia="zh-CN"/>
                    </w:rPr>
                    <w:t>防渗措施</w:t>
                  </w:r>
                  <w:r>
                    <w:rPr>
                      <w:rFonts w:hint="default" w:ascii="Times New Roman" w:hAnsi="Times New Roman" w:cs="Times New Roman"/>
                      <w:color w:val="000000"/>
                      <w:sz w:val="21"/>
                      <w:szCs w:val="21"/>
                      <w:highlight w:val="none"/>
                      <w:lang w:val="en-US" w:eastAsia="zh-CN"/>
                    </w:rPr>
                    <w:t>为</w:t>
                  </w:r>
                  <w:r>
                    <w:rPr>
                      <w:rFonts w:hint="default" w:ascii="Times New Roman" w:hAnsi="Times New Roman" w:cs="Times New Roman"/>
                      <w:color w:val="auto"/>
                      <w:sz w:val="21"/>
                      <w:szCs w:val="21"/>
                      <w:highlight w:val="none"/>
                      <w:u w:val="none"/>
                      <w:lang w:val="en-US" w:eastAsia="zh-CN"/>
                    </w:rPr>
                    <w:t>抗渗混凝土（厚度不宜小于150mm）+HDPE防渗涂层（厚度不小于2mm）结构形式，防渗结构层渗透系数不应大于1.0×10</w:t>
                  </w:r>
                  <w:r>
                    <w:rPr>
                      <w:rFonts w:hint="default" w:ascii="Times New Roman" w:hAnsi="Times New Roman" w:cs="Times New Roman"/>
                      <w:color w:val="auto"/>
                      <w:sz w:val="21"/>
                      <w:szCs w:val="21"/>
                      <w:highlight w:val="none"/>
                      <w:u w:val="none"/>
                      <w:vertAlign w:val="superscript"/>
                      <w:lang w:val="en-US" w:eastAsia="zh-CN"/>
                    </w:rPr>
                    <w:t>-10</w:t>
                  </w:r>
                  <w:r>
                    <w:rPr>
                      <w:rFonts w:hint="default" w:ascii="Times New Roman" w:hAnsi="Times New Roman" w:cs="Times New Roman"/>
                      <w:color w:val="auto"/>
                      <w:sz w:val="21"/>
                      <w:szCs w:val="21"/>
                      <w:highlight w:val="none"/>
                      <w:u w:val="none"/>
                      <w:vertAlign w:val="baseline"/>
                      <w:lang w:val="en-US" w:eastAsia="zh-CN"/>
                    </w:rPr>
                    <w:t>cm/s</w:t>
                  </w:r>
                  <w:r>
                    <w:rPr>
                      <w:rFonts w:hint="default" w:ascii="Times New Roman" w:hAnsi="Times New Roman" w:cs="Times New Roman"/>
                      <w:color w:val="auto"/>
                      <w:sz w:val="21"/>
                      <w:szCs w:val="21"/>
                      <w:highlight w:val="none"/>
                      <w:u w:val="none"/>
                      <w:lang w:eastAsia="zh-CN"/>
                    </w:rPr>
                    <w:t>。</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pStyle w:val="76"/>
                    <w:keepNext w:val="0"/>
                    <w:keepLines w:val="0"/>
                    <w:pageBreakBefore w:val="0"/>
                    <w:kinsoku/>
                    <w:wordWrap/>
                    <w:topLinePunct w:val="0"/>
                    <w:bidi w:val="0"/>
                    <w:snapToGrid w:val="0"/>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固废暂存间</w:t>
                  </w:r>
                </w:p>
              </w:tc>
              <w:tc>
                <w:tcPr>
                  <w:tcW w:w="3295" w:type="pct"/>
                  <w:tcBorders>
                    <w:tl2br w:val="nil"/>
                    <w:tr2bl w:val="nil"/>
                  </w:tcBorders>
                  <w:vAlign w:val="center"/>
                </w:tcPr>
                <w:p>
                  <w:pPr>
                    <w:keepNext w:val="0"/>
                    <w:keepLines w:val="0"/>
                    <w:pageBreakBefore w:val="0"/>
                    <w:widowControl/>
                    <w:kinsoku/>
                    <w:wordWrap/>
                    <w:topLinePunct w:val="0"/>
                    <w:bidi w:val="0"/>
                    <w:snapToGrid w:val="0"/>
                    <w:jc w:val="both"/>
                    <w:textAlignment w:val="auto"/>
                    <w:rPr>
                      <w:rFonts w:hint="eastAsia" w:ascii="Times New Roman" w:hAnsi="Times New Roman" w:eastAsia="宋体" w:cs="Times New Roman"/>
                      <w:color w:val="auto"/>
                      <w:highlight w:val="none"/>
                      <w:lang w:val="en-US" w:eastAsia="zh-CN"/>
                    </w:rPr>
                  </w:pPr>
                  <w:r>
                    <w:rPr>
                      <w:rFonts w:hint="eastAsia"/>
                      <w:color w:val="000000"/>
                      <w:kern w:val="0"/>
                      <w:szCs w:val="21"/>
                      <w:highlight w:val="none"/>
                      <w:lang w:val="en-US" w:eastAsia="zh-CN" w:bidi="ar"/>
                    </w:rPr>
                    <w:t>占地面积</w:t>
                  </w:r>
                  <w:r>
                    <w:rPr>
                      <w:rFonts w:hint="eastAsia" w:cs="Times New Roman"/>
                      <w:color w:val="auto"/>
                      <w:highlight w:val="none"/>
                      <w:lang w:val="en-US" w:eastAsia="zh-CN"/>
                    </w:rPr>
                    <w:t>50m</w:t>
                  </w:r>
                  <w:r>
                    <w:rPr>
                      <w:rFonts w:hint="eastAsia" w:cs="Times New Roman"/>
                      <w:color w:val="auto"/>
                      <w:highlight w:val="none"/>
                      <w:vertAlign w:val="superscript"/>
                      <w:lang w:val="en-US" w:eastAsia="zh-CN"/>
                    </w:rPr>
                    <w:t>2</w:t>
                  </w:r>
                  <w:r>
                    <w:rPr>
                      <w:rFonts w:hint="eastAsia"/>
                      <w:color w:val="000000"/>
                      <w:kern w:val="0"/>
                      <w:szCs w:val="21"/>
                      <w:highlight w:val="none"/>
                      <w:lang w:val="en-US" w:eastAsia="zh-CN" w:bidi="ar"/>
                    </w:rPr>
                    <w:t>，地面进行混凝土硬化，项目产生的一般固废主要包括废铝绞线边角料和不合格品，经收集后交由资源回收公司处理</w:t>
                  </w:r>
                  <w:r>
                    <w:rPr>
                      <w:rFonts w:hint="eastAsia" w:cs="Times New Roman"/>
                      <w:color w:val="auto"/>
                      <w:highlight w:val="none"/>
                      <w:lang w:val="en-US" w:eastAsia="zh-CN"/>
                    </w:rPr>
                    <w:t>。</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eastAsia" w:cs="Times New Roman"/>
                      <w:color w:val="auto"/>
                      <w:highlight w:val="none"/>
                      <w:lang w:eastAsia="zh-CN"/>
                    </w:rPr>
                  </w:pPr>
                </w:p>
              </w:tc>
              <w:tc>
                <w:tcPr>
                  <w:tcW w:w="828" w:type="pct"/>
                  <w:gridSpan w:val="2"/>
                  <w:tcBorders>
                    <w:tl2br w:val="nil"/>
                    <w:tr2bl w:val="nil"/>
                  </w:tcBorders>
                  <w:vAlign w:val="center"/>
                </w:tcPr>
                <w:p>
                  <w:pPr>
                    <w:pStyle w:val="76"/>
                    <w:keepNext w:val="0"/>
                    <w:keepLines w:val="0"/>
                    <w:pageBreakBefore w:val="0"/>
                    <w:kinsoku/>
                    <w:wordWrap/>
                    <w:topLinePunct w:val="0"/>
                    <w:bidi w:val="0"/>
                    <w:snapToGrid w:val="0"/>
                    <w:jc w:val="center"/>
                    <w:textAlignment w:val="auto"/>
                    <w:rPr>
                      <w:rFonts w:hint="eastAsia" w:cs="Times New Roman"/>
                      <w:color w:val="auto"/>
                      <w:highlight w:val="none"/>
                      <w:lang w:eastAsia="zh-CN"/>
                    </w:rPr>
                  </w:pPr>
                  <w:r>
                    <w:rPr>
                      <w:rFonts w:hint="eastAsia" w:cs="Times New Roman"/>
                      <w:color w:val="auto"/>
                      <w:highlight w:val="none"/>
                      <w:lang w:eastAsia="zh-CN"/>
                    </w:rPr>
                    <w:t>危废暂存间</w:t>
                  </w:r>
                </w:p>
              </w:tc>
              <w:tc>
                <w:tcPr>
                  <w:tcW w:w="3295" w:type="pct"/>
                  <w:tcBorders>
                    <w:tl2br w:val="nil"/>
                    <w:tr2bl w:val="nil"/>
                  </w:tcBorders>
                  <w:vAlign w:val="center"/>
                </w:tcPr>
                <w:p>
                  <w:pPr>
                    <w:keepNext w:val="0"/>
                    <w:keepLines w:val="0"/>
                    <w:pageBreakBefore w:val="0"/>
                    <w:widowControl/>
                    <w:kinsoku/>
                    <w:wordWrap/>
                    <w:topLinePunct w:val="0"/>
                    <w:bidi w:val="0"/>
                    <w:snapToGrid w:val="0"/>
                    <w:jc w:val="both"/>
                    <w:textAlignment w:val="auto"/>
                    <w:rPr>
                      <w:rFonts w:hint="eastAsia" w:cs="Times New Roman"/>
                      <w:color w:val="auto"/>
                      <w:highlight w:val="none"/>
                      <w:lang w:val="en-US" w:eastAsia="zh-CN"/>
                    </w:rPr>
                  </w:pPr>
                  <w:r>
                    <w:rPr>
                      <w:rFonts w:hint="eastAsia"/>
                      <w:color w:val="000000"/>
                      <w:kern w:val="0"/>
                      <w:szCs w:val="21"/>
                      <w:highlight w:val="none"/>
                      <w:lang w:val="en-US" w:eastAsia="zh-CN" w:bidi="ar"/>
                    </w:rPr>
                    <w:t>占地面积</w:t>
                  </w:r>
                  <w:r>
                    <w:rPr>
                      <w:rFonts w:hint="eastAsia" w:cs="Times New Roman"/>
                      <w:color w:val="auto"/>
                      <w:highlight w:val="none"/>
                      <w:lang w:val="en-US" w:eastAsia="zh-CN"/>
                    </w:rPr>
                    <w:t>50m</w:t>
                  </w:r>
                  <w:r>
                    <w:rPr>
                      <w:rFonts w:hint="eastAsia" w:cs="Times New Roman"/>
                      <w:color w:val="auto"/>
                      <w:highlight w:val="none"/>
                      <w:vertAlign w:val="superscript"/>
                      <w:lang w:val="en-US" w:eastAsia="zh-CN"/>
                    </w:rPr>
                    <w:t>2</w:t>
                  </w:r>
                  <w:r>
                    <w:rPr>
                      <w:rFonts w:hint="eastAsia"/>
                      <w:color w:val="000000"/>
                      <w:kern w:val="0"/>
                      <w:szCs w:val="21"/>
                      <w:highlight w:val="none"/>
                      <w:lang w:val="en-US" w:eastAsia="zh-CN" w:bidi="ar"/>
                    </w:rPr>
                    <w:t>，</w:t>
                  </w:r>
                  <w:r>
                    <w:rPr>
                      <w:rFonts w:hint="default" w:ascii="Times New Roman" w:hAnsi="Times New Roman" w:cs="Times New Roman"/>
                      <w:color w:val="000000"/>
                      <w:sz w:val="21"/>
                      <w:szCs w:val="21"/>
                      <w:lang w:eastAsia="zh-CN"/>
                    </w:rPr>
                    <w:t>对厂区现有</w:t>
                  </w:r>
                  <w:r>
                    <w:rPr>
                      <w:rFonts w:hint="eastAsia" w:cs="Times New Roman"/>
                      <w:color w:val="000000"/>
                      <w:sz w:val="21"/>
                      <w:szCs w:val="21"/>
                      <w:lang w:val="en-US" w:eastAsia="zh-CN"/>
                    </w:rPr>
                    <w:t>厂房</w:t>
                  </w:r>
                  <w:r>
                    <w:rPr>
                      <w:rFonts w:hint="default" w:ascii="Times New Roman" w:hAnsi="Times New Roman" w:cs="Times New Roman"/>
                      <w:color w:val="000000"/>
                      <w:sz w:val="21"/>
                      <w:szCs w:val="21"/>
                      <w:lang w:eastAsia="zh-CN"/>
                    </w:rPr>
                    <w:t>进行改造</w:t>
                  </w:r>
                  <w:r>
                    <w:rPr>
                      <w:rFonts w:hint="default" w:ascii="Times New Roman" w:hAnsi="Times New Roman" w:cs="Times New Roman"/>
                      <w:color w:val="000000"/>
                      <w:lang w:val="en-US" w:eastAsia="zh-CN"/>
                    </w:rPr>
                    <w:t>，</w:t>
                  </w:r>
                  <w:r>
                    <w:rPr>
                      <w:rFonts w:hint="eastAsia" w:ascii="Times New Roman" w:hAnsi="Times New Roman" w:cs="Times New Roman"/>
                      <w:color w:val="000000"/>
                      <w:lang w:val="en-US" w:eastAsia="zh-CN"/>
                    </w:rPr>
                    <w:t>钢结构</w:t>
                  </w:r>
                  <w:r>
                    <w:rPr>
                      <w:rFonts w:hint="default" w:ascii="Times New Roman" w:hAnsi="Times New Roman" w:cs="Times New Roman"/>
                      <w:color w:val="000000"/>
                      <w:szCs w:val="21"/>
                    </w:rPr>
                    <w:t>。地面做防渗处理，渗透系数K≤1×10</w:t>
                  </w:r>
                  <w:r>
                    <w:rPr>
                      <w:rFonts w:hint="default" w:ascii="Times New Roman" w:hAnsi="Times New Roman" w:cs="Times New Roman"/>
                      <w:color w:val="000000"/>
                      <w:szCs w:val="21"/>
                      <w:vertAlign w:val="superscript"/>
                    </w:rPr>
                    <w:t>-10</w:t>
                  </w:r>
                  <w:r>
                    <w:rPr>
                      <w:rFonts w:hint="default" w:ascii="Times New Roman" w:hAnsi="Times New Roman" w:cs="Times New Roman"/>
                      <w:color w:val="000000"/>
                      <w:szCs w:val="21"/>
                    </w:rPr>
                    <w:t>cm/s；</w:t>
                  </w:r>
                  <w:r>
                    <w:rPr>
                      <w:rFonts w:hint="default" w:ascii="Times New Roman" w:hAnsi="Times New Roman" w:eastAsia="宋体" w:cs="Times New Roman"/>
                      <w:color w:val="000000"/>
                      <w:szCs w:val="21"/>
                      <w:lang w:eastAsia="zh-CN"/>
                    </w:rPr>
                    <w:t>做</w:t>
                  </w:r>
                  <w:r>
                    <w:rPr>
                      <w:rFonts w:hint="eastAsia" w:ascii="Times New Roman" w:hAnsi="Times New Roman" w:eastAsia="宋体" w:cs="Times New Roman"/>
                      <w:color w:val="000000"/>
                      <w:szCs w:val="21"/>
                      <w:lang w:val="en-US" w:eastAsia="zh-CN"/>
                    </w:rPr>
                    <w:t>50</w:t>
                  </w:r>
                  <w:r>
                    <w:rPr>
                      <w:rFonts w:hint="default" w:ascii="Times New Roman" w:hAnsi="Times New Roman" w:eastAsia="宋体" w:cs="Times New Roman"/>
                      <w:color w:val="000000"/>
                      <w:szCs w:val="21"/>
                      <w:lang w:val="en-US" w:eastAsia="zh-CN"/>
                    </w:rPr>
                    <w:t>cm高的防渗裙角，</w:t>
                  </w:r>
                  <w:r>
                    <w:rPr>
                      <w:rFonts w:hint="default" w:ascii="Times New Roman" w:hAnsi="Times New Roman" w:eastAsia="宋体" w:cs="Times New Roman"/>
                      <w:color w:val="000000"/>
                      <w:szCs w:val="21"/>
                    </w:rPr>
                    <w:t>渗透系数K≤1×10</w:t>
                  </w:r>
                  <w:r>
                    <w:rPr>
                      <w:rFonts w:hint="default" w:ascii="Times New Roman" w:hAnsi="Times New Roman" w:eastAsia="宋体" w:cs="Times New Roman"/>
                      <w:color w:val="000000"/>
                      <w:szCs w:val="21"/>
                      <w:vertAlign w:val="superscript"/>
                    </w:rPr>
                    <w:t>-10</w:t>
                  </w:r>
                  <w:r>
                    <w:rPr>
                      <w:rFonts w:hint="default" w:ascii="Times New Roman" w:hAnsi="Times New Roman" w:eastAsia="宋体" w:cs="Times New Roman"/>
                      <w:color w:val="000000"/>
                      <w:szCs w:val="21"/>
                    </w:rPr>
                    <w:t>cm/s</w:t>
                  </w:r>
                  <w:r>
                    <w:rPr>
                      <w:rFonts w:hint="default" w:ascii="Times New Roman" w:hAnsi="Times New Roman" w:eastAsia="宋体" w:cs="Times New Roman"/>
                      <w:color w:val="000000"/>
                      <w:szCs w:val="21"/>
                      <w:lang w:val="en-US" w:eastAsia="zh-CN"/>
                    </w:rPr>
                    <w:t>；</w:t>
                  </w:r>
                  <w:r>
                    <w:rPr>
                      <w:rFonts w:hint="default" w:ascii="Times New Roman" w:hAnsi="Times New Roman" w:cs="Times New Roman"/>
                      <w:color w:val="000000"/>
                      <w:szCs w:val="21"/>
                    </w:rPr>
                    <w:t>地面设置</w:t>
                  </w:r>
                  <w:r>
                    <w:rPr>
                      <w:rFonts w:hint="default" w:ascii="Times New Roman" w:hAnsi="Times New Roman" w:cs="Times New Roman"/>
                      <w:color w:val="000000"/>
                      <w:szCs w:val="21"/>
                      <w:lang w:eastAsia="zh-CN"/>
                    </w:rPr>
                    <w:t>导流槽</w:t>
                  </w:r>
                  <w:r>
                    <w:rPr>
                      <w:rFonts w:hint="default" w:ascii="Times New Roman" w:hAnsi="Times New Roman" w:cs="Times New Roman"/>
                      <w:color w:val="000000"/>
                      <w:szCs w:val="21"/>
                    </w:rPr>
                    <w:t>，</w:t>
                  </w:r>
                  <w:r>
                    <w:rPr>
                      <w:rFonts w:hint="default" w:ascii="Times New Roman" w:hAnsi="Times New Roman" w:cs="Times New Roman"/>
                      <w:color w:val="000000"/>
                      <w:szCs w:val="21"/>
                      <w:lang w:eastAsia="zh-CN"/>
                    </w:rPr>
                    <w:t>危废暂存间</w:t>
                  </w:r>
                  <w:r>
                    <w:rPr>
                      <w:rFonts w:hint="eastAsia" w:ascii="Times New Roman" w:hAnsi="Times New Roman" w:cs="Times New Roman"/>
                      <w:color w:val="000000"/>
                      <w:szCs w:val="21"/>
                      <w:lang w:eastAsia="zh-CN"/>
                    </w:rPr>
                    <w:t>西侧</w:t>
                  </w:r>
                  <w:r>
                    <w:rPr>
                      <w:rFonts w:hint="default" w:ascii="Times New Roman" w:hAnsi="Times New Roman" w:cs="Times New Roman"/>
                      <w:color w:val="000000"/>
                      <w:szCs w:val="21"/>
                      <w:lang w:eastAsia="zh-CN"/>
                    </w:rPr>
                    <w:t>设置废液收集池1个，容积为</w:t>
                  </w:r>
                  <w:r>
                    <w:rPr>
                      <w:rFonts w:hint="eastAsia" w:ascii="Times New Roman" w:hAnsi="Times New Roman" w:cs="Times New Roman"/>
                      <w:color w:val="000000"/>
                      <w:szCs w:val="21"/>
                      <w:lang w:val="en-US" w:eastAsia="zh-CN"/>
                    </w:rPr>
                    <w:t>1.2</w:t>
                  </w:r>
                  <w:r>
                    <w:rPr>
                      <w:rFonts w:hint="default" w:ascii="Times New Roman" w:hAnsi="Times New Roman" w:cs="Times New Roman"/>
                      <w:color w:val="000000"/>
                      <w:szCs w:val="21"/>
                      <w:lang w:eastAsia="zh-CN"/>
                    </w:rPr>
                    <w:t>立方米（</w:t>
                  </w:r>
                  <w:r>
                    <w:rPr>
                      <w:rFonts w:hint="eastAsia" w:ascii="Times New Roman" w:hAnsi="Times New Roman" w:cs="Times New Roman"/>
                      <w:color w:val="000000"/>
                      <w:szCs w:val="21"/>
                      <w:lang w:val="en-US" w:eastAsia="zh-CN"/>
                    </w:rPr>
                    <w:t>1.2</w:t>
                  </w:r>
                  <w:r>
                    <w:rPr>
                      <w:rFonts w:hint="default" w:ascii="Times New Roman" w:hAnsi="Times New Roman" w:cs="Times New Roman"/>
                      <w:color w:val="000000"/>
                      <w:szCs w:val="21"/>
                      <w:lang w:eastAsia="zh-CN"/>
                    </w:rPr>
                    <w:t>m×</w:t>
                  </w:r>
                  <w:r>
                    <w:rPr>
                      <w:rFonts w:hint="eastAsia" w:ascii="Times New Roman" w:hAnsi="Times New Roman" w:cs="Times New Roman"/>
                      <w:color w:val="000000"/>
                      <w:szCs w:val="21"/>
                      <w:lang w:val="en-US" w:eastAsia="zh-CN"/>
                    </w:rPr>
                    <w:t>1</w:t>
                  </w:r>
                  <w:r>
                    <w:rPr>
                      <w:rFonts w:hint="default" w:ascii="Times New Roman" w:hAnsi="Times New Roman" w:cs="Times New Roman"/>
                      <w:color w:val="000000"/>
                      <w:szCs w:val="21"/>
                      <w:lang w:eastAsia="zh-CN"/>
                    </w:rPr>
                    <w:t>m×</w:t>
                  </w:r>
                  <w:r>
                    <w:rPr>
                      <w:rFonts w:hint="eastAsia" w:ascii="Times New Roman" w:hAnsi="Times New Roman" w:cs="Times New Roman"/>
                      <w:color w:val="000000"/>
                      <w:szCs w:val="21"/>
                      <w:lang w:val="en-US" w:eastAsia="zh-CN"/>
                    </w:rPr>
                    <w:t>1</w:t>
                  </w:r>
                  <w:r>
                    <w:rPr>
                      <w:rFonts w:hint="default" w:ascii="Times New Roman" w:hAnsi="Times New Roman" w:cs="Times New Roman"/>
                      <w:color w:val="000000"/>
                      <w:szCs w:val="21"/>
                      <w:lang w:eastAsia="zh-CN"/>
                    </w:rPr>
                    <w:t>m）</w:t>
                  </w:r>
                  <w:r>
                    <w:rPr>
                      <w:rFonts w:hint="default" w:ascii="Times New Roman" w:hAnsi="Times New Roman" w:cs="Times New Roman"/>
                      <w:color w:val="000000"/>
                      <w:szCs w:val="21"/>
                    </w:rPr>
                    <w:t>；库内安装防爆通风机、防爆照明灯及配套防爆开关</w:t>
                  </w: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lang w:eastAsia="zh-CN"/>
                    </w:rPr>
                    <w:t>门口设置触摸式防静电释放装置</w:t>
                  </w:r>
                  <w:r>
                    <w:rPr>
                      <w:rFonts w:hint="default" w:ascii="Times New Roman" w:hAnsi="Times New Roman" w:eastAsia="宋体" w:cs="Times New Roman"/>
                      <w:color w:val="000000"/>
                      <w:szCs w:val="21"/>
                    </w:rPr>
                    <w:t>；</w:t>
                  </w:r>
                  <w:r>
                    <w:rPr>
                      <w:rFonts w:hint="default" w:ascii="Times New Roman" w:hAnsi="Times New Roman" w:cs="Times New Roman"/>
                      <w:color w:val="000000"/>
                      <w:sz w:val="21"/>
                      <w:szCs w:val="21"/>
                      <w:lang w:eastAsia="zh-CN"/>
                    </w:rPr>
                    <w:t>门口台阶涂刷警示漆。</w:t>
                  </w:r>
                  <w:r>
                    <w:rPr>
                      <w:rFonts w:hint="eastAsia" w:ascii="Times New Roman" w:hAnsi="Times New Roman" w:cs="Times New Roman"/>
                      <w:color w:val="000000"/>
                      <w:sz w:val="21"/>
                      <w:szCs w:val="21"/>
                      <w:lang w:eastAsia="zh-CN"/>
                    </w:rPr>
                    <w:t>暂存</w:t>
                  </w:r>
                  <w:r>
                    <w:rPr>
                      <w:rFonts w:hint="eastAsia"/>
                      <w:color w:val="000000"/>
                      <w:kern w:val="0"/>
                      <w:szCs w:val="21"/>
                      <w:highlight w:val="none"/>
                      <w:lang w:val="en-US" w:eastAsia="zh-CN" w:bidi="ar"/>
                    </w:rPr>
                    <w:t>危险废物主要为废拉丝油及油泥、废机油、废包装桶（废机油桶、废拉丝油桶）、废含油抹布定期交由有相应危险废物处理资质单位进行处理。</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eastAsia" w:cs="Times New Roman"/>
                      <w:color w:val="auto"/>
                      <w:highlight w:val="none"/>
                      <w:lang w:eastAsia="zh-CN"/>
                    </w:rPr>
                  </w:pPr>
                  <w:r>
                    <w:rPr>
                      <w:rFonts w:hint="eastAsia" w:cs="Times New Roman"/>
                      <w:color w:val="auto"/>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pct"/>
                  <w:vMerge w:val="restar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公用工程</w:t>
                  </w:r>
                </w:p>
              </w:tc>
              <w:tc>
                <w:tcPr>
                  <w:tcW w:w="828" w:type="pct"/>
                  <w:gridSpan w:val="2"/>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3295" w:type="pct"/>
                  <w:tcBorders>
                    <w:tl2br w:val="nil"/>
                    <w:tr2bl w:val="nil"/>
                  </w:tcBorders>
                  <w:vAlign w:val="center"/>
                </w:tcPr>
                <w:p>
                  <w:pPr>
                    <w:pStyle w:val="67"/>
                    <w:keepNext w:val="0"/>
                    <w:keepLines w:val="0"/>
                    <w:pageBreakBefore w:val="0"/>
                    <w:kinsoku/>
                    <w:wordWrap/>
                    <w:topLinePunct w:val="0"/>
                    <w:bidi w:val="0"/>
                    <w:snapToGrid w:val="0"/>
                    <w:jc w:val="both"/>
                    <w:textAlignment w:val="auto"/>
                    <w:rPr>
                      <w:rFonts w:hint="eastAsia" w:ascii="Times New Roman" w:hAnsi="Times New Roman" w:eastAsia="宋体" w:cs="Times New Roman"/>
                      <w:color w:val="auto"/>
                      <w:highlight w:val="none"/>
                      <w:lang w:eastAsia="zh-CN"/>
                    </w:rPr>
                  </w:pPr>
                  <w:r>
                    <w:rPr>
                      <w:rFonts w:ascii="Times New Roman" w:hAnsi="Times New Roman" w:eastAsia="宋体"/>
                      <w:color w:val="auto"/>
                      <w:sz w:val="21"/>
                      <w:szCs w:val="21"/>
                      <w:highlight w:val="none"/>
                    </w:rPr>
                    <w:t>由</w:t>
                  </w:r>
                  <w:r>
                    <w:rPr>
                      <w:rFonts w:hint="eastAsia" w:ascii="Times New Roman" w:hAnsi="Times New Roman" w:eastAsia="宋体"/>
                      <w:color w:val="auto"/>
                      <w:sz w:val="21"/>
                      <w:szCs w:val="21"/>
                      <w:highlight w:val="none"/>
                      <w:lang w:val="en-US" w:eastAsia="zh-CN"/>
                    </w:rPr>
                    <w:t>市政供水管网</w:t>
                  </w:r>
                  <w:r>
                    <w:rPr>
                      <w:rFonts w:ascii="Times New Roman" w:hAnsi="Times New Roman" w:eastAsia="宋体"/>
                      <w:color w:val="auto"/>
                      <w:sz w:val="21"/>
                      <w:szCs w:val="21"/>
                      <w:highlight w:val="none"/>
                    </w:rPr>
                    <w:t>提供，可满足厂区使用需求</w:t>
                  </w:r>
                  <w:r>
                    <w:rPr>
                      <w:rFonts w:hint="eastAsia" w:ascii="Times New Roman" w:hAnsi="Times New Roman" w:eastAsia="宋体"/>
                      <w:color w:val="auto"/>
                      <w:sz w:val="21"/>
                      <w:szCs w:val="21"/>
                      <w:highlight w:val="none"/>
                      <w:lang w:eastAsia="zh-CN"/>
                    </w:rPr>
                    <w:t>。</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w:t>
                  </w:r>
                </w:p>
              </w:tc>
              <w:tc>
                <w:tcPr>
                  <w:tcW w:w="3295" w:type="pct"/>
                  <w:tcBorders>
                    <w:tl2br w:val="nil"/>
                    <w:tr2bl w:val="nil"/>
                  </w:tcBorders>
                  <w:vAlign w:val="center"/>
                </w:tcPr>
                <w:p>
                  <w:pPr>
                    <w:keepNext w:val="0"/>
                    <w:keepLines w:val="0"/>
                    <w:pageBreakBefore w:val="0"/>
                    <w:kinsoku/>
                    <w:wordWrap/>
                    <w:topLinePunct w:val="0"/>
                    <w:bidi w:val="0"/>
                    <w:snapToGrid w:val="0"/>
                    <w:jc w:val="both"/>
                    <w:textAlignment w:val="auto"/>
                    <w:rPr>
                      <w:rFonts w:hint="eastAsia" w:ascii="Times New Roman" w:hAnsi="Times New Roman" w:eastAsia="宋体" w:cs="Times New Roman"/>
                      <w:color w:val="auto"/>
                      <w:highlight w:val="none"/>
                      <w:lang w:eastAsia="zh-CN"/>
                    </w:rPr>
                  </w:pPr>
                  <w:r>
                    <w:rPr>
                      <w:rFonts w:hint="eastAsia" w:cs="Times New Roman"/>
                      <w:bCs/>
                      <w:color w:val="auto"/>
                      <w:highlight w:val="none"/>
                      <w:lang w:eastAsia="zh-CN"/>
                    </w:rPr>
                    <w:t>项目无生产废水产生，</w:t>
                  </w:r>
                  <w:r>
                    <w:rPr>
                      <w:rFonts w:hint="eastAsia"/>
                      <w:color w:val="auto"/>
                      <w:sz w:val="21"/>
                      <w:szCs w:val="21"/>
                      <w:highlight w:val="none"/>
                      <w:lang w:eastAsia="zh-CN"/>
                    </w:rPr>
                    <w:t>生活污水依托内蒙古璟程电缆有限公司化粪池收集后排入园区污水管网，最终纳入园区污水处理厂进行进一步处理。</w:t>
                  </w:r>
                </w:p>
              </w:tc>
              <w:tc>
                <w:tcPr>
                  <w:tcW w:w="411" w:type="pct"/>
                  <w:tcBorders>
                    <w:tl2br w:val="nil"/>
                    <w:tr2bl w:val="nil"/>
                  </w:tcBorders>
                  <w:vAlign w:val="center"/>
                </w:tcPr>
                <w:p>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keepNext w:val="0"/>
                    <w:keepLines w:val="0"/>
                    <w:pageBreakBefore w:val="0"/>
                    <w:kinsoku/>
                    <w:wordWrap/>
                    <w:topLinePunct w:val="0"/>
                    <w:bidi w:val="0"/>
                    <w:snapToGrid w:val="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供热</w:t>
                  </w:r>
                </w:p>
              </w:tc>
              <w:tc>
                <w:tcPr>
                  <w:tcW w:w="3295" w:type="pct"/>
                  <w:tcBorders>
                    <w:tl2br w:val="nil"/>
                    <w:tr2bl w:val="nil"/>
                  </w:tcBorders>
                  <w:vAlign w:val="center"/>
                </w:tcPr>
                <w:p>
                  <w:pPr>
                    <w:keepNext w:val="0"/>
                    <w:keepLines w:val="0"/>
                    <w:pageBreakBefore w:val="0"/>
                    <w:kinsoku/>
                    <w:wordWrap/>
                    <w:topLinePunct w:val="0"/>
                    <w:bidi w:val="0"/>
                    <w:snapToGrid w:val="0"/>
                    <w:jc w:val="both"/>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olor w:val="auto"/>
                      <w:sz w:val="21"/>
                      <w:szCs w:val="21"/>
                      <w:highlight w:val="none"/>
                      <w:lang w:val="en-US" w:eastAsia="zh-CN"/>
                    </w:rPr>
                    <w:t>由</w:t>
                  </w:r>
                  <w:r>
                    <w:rPr>
                      <w:rFonts w:hint="eastAsia" w:ascii="Times New Roman" w:cs="宋体"/>
                      <w:bCs/>
                      <w:color w:val="auto"/>
                      <w:sz w:val="21"/>
                      <w:szCs w:val="21"/>
                      <w:highlight w:val="none"/>
                      <w:lang w:val="en-US" w:eastAsia="zh-CN"/>
                    </w:rPr>
                    <w:t>市政</w:t>
                  </w:r>
                  <w:r>
                    <w:rPr>
                      <w:rFonts w:hint="eastAsia" w:cs="宋体"/>
                      <w:bCs/>
                      <w:color w:val="auto"/>
                      <w:sz w:val="21"/>
                      <w:szCs w:val="21"/>
                      <w:highlight w:val="none"/>
                      <w:lang w:val="en-US" w:eastAsia="zh-CN"/>
                    </w:rPr>
                    <w:t>供热管网</w:t>
                  </w:r>
                  <w:r>
                    <w:rPr>
                      <w:rFonts w:ascii="Times New Roman" w:hAnsi="Times New Roman" w:eastAsia="宋体"/>
                      <w:color w:val="auto"/>
                      <w:sz w:val="21"/>
                      <w:szCs w:val="21"/>
                      <w:highlight w:val="none"/>
                    </w:rPr>
                    <w:t>进行供暖</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3295" w:type="pct"/>
                  <w:tcBorders>
                    <w:tl2br w:val="nil"/>
                    <w:tr2bl w:val="nil"/>
                  </w:tcBorders>
                  <w:vAlign w:val="center"/>
                </w:tcPr>
                <w:p>
                  <w:pPr>
                    <w:pStyle w:val="67"/>
                    <w:keepNext w:val="0"/>
                    <w:keepLines w:val="0"/>
                    <w:pageBreakBefore w:val="0"/>
                    <w:kinsoku/>
                    <w:wordWrap/>
                    <w:topLinePunct w:val="0"/>
                    <w:bidi w:val="0"/>
                    <w:snapToGrid w:val="0"/>
                    <w:jc w:val="both"/>
                    <w:textAlignment w:val="auto"/>
                    <w:rPr>
                      <w:rFonts w:hint="default" w:ascii="Times New Roman" w:hAnsi="Times New Roman" w:eastAsia="宋体" w:cs="Times New Roman"/>
                      <w:color w:val="auto"/>
                      <w:highlight w:val="none"/>
                      <w:lang w:val="en-US" w:eastAsia="zh-CN"/>
                    </w:rPr>
                  </w:pPr>
                  <w:r>
                    <w:rPr>
                      <w:rFonts w:hint="eastAsia"/>
                      <w:color w:val="auto"/>
                      <w:sz w:val="21"/>
                      <w:szCs w:val="21"/>
                      <w:highlight w:val="none"/>
                      <w:lang w:val="en-US" w:eastAsia="zh-CN"/>
                    </w:rPr>
                    <w:t>由市政电网供给</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pct"/>
                  <w:vMerge w:val="restar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环保工程</w:t>
                  </w:r>
                </w:p>
              </w:tc>
              <w:tc>
                <w:tcPr>
                  <w:tcW w:w="828" w:type="pct"/>
                  <w:gridSpan w:val="2"/>
                  <w:tcBorders>
                    <w:tl2br w:val="nil"/>
                    <w:tr2bl w:val="nil"/>
                  </w:tcBorders>
                  <w:vAlign w:val="center"/>
                </w:tcPr>
                <w:p>
                  <w:pPr>
                    <w:keepNext w:val="0"/>
                    <w:keepLines w:val="0"/>
                    <w:pageBreakBefore w:val="0"/>
                    <w:kinsoku/>
                    <w:wordWrap/>
                    <w:topLinePunct w:val="0"/>
                    <w:bidi w:val="0"/>
                    <w:adjustRightInd/>
                    <w:snapToGrid w:val="0"/>
                    <w:jc w:val="center"/>
                    <w:textAlignment w:val="auto"/>
                    <w:rPr>
                      <w:rFonts w:hint="default" w:ascii="Times New Roman" w:hAnsi="Times New Roman" w:eastAsia="宋体" w:cs="Times New Roman"/>
                      <w:bCs/>
                      <w:color w:val="auto"/>
                      <w:kern w:val="44"/>
                      <w:szCs w:val="21"/>
                      <w:highlight w:val="none"/>
                      <w:lang w:val="en-US" w:eastAsia="zh-CN"/>
                    </w:rPr>
                  </w:pPr>
                  <w:r>
                    <w:rPr>
                      <w:rFonts w:hint="eastAsia" w:ascii="Times New Roman" w:hAnsi="Times New Roman" w:eastAsia="宋体" w:cs="Times New Roman"/>
                      <w:bCs/>
                      <w:color w:val="auto"/>
                      <w:kern w:val="44"/>
                      <w:szCs w:val="21"/>
                      <w:highlight w:val="none"/>
                      <w:lang w:eastAsia="zh-CN"/>
                    </w:rPr>
                    <w:t>生产</w:t>
                  </w:r>
                  <w:r>
                    <w:rPr>
                      <w:rFonts w:hint="eastAsia" w:cs="Times New Roman"/>
                      <w:bCs/>
                      <w:color w:val="auto"/>
                      <w:kern w:val="44"/>
                      <w:szCs w:val="21"/>
                      <w:highlight w:val="none"/>
                      <w:lang w:val="en-US" w:eastAsia="zh-CN"/>
                    </w:rPr>
                    <w:t>废气</w:t>
                  </w:r>
                </w:p>
              </w:tc>
              <w:tc>
                <w:tcPr>
                  <w:tcW w:w="3295" w:type="pct"/>
                  <w:tcBorders>
                    <w:tl2br w:val="nil"/>
                    <w:tr2bl w:val="nil"/>
                  </w:tcBorders>
                  <w:vAlign w:val="center"/>
                </w:tcPr>
                <w:p>
                  <w:pPr>
                    <w:keepNext w:val="0"/>
                    <w:keepLines w:val="0"/>
                    <w:pageBreakBefore w:val="0"/>
                    <w:kinsoku/>
                    <w:wordWrap/>
                    <w:topLinePunct w:val="0"/>
                    <w:bidi w:val="0"/>
                    <w:adjustRightInd/>
                    <w:snapToGrid w:val="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项目生产过程中会产生少量非甲烷总烃，</w:t>
                  </w:r>
                  <w:r>
                    <w:rPr>
                      <w:spacing w:val="7"/>
                    </w:rPr>
                    <w:t>通过加强车间通风换气后，在车间内无组织排放。</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keepNext w:val="0"/>
                    <w:keepLines w:val="0"/>
                    <w:pageBreakBefore w:val="0"/>
                    <w:kinsoku/>
                    <w:wordWrap/>
                    <w:topLinePunct w:val="0"/>
                    <w:bidi w:val="0"/>
                    <w:adjustRightInd/>
                    <w:snapToGrid w:val="0"/>
                    <w:jc w:val="center"/>
                    <w:textAlignment w:val="auto"/>
                    <w:rPr>
                      <w:rFonts w:hint="default" w:ascii="Times New Roman" w:hAnsi="Times New Roman" w:eastAsia="宋体" w:cs="Times New Roman"/>
                      <w:bCs/>
                      <w:color w:val="auto"/>
                      <w:kern w:val="44"/>
                      <w:szCs w:val="21"/>
                      <w:highlight w:val="none"/>
                    </w:rPr>
                  </w:pPr>
                  <w:r>
                    <w:rPr>
                      <w:rFonts w:hint="default" w:ascii="Times New Roman" w:hAnsi="Times New Roman" w:eastAsia="宋体" w:cs="Times New Roman"/>
                      <w:bCs/>
                      <w:color w:val="auto"/>
                      <w:kern w:val="44"/>
                      <w:szCs w:val="21"/>
                      <w:highlight w:val="none"/>
                    </w:rPr>
                    <w:t>生活污水</w:t>
                  </w:r>
                </w:p>
              </w:tc>
              <w:tc>
                <w:tcPr>
                  <w:tcW w:w="3295" w:type="pct"/>
                  <w:tcBorders>
                    <w:tl2br w:val="nil"/>
                    <w:tr2bl w:val="nil"/>
                  </w:tcBorders>
                  <w:vAlign w:val="center"/>
                </w:tcPr>
                <w:p>
                  <w:pPr>
                    <w:keepNext w:val="0"/>
                    <w:keepLines w:val="0"/>
                    <w:pageBreakBefore w:val="0"/>
                    <w:kinsoku/>
                    <w:wordWrap/>
                    <w:topLinePunct w:val="0"/>
                    <w:bidi w:val="0"/>
                    <w:adjustRightInd/>
                    <w:snapToGrid w:val="0"/>
                    <w:jc w:val="both"/>
                    <w:textAlignment w:val="auto"/>
                    <w:rPr>
                      <w:rFonts w:hint="eastAsia" w:ascii="Times New Roman" w:hAnsi="Times New Roman" w:eastAsia="宋体" w:cs="Times New Roman"/>
                      <w:bCs/>
                      <w:color w:val="auto"/>
                      <w:kern w:val="44"/>
                      <w:szCs w:val="21"/>
                      <w:highlight w:val="none"/>
                      <w:lang w:eastAsia="zh-CN"/>
                    </w:rPr>
                  </w:pPr>
                  <w:r>
                    <w:rPr>
                      <w:rFonts w:hint="eastAsia"/>
                      <w:color w:val="auto"/>
                      <w:sz w:val="21"/>
                      <w:szCs w:val="21"/>
                      <w:highlight w:val="none"/>
                      <w:lang w:eastAsia="zh-CN"/>
                    </w:rPr>
                    <w:t>生活污水依托内蒙古璟程电缆有限公司化粪池收集后排入园区污水管网，最终纳入园区污水处理厂进行进一步处理。</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339" w:type="pct"/>
                  <w:vMerge w:val="restar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489" w:type="pct"/>
                  <w:tcBorders>
                    <w:tl2br w:val="nil"/>
                    <w:tr2bl w:val="nil"/>
                  </w:tcBorders>
                  <w:vAlign w:val="center"/>
                </w:tcPr>
                <w:p>
                  <w:pPr>
                    <w:keepNext w:val="0"/>
                    <w:keepLines w:val="0"/>
                    <w:pageBreakBefore w:val="0"/>
                    <w:kinsoku/>
                    <w:wordWrap/>
                    <w:topLinePunct w:val="0"/>
                    <w:bidi w:val="0"/>
                    <w:adjustRightInd/>
                    <w:snapToGrid w:val="0"/>
                    <w:jc w:val="center"/>
                    <w:textAlignment w:val="auto"/>
                    <w:rPr>
                      <w:rFonts w:hint="default" w:ascii="Times New Roman" w:hAnsi="Times New Roman" w:eastAsia="宋体" w:cs="Times New Roman"/>
                      <w:bCs/>
                      <w:color w:val="auto"/>
                      <w:kern w:val="44"/>
                      <w:szCs w:val="21"/>
                      <w:highlight w:val="none"/>
                    </w:rPr>
                  </w:pPr>
                  <w:r>
                    <w:rPr>
                      <w:rFonts w:hint="default" w:ascii="Times New Roman" w:hAnsi="Times New Roman" w:eastAsia="宋体" w:cs="Times New Roman"/>
                      <w:bCs/>
                      <w:color w:val="auto"/>
                      <w:kern w:val="44"/>
                      <w:szCs w:val="21"/>
                      <w:highlight w:val="none"/>
                    </w:rPr>
                    <w:t>生活垃圾</w:t>
                  </w:r>
                </w:p>
              </w:tc>
              <w:tc>
                <w:tcPr>
                  <w:tcW w:w="3295" w:type="pct"/>
                  <w:tcBorders>
                    <w:tl2br w:val="nil"/>
                    <w:tr2bl w:val="nil"/>
                  </w:tcBorders>
                  <w:vAlign w:val="center"/>
                </w:tcPr>
                <w:p>
                  <w:pPr>
                    <w:keepNext w:val="0"/>
                    <w:keepLines w:val="0"/>
                    <w:pageBreakBefore w:val="0"/>
                    <w:kinsoku/>
                    <w:wordWrap/>
                    <w:topLinePunct w:val="0"/>
                    <w:bidi w:val="0"/>
                    <w:adjustRightInd/>
                    <w:snapToGrid w:val="0"/>
                    <w:jc w:val="both"/>
                    <w:textAlignment w:val="auto"/>
                    <w:rPr>
                      <w:rFonts w:hint="default" w:ascii="Times New Roman" w:hAnsi="Times New Roman" w:eastAsia="宋体" w:cs="Times New Roman"/>
                      <w:bCs/>
                      <w:color w:val="auto"/>
                      <w:kern w:val="44"/>
                      <w:szCs w:val="21"/>
                      <w:highlight w:val="none"/>
                    </w:rPr>
                  </w:pPr>
                  <w:r>
                    <w:rPr>
                      <w:rFonts w:hint="default" w:ascii="Times New Roman" w:hAnsi="Times New Roman" w:eastAsia="宋体" w:cs="Times New Roman"/>
                      <w:bCs/>
                      <w:color w:val="auto"/>
                      <w:kern w:val="44"/>
                      <w:szCs w:val="21"/>
                      <w:highlight w:val="none"/>
                    </w:rPr>
                    <w:t>项目生活垃圾暂存垃圾收集箱内，由环卫部门清运。</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339"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p>
              </w:tc>
              <w:tc>
                <w:tcPr>
                  <w:tcW w:w="489" w:type="pct"/>
                  <w:tcBorders>
                    <w:tl2br w:val="nil"/>
                    <w:tr2bl w:val="nil"/>
                  </w:tcBorders>
                  <w:vAlign w:val="center"/>
                </w:tcPr>
                <w:p>
                  <w:pPr>
                    <w:keepNext w:val="0"/>
                    <w:keepLines w:val="0"/>
                    <w:pageBreakBefore w:val="0"/>
                    <w:kinsoku/>
                    <w:wordWrap/>
                    <w:topLinePunct w:val="0"/>
                    <w:bidi w:val="0"/>
                    <w:adjustRightInd/>
                    <w:snapToGrid w:val="0"/>
                    <w:jc w:val="center"/>
                    <w:textAlignment w:val="auto"/>
                    <w:rPr>
                      <w:rFonts w:hint="eastAsia" w:ascii="Times New Roman" w:hAnsi="Times New Roman" w:eastAsia="宋体" w:cs="Times New Roman"/>
                      <w:bCs/>
                      <w:color w:val="auto"/>
                      <w:kern w:val="44"/>
                      <w:szCs w:val="21"/>
                      <w:highlight w:val="none"/>
                      <w:lang w:eastAsia="zh-CN"/>
                    </w:rPr>
                  </w:pPr>
                  <w:r>
                    <w:rPr>
                      <w:rFonts w:hint="eastAsia" w:cs="Times New Roman"/>
                      <w:bCs/>
                      <w:color w:val="auto"/>
                      <w:kern w:val="44"/>
                      <w:szCs w:val="21"/>
                      <w:highlight w:val="none"/>
                      <w:lang w:eastAsia="zh-CN"/>
                    </w:rPr>
                    <w:t>一般工业固废</w:t>
                  </w:r>
                </w:p>
              </w:tc>
              <w:tc>
                <w:tcPr>
                  <w:tcW w:w="3295" w:type="pct"/>
                  <w:tcBorders>
                    <w:tl2br w:val="nil"/>
                    <w:tr2bl w:val="nil"/>
                  </w:tcBorders>
                  <w:vAlign w:val="center"/>
                </w:tcPr>
                <w:p>
                  <w:pPr>
                    <w:keepNext w:val="0"/>
                    <w:keepLines w:val="0"/>
                    <w:pageBreakBefore w:val="0"/>
                    <w:kinsoku/>
                    <w:wordWrap/>
                    <w:topLinePunct w:val="0"/>
                    <w:bidi w:val="0"/>
                    <w:adjustRightInd/>
                    <w:snapToGrid w:val="0"/>
                    <w:jc w:val="both"/>
                    <w:textAlignment w:val="auto"/>
                    <w:rPr>
                      <w:rFonts w:hint="default" w:ascii="Times New Roman" w:hAnsi="Times New Roman" w:eastAsia="宋体" w:cs="Times New Roman"/>
                      <w:bCs/>
                      <w:color w:val="auto"/>
                      <w:kern w:val="44"/>
                      <w:szCs w:val="21"/>
                      <w:highlight w:val="none"/>
                    </w:rPr>
                  </w:pPr>
                  <w:r>
                    <w:rPr>
                      <w:rFonts w:hint="eastAsia"/>
                      <w:color w:val="000000"/>
                      <w:kern w:val="0"/>
                      <w:szCs w:val="21"/>
                      <w:highlight w:val="none"/>
                      <w:lang w:val="en-US" w:eastAsia="zh-CN" w:bidi="ar"/>
                    </w:rPr>
                    <w:t>项目产生的一般固废主要包括废铝绞线边角料和不合格品。其中废铝绞线边角料和不合格品，经收集后交由资源回收公司处理</w:t>
                  </w:r>
                  <w:r>
                    <w:rPr>
                      <w:rFonts w:hint="eastAsia" w:cs="Times New Roman"/>
                      <w:color w:val="auto"/>
                      <w:highlight w:val="none"/>
                      <w:lang w:val="en-US" w:eastAsia="zh-CN"/>
                    </w:rPr>
                    <w:t>。</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339" w:type="pct"/>
                  <w:vMerge w:val="continue"/>
                  <w:tcBorders>
                    <w:tl2br w:val="nil"/>
                    <w:tr2bl w:val="nil"/>
                  </w:tcBorders>
                  <w:vAlign w:val="top"/>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p>
              </w:tc>
              <w:tc>
                <w:tcPr>
                  <w:tcW w:w="489" w:type="pct"/>
                  <w:tcBorders>
                    <w:tl2br w:val="nil"/>
                    <w:tr2bl w:val="nil"/>
                  </w:tcBorders>
                  <w:vAlign w:val="center"/>
                </w:tcPr>
                <w:p>
                  <w:pPr>
                    <w:keepNext w:val="0"/>
                    <w:keepLines w:val="0"/>
                    <w:pageBreakBefore w:val="0"/>
                    <w:kinsoku/>
                    <w:wordWrap/>
                    <w:topLinePunct w:val="0"/>
                    <w:bidi w:val="0"/>
                    <w:adjustRightInd/>
                    <w:snapToGrid w:val="0"/>
                    <w:jc w:val="center"/>
                    <w:textAlignment w:val="auto"/>
                    <w:rPr>
                      <w:rFonts w:hint="eastAsia" w:ascii="Times New Roman" w:hAnsi="Times New Roman" w:eastAsia="宋体" w:cs="Times New Roman"/>
                      <w:bCs/>
                      <w:color w:val="auto"/>
                      <w:kern w:val="44"/>
                      <w:szCs w:val="21"/>
                      <w:highlight w:val="none"/>
                      <w:lang w:eastAsia="zh-CN"/>
                    </w:rPr>
                  </w:pPr>
                  <w:r>
                    <w:rPr>
                      <w:rFonts w:hint="eastAsia" w:cs="Times New Roman"/>
                      <w:bCs/>
                      <w:color w:val="auto"/>
                      <w:kern w:val="44"/>
                      <w:szCs w:val="21"/>
                      <w:highlight w:val="none"/>
                      <w:lang w:eastAsia="zh-CN"/>
                    </w:rPr>
                    <w:t>危险废物</w:t>
                  </w:r>
                </w:p>
              </w:tc>
              <w:tc>
                <w:tcPr>
                  <w:tcW w:w="3295" w:type="pct"/>
                  <w:tcBorders>
                    <w:tl2br w:val="nil"/>
                    <w:tr2bl w:val="nil"/>
                  </w:tcBorders>
                  <w:vAlign w:val="center"/>
                </w:tcPr>
                <w:p>
                  <w:pPr>
                    <w:keepNext w:val="0"/>
                    <w:keepLines w:val="0"/>
                    <w:pageBreakBefore w:val="0"/>
                    <w:kinsoku/>
                    <w:wordWrap/>
                    <w:topLinePunct w:val="0"/>
                    <w:bidi w:val="0"/>
                    <w:adjustRightInd/>
                    <w:snapToGrid w:val="0"/>
                    <w:jc w:val="both"/>
                    <w:textAlignment w:val="auto"/>
                    <w:rPr>
                      <w:rFonts w:hint="default" w:ascii="Times New Roman" w:hAnsi="Times New Roman" w:eastAsia="宋体" w:cs="Times New Roman"/>
                      <w:bCs/>
                      <w:color w:val="auto"/>
                      <w:kern w:val="44"/>
                      <w:szCs w:val="21"/>
                      <w:highlight w:val="none"/>
                    </w:rPr>
                  </w:pPr>
                  <w:r>
                    <w:rPr>
                      <w:rFonts w:hint="eastAsia"/>
                      <w:color w:val="000000"/>
                      <w:kern w:val="0"/>
                      <w:szCs w:val="21"/>
                      <w:highlight w:val="none"/>
                      <w:lang w:val="en-US" w:eastAsia="zh-CN" w:bidi="ar"/>
                    </w:rPr>
                    <w:t>危险废物主要为废拉丝油及油泥、废机油、废包装桶（废机油桶、废拉丝油桶）、废含油抹布，暂存危废暂存间，定期交由有相应危险废物处理资质单位进行处理。</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pct"/>
                  <w:vMerge w:val="continue"/>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kern w:val="2"/>
                      <w:highlight w:val="none"/>
                    </w:rPr>
                  </w:pPr>
                </w:p>
              </w:tc>
              <w:tc>
                <w:tcPr>
                  <w:tcW w:w="828" w:type="pct"/>
                  <w:gridSpan w:val="2"/>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3295" w:type="pct"/>
                  <w:tcBorders>
                    <w:tl2br w:val="nil"/>
                    <w:tr2bl w:val="nil"/>
                  </w:tcBorders>
                  <w:vAlign w:val="center"/>
                </w:tcPr>
                <w:p>
                  <w:pPr>
                    <w:pStyle w:val="67"/>
                    <w:keepNext w:val="0"/>
                    <w:keepLines w:val="0"/>
                    <w:pageBreakBefore w:val="0"/>
                    <w:kinsoku/>
                    <w:wordWrap/>
                    <w:topLinePunct w:val="0"/>
                    <w:bidi w:val="0"/>
                    <w:snapToGrid w:val="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bCs/>
                      <w:color w:val="auto"/>
                      <w:highlight w:val="none"/>
                      <w:lang w:val="zh-CN"/>
                    </w:rPr>
                    <w:t>选用低噪声设备，</w:t>
                  </w:r>
                  <w:r>
                    <w:rPr>
                      <w:rFonts w:hint="eastAsia" w:cs="Times New Roman"/>
                      <w:bCs/>
                      <w:color w:val="auto"/>
                      <w:highlight w:val="none"/>
                      <w:lang w:val="zh-CN"/>
                    </w:rPr>
                    <w:t>进行</w:t>
                  </w:r>
                  <w:r>
                    <w:rPr>
                      <w:rFonts w:hint="default" w:ascii="Times New Roman" w:hAnsi="Times New Roman" w:eastAsia="宋体" w:cs="Times New Roman"/>
                      <w:bCs/>
                      <w:color w:val="auto"/>
                      <w:highlight w:val="none"/>
                      <w:lang w:val="zh-CN"/>
                    </w:rPr>
                    <w:t>基础减</w:t>
                  </w:r>
                  <w:r>
                    <w:rPr>
                      <w:rFonts w:hint="eastAsia" w:cs="Times New Roman"/>
                      <w:bCs/>
                      <w:color w:val="auto"/>
                      <w:highlight w:val="none"/>
                      <w:lang w:val="en-US" w:eastAsia="zh-CN"/>
                    </w:rPr>
                    <w:t>振</w:t>
                  </w:r>
                  <w:r>
                    <w:rPr>
                      <w:rFonts w:hint="eastAsia" w:cs="Times New Roman"/>
                      <w:bCs/>
                      <w:color w:val="auto"/>
                      <w:highlight w:val="none"/>
                      <w:lang w:val="zh-CN"/>
                    </w:rPr>
                    <w:t>、</w:t>
                  </w:r>
                  <w:r>
                    <w:rPr>
                      <w:rFonts w:hint="default" w:ascii="Times New Roman" w:hAnsi="Times New Roman" w:eastAsia="宋体" w:cs="Times New Roman"/>
                      <w:bCs/>
                      <w:color w:val="auto"/>
                      <w:highlight w:val="none"/>
                      <w:lang w:val="zh-CN"/>
                    </w:rPr>
                    <w:t>厂房隔声，合理布局</w:t>
                  </w:r>
                  <w:r>
                    <w:rPr>
                      <w:spacing w:val="3"/>
                    </w:rPr>
                    <w:t>噪声源</w:t>
                  </w:r>
                  <w:r>
                    <w:rPr>
                      <w:rFonts w:hint="default" w:ascii="Times New Roman" w:hAnsi="Times New Roman" w:eastAsia="宋体" w:cs="Times New Roman"/>
                      <w:bCs/>
                      <w:color w:val="auto"/>
                      <w:highlight w:val="none"/>
                      <w:lang w:val="zh-CN"/>
                    </w:rPr>
                    <w:t>。</w:t>
                  </w:r>
                </w:p>
              </w:tc>
              <w:tc>
                <w:tcPr>
                  <w:tcW w:w="411" w:type="pct"/>
                  <w:tcBorders>
                    <w:tl2br w:val="nil"/>
                    <w:tr2bl w:val="nil"/>
                  </w:tcBorders>
                  <w:vAlign w:val="center"/>
                </w:tcPr>
                <w:p>
                  <w:pPr>
                    <w:pStyle w:val="67"/>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bl>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4、主要设备</w:t>
            </w:r>
          </w:p>
          <w:p>
            <w:pPr>
              <w:pStyle w:val="66"/>
              <w:keepNext w:val="0"/>
              <w:keepLines w:val="0"/>
              <w:pageBreakBefore w:val="0"/>
              <w:kinsoku/>
              <w:wordWrap/>
              <w:overflowPunct/>
              <w:topLinePunct w:val="0"/>
              <w:bidi w:val="0"/>
              <w:adjustRightInd w:val="0"/>
              <w:snapToGrid w:val="0"/>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项目主要生产设备见下表。</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eastAsia" w:ascii="Times New Roman" w:hAnsi="Times New Roman" w:eastAsia="宋体" w:cs="Times New Roman"/>
                <w:color w:val="auto"/>
                <w:highlight w:val="none"/>
                <w:lang w:val="en-US" w:eastAsia="zh-CN"/>
              </w:rPr>
              <w:t xml:space="preserve">2   </w:t>
            </w:r>
            <w:r>
              <w:rPr>
                <w:rFonts w:hint="default" w:ascii="Times New Roman" w:hAnsi="Times New Roman" w:eastAsia="宋体" w:cs="Times New Roman"/>
                <w:color w:val="auto"/>
                <w:highlight w:val="none"/>
              </w:rPr>
              <w:t>主要设备一览表</w:t>
            </w:r>
          </w:p>
          <w:tbl>
            <w:tblPr>
              <w:tblStyle w:val="124"/>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267"/>
              <w:gridCol w:w="1985"/>
              <w:gridCol w:w="1184"/>
              <w:gridCol w:w="972"/>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25"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1248"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设备型号</w:t>
                  </w:r>
                </w:p>
              </w:tc>
              <w:tc>
                <w:tcPr>
                  <w:tcW w:w="744"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611"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502"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67"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7"/>
                      <w:kern w:val="2"/>
                      <w:sz w:val="21"/>
                      <w:szCs w:val="21"/>
                      <w:highlight w:val="none"/>
                      <w:lang w:val="en-US" w:eastAsia="en-US" w:bidi="ar-SA"/>
                    </w:rPr>
                  </w:pPr>
                  <w:r>
                    <w:rPr>
                      <w:rFonts w:hint="eastAsia" w:ascii="Times New Roman" w:hAnsi="Times New Roman" w:eastAsia="宋体" w:cs="Times New Roman"/>
                      <w:color w:val="auto"/>
                      <w:spacing w:val="7"/>
                      <w:kern w:val="2"/>
                      <w:sz w:val="21"/>
                      <w:szCs w:val="21"/>
                      <w:highlight w:val="none"/>
                      <w:lang w:val="en-US" w:eastAsia="zh-CN" w:bidi="ar-SA"/>
                    </w:rPr>
                    <w:t>60盘框绞机</w:t>
                  </w:r>
                </w:p>
              </w:tc>
              <w:tc>
                <w:tcPr>
                  <w:tcW w:w="1248"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4" w:type="pct"/>
                  <w:tcBorders>
                    <w:tl2br w:val="nil"/>
                    <w:tr2bl w:val="nil"/>
                  </w:tcBorders>
                  <w:vAlign w:val="top"/>
                </w:tcPr>
                <w:p>
                  <w:pPr>
                    <w:pStyle w:val="167"/>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11" w:type="pct"/>
                  <w:tcBorders>
                    <w:tl2br w:val="nil"/>
                    <w:tr2bl w:val="nil"/>
                  </w:tcBorders>
                  <w:vAlign w:val="top"/>
                </w:tcPr>
                <w:p>
                  <w:pPr>
                    <w:pStyle w:val="167"/>
                    <w:spacing w:line="240" w:lineRule="auto"/>
                    <w:ind w:left="0" w:left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w:t>
                  </w:r>
                </w:p>
              </w:tc>
              <w:tc>
                <w:tcPr>
                  <w:tcW w:w="502"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7"/>
                      <w:kern w:val="2"/>
                      <w:sz w:val="21"/>
                      <w:szCs w:val="21"/>
                      <w:highlight w:val="none"/>
                      <w:lang w:val="en-US" w:eastAsia="en-US" w:bidi="ar-SA"/>
                    </w:rPr>
                  </w:pPr>
                  <w:r>
                    <w:rPr>
                      <w:rFonts w:hint="eastAsia" w:ascii="Times New Roman" w:hAnsi="Times New Roman" w:eastAsia="宋体" w:cs="Times New Roman"/>
                      <w:color w:val="auto"/>
                      <w:spacing w:val="7"/>
                      <w:kern w:val="2"/>
                      <w:sz w:val="21"/>
                      <w:szCs w:val="21"/>
                      <w:highlight w:val="none"/>
                      <w:lang w:val="en-US" w:eastAsia="zh-CN" w:bidi="ar-SA"/>
                    </w:rPr>
                    <w:t>54盘框绞机</w:t>
                  </w:r>
                </w:p>
              </w:tc>
              <w:tc>
                <w:tcPr>
                  <w:tcW w:w="1248"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4" w:type="pct"/>
                  <w:tcBorders>
                    <w:tl2br w:val="nil"/>
                    <w:tr2bl w:val="nil"/>
                  </w:tcBorders>
                  <w:vAlign w:val="top"/>
                </w:tcPr>
                <w:p>
                  <w:pPr>
                    <w:pStyle w:val="167"/>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11" w:type="pct"/>
                  <w:tcBorders>
                    <w:tl2br w:val="nil"/>
                    <w:tr2bl w:val="nil"/>
                  </w:tcBorders>
                  <w:vAlign w:val="top"/>
                </w:tcPr>
                <w:p>
                  <w:pPr>
                    <w:pStyle w:val="167"/>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2"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67" w:type="pct"/>
                  <w:tcBorders>
                    <w:tl2br w:val="nil"/>
                    <w:tr2bl w:val="nil"/>
                  </w:tcBorders>
                  <w:vAlign w:val="center"/>
                </w:tcPr>
                <w:p>
                  <w:pPr>
                    <w:pStyle w:val="67"/>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14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7"/>
                      <w:kern w:val="2"/>
                      <w:sz w:val="21"/>
                      <w:szCs w:val="21"/>
                      <w:highlight w:val="none"/>
                      <w:lang w:val="en-US" w:eastAsia="en-US" w:bidi="ar-SA"/>
                    </w:rPr>
                  </w:pPr>
                  <w:r>
                    <w:rPr>
                      <w:rFonts w:hint="eastAsia" w:ascii="Times New Roman" w:hAnsi="Times New Roman" w:eastAsia="宋体" w:cs="Times New Roman"/>
                      <w:color w:val="auto"/>
                      <w:spacing w:val="7"/>
                      <w:kern w:val="2"/>
                      <w:sz w:val="21"/>
                      <w:szCs w:val="21"/>
                      <w:highlight w:val="none"/>
                      <w:lang w:val="en-US" w:eastAsia="zh-CN" w:bidi="ar-SA"/>
                    </w:rPr>
                    <w:t>拉丝机</w:t>
                  </w:r>
                </w:p>
              </w:tc>
              <w:tc>
                <w:tcPr>
                  <w:tcW w:w="1248"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4" w:type="pct"/>
                  <w:tcBorders>
                    <w:tl2br w:val="nil"/>
                    <w:tr2bl w:val="nil"/>
                  </w:tcBorders>
                  <w:vAlign w:val="top"/>
                </w:tcPr>
                <w:p>
                  <w:pPr>
                    <w:pStyle w:val="167"/>
                    <w:spacing w:line="240" w:lineRule="auto"/>
                    <w:ind w:left="0" w:lef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套</w:t>
                  </w:r>
                </w:p>
              </w:tc>
              <w:tc>
                <w:tcPr>
                  <w:tcW w:w="611" w:type="pct"/>
                  <w:tcBorders>
                    <w:tl2br w:val="nil"/>
                    <w:tr2bl w:val="nil"/>
                  </w:tcBorders>
                  <w:vAlign w:val="top"/>
                </w:tcPr>
                <w:p>
                  <w:pPr>
                    <w:pStyle w:val="167"/>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502"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tcBorders>
                    <w:tl2br w:val="nil"/>
                    <w:tr2bl w:val="nil"/>
                  </w:tcBorders>
                  <w:vAlign w:val="center"/>
                </w:tcPr>
                <w:p>
                  <w:pPr>
                    <w:pStyle w:val="67"/>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14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7"/>
                      <w:kern w:val="2"/>
                      <w:sz w:val="21"/>
                      <w:szCs w:val="21"/>
                      <w:highlight w:val="none"/>
                      <w:lang w:val="en-US" w:eastAsia="en-US" w:bidi="ar-SA"/>
                    </w:rPr>
                  </w:pPr>
                  <w:r>
                    <w:rPr>
                      <w:rFonts w:hint="eastAsia" w:ascii="Times New Roman" w:hAnsi="Times New Roman" w:eastAsia="宋体" w:cs="Times New Roman"/>
                      <w:color w:val="auto"/>
                      <w:spacing w:val="7"/>
                      <w:kern w:val="2"/>
                      <w:sz w:val="21"/>
                      <w:szCs w:val="21"/>
                      <w:highlight w:val="none"/>
                      <w:lang w:val="en-US" w:eastAsia="zh-CN" w:bidi="ar-SA"/>
                    </w:rPr>
                    <w:t>并丝机</w:t>
                  </w:r>
                </w:p>
              </w:tc>
              <w:tc>
                <w:tcPr>
                  <w:tcW w:w="1248"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4" w:type="pct"/>
                  <w:tcBorders>
                    <w:tl2br w:val="nil"/>
                    <w:tr2bl w:val="nil"/>
                  </w:tcBorders>
                  <w:vAlign w:val="top"/>
                </w:tcPr>
                <w:p>
                  <w:pPr>
                    <w:pStyle w:val="167"/>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11" w:type="pct"/>
                  <w:tcBorders>
                    <w:tl2br w:val="nil"/>
                    <w:tr2bl w:val="nil"/>
                  </w:tcBorders>
                  <w:vAlign w:val="top"/>
                </w:tcPr>
                <w:p>
                  <w:pPr>
                    <w:pStyle w:val="167"/>
                    <w:spacing w:line="240" w:lineRule="auto"/>
                    <w:ind w:left="0" w:left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502" w:type="pct"/>
                  <w:tcBorders>
                    <w:tl2br w:val="nil"/>
                    <w:tr2bl w:val="nil"/>
                  </w:tcBorders>
                  <w:vAlign w:val="center"/>
                </w:tcPr>
                <w:p>
                  <w:pPr>
                    <w:pStyle w:val="6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bCs/>
                <w:color w:val="auto"/>
                <w:spacing w:val="0"/>
                <w:sz w:val="24"/>
                <w:szCs w:val="24"/>
                <w:vertAlign w:val="baseline"/>
                <w:lang w:val="en-US" w:eastAsia="zh-CN"/>
              </w:rPr>
              <w:t>5、</w:t>
            </w:r>
            <w:r>
              <w:rPr>
                <w:rFonts w:hint="default" w:ascii="Times New Roman" w:hAnsi="Times New Roman" w:eastAsia="宋体" w:cs="Times New Roman"/>
                <w:b/>
                <w:bCs/>
                <w:color w:val="auto"/>
                <w:spacing w:val="0"/>
                <w:sz w:val="24"/>
                <w:szCs w:val="24"/>
                <w:vertAlign w:val="baseline"/>
                <w:lang w:val="en-US" w:eastAsia="zh-CN"/>
              </w:rPr>
              <w:t>主要原辅材料</w:t>
            </w:r>
          </w:p>
          <w:p>
            <w:pPr>
              <w:pStyle w:val="66"/>
              <w:keepNext w:val="0"/>
              <w:keepLines w:val="0"/>
              <w:pageBreakBefore w:val="0"/>
              <w:kinsoku/>
              <w:wordWrap/>
              <w:overflowPunct/>
              <w:topLinePunct w:val="0"/>
              <w:bidi w:val="0"/>
              <w:adjustRightInd w:val="0"/>
              <w:snapToGrid w:val="0"/>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（1）项目</w:t>
            </w:r>
            <w:r>
              <w:rPr>
                <w:rFonts w:hint="default" w:ascii="Times New Roman" w:hAnsi="Times New Roman" w:eastAsia="宋体" w:cs="Times New Roman"/>
                <w:color w:val="auto"/>
                <w:highlight w:val="none"/>
                <w:lang w:val="en-US" w:eastAsia="zh-CN"/>
              </w:rPr>
              <w:t>主要原辅材料及能耗用量情况见下表2-</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ascii="Times New Roman" w:hAnsi="Times New Roman" w:eastAsia="宋体" w:cs="Times New Roman"/>
                <w:color w:val="auto"/>
                <w:highlight w:val="none"/>
                <w:lang w:val="en-US" w:eastAsia="zh-CN"/>
              </w:rPr>
              <w:t xml:space="preserve">3 </w:t>
            </w:r>
            <w:r>
              <w:rPr>
                <w:rFonts w:hint="default" w:ascii="Times New Roman" w:hAnsi="Times New Roman" w:eastAsia="宋体" w:cs="Times New Roman"/>
                <w:color w:val="auto"/>
                <w:highlight w:val="none"/>
                <w:lang w:val="en-US" w:eastAsia="zh-CN"/>
              </w:rPr>
              <w:t xml:space="preserve">  项目</w:t>
            </w:r>
            <w:r>
              <w:rPr>
                <w:rFonts w:hint="eastAsia" w:ascii="Times New Roman" w:hAnsi="Times New Roman" w:eastAsia="宋体" w:cs="Times New Roman"/>
                <w:color w:val="auto"/>
                <w:highlight w:val="none"/>
                <w:lang w:val="en-US" w:eastAsia="zh-CN"/>
              </w:rPr>
              <w:t>主要</w:t>
            </w:r>
            <w:r>
              <w:rPr>
                <w:rFonts w:hint="default" w:ascii="Times New Roman" w:hAnsi="Times New Roman" w:eastAsia="宋体" w:cs="Times New Roman"/>
                <w:color w:val="auto"/>
                <w:highlight w:val="none"/>
                <w:lang w:val="en-US" w:eastAsia="zh-CN"/>
              </w:rPr>
              <w:t>原辅料及能源消耗一览表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502"/>
              <w:gridCol w:w="1414"/>
              <w:gridCol w:w="3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pacing w:val="0"/>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eastAsia="zh-CN"/>
                      <w14:textFill>
                        <w14:solidFill>
                          <w14:schemeClr w14:val="tx1"/>
                        </w14:solidFill>
                      </w14:textFill>
                    </w:rPr>
                    <w:t>原辅材料</w:t>
                  </w:r>
                </w:p>
              </w:tc>
              <w:tc>
                <w:tcPr>
                  <w:tcW w:w="9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eastAsia="zh-CN"/>
                      <w14:textFill>
                        <w14:solidFill>
                          <w14:schemeClr w14:val="tx1"/>
                        </w14:solidFill>
                      </w14:textFill>
                    </w:rPr>
                    <w:t>年用量</w:t>
                  </w:r>
                </w:p>
              </w:tc>
              <w:tc>
                <w:tcPr>
                  <w:tcW w:w="90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最大存在量</w:t>
                  </w:r>
                </w:p>
              </w:tc>
              <w:tc>
                <w:tcPr>
                  <w:tcW w:w="22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pacing w:val="0"/>
                      <w:sz w:val="21"/>
                      <w:szCs w:val="21"/>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pacing w:val="0"/>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铝杆</w:t>
                  </w:r>
                </w:p>
              </w:tc>
              <w:tc>
                <w:tcPr>
                  <w:tcW w:w="957"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themeColor="text1"/>
                      <w:spacing w:val="0"/>
                      <w:kern w:val="2"/>
                      <w:sz w:val="21"/>
                      <w:szCs w:val="24"/>
                      <w:highlight w:val="none"/>
                      <w:vertAlign w:val="baseline"/>
                      <w:lang w:val="en-US" w:eastAsia="zh-CN" w:bidi="ar-SA"/>
                      <w14:textFill>
                        <w14:solidFill>
                          <w14:schemeClr w14:val="tx1"/>
                        </w14:solidFill>
                      </w14:textFill>
                    </w:rPr>
                  </w:pPr>
                  <w:r>
                    <w:rPr>
                      <w:rFonts w:hint="eastAsia" w:cs="Times New Roman"/>
                      <w:color w:val="000000" w:themeColor="text1"/>
                      <w:spacing w:val="0"/>
                      <w:highlight w:val="none"/>
                      <w:vertAlign w:val="baseline"/>
                      <w:lang w:val="en-US" w:eastAsia="zh-CN"/>
                      <w14:textFill>
                        <w14:solidFill>
                          <w14:schemeClr w14:val="tx1"/>
                        </w14:solidFill>
                      </w14:textFill>
                    </w:rPr>
                    <w:t>3000</w:t>
                  </w:r>
                  <w:r>
                    <w:rPr>
                      <w:rFonts w:hint="eastAsia" w:ascii="Times New Roman" w:hAnsi="Times New Roman" w:cs="Times New Roman"/>
                      <w:color w:val="000000" w:themeColor="text1"/>
                      <w:spacing w:val="0"/>
                      <w:highlight w:val="none"/>
                      <w:vertAlign w:val="baseline"/>
                      <w:lang w:val="en-US" w:eastAsia="zh-CN"/>
                      <w14:textFill>
                        <w14:solidFill>
                          <w14:schemeClr w14:val="tx1"/>
                        </w14:solidFill>
                      </w14:textFill>
                    </w:rPr>
                    <w:t>t</w:t>
                  </w:r>
                </w:p>
              </w:tc>
              <w:tc>
                <w:tcPr>
                  <w:tcW w:w="901"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highlight w:val="none"/>
                      <w:vertAlign w:val="baseline"/>
                      <w:lang w:val="en-US" w:eastAsia="zh-CN"/>
                      <w14:textFill>
                        <w14:solidFill>
                          <w14:schemeClr w14:val="tx1"/>
                        </w14:solidFill>
                      </w14:textFill>
                    </w:rPr>
                  </w:pPr>
                  <w:r>
                    <w:rPr>
                      <w:rFonts w:hint="eastAsia" w:cs="Times New Roman"/>
                      <w:color w:val="000000" w:themeColor="text1"/>
                      <w:spacing w:val="0"/>
                      <w:highlight w:val="none"/>
                      <w:vertAlign w:val="baseline"/>
                      <w:lang w:val="en-US" w:eastAsia="zh-CN"/>
                      <w14:textFill>
                        <w14:solidFill>
                          <w14:schemeClr w14:val="tx1"/>
                        </w14:solidFill>
                      </w14:textFill>
                    </w:rPr>
                    <w:t>1000t</w:t>
                  </w:r>
                </w:p>
              </w:tc>
              <w:tc>
                <w:tcPr>
                  <w:tcW w:w="2229" w:type="pct"/>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t>用于</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生产小规格</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铝镁丝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000000" w:themeColor="text1"/>
                      <w:spacing w:val="0"/>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0"/>
                      <w:highlight w:val="none"/>
                      <w:vertAlign w:val="baseline"/>
                      <w:lang w:val="en-US" w:eastAsia="zh-CN"/>
                      <w14:textFill>
                        <w14:solidFill>
                          <w14:schemeClr w14:val="tx1"/>
                        </w14:solidFill>
                      </w14:textFill>
                    </w:rPr>
                    <w:t>拉丝油</w:t>
                  </w:r>
                </w:p>
              </w:tc>
              <w:tc>
                <w:tcPr>
                  <w:tcW w:w="9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highlight w:val="none"/>
                      <w:vertAlign w:val="baseline"/>
                      <w:lang w:val="en-US" w:eastAsia="zh-CN"/>
                      <w14:textFill>
                        <w14:solidFill>
                          <w14:schemeClr w14:val="tx1"/>
                        </w14:solidFill>
                      </w14:textFill>
                    </w:rPr>
                  </w:pPr>
                  <w:r>
                    <w:rPr>
                      <w:rFonts w:hint="eastAsia" w:cs="Times New Roman"/>
                      <w:color w:val="000000" w:themeColor="text1"/>
                      <w:spacing w:val="0"/>
                      <w:highlight w:val="none"/>
                      <w:vertAlign w:val="baseline"/>
                      <w:lang w:val="en-US" w:eastAsia="zh-CN"/>
                      <w14:textFill>
                        <w14:solidFill>
                          <w14:schemeClr w14:val="tx1"/>
                        </w14:solidFill>
                      </w14:textFill>
                    </w:rPr>
                    <w:t>26</w:t>
                  </w:r>
                  <w:r>
                    <w:rPr>
                      <w:rFonts w:hint="eastAsia" w:ascii="Times New Roman" w:hAnsi="Times New Roman" w:cs="Times New Roman"/>
                      <w:color w:val="000000" w:themeColor="text1"/>
                      <w:spacing w:val="0"/>
                      <w:highlight w:val="none"/>
                      <w:vertAlign w:val="baseline"/>
                      <w:lang w:val="en-US" w:eastAsia="zh-CN"/>
                      <w14:textFill>
                        <w14:solidFill>
                          <w14:schemeClr w14:val="tx1"/>
                        </w14:solidFill>
                      </w14:textFill>
                    </w:rPr>
                    <w:t>t</w:t>
                  </w:r>
                </w:p>
              </w:tc>
              <w:tc>
                <w:tcPr>
                  <w:tcW w:w="90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highlight w:val="none"/>
                      <w:vertAlign w:val="baseline"/>
                      <w:lang w:val="en-US" w:eastAsia="zh-CN"/>
                      <w14:textFill>
                        <w14:solidFill>
                          <w14:schemeClr w14:val="tx1"/>
                        </w14:solidFill>
                      </w14:textFill>
                    </w:rPr>
                  </w:pPr>
                  <w:r>
                    <w:rPr>
                      <w:rFonts w:hint="eastAsia" w:cs="Times New Roman"/>
                      <w:color w:val="000000" w:themeColor="text1"/>
                      <w:spacing w:val="0"/>
                      <w:highlight w:val="none"/>
                      <w:vertAlign w:val="baseline"/>
                      <w:lang w:val="en-US" w:eastAsia="zh-CN"/>
                      <w14:textFill>
                        <w14:solidFill>
                          <w14:schemeClr w14:val="tx1"/>
                        </w14:solidFill>
                      </w14:textFill>
                    </w:rPr>
                    <w:t>8t</w:t>
                  </w:r>
                </w:p>
              </w:tc>
              <w:tc>
                <w:tcPr>
                  <w:tcW w:w="22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t>用于拉丝过程</w:t>
                  </w:r>
                  <w:r>
                    <w:rPr>
                      <w:rFonts w:hint="eastAsia" w:cs="Times New Roman"/>
                      <w:color w:val="000000" w:themeColor="text1"/>
                      <w:spacing w:val="0"/>
                      <w:sz w:val="21"/>
                      <w:szCs w:val="21"/>
                      <w:highlight w:val="none"/>
                      <w:vertAlign w:val="baseline"/>
                      <w:lang w:val="en-US" w:eastAsia="zh-CN"/>
                      <w14:textFill>
                        <w14:solidFill>
                          <w14:schemeClr w14:val="tx1"/>
                        </w14:solidFill>
                      </w14:textFill>
                    </w:rPr>
                    <w:t>，损耗量为10t/a，全部作为危废处置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pacing w:val="0"/>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vertAlign w:val="baseline"/>
                      <w:lang w:eastAsia="zh-CN"/>
                      <w14:textFill>
                        <w14:solidFill>
                          <w14:schemeClr w14:val="tx1"/>
                        </w14:solidFill>
                      </w14:textFill>
                    </w:rPr>
                    <w:t>水</w:t>
                  </w:r>
                </w:p>
              </w:tc>
              <w:tc>
                <w:tcPr>
                  <w:tcW w:w="9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136</w:t>
                  </w:r>
                  <w:r>
                    <w:rPr>
                      <w:rFonts w:hint="eastAsia"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t>m³</w:t>
                  </w:r>
                </w:p>
              </w:tc>
              <w:tc>
                <w:tcPr>
                  <w:tcW w:w="90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w:t>
                  </w:r>
                </w:p>
              </w:tc>
              <w:tc>
                <w:tcPr>
                  <w:tcW w:w="22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highlight w:val="none"/>
                      <w:lang w:eastAsia="zh-CN"/>
                      <w14:textFill>
                        <w14:solidFill>
                          <w14:schemeClr w14:val="tx1"/>
                        </w14:solidFill>
                      </w14:textFill>
                    </w:rPr>
                    <w:t>市政供水管网供水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highlight w:val="none"/>
                      <w:vertAlign w:val="baseli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vertAlign w:val="baseline"/>
                      <w:lang w:eastAsia="zh-CN"/>
                      <w14:textFill>
                        <w14:solidFill>
                          <w14:schemeClr w14:val="tx1"/>
                        </w14:solidFill>
                      </w14:textFill>
                    </w:rPr>
                    <w:t>电</w:t>
                  </w:r>
                </w:p>
              </w:tc>
              <w:tc>
                <w:tcPr>
                  <w:tcW w:w="957" w:type="pct"/>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70</w:t>
                  </w:r>
                  <w:r>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t>万</w:t>
                  </w:r>
                  <w:r>
                    <w:rPr>
                      <w:rFonts w:hint="eastAsia"/>
                      <w:color w:val="000000" w:themeColor="text1"/>
                      <w:sz w:val="21"/>
                      <w:szCs w:val="21"/>
                      <w:highlight w:val="none"/>
                      <w:lang w:val="en-US" w:eastAsia="zh-CN"/>
                      <w14:textFill>
                        <w14:solidFill>
                          <w14:schemeClr w14:val="tx1"/>
                        </w14:solidFill>
                      </w14:textFill>
                    </w:rPr>
                    <w:t>kW</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h</w:t>
                  </w:r>
                </w:p>
              </w:tc>
              <w:tc>
                <w:tcPr>
                  <w:tcW w:w="901" w:type="pct"/>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sz w:val="21"/>
                      <w:szCs w:val="21"/>
                      <w:highlight w:val="none"/>
                      <w:vertAlign w:val="baseline"/>
                      <w:lang w:val="en-US" w:eastAsia="zh-CN"/>
                      <w14:textFill>
                        <w14:solidFill>
                          <w14:schemeClr w14:val="tx1"/>
                        </w14:solidFill>
                      </w14:textFill>
                    </w:rPr>
                    <w:t>/</w:t>
                  </w:r>
                </w:p>
              </w:tc>
              <w:tc>
                <w:tcPr>
                  <w:tcW w:w="22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sz w:val="21"/>
                      <w:szCs w:val="21"/>
                      <w:highlight w:val="none"/>
                      <w:u w:val="none"/>
                      <w:vertAlign w:val="baseline"/>
                      <w:lang w:val="en-US" w:eastAsia="zh-CN"/>
                      <w14:textFill>
                        <w14:solidFill>
                          <w14:schemeClr w14:val="tx1"/>
                        </w14:solidFill>
                      </w14:textFill>
                    </w:rPr>
                    <w:t>市政</w:t>
                  </w:r>
                  <w:r>
                    <w:rPr>
                      <w:rFonts w:hint="eastAsia" w:ascii="Times New Roman" w:hAnsi="Times New Roman" w:eastAsia="宋体" w:cs="Times New Roman"/>
                      <w:b w:val="0"/>
                      <w:bCs w:val="0"/>
                      <w:color w:val="000000" w:themeColor="text1"/>
                      <w:spacing w:val="0"/>
                      <w:sz w:val="21"/>
                      <w:szCs w:val="21"/>
                      <w:highlight w:val="none"/>
                      <w:u w:val="none"/>
                      <w:vertAlign w:val="baseline"/>
                      <w:lang w:val="en-US" w:eastAsia="zh-CN"/>
                      <w14:textFill>
                        <w14:solidFill>
                          <w14:schemeClr w14:val="tx1"/>
                        </w14:solidFill>
                      </w14:textFill>
                    </w:rPr>
                    <w:t>电网</w:t>
                  </w:r>
                  <w:r>
                    <w:rPr>
                      <w:rFonts w:hint="default" w:ascii="Times New Roman" w:hAnsi="Times New Roman" w:eastAsia="宋体" w:cs="Times New Roman"/>
                      <w:b w:val="0"/>
                      <w:bCs w:val="0"/>
                      <w:color w:val="000000" w:themeColor="text1"/>
                      <w:spacing w:val="0"/>
                      <w:sz w:val="21"/>
                      <w:szCs w:val="21"/>
                      <w:highlight w:val="none"/>
                      <w:u w:val="none"/>
                      <w:vertAlign w:val="baseline"/>
                      <w:lang w:val="en-US" w:eastAsia="zh-CN"/>
                      <w14:textFill>
                        <w14:solidFill>
                          <w14:schemeClr w14:val="tx1"/>
                        </w14:solidFill>
                      </w14:textFill>
                    </w:rPr>
                    <w:t>供</w:t>
                  </w:r>
                  <w:r>
                    <w:rPr>
                      <w:rFonts w:hint="default" w:ascii="Times New Roman" w:hAnsi="Times New Roman" w:cs="Times New Roman"/>
                      <w:b w:val="0"/>
                      <w:bCs w:val="0"/>
                      <w:color w:val="000000" w:themeColor="text1"/>
                      <w:spacing w:val="0"/>
                      <w:sz w:val="21"/>
                      <w:szCs w:val="21"/>
                      <w:highlight w:val="none"/>
                      <w:u w:val="none"/>
                      <w:vertAlign w:val="baseline"/>
                      <w:lang w:val="en-US" w:eastAsia="zh-CN"/>
                      <w14:textFill>
                        <w14:solidFill>
                          <w14:schemeClr w14:val="tx1"/>
                        </w14:solidFill>
                      </w14:textFill>
                    </w:rPr>
                    <w:t>电</w:t>
                  </w:r>
                </w:p>
              </w:tc>
            </w:tr>
          </w:tbl>
          <w:p>
            <w:pPr>
              <w:keepNext w:val="0"/>
              <w:keepLines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拉丝油</w:t>
            </w:r>
            <w:r>
              <w:rPr>
                <w:rFonts w:hint="default" w:ascii="Times New Roman" w:hAnsi="Times New Roman" w:eastAsia="宋体" w:cs="Times New Roman"/>
                <w:color w:val="auto"/>
                <w:sz w:val="24"/>
                <w:szCs w:val="24"/>
                <w:lang w:eastAsia="zh-CN"/>
              </w:rPr>
              <w:t>理化性质</w:t>
            </w:r>
          </w:p>
          <w:p>
            <w:pPr>
              <w:keepNext w:val="0"/>
              <w:keepLines w:val="0"/>
              <w:widowControl/>
              <w:suppressLineNumbers w:val="0"/>
              <w:autoSpaceDE w:val="0"/>
              <w:autoSpaceDN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pacing w:val="0"/>
                <w:kern w:val="0"/>
                <w:sz w:val="24"/>
                <w:szCs w:val="24"/>
                <w:lang w:val="en-US" w:eastAsia="zh-CN" w:bidi="ar"/>
              </w:rPr>
            </w:pPr>
            <w:r>
              <w:rPr>
                <w:rFonts w:hint="default" w:ascii="Times New Roman" w:hAnsi="Times New Roman" w:eastAsia="宋体" w:cs="Times New Roman"/>
                <w:b w:val="0"/>
                <w:bCs w:val="0"/>
                <w:color w:val="auto"/>
                <w:spacing w:val="0"/>
                <w:kern w:val="0"/>
                <w:sz w:val="24"/>
                <w:szCs w:val="24"/>
                <w:lang w:val="en-US" w:eastAsia="zh-CN" w:bidi="ar"/>
              </w:rPr>
              <w:t>拉丝油是一种金工用油，主要是由优质矿物基础油、复配高性能硫化猪油和硫化脂肪酸酯为主剂调和而成，适用于铜铝材质拉拔、挤压挤出、拉伸、拉长、拉线</w:t>
            </w:r>
            <w:r>
              <w:rPr>
                <w:rFonts w:hint="eastAsia" w:cs="Times New Roman"/>
                <w:b w:val="0"/>
                <w:bCs w:val="0"/>
                <w:color w:val="auto"/>
                <w:spacing w:val="0"/>
                <w:kern w:val="0"/>
                <w:sz w:val="24"/>
                <w:szCs w:val="24"/>
                <w:lang w:val="en-US" w:eastAsia="zh-CN" w:bidi="ar"/>
              </w:rPr>
              <w:t>（</w:t>
            </w:r>
            <w:r>
              <w:rPr>
                <w:rFonts w:hint="default" w:ascii="Times New Roman" w:hAnsi="Times New Roman" w:eastAsia="宋体" w:cs="Times New Roman"/>
                <w:b w:val="0"/>
                <w:bCs w:val="0"/>
                <w:color w:val="auto"/>
                <w:spacing w:val="0"/>
                <w:kern w:val="0"/>
                <w:sz w:val="24"/>
                <w:szCs w:val="24"/>
                <w:lang w:val="en-US" w:eastAsia="zh-CN" w:bidi="ar"/>
              </w:rPr>
              <w:t>大、中、细拉</w:t>
            </w:r>
            <w:r>
              <w:rPr>
                <w:rFonts w:hint="eastAsia" w:cs="Times New Roman"/>
                <w:b w:val="0"/>
                <w:bCs w:val="0"/>
                <w:color w:val="auto"/>
                <w:spacing w:val="0"/>
                <w:kern w:val="0"/>
                <w:sz w:val="24"/>
                <w:szCs w:val="24"/>
                <w:lang w:val="en-US" w:eastAsia="zh-CN" w:bidi="ar"/>
              </w:rPr>
              <w:t>）</w:t>
            </w:r>
            <w:r>
              <w:rPr>
                <w:rFonts w:hint="default" w:ascii="Times New Roman" w:hAnsi="Times New Roman" w:eastAsia="宋体" w:cs="Times New Roman"/>
                <w:b w:val="0"/>
                <w:bCs w:val="0"/>
                <w:color w:val="auto"/>
                <w:spacing w:val="0"/>
                <w:kern w:val="0"/>
                <w:sz w:val="24"/>
                <w:szCs w:val="24"/>
                <w:lang w:val="en-US" w:eastAsia="zh-CN" w:bidi="ar"/>
              </w:rPr>
              <w:t>、拉丝、拉管等，具有极好的抗磨性、极压性，在加工过程中主要起着润滑、冷却作用，不会造成工件拉毛、拉伤，提高工件光洁度，有效延长冲模寿命；易清；无异味，不刺激皮肤。</w:t>
            </w:r>
          </w:p>
          <w:p>
            <w:pPr>
              <w:numPr>
                <w:ilvl w:val="255"/>
                <w:numId w:val="0"/>
              </w:numPr>
              <w:spacing w:line="360" w:lineRule="auto"/>
              <w:ind w:firstLine="482" w:firstLineChars="200"/>
              <w:rPr>
                <w:rFonts w:hint="default" w:ascii="Times New Roman" w:hAnsi="Times New Roman" w:eastAsia="宋体" w:cs="Times New Roman"/>
                <w:b/>
                <w:color w:val="auto"/>
                <w:sz w:val="24"/>
                <w:highlight w:val="none"/>
              </w:rPr>
            </w:pPr>
            <w:r>
              <w:rPr>
                <w:rFonts w:hint="eastAsia" w:cs="Times New Roman"/>
                <w:b/>
                <w:color w:val="auto"/>
                <w:sz w:val="24"/>
                <w:highlight w:val="none"/>
                <w:lang w:val="en-US" w:eastAsia="zh-CN"/>
              </w:rPr>
              <w:t>6</w:t>
            </w:r>
            <w:r>
              <w:rPr>
                <w:rFonts w:hint="default" w:ascii="Times New Roman" w:hAnsi="Times New Roman" w:eastAsia="宋体" w:cs="Times New Roman"/>
                <w:b/>
                <w:color w:val="auto"/>
                <w:sz w:val="24"/>
                <w:highlight w:val="none"/>
              </w:rPr>
              <w:t>、公用工程</w:t>
            </w:r>
          </w:p>
          <w:p>
            <w:pPr>
              <w:pStyle w:val="156"/>
              <w:numPr>
                <w:ilvl w:val="0"/>
                <w:numId w:val="1"/>
              </w:numPr>
              <w:ind w:left="-60" w:leftChars="0" w:firstLine="480" w:firstLineChars="0"/>
              <w:rPr>
                <w:rFonts w:hint="default" w:ascii="Times New Roman" w:hAnsi="Times New Roman" w:eastAsia="宋体" w:cs="Times New Roman"/>
                <w:color w:val="auto"/>
                <w:highlight w:val="none"/>
              </w:rPr>
            </w:pPr>
            <w:r>
              <w:rPr>
                <w:rFonts w:hint="eastAsia" w:cs="Times New Roman"/>
                <w:color w:val="auto"/>
                <w:highlight w:val="none"/>
                <w:lang w:val="en-US" w:eastAsia="zh-CN"/>
              </w:rPr>
              <w:t>供水</w:t>
            </w:r>
          </w:p>
          <w:p>
            <w:pPr>
              <w:pStyle w:val="156"/>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项目用水</w:t>
            </w:r>
            <w:r>
              <w:rPr>
                <w:rFonts w:hint="eastAsia" w:cs="Times New Roman"/>
                <w:color w:val="auto"/>
                <w:highlight w:val="none"/>
                <w:lang w:val="en-US" w:eastAsia="zh-CN"/>
              </w:rPr>
              <w:t>为</w:t>
            </w:r>
            <w:r>
              <w:rPr>
                <w:rFonts w:hint="default" w:ascii="Times New Roman" w:hAnsi="Times New Roman" w:eastAsia="宋体" w:cs="Times New Roman"/>
                <w:color w:val="auto"/>
                <w:highlight w:val="none"/>
              </w:rPr>
              <w:t>生活用水</w:t>
            </w:r>
            <w:r>
              <w:rPr>
                <w:rFonts w:hint="eastAsia" w:cs="Times New Roman"/>
                <w:color w:val="auto"/>
                <w:highlight w:val="none"/>
                <w:lang w:eastAsia="zh-CN"/>
              </w:rPr>
              <w:t>，</w:t>
            </w:r>
            <w:r>
              <w:rPr>
                <w:rFonts w:hint="eastAsia" w:cs="Times New Roman"/>
                <w:color w:val="auto"/>
                <w:highlight w:val="none"/>
                <w:lang w:val="en-US" w:eastAsia="zh-CN"/>
              </w:rPr>
              <w:t>生产工艺无需用水，</w:t>
            </w:r>
            <w:r>
              <w:rPr>
                <w:rFonts w:hint="default" w:ascii="Times New Roman" w:hAnsi="Times New Roman" w:eastAsia="宋体" w:cs="Times New Roman"/>
                <w:color w:val="auto"/>
                <w:highlight w:val="none"/>
              </w:rPr>
              <w:t>由</w:t>
            </w:r>
            <w:r>
              <w:rPr>
                <w:rFonts w:hint="default" w:ascii="Times New Roman" w:hAnsi="Times New Roman" w:eastAsia="宋体" w:cs="Times New Roman"/>
                <w:color w:val="auto"/>
                <w:highlight w:val="none"/>
                <w:lang w:val="en-US" w:eastAsia="zh-CN"/>
              </w:rPr>
              <w:t>市政供水管网</w:t>
            </w:r>
            <w:r>
              <w:rPr>
                <w:rFonts w:hint="default" w:ascii="Times New Roman" w:hAnsi="Times New Roman" w:eastAsia="宋体" w:cs="Times New Roman"/>
                <w:color w:val="auto"/>
                <w:highlight w:val="none"/>
              </w:rPr>
              <w:t>提供。</w:t>
            </w:r>
          </w:p>
          <w:p>
            <w:pPr>
              <w:pStyle w:val="156"/>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项目工作人员</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kern w:val="0"/>
                <w:highlight w:val="none"/>
              </w:rPr>
              <w:t>年工作</w:t>
            </w:r>
            <w:r>
              <w:rPr>
                <w:rFonts w:hint="eastAsia" w:cs="Times New Roman"/>
                <w:color w:val="auto"/>
                <w:kern w:val="0"/>
                <w:highlight w:val="none"/>
                <w:lang w:val="en-US" w:eastAsia="zh-CN"/>
              </w:rPr>
              <w:t>340</w:t>
            </w:r>
            <w:r>
              <w:rPr>
                <w:rFonts w:hint="default" w:ascii="Times New Roman" w:hAnsi="Times New Roman" w:eastAsia="宋体" w:cs="Times New Roman"/>
                <w:color w:val="auto"/>
                <w:kern w:val="0"/>
                <w:highlight w:val="none"/>
              </w:rPr>
              <w:t>天，</w:t>
            </w:r>
            <w:r>
              <w:rPr>
                <w:rFonts w:hint="default" w:ascii="Times New Roman" w:hAnsi="Times New Roman" w:eastAsia="宋体" w:cs="Times New Roman"/>
                <w:color w:val="auto"/>
                <w:highlight w:val="none"/>
              </w:rPr>
              <w:t>8小时工作制，不设置食宿。职工用水仅为日常生活用水，生活用水取50L/人·d，则生活用水量为0.</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m³/d（</w:t>
            </w:r>
            <w:r>
              <w:rPr>
                <w:rFonts w:hint="eastAsia" w:cs="Times New Roman"/>
                <w:color w:val="auto"/>
                <w:highlight w:val="none"/>
                <w:lang w:val="en-US" w:eastAsia="zh-CN"/>
              </w:rPr>
              <w:t>136</w:t>
            </w:r>
            <w:r>
              <w:rPr>
                <w:rFonts w:hint="default" w:ascii="Times New Roman" w:hAnsi="Times New Roman" w:eastAsia="宋体" w:cs="Times New Roman"/>
                <w:color w:val="auto"/>
                <w:highlight w:val="none"/>
              </w:rPr>
              <w:t>m³/a）。</w:t>
            </w:r>
          </w:p>
          <w:p>
            <w:pPr>
              <w:pStyle w:val="156"/>
              <w:keepNext w:val="0"/>
              <w:keepLines w:val="0"/>
              <w:pageBreakBefore w:val="0"/>
              <w:widowControl w:val="0"/>
              <w:numPr>
                <w:ilvl w:val="255"/>
                <w:numId w:val="0"/>
              </w:numPr>
              <w:kinsoku/>
              <w:wordWrap/>
              <w:overflowPunct/>
              <w:topLinePunct w:val="0"/>
              <w:autoSpaceDE/>
              <w:autoSpaceDN/>
              <w:bidi w:val="0"/>
              <w:adjustRightInd w:val="0"/>
              <w:snapToGrid w:val="0"/>
              <w:ind w:left="0" w:firstLine="480" w:firstLineChars="200"/>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项目用水量</w:t>
            </w:r>
            <w:r>
              <w:rPr>
                <w:rFonts w:hint="default" w:ascii="Times New Roman" w:hAnsi="Times New Roman" w:eastAsia="宋体" w:cs="Times New Roman"/>
                <w:color w:val="auto"/>
                <w:highlight w:val="none"/>
              </w:rPr>
              <w:t>见表2-4。</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表2-4</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项目用水量一览表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175"/>
              <w:gridCol w:w="1186"/>
              <w:gridCol w:w="1235"/>
              <w:gridCol w:w="1230"/>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tcBorders>
                    <w:tl2br w:val="nil"/>
                    <w:tr2bl w:val="nil"/>
                  </w:tcBorders>
                  <w:vAlign w:val="center"/>
                </w:tcPr>
                <w:p>
                  <w:pPr>
                    <w:pStyle w:val="67"/>
                    <w:bidi w:val="0"/>
                    <w:rPr>
                      <w:rFonts w:hint="default"/>
                      <w:highlight w:val="none"/>
                      <w:lang w:val="zh-CN"/>
                    </w:rPr>
                  </w:pPr>
                  <w:r>
                    <w:rPr>
                      <w:rFonts w:hint="default"/>
                      <w:highlight w:val="none"/>
                      <w:lang w:val="zh-CN"/>
                    </w:rPr>
                    <w:t>序号</w:t>
                  </w:r>
                </w:p>
              </w:tc>
              <w:tc>
                <w:tcPr>
                  <w:tcW w:w="1386" w:type="pct"/>
                  <w:tcBorders>
                    <w:tl2br w:val="nil"/>
                    <w:tr2bl w:val="nil"/>
                  </w:tcBorders>
                  <w:vAlign w:val="center"/>
                </w:tcPr>
                <w:p>
                  <w:pPr>
                    <w:pStyle w:val="67"/>
                    <w:bidi w:val="0"/>
                    <w:rPr>
                      <w:rFonts w:hint="default"/>
                      <w:highlight w:val="none"/>
                      <w:lang w:val="zh-CN"/>
                    </w:rPr>
                  </w:pPr>
                  <w:r>
                    <w:rPr>
                      <w:rFonts w:hint="default"/>
                      <w:highlight w:val="none"/>
                      <w:lang w:val="zh-CN"/>
                    </w:rPr>
                    <w:t>用水项目名称</w:t>
                  </w:r>
                </w:p>
              </w:tc>
              <w:tc>
                <w:tcPr>
                  <w:tcW w:w="756" w:type="pct"/>
                  <w:tcBorders>
                    <w:tl2br w:val="nil"/>
                    <w:tr2bl w:val="nil"/>
                  </w:tcBorders>
                  <w:vAlign w:val="center"/>
                </w:tcPr>
                <w:p>
                  <w:pPr>
                    <w:pStyle w:val="67"/>
                    <w:bidi w:val="0"/>
                    <w:rPr>
                      <w:rFonts w:hint="default"/>
                      <w:highlight w:val="none"/>
                      <w:lang w:val="zh-CN"/>
                    </w:rPr>
                  </w:pPr>
                  <w:r>
                    <w:rPr>
                      <w:rFonts w:hint="default"/>
                      <w:highlight w:val="none"/>
                      <w:lang w:val="zh-CN"/>
                    </w:rPr>
                    <w:t>使用人数或单位数</w:t>
                  </w:r>
                </w:p>
              </w:tc>
              <w:tc>
                <w:tcPr>
                  <w:tcW w:w="785" w:type="pct"/>
                  <w:tcBorders>
                    <w:tl2br w:val="nil"/>
                    <w:tr2bl w:val="nil"/>
                  </w:tcBorders>
                  <w:vAlign w:val="center"/>
                </w:tcPr>
                <w:p>
                  <w:pPr>
                    <w:pStyle w:val="67"/>
                    <w:bidi w:val="0"/>
                    <w:rPr>
                      <w:rFonts w:hint="default"/>
                      <w:highlight w:val="none"/>
                      <w:lang w:val="zh-CN"/>
                    </w:rPr>
                  </w:pPr>
                  <w:r>
                    <w:rPr>
                      <w:rFonts w:hint="default"/>
                      <w:highlight w:val="none"/>
                      <w:lang w:val="zh-CN"/>
                    </w:rPr>
                    <w:t>用水量标准</w:t>
                  </w:r>
                </w:p>
              </w:tc>
              <w:tc>
                <w:tcPr>
                  <w:tcW w:w="784" w:type="pct"/>
                  <w:tcBorders>
                    <w:tl2br w:val="nil"/>
                    <w:tr2bl w:val="nil"/>
                  </w:tcBorders>
                  <w:vAlign w:val="center"/>
                </w:tcPr>
                <w:p>
                  <w:pPr>
                    <w:pStyle w:val="67"/>
                    <w:bidi w:val="0"/>
                    <w:rPr>
                      <w:rFonts w:hint="default"/>
                      <w:highlight w:val="none"/>
                      <w:lang w:val="zh-CN"/>
                    </w:rPr>
                  </w:pPr>
                  <w:r>
                    <w:rPr>
                      <w:rFonts w:hint="default"/>
                      <w:highlight w:val="none"/>
                      <w:lang w:val="zh-CN"/>
                    </w:rPr>
                    <w:t>日用水量</w:t>
                  </w:r>
                  <w:r>
                    <w:rPr>
                      <w:rFonts w:hint="eastAsia"/>
                      <w:highlight w:val="none"/>
                      <w:lang w:val="zh-CN"/>
                    </w:rPr>
                    <w:t>（</w:t>
                  </w:r>
                  <w:r>
                    <w:rPr>
                      <w:rFonts w:hint="default"/>
                      <w:highlight w:val="none"/>
                      <w:lang w:val="zh-CN"/>
                    </w:rPr>
                    <w:t>m³/d)</w:t>
                  </w:r>
                </w:p>
              </w:tc>
              <w:tc>
                <w:tcPr>
                  <w:tcW w:w="829" w:type="pct"/>
                  <w:tcBorders>
                    <w:tl2br w:val="nil"/>
                    <w:tr2bl w:val="nil"/>
                  </w:tcBorders>
                  <w:vAlign w:val="center"/>
                </w:tcPr>
                <w:p>
                  <w:pPr>
                    <w:pStyle w:val="67"/>
                    <w:bidi w:val="0"/>
                    <w:rPr>
                      <w:rFonts w:hint="default"/>
                      <w:highlight w:val="none"/>
                    </w:rPr>
                  </w:pPr>
                  <w:r>
                    <w:rPr>
                      <w:rFonts w:hint="default"/>
                      <w:highlight w:val="none"/>
                      <w:lang w:val="zh-CN"/>
                    </w:rPr>
                    <w:t>年用水量</w:t>
                  </w:r>
                  <w:r>
                    <w:rPr>
                      <w:rFonts w:hint="eastAsia"/>
                      <w:highlight w:val="none"/>
                      <w:lang w:val="zh-CN"/>
                    </w:rPr>
                    <w:t>（</w:t>
                  </w:r>
                  <w:r>
                    <w:rPr>
                      <w:rFonts w:hint="default"/>
                      <w:highlight w:val="none"/>
                      <w:lang w:val="zh-CN"/>
                    </w:rPr>
                    <w:t>m³/</w:t>
                  </w:r>
                  <w:r>
                    <w:rPr>
                      <w:rFonts w:hint="default"/>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57" w:type="pct"/>
                  <w:tcBorders>
                    <w:tl2br w:val="nil"/>
                    <w:tr2bl w:val="nil"/>
                  </w:tcBorders>
                  <w:vAlign w:val="center"/>
                </w:tcPr>
                <w:p>
                  <w:pPr>
                    <w:pStyle w:val="67"/>
                    <w:bidi w:val="0"/>
                    <w:rPr>
                      <w:rFonts w:hint="default"/>
                      <w:highlight w:val="none"/>
                      <w:lang w:val="zh-CN"/>
                    </w:rPr>
                  </w:pPr>
                  <w:bookmarkStart w:id="11" w:name="OLE_LINK2" w:colFirst="6" w:colLast="7"/>
                  <w:bookmarkStart w:id="12" w:name="_Hlk400553578"/>
                  <w:bookmarkStart w:id="13" w:name="OLE_LINK1" w:colFirst="6" w:colLast="7"/>
                  <w:bookmarkStart w:id="14" w:name="_Hlk313219281"/>
                  <w:bookmarkStart w:id="15" w:name="OLE_LINK9" w:colFirst="5" w:colLast="7"/>
                  <w:bookmarkStart w:id="16" w:name="_Hlk400711844"/>
                  <w:bookmarkStart w:id="17" w:name="OLE_LINK6" w:colFirst="5" w:colLast="5"/>
                  <w:bookmarkStart w:id="18" w:name="OLE_LINK8" w:colFirst="5" w:colLast="7"/>
                  <w:r>
                    <w:rPr>
                      <w:rFonts w:hint="default"/>
                      <w:highlight w:val="none"/>
                      <w:lang w:val="zh-CN"/>
                    </w:rPr>
                    <w:t>1</w:t>
                  </w:r>
                </w:p>
              </w:tc>
              <w:tc>
                <w:tcPr>
                  <w:tcW w:w="1386" w:type="pct"/>
                  <w:tcBorders>
                    <w:tl2br w:val="nil"/>
                    <w:tr2bl w:val="nil"/>
                  </w:tcBorders>
                  <w:vAlign w:val="center"/>
                </w:tcPr>
                <w:p>
                  <w:pPr>
                    <w:pStyle w:val="67"/>
                    <w:bidi w:val="0"/>
                    <w:rPr>
                      <w:rFonts w:hint="default"/>
                      <w:highlight w:val="none"/>
                      <w:lang w:val="zh-CN"/>
                    </w:rPr>
                  </w:pPr>
                  <w:r>
                    <w:rPr>
                      <w:rFonts w:hint="default"/>
                      <w:highlight w:val="none"/>
                    </w:rPr>
                    <w:t>生活用水</w:t>
                  </w:r>
                </w:p>
              </w:tc>
              <w:tc>
                <w:tcPr>
                  <w:tcW w:w="756" w:type="pct"/>
                  <w:tcBorders>
                    <w:tl2br w:val="nil"/>
                    <w:tr2bl w:val="nil"/>
                  </w:tcBorders>
                  <w:vAlign w:val="center"/>
                </w:tcPr>
                <w:p>
                  <w:pPr>
                    <w:pStyle w:val="67"/>
                    <w:bidi w:val="0"/>
                    <w:rPr>
                      <w:rFonts w:hint="default"/>
                      <w:highlight w:val="none"/>
                    </w:rPr>
                  </w:pPr>
                  <w:r>
                    <w:rPr>
                      <w:rFonts w:hint="eastAsia"/>
                      <w:highlight w:val="none"/>
                      <w:lang w:val="en-US" w:eastAsia="zh-CN"/>
                    </w:rPr>
                    <w:t>8</w:t>
                  </w:r>
                  <w:r>
                    <w:rPr>
                      <w:rFonts w:hint="default"/>
                      <w:highlight w:val="none"/>
                      <w:lang w:val="en-US" w:eastAsia="zh-CN"/>
                    </w:rPr>
                    <w:t>人</w:t>
                  </w:r>
                </w:p>
              </w:tc>
              <w:tc>
                <w:tcPr>
                  <w:tcW w:w="785" w:type="pct"/>
                  <w:tcBorders>
                    <w:tl2br w:val="nil"/>
                    <w:tr2bl w:val="nil"/>
                  </w:tcBorders>
                  <w:vAlign w:val="center"/>
                </w:tcPr>
                <w:p>
                  <w:pPr>
                    <w:pStyle w:val="67"/>
                    <w:bidi w:val="0"/>
                    <w:rPr>
                      <w:rFonts w:hint="default"/>
                      <w:highlight w:val="none"/>
                    </w:rPr>
                  </w:pPr>
                  <w:r>
                    <w:rPr>
                      <w:rFonts w:hint="eastAsia"/>
                      <w:highlight w:val="none"/>
                      <w:lang w:val="en-US" w:eastAsia="zh-CN"/>
                    </w:rPr>
                    <w:t>50</w:t>
                  </w:r>
                  <w:r>
                    <w:rPr>
                      <w:rFonts w:hint="default"/>
                      <w:highlight w:val="none"/>
                    </w:rPr>
                    <w:t>L/人·d</w:t>
                  </w:r>
                </w:p>
              </w:tc>
              <w:tc>
                <w:tcPr>
                  <w:tcW w:w="784" w:type="pct"/>
                  <w:tcBorders>
                    <w:tl2br w:val="nil"/>
                    <w:tr2bl w:val="nil"/>
                  </w:tcBorders>
                  <w:vAlign w:val="center"/>
                </w:tcPr>
                <w:p>
                  <w:pPr>
                    <w:pStyle w:val="67"/>
                    <w:bidi w:val="0"/>
                    <w:rPr>
                      <w:rFonts w:hint="default"/>
                      <w:highlight w:val="none"/>
                      <w:lang w:eastAsia="zh-CN"/>
                    </w:rPr>
                  </w:pPr>
                  <w:r>
                    <w:rPr>
                      <w:rFonts w:hint="default"/>
                      <w:highlight w:val="none"/>
                    </w:rPr>
                    <w:t>0.</w:t>
                  </w:r>
                  <w:r>
                    <w:rPr>
                      <w:rFonts w:hint="eastAsia"/>
                      <w:highlight w:val="none"/>
                      <w:lang w:val="en-US" w:eastAsia="zh-CN"/>
                    </w:rPr>
                    <w:t>4</w:t>
                  </w:r>
                </w:p>
              </w:tc>
              <w:tc>
                <w:tcPr>
                  <w:tcW w:w="829" w:type="pct"/>
                  <w:tcBorders>
                    <w:tl2br w:val="nil"/>
                    <w:tr2bl w:val="nil"/>
                  </w:tcBorders>
                  <w:vAlign w:val="center"/>
                </w:tcPr>
                <w:p>
                  <w:pPr>
                    <w:pStyle w:val="67"/>
                    <w:bidi w:val="0"/>
                    <w:rPr>
                      <w:rFonts w:hint="default"/>
                      <w:highlight w:val="none"/>
                      <w:lang w:val="en-US" w:eastAsia="zh-CN"/>
                    </w:rPr>
                  </w:pPr>
                  <w:r>
                    <w:rPr>
                      <w:rFonts w:hint="eastAsia"/>
                      <w:highlight w:val="none"/>
                      <w:lang w:val="en-US" w:eastAsia="zh-CN"/>
                    </w:rPr>
                    <w:t>136</w:t>
                  </w:r>
                </w:p>
              </w:tc>
            </w:tr>
            <w:bookmarkEnd w:id="11"/>
            <w:bookmarkEnd w:id="12"/>
            <w:bookmarkEnd w:id="13"/>
            <w:bookmarkEnd w:id="14"/>
            <w:bookmarkEnd w:id="15"/>
            <w:bookmarkEnd w:id="16"/>
            <w:bookmarkEnd w:id="17"/>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386" w:type="pct"/>
                  <w:gridSpan w:val="4"/>
                  <w:tcBorders>
                    <w:tl2br w:val="nil"/>
                    <w:tr2bl w:val="nil"/>
                  </w:tcBorders>
                  <w:vAlign w:val="center"/>
                </w:tcPr>
                <w:p>
                  <w:pPr>
                    <w:pStyle w:val="67"/>
                    <w:bidi w:val="0"/>
                    <w:rPr>
                      <w:rFonts w:hint="default"/>
                      <w:highlight w:val="none"/>
                      <w:lang w:val="zh-CN"/>
                    </w:rPr>
                  </w:pPr>
                  <w:r>
                    <w:rPr>
                      <w:rFonts w:hint="default"/>
                      <w:highlight w:val="none"/>
                      <w:lang w:val="zh-CN"/>
                    </w:rPr>
                    <w:t>合计</w:t>
                  </w:r>
                </w:p>
              </w:tc>
              <w:tc>
                <w:tcPr>
                  <w:tcW w:w="784" w:type="pct"/>
                  <w:tcBorders>
                    <w:tl2br w:val="nil"/>
                    <w:tr2bl w:val="nil"/>
                  </w:tcBorders>
                  <w:vAlign w:val="center"/>
                </w:tcPr>
                <w:p>
                  <w:pPr>
                    <w:pStyle w:val="67"/>
                    <w:bidi w:val="0"/>
                    <w:rPr>
                      <w:rFonts w:hint="default"/>
                      <w:highlight w:val="none"/>
                      <w:lang w:val="en-US" w:eastAsia="zh-CN"/>
                    </w:rPr>
                  </w:pPr>
                  <w:r>
                    <w:rPr>
                      <w:rFonts w:hint="eastAsia"/>
                      <w:highlight w:val="none"/>
                      <w:lang w:val="en-US" w:eastAsia="zh-CN"/>
                    </w:rPr>
                    <w:t>0.4</w:t>
                  </w:r>
                </w:p>
              </w:tc>
              <w:tc>
                <w:tcPr>
                  <w:tcW w:w="829" w:type="pct"/>
                  <w:tcBorders>
                    <w:tl2br w:val="nil"/>
                    <w:tr2bl w:val="nil"/>
                  </w:tcBorders>
                  <w:vAlign w:val="center"/>
                </w:tcPr>
                <w:p>
                  <w:pPr>
                    <w:pStyle w:val="67"/>
                    <w:bidi w:val="0"/>
                    <w:rPr>
                      <w:rFonts w:hint="default"/>
                      <w:highlight w:val="none"/>
                      <w:lang w:eastAsia="zh-CN"/>
                    </w:rPr>
                  </w:pPr>
                  <w:r>
                    <w:rPr>
                      <w:rFonts w:hint="eastAsia"/>
                      <w:highlight w:val="none"/>
                      <w:lang w:eastAsia="zh-CN"/>
                    </w:rPr>
                    <w:t>136</w:t>
                  </w:r>
                </w:p>
              </w:tc>
            </w:tr>
          </w:tbl>
          <w:p>
            <w:pPr>
              <w:pStyle w:val="156"/>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（2）排水</w:t>
            </w:r>
          </w:p>
          <w:p>
            <w:pPr>
              <w:pStyle w:val="156"/>
              <w:ind w:firstLine="480"/>
              <w:rPr>
                <w:rFonts w:hint="eastAsia"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rPr>
              <w:t>项目生活污水产生量按用水量的80%计，则生活污水产生为</w:t>
            </w:r>
            <w:r>
              <w:rPr>
                <w:rFonts w:hint="eastAsia" w:cs="Times New Roman"/>
                <w:bCs/>
                <w:color w:val="auto"/>
                <w:highlight w:val="none"/>
                <w:lang w:eastAsia="zh-CN"/>
              </w:rPr>
              <w:t>108.8</w:t>
            </w:r>
            <w:r>
              <w:rPr>
                <w:rFonts w:hint="default" w:ascii="Times New Roman" w:hAnsi="Times New Roman" w:eastAsia="宋体" w:cs="Times New Roman"/>
                <w:bCs/>
                <w:color w:val="auto"/>
                <w:highlight w:val="none"/>
              </w:rPr>
              <w:t>m³/a</w:t>
            </w:r>
            <w:r>
              <w:rPr>
                <w:rFonts w:hint="eastAsia" w:cs="Times New Roman"/>
                <w:bCs/>
                <w:color w:val="auto"/>
                <w:highlight w:val="none"/>
                <w:lang w:eastAsia="zh-CN"/>
              </w:rPr>
              <w:t>。依托内蒙古璟程电缆有限公司化粪池收集后排入园区污水管网，最终纳入园区污水处理厂进行进一步处理。</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表2-5</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项目排水估算表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288"/>
              <w:gridCol w:w="1141"/>
              <w:gridCol w:w="1089"/>
              <w:gridCol w:w="1308"/>
              <w:gridCol w:w="1249"/>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17"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序号</w:t>
                  </w:r>
                </w:p>
              </w:tc>
              <w:tc>
                <w:tcPr>
                  <w:tcW w:w="821"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用水项目名称</w:t>
                  </w:r>
                </w:p>
              </w:tc>
              <w:tc>
                <w:tcPr>
                  <w:tcW w:w="727"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年用水量</w:t>
                  </w:r>
                  <w:r>
                    <w:rPr>
                      <w:rFonts w:hint="eastAsia" w:cs="Times New Roman"/>
                      <w:color w:val="auto"/>
                      <w:highlight w:val="none"/>
                      <w:lang w:val="zh-CN"/>
                    </w:rPr>
                    <w:t>（</w:t>
                  </w:r>
                  <w:r>
                    <w:rPr>
                      <w:rFonts w:hint="default" w:ascii="Times New Roman" w:hAnsi="Times New Roman" w:eastAsia="宋体" w:cs="Times New Roman"/>
                      <w:color w:val="auto"/>
                      <w:highlight w:val="none"/>
                      <w:lang w:val="zh-CN"/>
                    </w:rPr>
                    <w:t>m</w:t>
                  </w:r>
                  <w:r>
                    <w:rPr>
                      <w:rFonts w:hint="default" w:ascii="Times New Roman" w:hAnsi="Times New Roman" w:eastAsia="宋体" w:cs="Times New Roman"/>
                      <w:color w:val="auto"/>
                      <w:highlight w:val="none"/>
                      <w:vertAlign w:val="superscript"/>
                      <w:lang w:val="zh-CN"/>
                    </w:rPr>
                    <w:t>3</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a)</w:t>
                  </w:r>
                </w:p>
              </w:tc>
              <w:tc>
                <w:tcPr>
                  <w:tcW w:w="694"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排污系数</w:t>
                  </w:r>
                </w:p>
              </w:tc>
              <w:tc>
                <w:tcPr>
                  <w:tcW w:w="834"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年排水量</w:t>
                  </w:r>
                  <w:r>
                    <w:rPr>
                      <w:rFonts w:hint="eastAsia" w:cs="Times New Roman"/>
                      <w:color w:val="auto"/>
                      <w:highlight w:val="none"/>
                      <w:lang w:val="zh-CN"/>
                    </w:rPr>
                    <w:t>（</w:t>
                  </w:r>
                  <w:r>
                    <w:rPr>
                      <w:rFonts w:hint="default" w:ascii="Times New Roman" w:hAnsi="Times New Roman" w:eastAsia="宋体" w:cs="Times New Roman"/>
                      <w:color w:val="auto"/>
                      <w:highlight w:val="none"/>
                      <w:lang w:val="zh-CN"/>
                    </w:rPr>
                    <w:t>m</w:t>
                  </w:r>
                  <w:r>
                    <w:rPr>
                      <w:rFonts w:hint="default" w:ascii="Times New Roman" w:hAnsi="Times New Roman" w:eastAsia="宋体" w:cs="Times New Roman"/>
                      <w:color w:val="auto"/>
                      <w:highlight w:val="none"/>
                      <w:vertAlign w:val="superscript"/>
                      <w:lang w:val="zh-CN"/>
                    </w:rPr>
                    <w:t>3</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a)</w:t>
                  </w:r>
                </w:p>
              </w:tc>
              <w:tc>
                <w:tcPr>
                  <w:tcW w:w="796" w:type="pct"/>
                  <w:tcBorders>
                    <w:tl2br w:val="nil"/>
                    <w:tr2bl w:val="nil"/>
                  </w:tcBorders>
                  <w:vAlign w:val="center"/>
                </w:tcPr>
                <w:p>
                  <w:pPr>
                    <w:pStyle w:val="76"/>
                    <w:rPr>
                      <w:rFonts w:hint="default" w:ascii="Times New Roman" w:hAnsi="Times New Roman" w:eastAsia="宋体" w:cs="Times New Roman"/>
                      <w:b/>
                      <w:bCs/>
                      <w:color w:val="auto"/>
                      <w:szCs w:val="18"/>
                      <w:highlight w:val="none"/>
                    </w:rPr>
                  </w:pPr>
                  <w:r>
                    <w:rPr>
                      <w:rFonts w:hint="default" w:ascii="Times New Roman" w:hAnsi="Times New Roman" w:eastAsia="宋体" w:cs="Times New Roman"/>
                      <w:color w:val="auto"/>
                      <w:szCs w:val="18"/>
                      <w:highlight w:val="none"/>
                    </w:rPr>
                    <w:t>回用水量</w:t>
                  </w:r>
                  <w:r>
                    <w:rPr>
                      <w:rFonts w:hint="eastAsia" w:cs="Times New Roman"/>
                      <w:color w:val="auto"/>
                      <w:szCs w:val="18"/>
                      <w:highlight w:val="none"/>
                      <w:lang w:eastAsia="zh-CN"/>
                    </w:rPr>
                    <w:t>（</w:t>
                  </w:r>
                  <w:r>
                    <w:rPr>
                      <w:rFonts w:hint="default" w:ascii="Times New Roman" w:hAnsi="Times New Roman" w:eastAsia="宋体" w:cs="Times New Roman"/>
                      <w:color w:val="auto"/>
                      <w:highlight w:val="none"/>
                      <w:lang w:val="zh-CN"/>
                    </w:rPr>
                    <w:t>m</w:t>
                  </w:r>
                  <w:r>
                    <w:rPr>
                      <w:rFonts w:hint="default" w:ascii="Times New Roman" w:hAnsi="Times New Roman" w:eastAsia="宋体" w:cs="Times New Roman"/>
                      <w:color w:val="auto"/>
                      <w:highlight w:val="none"/>
                      <w:vertAlign w:val="superscript"/>
                      <w:lang w:val="zh-CN"/>
                    </w:rPr>
                    <w:t>3</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a)</w:t>
                  </w:r>
                </w:p>
              </w:tc>
              <w:tc>
                <w:tcPr>
                  <w:tcW w:w="708" w:type="pct"/>
                  <w:tcBorders>
                    <w:tl2br w:val="nil"/>
                    <w:tr2bl w:val="nil"/>
                  </w:tcBorders>
                  <w:vAlign w:val="center"/>
                </w:tcPr>
                <w:p>
                  <w:pPr>
                    <w:pStyle w:val="76"/>
                    <w:rPr>
                      <w:rFonts w:hint="default" w:ascii="Times New Roman" w:hAnsi="Times New Roman" w:eastAsia="宋体" w:cs="Times New Roman"/>
                      <w:color w:val="auto"/>
                      <w:szCs w:val="18"/>
                      <w:highlight w:val="none"/>
                    </w:rPr>
                  </w:pPr>
                  <w:r>
                    <w:rPr>
                      <w:rFonts w:hint="default" w:ascii="Times New Roman" w:hAnsi="Times New Roman" w:eastAsia="宋体" w:cs="Times New Roman"/>
                      <w:color w:val="auto"/>
                      <w:szCs w:val="18"/>
                      <w:highlight w:val="none"/>
                    </w:rPr>
                    <w:t>损耗量</w:t>
                  </w:r>
                  <w:r>
                    <w:rPr>
                      <w:rFonts w:hint="eastAsia" w:cs="Times New Roman"/>
                      <w:color w:val="auto"/>
                      <w:szCs w:val="18"/>
                      <w:highlight w:val="none"/>
                      <w:lang w:eastAsia="zh-CN"/>
                    </w:rPr>
                    <w:t>（</w:t>
                  </w:r>
                  <w:r>
                    <w:rPr>
                      <w:rFonts w:hint="default" w:ascii="Times New Roman" w:hAnsi="Times New Roman" w:eastAsia="宋体" w:cs="Times New Roman"/>
                      <w:color w:val="auto"/>
                      <w:highlight w:val="none"/>
                      <w:lang w:val="zh-CN"/>
                    </w:rPr>
                    <w:t>m</w:t>
                  </w:r>
                  <w:r>
                    <w:rPr>
                      <w:rFonts w:hint="default" w:ascii="Times New Roman" w:hAnsi="Times New Roman" w:eastAsia="宋体" w:cs="Times New Roman"/>
                      <w:color w:val="auto"/>
                      <w:highlight w:val="none"/>
                      <w:vertAlign w:val="superscript"/>
                      <w:lang w:val="zh-CN"/>
                    </w:rPr>
                    <w:t>3</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17"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1</w:t>
                  </w:r>
                </w:p>
              </w:tc>
              <w:tc>
                <w:tcPr>
                  <w:tcW w:w="821"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生活用水</w:t>
                  </w:r>
                </w:p>
              </w:tc>
              <w:tc>
                <w:tcPr>
                  <w:tcW w:w="727" w:type="pct"/>
                  <w:tcBorders>
                    <w:tl2br w:val="nil"/>
                    <w:tr2bl w:val="nil"/>
                  </w:tcBorders>
                  <w:vAlign w:val="center"/>
                </w:tcPr>
                <w:p>
                  <w:pPr>
                    <w:pStyle w:val="76"/>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136</w:t>
                  </w:r>
                </w:p>
              </w:tc>
              <w:tc>
                <w:tcPr>
                  <w:tcW w:w="69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w:t>
                  </w:r>
                </w:p>
              </w:tc>
              <w:tc>
                <w:tcPr>
                  <w:tcW w:w="834" w:type="pct"/>
                  <w:tcBorders>
                    <w:tl2br w:val="nil"/>
                    <w:tr2bl w:val="nil"/>
                  </w:tcBorders>
                  <w:vAlign w:val="center"/>
                </w:tcPr>
                <w:p>
                  <w:pPr>
                    <w:pStyle w:val="76"/>
                    <w:rPr>
                      <w:rFonts w:hint="default" w:ascii="Times New Roman" w:hAnsi="Times New Roman" w:eastAsia="宋体" w:cs="Times New Roman"/>
                      <w:color w:val="auto"/>
                      <w:highlight w:val="none"/>
                      <w:lang w:eastAsia="zh-CN" w:bidi="ar"/>
                    </w:rPr>
                  </w:pPr>
                  <w:r>
                    <w:rPr>
                      <w:rFonts w:hint="eastAsia" w:cs="Times New Roman"/>
                      <w:color w:val="auto"/>
                      <w:highlight w:val="none"/>
                      <w:lang w:eastAsia="zh-CN" w:bidi="ar"/>
                    </w:rPr>
                    <w:t>108.8</w:t>
                  </w:r>
                </w:p>
              </w:tc>
              <w:tc>
                <w:tcPr>
                  <w:tcW w:w="796" w:type="pct"/>
                  <w:tcBorders>
                    <w:tl2br w:val="nil"/>
                    <w:tr2bl w:val="nil"/>
                  </w:tcBorders>
                  <w:vAlign w:val="center"/>
                </w:tcPr>
                <w:p>
                  <w:pPr>
                    <w:pStyle w:val="76"/>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0</w:t>
                  </w:r>
                </w:p>
              </w:tc>
              <w:tc>
                <w:tcPr>
                  <w:tcW w:w="708" w:type="pct"/>
                  <w:tcBorders>
                    <w:tl2br w:val="nil"/>
                    <w:tr2bl w:val="nil"/>
                  </w:tcBorders>
                  <w:vAlign w:val="center"/>
                </w:tcPr>
                <w:p>
                  <w:pPr>
                    <w:pStyle w:val="76"/>
                    <w:rPr>
                      <w:rFonts w:hint="default" w:ascii="Times New Roman" w:hAnsi="Times New Roman" w:eastAsia="宋体" w:cs="Times New Roman"/>
                      <w:color w:val="auto"/>
                      <w:highlight w:val="none"/>
                      <w:lang w:val="en-US" w:eastAsia="zh-CN" w:bidi="ar"/>
                    </w:rPr>
                  </w:pPr>
                  <w:r>
                    <w:rPr>
                      <w:rFonts w:hint="eastAsia" w:cs="Times New Roman"/>
                      <w:color w:val="auto"/>
                      <w:highlight w:val="none"/>
                      <w:lang w:val="en-US" w:eastAsia="zh-CN" w:bidi="ar"/>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17" w:type="pct"/>
                  <w:tcBorders>
                    <w:tl2br w:val="nil"/>
                    <w:tr2bl w:val="nil"/>
                  </w:tcBorders>
                  <w:vAlign w:val="center"/>
                </w:tcPr>
                <w:p>
                  <w:pPr>
                    <w:pStyle w:val="76"/>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821" w:type="pct"/>
                  <w:tcBorders>
                    <w:tl2br w:val="nil"/>
                    <w:tr2bl w:val="nil"/>
                  </w:tcBorders>
                  <w:vAlign w:val="center"/>
                </w:tcPr>
                <w:p>
                  <w:pPr>
                    <w:pStyle w:val="76"/>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合计</w:t>
                  </w:r>
                </w:p>
              </w:tc>
              <w:tc>
                <w:tcPr>
                  <w:tcW w:w="727" w:type="pct"/>
                  <w:tcBorders>
                    <w:tl2br w:val="nil"/>
                    <w:tr2bl w:val="nil"/>
                  </w:tcBorders>
                  <w:vAlign w:val="center"/>
                </w:tcPr>
                <w:p>
                  <w:pPr>
                    <w:pStyle w:val="76"/>
                    <w:rPr>
                      <w:rFonts w:hint="default" w:ascii="Times New Roman" w:hAnsi="Times New Roman" w:eastAsia="宋体" w:cs="Times New Roman"/>
                      <w:color w:val="auto"/>
                      <w:highlight w:val="none"/>
                      <w:lang w:eastAsia="zh-CN" w:bidi="ar"/>
                    </w:rPr>
                  </w:pPr>
                  <w:r>
                    <w:rPr>
                      <w:rFonts w:hint="eastAsia" w:cs="Times New Roman"/>
                      <w:color w:val="auto"/>
                      <w:highlight w:val="none"/>
                      <w:lang w:eastAsia="zh-CN" w:bidi="ar"/>
                    </w:rPr>
                    <w:t>136</w:t>
                  </w:r>
                </w:p>
              </w:tc>
              <w:tc>
                <w:tcPr>
                  <w:tcW w:w="69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34" w:type="pct"/>
                  <w:tcBorders>
                    <w:tl2br w:val="nil"/>
                    <w:tr2bl w:val="nil"/>
                  </w:tcBorders>
                  <w:vAlign w:val="center"/>
                </w:tcPr>
                <w:p>
                  <w:pPr>
                    <w:pStyle w:val="76"/>
                    <w:rPr>
                      <w:rFonts w:hint="default" w:ascii="Times New Roman" w:hAnsi="Times New Roman" w:eastAsia="宋体" w:cs="Times New Roman"/>
                      <w:color w:val="auto"/>
                      <w:highlight w:val="none"/>
                      <w:lang w:eastAsia="zh-CN" w:bidi="ar"/>
                    </w:rPr>
                  </w:pPr>
                  <w:r>
                    <w:rPr>
                      <w:rFonts w:hint="eastAsia" w:cs="Times New Roman"/>
                      <w:color w:val="auto"/>
                      <w:highlight w:val="none"/>
                      <w:lang w:eastAsia="zh-CN" w:bidi="ar"/>
                    </w:rPr>
                    <w:t>108.8</w:t>
                  </w:r>
                </w:p>
              </w:tc>
              <w:tc>
                <w:tcPr>
                  <w:tcW w:w="796" w:type="pct"/>
                  <w:tcBorders>
                    <w:tl2br w:val="nil"/>
                    <w:tr2bl w:val="nil"/>
                  </w:tcBorders>
                  <w:vAlign w:val="center"/>
                </w:tcPr>
                <w:p>
                  <w:pPr>
                    <w:pStyle w:val="76"/>
                    <w:rPr>
                      <w:rFonts w:hint="eastAsia" w:ascii="Times New Roman" w:hAnsi="Times New Roman" w:eastAsia="宋体" w:cs="Times New Roman"/>
                      <w:color w:val="auto"/>
                      <w:highlight w:val="none"/>
                      <w:lang w:eastAsia="zh-CN" w:bidi="ar"/>
                    </w:rPr>
                  </w:pPr>
                  <w:r>
                    <w:rPr>
                      <w:rFonts w:hint="eastAsia" w:cs="Times New Roman"/>
                      <w:color w:val="auto"/>
                      <w:highlight w:val="none"/>
                      <w:lang w:val="en-US" w:eastAsia="zh-CN" w:bidi="ar"/>
                    </w:rPr>
                    <w:t>0</w:t>
                  </w:r>
                </w:p>
              </w:tc>
              <w:tc>
                <w:tcPr>
                  <w:tcW w:w="708" w:type="pct"/>
                  <w:tcBorders>
                    <w:tl2br w:val="nil"/>
                    <w:tr2bl w:val="nil"/>
                  </w:tcBorders>
                  <w:vAlign w:val="center"/>
                </w:tcPr>
                <w:p>
                  <w:pPr>
                    <w:pStyle w:val="76"/>
                    <w:rPr>
                      <w:rFonts w:hint="default" w:ascii="Times New Roman" w:hAnsi="Times New Roman" w:eastAsia="宋体" w:cs="Times New Roman"/>
                      <w:color w:val="auto"/>
                      <w:highlight w:val="none"/>
                      <w:lang w:val="en-US" w:eastAsia="zh-CN" w:bidi="ar"/>
                    </w:rPr>
                  </w:pPr>
                  <w:r>
                    <w:rPr>
                      <w:rFonts w:hint="eastAsia" w:cs="Times New Roman"/>
                      <w:color w:val="auto"/>
                      <w:highlight w:val="none"/>
                      <w:lang w:val="en-US" w:eastAsia="zh-CN" w:bidi="ar"/>
                    </w:rPr>
                    <w:t>27.2</w:t>
                  </w:r>
                </w:p>
              </w:tc>
            </w:tr>
          </w:tbl>
          <w:p>
            <w:pPr>
              <w:pStyle w:val="126"/>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object>
                <v:shape id="_x0000_i1025" o:spt="75" type="#_x0000_t75" style="height:35.35pt;width:393.1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pPr>
              <w:pStyle w:val="126"/>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图2-1</w:t>
            </w:r>
            <w:r>
              <w:rPr>
                <w:rFonts w:hint="eastAsia" w:cs="Times New Roman"/>
                <w:bCs/>
                <w:color w:val="auto"/>
                <w:szCs w:val="21"/>
                <w:highlight w:val="none"/>
                <w:lang w:val="en-US" w:eastAsia="zh-CN"/>
              </w:rPr>
              <w:t xml:space="preserve">  </w:t>
            </w:r>
            <w:r>
              <w:rPr>
                <w:rFonts w:hint="default" w:ascii="Times New Roman" w:hAnsi="Times New Roman" w:eastAsia="宋体" w:cs="Times New Roman"/>
                <w:color w:val="auto"/>
                <w:highlight w:val="none"/>
              </w:rPr>
              <w:t>项目水平衡图单位m³/a</w:t>
            </w:r>
          </w:p>
          <w:p>
            <w:pPr>
              <w:numPr>
                <w:ilvl w:val="0"/>
                <w:numId w:val="2"/>
              </w:num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供电：</w:t>
            </w:r>
            <w:r>
              <w:rPr>
                <w:rFonts w:hint="eastAsia" w:cs="Times New Roman"/>
                <w:color w:val="auto"/>
                <w:spacing w:val="-11"/>
                <w:sz w:val="24"/>
                <w:highlight w:val="none"/>
                <w:lang w:val="en-US" w:eastAsia="zh-CN"/>
              </w:rPr>
              <w:t>由市政电网供给</w:t>
            </w:r>
            <w:r>
              <w:rPr>
                <w:rFonts w:hint="default" w:ascii="Times New Roman" w:hAnsi="Times New Roman" w:eastAsia="宋体" w:cs="Times New Roman"/>
                <w:color w:val="auto"/>
                <w:spacing w:val="-11"/>
                <w:sz w:val="24"/>
                <w:highlight w:val="none"/>
              </w:rPr>
              <w:t>。</w:t>
            </w:r>
          </w:p>
          <w:p>
            <w:pPr>
              <w:numPr>
                <w:ilvl w:val="0"/>
                <w:numId w:val="2"/>
              </w:numP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bCs/>
                <w:color w:val="auto"/>
                <w:sz w:val="24"/>
                <w:highlight w:val="none"/>
              </w:rPr>
              <w:t>供暖：</w:t>
            </w:r>
            <w:r>
              <w:rPr>
                <w:rFonts w:hint="eastAsia" w:cs="Times New Roman"/>
                <w:bCs/>
                <w:color w:val="auto"/>
                <w:sz w:val="24"/>
                <w:highlight w:val="none"/>
                <w:lang w:val="en-US" w:eastAsia="zh-CN"/>
              </w:rPr>
              <w:t>由市政供热管网</w:t>
            </w:r>
            <w:r>
              <w:rPr>
                <w:rFonts w:hint="eastAsia" w:cs="Times New Roman"/>
                <w:bCs/>
                <w:color w:val="auto"/>
                <w:sz w:val="24"/>
                <w:highlight w:val="none"/>
                <w:lang w:eastAsia="zh-CN"/>
              </w:rPr>
              <w:t>供暖</w:t>
            </w:r>
            <w:r>
              <w:rPr>
                <w:rFonts w:hint="default" w:ascii="Times New Roman" w:hAnsi="Times New Roman" w:eastAsia="宋体" w:cs="Times New Roman"/>
                <w:bCs/>
                <w:color w:val="auto"/>
                <w:sz w:val="24"/>
                <w:highlight w:val="none"/>
                <w:lang w:eastAsia="zh-CN"/>
              </w:rPr>
              <w:t>。</w:t>
            </w:r>
          </w:p>
          <w:p>
            <w:pPr>
              <w:pStyle w:val="66"/>
              <w:ind w:firstLine="482"/>
              <w:rPr>
                <w:rFonts w:hint="default" w:ascii="Times New Roman" w:hAnsi="Times New Roman" w:eastAsia="宋体" w:cs="Times New Roman"/>
                <w:b/>
                <w:color w:val="auto"/>
                <w:highlight w:val="none"/>
              </w:rPr>
            </w:pPr>
            <w:r>
              <w:rPr>
                <w:rFonts w:hint="eastAsia" w:cs="Times New Roman"/>
                <w:b/>
                <w:color w:val="auto"/>
                <w:highlight w:val="none"/>
                <w:lang w:val="en-US" w:eastAsia="zh-CN"/>
              </w:rPr>
              <w:t>7</w:t>
            </w:r>
            <w:r>
              <w:rPr>
                <w:rFonts w:hint="default" w:ascii="Times New Roman" w:hAnsi="Times New Roman" w:eastAsia="宋体" w:cs="Times New Roman"/>
                <w:b/>
                <w:color w:val="auto"/>
                <w:highlight w:val="none"/>
              </w:rPr>
              <w:t>、</w:t>
            </w:r>
            <w:r>
              <w:rPr>
                <w:rFonts w:hint="eastAsia" w:cs="Times New Roman"/>
                <w:b/>
                <w:color w:val="auto"/>
                <w:highlight w:val="none"/>
                <w:lang w:val="en-US" w:eastAsia="zh-CN"/>
              </w:rPr>
              <w:t>总</w:t>
            </w:r>
            <w:r>
              <w:rPr>
                <w:rFonts w:hint="default" w:ascii="Times New Roman" w:hAnsi="Times New Roman" w:eastAsia="宋体" w:cs="Times New Roman"/>
                <w:b/>
                <w:color w:val="auto"/>
                <w:highlight w:val="none"/>
              </w:rPr>
              <w:t>平面布置</w:t>
            </w:r>
          </w:p>
          <w:p>
            <w:pPr>
              <w:pStyle w:val="66"/>
              <w:ind w:firstLine="480"/>
              <w:rPr>
                <w:rFonts w:hint="default" w:eastAsia="宋体" w:cs="Times New Roman"/>
                <w:color w:val="auto"/>
                <w:highlight w:val="none"/>
                <w:lang w:val="en-US" w:eastAsia="zh-CN"/>
              </w:rPr>
            </w:pPr>
            <w:r>
              <w:rPr>
                <w:rFonts w:hint="eastAsia"/>
                <w:sz w:val="24"/>
                <w:lang w:val="en-US" w:eastAsia="zh-CN"/>
              </w:rPr>
              <w:t>项目生产区位于车间中部，原辅料暂存区位于车间南侧，东西两侧设置出入口，方便原辅材料及产品运输。</w:t>
            </w:r>
          </w:p>
          <w:p>
            <w:pPr>
              <w:pStyle w:val="66"/>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项目</w:t>
            </w:r>
            <w:r>
              <w:rPr>
                <w:rFonts w:hint="eastAsia"/>
                <w:sz w:val="24"/>
              </w:rPr>
              <w:t>具体</w:t>
            </w:r>
            <w:r>
              <w:rPr>
                <w:rFonts w:hint="eastAsia"/>
                <w:sz w:val="24"/>
                <w:lang w:val="en-US" w:eastAsia="zh-CN"/>
              </w:rPr>
              <w:t>厂区平面布置</w:t>
            </w:r>
            <w:r>
              <w:rPr>
                <w:rFonts w:hint="eastAsia"/>
                <w:sz w:val="24"/>
              </w:rPr>
              <w:t>见附图</w:t>
            </w:r>
            <w:r>
              <w:rPr>
                <w:rFonts w:hint="default" w:ascii="Times New Roman" w:hAnsi="Times New Roman" w:eastAsia="宋体" w:cs="Times New Roman"/>
                <w:color w:val="auto"/>
                <w:highlight w:val="none"/>
              </w:rPr>
              <w:t>。</w:t>
            </w:r>
          </w:p>
          <w:p>
            <w:pPr>
              <w:pStyle w:val="66"/>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snapToGrid w:val="0"/>
                <w:sz w:val="28"/>
                <w:szCs w:val="32"/>
                <w:highlight w:val="none"/>
              </w:rPr>
            </w:pPr>
            <w:r>
              <w:drawing>
                <wp:inline distT="0" distB="0" distL="114300" distR="114300">
                  <wp:extent cx="4996180" cy="3276600"/>
                  <wp:effectExtent l="0" t="0" r="762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4996180" cy="3276600"/>
                          </a:xfrm>
                          <a:prstGeom prst="rect">
                            <a:avLst/>
                          </a:prstGeom>
                          <a:noFill/>
                          <a:ln>
                            <a:noFill/>
                          </a:ln>
                        </pic:spPr>
                      </pic:pic>
                    </a:graphicData>
                  </a:graphic>
                </wp:inline>
              </w:drawing>
            </w:r>
          </w:p>
          <w:p>
            <w:pPr>
              <w:pStyle w:val="66"/>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snapToGrid w:val="0"/>
                <w:sz w:val="28"/>
                <w:szCs w:val="32"/>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图2-2  项目总平面布置图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dxa"/>
            <w:vAlign w:val="center"/>
          </w:tcPr>
          <w:p>
            <w:pPr>
              <w:pStyle w:val="26"/>
              <w:spacing w:after="1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1"/>
                <w:highlight w:val="none"/>
              </w:rPr>
              <w:t>工艺流程和产排污环节</w:t>
            </w:r>
          </w:p>
        </w:tc>
        <w:tc>
          <w:tcPr>
            <w:tcW w:w="8089" w:type="dxa"/>
          </w:tcPr>
          <w:p>
            <w:pPr>
              <w:pStyle w:val="66"/>
              <w:ind w:firstLine="482"/>
              <w:jc w:val="left"/>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1、项目建设期工艺流程及产污环节</w:t>
            </w:r>
          </w:p>
          <w:p>
            <w:pPr>
              <w:spacing w:line="360" w:lineRule="auto"/>
              <w:ind w:firstLine="480" w:firstLineChars="200"/>
              <w:rPr>
                <w:rFonts w:hint="eastAsia" w:cs="Times New Roman"/>
                <w:color w:val="auto"/>
                <w:sz w:val="24"/>
                <w:highlight w:val="none"/>
                <w:lang w:eastAsia="zh-CN"/>
              </w:rPr>
            </w:pPr>
            <w:r>
              <w:rPr>
                <w:rFonts w:hint="eastAsia" w:cs="Times New Roman"/>
                <w:color w:val="auto"/>
                <w:sz w:val="24"/>
                <w:highlight w:val="none"/>
                <w:lang w:val="en-US" w:eastAsia="zh-CN"/>
              </w:rPr>
              <w:t>项目租用内蒙古璟程电缆有限公司现有空置厂房</w:t>
            </w:r>
            <w:r>
              <w:rPr>
                <w:rFonts w:hint="eastAsia" w:cs="Times New Roman"/>
                <w:color w:val="auto"/>
                <w:sz w:val="24"/>
                <w:highlight w:val="none"/>
                <w:lang w:eastAsia="zh-CN"/>
              </w:rPr>
              <w:t>，</w:t>
            </w:r>
            <w:r>
              <w:rPr>
                <w:rFonts w:hint="eastAsia" w:cs="Times New Roman"/>
                <w:color w:val="auto"/>
                <w:sz w:val="24"/>
                <w:highlight w:val="none"/>
                <w:lang w:val="en-US" w:eastAsia="zh-CN"/>
              </w:rPr>
              <w:t>无需土建施工，仅为设备安装。</w:t>
            </w:r>
            <w:r>
              <w:rPr>
                <w:rFonts w:hint="eastAsia" w:cs="Times New Roman"/>
                <w:color w:val="auto"/>
                <w:sz w:val="24"/>
                <w:highlight w:val="none"/>
                <w:lang w:eastAsia="zh-CN"/>
              </w:rPr>
              <w:t>施工期工艺流程及产污情况见图</w:t>
            </w:r>
            <w:r>
              <w:rPr>
                <w:rFonts w:hint="eastAsia" w:cs="Times New Roman"/>
                <w:color w:val="auto"/>
                <w:sz w:val="24"/>
                <w:highlight w:val="none"/>
                <w:lang w:val="en-US" w:eastAsia="zh-CN"/>
              </w:rPr>
              <w:t>2-1</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color w:val="auto"/>
                <w:sz w:val="24"/>
                <w:highlight w:val="none"/>
                <w:lang w:eastAsia="zh-CN"/>
              </w:rPr>
            </w:pPr>
            <w:r>
              <w:rPr>
                <w:rFonts w:hint="eastAsia" w:cs="Times New Roman"/>
                <w:color w:val="auto"/>
                <w:sz w:val="24"/>
                <w:highlight w:val="none"/>
                <w:lang w:eastAsia="zh-CN"/>
              </w:rPr>
              <w:drawing>
                <wp:inline distT="0" distB="0" distL="114300" distR="114300">
                  <wp:extent cx="2828925" cy="1171575"/>
                  <wp:effectExtent l="0" t="0" r="9525" b="952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2828925" cy="1171575"/>
                          </a:xfrm>
                          <a:prstGeom prst="rect">
                            <a:avLst/>
                          </a:prstGeom>
                          <a:noFill/>
                          <a:ln>
                            <a:noFill/>
                          </a:ln>
                        </pic:spPr>
                      </pic:pic>
                    </a:graphicData>
                  </a:graphic>
                </wp:inline>
              </w:drawing>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图2-3  施工期工艺流程及产污节点图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color w:val="auto"/>
                <w:sz w:val="24"/>
                <w:szCs w:val="20"/>
                <w:highlight w:val="none"/>
              </w:rPr>
            </w:pPr>
            <w:r>
              <w:rPr>
                <w:rFonts w:hint="default" w:ascii="Times New Roman" w:hAnsi="Times New Roman" w:eastAsia="宋体" w:cs="Times New Roman"/>
                <w:b w:val="0"/>
                <w:bCs w:val="0"/>
                <w:color w:val="auto"/>
                <w:sz w:val="24"/>
                <w:szCs w:val="20"/>
                <w:highlight w:val="none"/>
                <w:lang w:val="en-US" w:eastAsia="zh-CN"/>
              </w:rPr>
              <w:t>2、</w:t>
            </w:r>
            <w:r>
              <w:rPr>
                <w:rFonts w:hint="default" w:ascii="Times New Roman" w:hAnsi="Times New Roman" w:eastAsia="宋体" w:cs="Times New Roman"/>
                <w:b w:val="0"/>
                <w:bCs w:val="0"/>
                <w:color w:val="auto"/>
                <w:sz w:val="24"/>
                <w:szCs w:val="20"/>
                <w:highlight w:val="none"/>
              </w:rPr>
              <w:t>主要污染工序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施工期污染工序主要从噪声、固体废物及</w:t>
            </w:r>
            <w:r>
              <w:rPr>
                <w:rFonts w:hint="eastAsia" w:cs="Times New Roman"/>
                <w:color w:val="auto"/>
                <w:sz w:val="24"/>
                <w:highlight w:val="none"/>
                <w:lang w:val="en-US" w:eastAsia="zh-CN"/>
              </w:rPr>
              <w:t>废水</w:t>
            </w:r>
            <w:r>
              <w:rPr>
                <w:rFonts w:hint="default" w:ascii="Times New Roman" w:hAnsi="Times New Roman" w:eastAsia="宋体" w:cs="Times New Roman"/>
                <w:color w:val="auto"/>
                <w:sz w:val="24"/>
                <w:highlight w:val="none"/>
              </w:rPr>
              <w:t>影响</w:t>
            </w:r>
            <w:r>
              <w:rPr>
                <w:rFonts w:hint="eastAsia" w:cs="Times New Roman"/>
                <w:color w:val="auto"/>
                <w:sz w:val="24"/>
                <w:highlight w:val="none"/>
                <w:lang w:val="en-US" w:eastAsia="zh-CN"/>
              </w:rPr>
              <w:t>等</w:t>
            </w:r>
            <w:r>
              <w:rPr>
                <w:rFonts w:hint="default" w:ascii="Times New Roman" w:hAnsi="Times New Roman" w:eastAsia="宋体" w:cs="Times New Roman"/>
                <w:color w:val="auto"/>
                <w:sz w:val="24"/>
                <w:highlight w:val="none"/>
              </w:rPr>
              <w:t>方面分析。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）噪声产生环节及影响分析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噪声主要指建筑工地施工和交通噪声两类。前者为持续性噪声，后者为间歇性噪声。对于每一个施工阶段采用的施工机械不同，对外界环境造成的施工噪声污染水平也不同。据同类机械调查，施工期噪声源主要是施工机械设备产生的噪声，一些施工机械的噪声强度可达75~95dB(A)，由此而产生的噪声对周围区域环境有一定的影响。施工期主要噪声源有挖掘机、开掘机、运输车辆等施工机械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由于本工程施工机械产生的噪声主要属于低频噪声，因此在预测其影响时可只考虑其扩散衰减，预测模型可选用：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－20lgr</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 xml:space="preserve">  （r</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&gt;r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——距声源r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处的等效A声级（dB（A））；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——接受点距声源的距离（m）。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由上式可推出噪声随距离增加而衰减的量ΔL：</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ΔL= L</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=20lgr</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由此式可计算出噪声值随距离衰减的情况，结果见表</w:t>
            </w:r>
            <w:r>
              <w:rPr>
                <w:rFonts w:hint="eastAsia"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2-6</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噪声值随距离的衰减关系</w:t>
            </w:r>
          </w:p>
          <w:tbl>
            <w:tblPr>
              <w:tblStyle w:val="30"/>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524"/>
              <w:gridCol w:w="627"/>
              <w:gridCol w:w="738"/>
              <w:gridCol w:w="786"/>
              <w:gridCol w:w="800"/>
              <w:gridCol w:w="881"/>
              <w:gridCol w:w="936"/>
              <w:gridCol w:w="934"/>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p>
              </w:tc>
              <w:tc>
                <w:tcPr>
                  <w:tcW w:w="5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9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7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ΔLdB(A)</w:t>
                  </w:r>
                </w:p>
              </w:tc>
              <w:tc>
                <w:tcPr>
                  <w:tcW w:w="5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7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9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7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若按噪声最高的重型卡车计算，施工噪声随距离衰减后的情况如表</w:t>
            </w:r>
            <w:r>
              <w:rPr>
                <w:rFonts w:hint="eastAsia"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rPr>
              <w:t>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2-7</w:t>
            </w:r>
            <w:r>
              <w:rPr>
                <w:rFonts w:hint="default" w:ascii="Times New Roman" w:hAnsi="Times New Roman" w:eastAsia="宋体" w:cs="Times New Roman"/>
                <w:b/>
                <w:color w:val="auto"/>
                <w:sz w:val="21"/>
                <w:szCs w:val="21"/>
                <w:highlight w:val="none"/>
              </w:rPr>
              <w:t xml:space="preserve">  施工噪声随距离的衰减值</w:t>
            </w:r>
          </w:p>
          <w:tbl>
            <w:tblPr>
              <w:tblStyle w:val="30"/>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557"/>
              <w:gridCol w:w="701"/>
              <w:gridCol w:w="701"/>
              <w:gridCol w:w="701"/>
              <w:gridCol w:w="701"/>
              <w:gridCol w:w="701"/>
              <w:gridCol w:w="701"/>
              <w:gridCol w:w="700"/>
              <w:gridCol w:w="70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p>
              </w:tc>
              <w:tc>
                <w:tcPr>
                  <w:tcW w:w="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重型卡车</w:t>
                  </w:r>
                </w:p>
              </w:tc>
              <w:tc>
                <w:tcPr>
                  <w:tcW w:w="5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w:t>
            </w:r>
            <w:r>
              <w:rPr>
                <w:rFonts w:hint="eastAsia" w:cs="Times New Roman"/>
                <w:color w:val="auto"/>
                <w:sz w:val="24"/>
                <w:highlight w:val="none"/>
                <w:lang w:val="en-US" w:eastAsia="zh-CN"/>
              </w:rPr>
              <w:t>上表可知</w:t>
            </w:r>
            <w:r>
              <w:rPr>
                <w:rFonts w:hint="default" w:ascii="Times New Roman" w:hAnsi="Times New Roman" w:eastAsia="宋体" w:cs="Times New Roman"/>
                <w:color w:val="auto"/>
                <w:sz w:val="24"/>
                <w:highlight w:val="none"/>
              </w:rPr>
              <w:t>，白天施工机械噪声值超标在100米范围内，对100米外的声环境影响较小，所以施工噪声会对项目拟建地周围100米范围内的施工人员产生一定程度的污染影响。此外，由于进入施工区的公路上流动噪声源的增加，还会引起公路沿线两侧地区噪声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废水主要为施工人员废水，依托内蒙古璟程电缆有限公司，不再新建化粪池。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）固体废物产生环节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①施工过程中产生的</w:t>
            </w:r>
            <w:r>
              <w:rPr>
                <w:rFonts w:hint="default" w:ascii="Times New Roman" w:hAnsi="Times New Roman" w:eastAsia="宋体" w:cs="Times New Roman"/>
                <w:color w:val="auto"/>
                <w:sz w:val="24"/>
                <w:highlight w:val="none"/>
                <w:lang w:val="en-US" w:eastAsia="zh-CN"/>
              </w:rPr>
              <w:t>废包装</w:t>
            </w:r>
            <w:r>
              <w:rPr>
                <w:rFonts w:hint="default" w:ascii="Times New Roman" w:hAnsi="Times New Roman" w:eastAsia="宋体" w:cs="Times New Roman"/>
                <w:color w:val="auto"/>
                <w:sz w:val="24"/>
                <w:highlight w:val="none"/>
              </w:rPr>
              <w:t>箱</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收集后外售。</w:t>
            </w:r>
          </w:p>
          <w:p>
            <w:pPr>
              <w:pStyle w:val="66"/>
              <w:numPr>
                <w:ilvl w:val="255"/>
                <w:numId w:val="0"/>
              </w:numPr>
              <w:ind w:firstLine="480" w:firstLineChars="200"/>
              <w:jc w:val="left"/>
              <w:rPr>
                <w:rFonts w:hint="eastAsia" w:cs="Times New Roman"/>
                <w:color w:val="auto"/>
                <w:highlight w:val="none"/>
                <w:lang w:eastAsia="zh-CN"/>
              </w:rPr>
            </w:pPr>
            <w:r>
              <w:rPr>
                <w:rFonts w:hint="default" w:ascii="Times New Roman" w:hAnsi="Times New Roman" w:eastAsia="宋体" w:cs="Times New Roman"/>
                <w:color w:val="auto"/>
                <w:sz w:val="24"/>
                <w:highlight w:val="none"/>
              </w:rPr>
              <w:t>②施工人员产生的生活垃圾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由环卫部门清运处置。</w:t>
            </w:r>
          </w:p>
          <w:p>
            <w:pPr>
              <w:pStyle w:val="66"/>
              <w:numPr>
                <w:ilvl w:val="255"/>
                <w:numId w:val="0"/>
              </w:numPr>
              <w:ind w:firstLine="482" w:firstLineChars="200"/>
              <w:jc w:val="left"/>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2、项目运营期工艺流程</w:t>
            </w:r>
          </w:p>
          <w:p>
            <w:pPr>
              <w:pStyle w:val="66"/>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drawing>
                <wp:inline distT="0" distB="0" distL="114300" distR="114300">
                  <wp:extent cx="3826510" cy="1214755"/>
                  <wp:effectExtent l="0" t="0" r="8890" b="4445"/>
                  <wp:docPr id="3" name="图片 3" descr="172347600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3476009603"/>
                          <pic:cNvPicPr>
                            <a:picLocks noChangeAspect="1"/>
                          </pic:cNvPicPr>
                        </pic:nvPicPr>
                        <pic:blipFill>
                          <a:blip r:embed="rId16"/>
                          <a:stretch>
                            <a:fillRect/>
                          </a:stretch>
                        </pic:blipFill>
                        <pic:spPr>
                          <a:xfrm>
                            <a:off x="0" y="0"/>
                            <a:ext cx="3826510" cy="1214755"/>
                          </a:xfrm>
                          <a:prstGeom prst="rect">
                            <a:avLst/>
                          </a:prstGeom>
                        </pic:spPr>
                      </pic:pic>
                    </a:graphicData>
                  </a:graphic>
                </wp:inline>
              </w:drawing>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图2-</w:t>
            </w:r>
            <w:r>
              <w:rPr>
                <w:rFonts w:hint="eastAsia" w:ascii="Times New Roman" w:hAnsi="Times New Roman" w:eastAsia="宋体" w:cs="Times New Roman"/>
                <w:b/>
                <w:bCs/>
                <w:color w:val="auto"/>
                <w:kern w:val="2"/>
                <w:sz w:val="21"/>
                <w:szCs w:val="21"/>
                <w:highlight w:val="none"/>
                <w:lang w:val="en-US" w:eastAsia="zh-CN" w:bidi="ar-SA"/>
              </w:rPr>
              <w:t xml:space="preserve">2  </w:t>
            </w:r>
            <w:r>
              <w:rPr>
                <w:rFonts w:hint="default" w:ascii="Times New Roman" w:hAnsi="Times New Roman" w:eastAsia="宋体" w:cs="Times New Roman"/>
                <w:b/>
                <w:bCs/>
                <w:color w:val="auto"/>
                <w:kern w:val="2"/>
                <w:sz w:val="21"/>
                <w:szCs w:val="21"/>
                <w:highlight w:val="none"/>
                <w:lang w:val="en-US" w:eastAsia="zh-CN" w:bidi="ar-SA"/>
              </w:rPr>
              <w:t>项目运营期工艺流程及产污环节</w:t>
            </w:r>
          </w:p>
          <w:p>
            <w:pPr>
              <w:keepNext w:val="0"/>
              <w:keepLines w:val="0"/>
              <w:pageBreakBefore w:val="0"/>
              <w:kinsoku/>
              <w:wordWrap/>
              <w:overflowPunct/>
              <w:topLinePunct w:val="0"/>
              <w:bidi w:val="0"/>
              <w:adjustRightInd w:val="0"/>
              <w:snapToGrid w:val="0"/>
              <w:spacing w:line="360" w:lineRule="auto"/>
              <w:ind w:left="0" w:right="0" w:firstLine="468" w:firstLineChars="200"/>
              <w:textAlignment w:val="auto"/>
              <w:rPr>
                <w:rFonts w:ascii="宋体" w:hAnsi="宋体" w:eastAsia="宋体" w:cs="宋体"/>
                <w:sz w:val="24"/>
                <w:szCs w:val="24"/>
              </w:rPr>
            </w:pPr>
            <w:r>
              <w:rPr>
                <w:rFonts w:ascii="宋体" w:hAnsi="宋体" w:eastAsia="宋体" w:cs="宋体"/>
                <w:spacing w:val="-3"/>
                <w:sz w:val="24"/>
                <w:szCs w:val="24"/>
              </w:rPr>
              <w:t>拉丝：将铝杆在拉丝机上投入拉丝油进行拉拔，拉丝机使用</w:t>
            </w:r>
            <w:r>
              <w:rPr>
                <w:rFonts w:ascii="宋体" w:hAnsi="宋体" w:eastAsia="宋体" w:cs="宋体"/>
                <w:spacing w:val="-4"/>
                <w:sz w:val="24"/>
                <w:szCs w:val="24"/>
              </w:rPr>
              <w:t>电作为能源，在</w:t>
            </w:r>
            <w:r>
              <w:rPr>
                <w:rFonts w:ascii="宋体" w:hAnsi="宋体" w:eastAsia="宋体" w:cs="宋体"/>
                <w:sz w:val="24"/>
                <w:szCs w:val="24"/>
              </w:rPr>
              <w:t>此过程中铝杆会在拉丝机中发生硬化变脆，线坯经</w:t>
            </w:r>
            <w:r>
              <w:rPr>
                <w:rFonts w:ascii="宋体" w:hAnsi="宋体" w:eastAsia="宋体" w:cs="宋体"/>
                <w:spacing w:val="-1"/>
                <w:sz w:val="24"/>
                <w:szCs w:val="24"/>
              </w:rPr>
              <w:t>过拉伸，达到需要的直径。</w:t>
            </w:r>
          </w:p>
          <w:p>
            <w:pPr>
              <w:pStyle w:val="66"/>
              <w:keepNext w:val="0"/>
              <w:keepLines w:val="0"/>
              <w:pageBreakBefore w:val="0"/>
              <w:kinsoku/>
              <w:wordWrap/>
              <w:overflowPunct/>
              <w:topLinePunct w:val="0"/>
              <w:bidi w:val="0"/>
              <w:adjustRightInd w:val="0"/>
              <w:snapToGrid w:val="0"/>
              <w:spacing w:line="360" w:lineRule="auto"/>
              <w:ind w:left="0" w:right="0" w:firstLine="468" w:firstLineChars="200"/>
              <w:textAlignment w:val="auto"/>
              <w:rPr>
                <w:rFonts w:ascii="宋体" w:hAnsi="宋体" w:eastAsia="宋体" w:cs="宋体"/>
                <w:spacing w:val="-1"/>
                <w:sz w:val="24"/>
                <w:szCs w:val="24"/>
              </w:rPr>
            </w:pPr>
            <w:r>
              <w:rPr>
                <w:rFonts w:ascii="宋体" w:hAnsi="宋体" w:eastAsia="宋体" w:cs="宋体"/>
                <w:spacing w:val="-3"/>
                <w:sz w:val="24"/>
                <w:szCs w:val="24"/>
              </w:rPr>
              <w:t>绞线：将上述拉丝完成的若干根直径相同或不同的单线按</w:t>
            </w:r>
            <w:r>
              <w:rPr>
                <w:rFonts w:ascii="宋体" w:hAnsi="宋体" w:eastAsia="宋体" w:cs="宋体"/>
                <w:spacing w:val="-4"/>
                <w:sz w:val="24"/>
                <w:szCs w:val="24"/>
              </w:rPr>
              <w:t>一定的方向和一定</w:t>
            </w:r>
            <w:r>
              <w:rPr>
                <w:rFonts w:ascii="宋体" w:hAnsi="宋体" w:eastAsia="宋体" w:cs="宋体"/>
                <w:spacing w:val="-3"/>
                <w:sz w:val="24"/>
                <w:szCs w:val="24"/>
              </w:rPr>
              <w:t>的规则绞合在一起，绞合的导线直接作为电线电缆使用，称为裸绞线；电力电缆的导电线芯有两种绞合方法：无退扭绞合和有退扭绞合。采用有退扭方法绞成的线芯没有扭转内应力，故多用于不紧压的绞线，以避免因有内应力在单线断裂时</w:t>
            </w:r>
            <w:r>
              <w:rPr>
                <w:rFonts w:ascii="宋体" w:hAnsi="宋体" w:eastAsia="宋体" w:cs="宋体"/>
                <w:spacing w:val="-8"/>
                <w:sz w:val="24"/>
                <w:szCs w:val="24"/>
              </w:rPr>
              <w:t>散开。没有退扭的绞合多用于紧压型线芯，因为自扭产生的残余应力是弹性变形，</w:t>
            </w:r>
            <w:r>
              <w:rPr>
                <w:rFonts w:ascii="宋体" w:hAnsi="宋体" w:eastAsia="宋体" w:cs="宋体"/>
                <w:spacing w:val="-1"/>
                <w:sz w:val="24"/>
                <w:szCs w:val="24"/>
              </w:rPr>
              <w:t>压型为塑性变形，因此经过紧压后内应力即可消失。</w:t>
            </w:r>
          </w:p>
          <w:p>
            <w:pPr>
              <w:pStyle w:val="2"/>
              <w:keepNext w:val="0"/>
              <w:keepLines w:val="0"/>
              <w:pageBreakBefore w:val="0"/>
              <w:kinsoku/>
              <w:wordWrap/>
              <w:overflowPunct/>
              <w:topLinePunct w:val="0"/>
              <w:bidi w:val="0"/>
              <w:adjustRightInd w:val="0"/>
              <w:snapToGrid w:val="0"/>
              <w:spacing w:before="0" w:after="0" w:line="360" w:lineRule="auto"/>
              <w:ind w:left="0" w:right="0" w:firstLine="468" w:firstLineChars="200"/>
              <w:textAlignment w:val="auto"/>
              <w:rPr>
                <w:rFonts w:ascii="宋体" w:hAnsi="宋体" w:eastAsia="宋体" w:cs="宋体"/>
                <w:sz w:val="24"/>
                <w:szCs w:val="24"/>
              </w:rPr>
            </w:pPr>
            <w:r>
              <w:rPr>
                <w:rFonts w:ascii="宋体" w:hAnsi="宋体" w:eastAsia="宋体" w:cs="宋体"/>
                <w:spacing w:val="-3"/>
                <w:sz w:val="24"/>
                <w:szCs w:val="24"/>
              </w:rPr>
              <w:t>项目铝杆通过模具时，被拉伸成铝丝，在这个过程中</w:t>
            </w:r>
            <w:r>
              <w:rPr>
                <w:rFonts w:ascii="宋体" w:hAnsi="宋体" w:eastAsia="宋体" w:cs="宋体"/>
                <w:spacing w:val="-4"/>
                <w:sz w:val="24"/>
                <w:szCs w:val="24"/>
              </w:rPr>
              <w:t>，铝杆表面的拉丝油</w:t>
            </w:r>
            <w:r>
              <w:rPr>
                <w:rFonts w:ascii="宋体" w:hAnsi="宋体" w:eastAsia="宋体" w:cs="宋体"/>
                <w:spacing w:val="-3"/>
                <w:sz w:val="24"/>
                <w:szCs w:val="24"/>
              </w:rPr>
              <w:t>也会被模具阻挡下来并流入到润滑系统，最后抽入拉丝油池中循环使用，此时铝</w:t>
            </w:r>
            <w:r>
              <w:rPr>
                <w:rFonts w:ascii="宋体" w:hAnsi="宋体" w:eastAsia="宋体" w:cs="宋体"/>
                <w:spacing w:val="9"/>
                <w:sz w:val="24"/>
                <w:szCs w:val="24"/>
              </w:rPr>
              <w:t>丝表面保持良好的洁净状态，其表面质量符</w:t>
            </w:r>
            <w:r>
              <w:rPr>
                <w:rFonts w:ascii="宋体" w:hAnsi="宋体" w:eastAsia="宋体" w:cs="宋体"/>
                <w:spacing w:val="8"/>
                <w:sz w:val="24"/>
                <w:szCs w:val="24"/>
              </w:rPr>
              <w:t>合《架空绞线用硬铝线》（</w:t>
            </w:r>
            <w:r>
              <w:rPr>
                <w:sz w:val="24"/>
                <w:szCs w:val="24"/>
              </w:rPr>
              <w:t>GB</w:t>
            </w:r>
            <w:r>
              <w:rPr>
                <w:spacing w:val="8"/>
                <w:sz w:val="24"/>
                <w:szCs w:val="24"/>
              </w:rPr>
              <w:t>/T</w:t>
            </w:r>
            <w:r>
              <w:rPr>
                <w:spacing w:val="-2"/>
                <w:sz w:val="24"/>
                <w:szCs w:val="24"/>
              </w:rPr>
              <w:t>17048-2017</w:t>
            </w:r>
            <w:r>
              <w:rPr>
                <w:rFonts w:ascii="宋体" w:hAnsi="宋体" w:eastAsia="宋体" w:cs="宋体"/>
                <w:spacing w:val="-2"/>
                <w:sz w:val="24"/>
                <w:szCs w:val="24"/>
              </w:rPr>
              <w:t>）中的要求。框绞机高速旋转（此时铝丝在绞线过程）将铝丝</w:t>
            </w:r>
            <w:r>
              <w:rPr>
                <w:rFonts w:ascii="宋体" w:hAnsi="宋体" w:eastAsia="宋体" w:cs="宋体"/>
                <w:spacing w:val="-3"/>
                <w:sz w:val="24"/>
                <w:szCs w:val="24"/>
              </w:rPr>
              <w:t>表面的拉丝油去除干净；铝丝表面若还残留拉丝油，在高速运转下受到离心力的作用被</w:t>
            </w:r>
            <w:r>
              <w:rPr>
                <w:rFonts w:ascii="宋体" w:hAnsi="宋体" w:eastAsia="宋体" w:cs="宋体"/>
                <w:spacing w:val="-1"/>
                <w:sz w:val="24"/>
                <w:szCs w:val="24"/>
              </w:rPr>
              <w:t>甩出，被甩出的废物收集后为废拉丝油泥，按危险废物管理。</w:t>
            </w:r>
          </w:p>
          <w:p>
            <w:pPr>
              <w:pStyle w:val="2"/>
              <w:keepNext w:val="0"/>
              <w:keepLines w:val="0"/>
              <w:pageBreakBefore w:val="0"/>
              <w:kinsoku/>
              <w:wordWrap/>
              <w:overflowPunct/>
              <w:topLinePunct w:val="0"/>
              <w:bidi w:val="0"/>
              <w:adjustRightInd w:val="0"/>
              <w:snapToGrid w:val="0"/>
              <w:spacing w:before="0" w:after="0" w:line="360" w:lineRule="auto"/>
              <w:ind w:left="0" w:right="0" w:firstLine="468" w:firstLineChars="200"/>
              <w:textAlignment w:val="auto"/>
              <w:rPr>
                <w:rFonts w:ascii="宋体" w:hAnsi="宋体" w:eastAsia="宋体" w:cs="宋体"/>
                <w:spacing w:val="-3"/>
                <w:sz w:val="24"/>
                <w:szCs w:val="24"/>
              </w:rPr>
            </w:pPr>
            <w:r>
              <w:rPr>
                <w:rFonts w:ascii="宋体" w:hAnsi="宋体" w:eastAsia="宋体" w:cs="宋体"/>
                <w:spacing w:val="-3"/>
                <w:sz w:val="24"/>
                <w:szCs w:val="24"/>
              </w:rPr>
              <w:t>检验、包装：最后对产品进行检测，对合格品进行简单包装捆绑，入库代售。</w:t>
            </w:r>
          </w:p>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3、项目运营期产污环节</w:t>
            </w:r>
          </w:p>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3.1污水</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项目营运期废水主要为生活污水</w:t>
            </w:r>
            <w:r>
              <w:rPr>
                <w:rFonts w:hint="eastAsia" w:cs="Times New Roman"/>
                <w:color w:val="auto"/>
                <w:sz w:val="24"/>
                <w:highlight w:val="none"/>
                <w:lang w:eastAsia="zh-CN"/>
              </w:rPr>
              <w:t>，</w:t>
            </w:r>
            <w:r>
              <w:rPr>
                <w:rFonts w:hint="eastAsia" w:cs="Times New Roman"/>
                <w:color w:val="auto"/>
                <w:sz w:val="24"/>
                <w:highlight w:val="none"/>
                <w:lang w:val="en-US" w:eastAsia="zh-CN"/>
              </w:rPr>
              <w:t>无生产废水产生</w:t>
            </w:r>
            <w:r>
              <w:rPr>
                <w:rFonts w:hint="default" w:ascii="Times New Roman" w:hAnsi="Times New Roman" w:eastAsia="宋体" w:cs="Times New Roman"/>
                <w:color w:val="auto"/>
                <w:sz w:val="24"/>
                <w:highlight w:val="none"/>
              </w:rPr>
              <w:t>。</w:t>
            </w:r>
          </w:p>
          <w:p>
            <w:pPr>
              <w:pStyle w:val="66"/>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项目</w:t>
            </w:r>
            <w:r>
              <w:rPr>
                <w:rFonts w:hint="eastAsia" w:cs="Times New Roman"/>
                <w:color w:val="auto"/>
                <w:highlight w:val="none"/>
                <w:lang w:eastAsia="zh-CN"/>
              </w:rPr>
              <w:t>生活污水依托内蒙古璟程电缆有限公司化粪池收集后排入园区污水管网，最终纳入园区污水处理厂进行进一步处理。</w:t>
            </w:r>
          </w:p>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3.2废气</w:t>
            </w:r>
          </w:p>
          <w:p>
            <w:pPr>
              <w:pStyle w:val="66"/>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项目运营期废气主要</w:t>
            </w:r>
            <w:r>
              <w:rPr>
                <w:rFonts w:hint="eastAsia" w:cs="Times New Roman"/>
                <w:color w:val="auto"/>
                <w:highlight w:val="none"/>
                <w:lang w:eastAsia="zh-CN"/>
              </w:rPr>
              <w:t>无组织废气</w:t>
            </w:r>
            <w:r>
              <w:rPr>
                <w:rFonts w:hint="default" w:ascii="Times New Roman" w:hAnsi="Times New Roman" w:eastAsia="宋体" w:cs="Times New Roman"/>
                <w:color w:val="auto"/>
                <w:highlight w:val="none"/>
              </w:rPr>
              <w:t>。</w:t>
            </w:r>
          </w:p>
          <w:p>
            <w:pPr>
              <w:pStyle w:val="66"/>
              <w:ind w:firstLine="480"/>
              <w:rPr>
                <w:rFonts w:hint="default" w:ascii="Times New Roman" w:hAnsi="Times New Roman" w:eastAsia="宋体" w:cs="Times New Roman"/>
                <w:bCs/>
                <w:color w:val="auto"/>
                <w:highlight w:val="none"/>
              </w:rPr>
            </w:pPr>
            <w:r>
              <w:rPr>
                <w:rFonts w:hint="eastAsia" w:cs="Times New Roman"/>
                <w:color w:val="auto"/>
                <w:highlight w:val="none"/>
                <w:lang w:eastAsia="zh-CN"/>
              </w:rPr>
              <w:t>项目</w:t>
            </w:r>
            <w:r>
              <w:rPr>
                <w:rFonts w:hint="eastAsia" w:ascii="Times New Roman" w:hAnsi="Times New Roman" w:eastAsia="宋体" w:cs="Times New Roman"/>
                <w:color w:val="auto"/>
                <w:highlight w:val="none"/>
                <w:lang w:eastAsia="zh-CN"/>
              </w:rPr>
              <w:t>生产过程会产生少量非甲烷总烃，</w:t>
            </w:r>
            <w:r>
              <w:rPr>
                <w:spacing w:val="7"/>
              </w:rPr>
              <w:t>由于</w:t>
            </w:r>
            <w:r>
              <w:rPr>
                <w:rFonts w:hint="eastAsia" w:ascii="Times New Roman" w:hAnsi="Times New Roman" w:eastAsia="宋体" w:cs="Times New Roman"/>
                <w:color w:val="auto"/>
                <w:highlight w:val="none"/>
                <w:lang w:eastAsia="zh-CN"/>
              </w:rPr>
              <w:t>非甲烷总烃</w:t>
            </w:r>
            <w:r>
              <w:rPr>
                <w:spacing w:val="7"/>
              </w:rPr>
              <w:t>产生量极少，则通过加强车间通风换气后，在车间内无组织排放</w:t>
            </w:r>
            <w:r>
              <w:rPr>
                <w:rFonts w:hint="default" w:ascii="Times New Roman" w:hAnsi="Times New Roman" w:eastAsia="宋体" w:cs="Times New Roman"/>
                <w:bCs/>
                <w:color w:val="auto"/>
                <w:highlight w:val="none"/>
              </w:rPr>
              <w:t>。</w:t>
            </w:r>
          </w:p>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3.3噪声</w:t>
            </w:r>
          </w:p>
          <w:p>
            <w:pPr>
              <w:pStyle w:val="66"/>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bCs/>
                <w:color w:val="auto"/>
                <w:highlight w:val="none"/>
                <w:lang w:val="zh-CN"/>
              </w:rPr>
              <w:t>项目</w:t>
            </w:r>
            <w:r>
              <w:rPr>
                <w:rFonts w:hint="eastAsia" w:ascii="Times New Roman" w:hAnsi="Times New Roman" w:cs="Times New Roman"/>
                <w:bCs/>
                <w:color w:val="auto"/>
                <w:highlight w:val="none"/>
                <w:lang w:val="zh-CN"/>
              </w:rPr>
              <w:t>运营期</w:t>
            </w:r>
            <w:r>
              <w:rPr>
                <w:rFonts w:hint="default" w:ascii="Times New Roman" w:hAnsi="Times New Roman" w:eastAsia="宋体" w:cs="Times New Roman"/>
                <w:bCs/>
                <w:color w:val="auto"/>
                <w:highlight w:val="none"/>
                <w:lang w:val="zh-CN"/>
              </w:rPr>
              <w:t>噪声源主要是</w:t>
            </w:r>
            <w:r>
              <w:rPr>
                <w:rFonts w:hint="eastAsia" w:cs="Times New Roman"/>
                <w:bCs/>
                <w:color w:val="auto"/>
                <w:highlight w:val="none"/>
                <w:lang w:val="zh-CN"/>
              </w:rPr>
              <w:t>车间生产设备运行时所产生</w:t>
            </w:r>
            <w:r>
              <w:rPr>
                <w:rFonts w:hint="default" w:ascii="Times New Roman" w:hAnsi="Times New Roman" w:eastAsia="宋体" w:cs="Times New Roman"/>
                <w:bCs/>
                <w:color w:val="auto"/>
                <w:highlight w:val="none"/>
                <w:lang w:val="zh-CN"/>
              </w:rPr>
              <w:t>，</w:t>
            </w:r>
            <w:r>
              <w:rPr>
                <w:rFonts w:hint="eastAsia"/>
                <w:spacing w:val="9"/>
                <w:lang w:eastAsia="zh-CN"/>
              </w:rPr>
              <w:t>选用低噪声设备，进行基础减震、厂房隔声，合理布局噪声源。</w:t>
            </w:r>
          </w:p>
          <w:p>
            <w:pPr>
              <w:pStyle w:val="66"/>
              <w:ind w:firstLine="482"/>
              <w:jc w:val="left"/>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3.4固体废物</w:t>
            </w:r>
          </w:p>
          <w:p>
            <w:pPr>
              <w:pStyle w:val="66"/>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项目产生的固废主要为生活垃圾</w:t>
            </w:r>
            <w:r>
              <w:rPr>
                <w:rFonts w:hint="eastAsia" w:cs="Times New Roman"/>
                <w:color w:val="auto"/>
                <w:highlight w:val="none"/>
                <w:lang w:eastAsia="zh-CN"/>
              </w:rPr>
              <w:t>、一般工业固废和危险废物</w:t>
            </w:r>
            <w:r>
              <w:rPr>
                <w:rFonts w:hint="default" w:ascii="Times New Roman" w:hAnsi="Times New Roman" w:eastAsia="宋体" w:cs="Times New Roman"/>
                <w:color w:val="auto"/>
                <w:highlight w:val="none"/>
              </w:rPr>
              <w:t>。</w:t>
            </w:r>
          </w:p>
          <w:p>
            <w:pPr>
              <w:pStyle w:val="66"/>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项目设有垃圾收集箱，生活垃圾统一收集后由环卫部门清运。</w:t>
            </w:r>
          </w:p>
          <w:p>
            <w:pPr>
              <w:pStyle w:val="66"/>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color w:val="auto"/>
                <w:highlight w:val="none"/>
                <w:lang w:val="en-US" w:eastAsia="zh-CN"/>
              </w:rPr>
            </w:pPr>
            <w:r>
              <w:rPr>
                <w:rFonts w:hint="eastAsia"/>
                <w:color w:val="000000"/>
                <w:kern w:val="0"/>
                <w:szCs w:val="21"/>
                <w:highlight w:val="none"/>
                <w:lang w:val="en-US" w:eastAsia="zh-CN" w:bidi="ar"/>
              </w:rPr>
              <w:t>项目产生的一般固废主要包括废铝绞线边角料和不合格品。其中废铝绞线边角料和不合格品经收集后交由资源回收公司处理</w:t>
            </w:r>
            <w:r>
              <w:rPr>
                <w:rFonts w:hint="eastAsia" w:cs="Times New Roman"/>
                <w:color w:val="auto"/>
                <w:highlight w:val="none"/>
                <w:lang w:val="en-US" w:eastAsia="zh-CN"/>
              </w:rPr>
              <w:t>。</w:t>
            </w:r>
          </w:p>
          <w:p>
            <w:pPr>
              <w:pStyle w:val="66"/>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color w:val="auto"/>
                <w:highlight w:val="none"/>
                <w:lang w:val="en-US" w:eastAsia="zh-CN"/>
              </w:rPr>
            </w:pPr>
            <w:r>
              <w:rPr>
                <w:rFonts w:hint="eastAsia"/>
                <w:color w:val="000000"/>
                <w:kern w:val="0"/>
                <w:szCs w:val="21"/>
                <w:highlight w:val="none"/>
                <w:lang w:val="en-US" w:eastAsia="zh-CN" w:bidi="ar"/>
              </w:rPr>
              <w:t>危险废物主要为废拉丝油及油泥、废机油、废包装桶（废机油桶、废拉丝油桶）、废含油抹布定期交由有相应危险废物处理资质单位进行处理。</w:t>
            </w:r>
          </w:p>
          <w:p>
            <w:pPr>
              <w:pStyle w:val="66"/>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项目</w:t>
            </w:r>
            <w:r>
              <w:rPr>
                <w:rFonts w:hint="default" w:ascii="Times New Roman" w:hAnsi="Times New Roman" w:eastAsia="宋体" w:cs="Times New Roman"/>
                <w:color w:val="auto"/>
                <w:highlight w:val="none"/>
              </w:rPr>
              <w:t>在采取有效的措施后，废物均被合理处置，因此</w:t>
            </w:r>
            <w:r>
              <w:rPr>
                <w:rFonts w:hint="eastAsia" w:cs="Times New Roman"/>
                <w:color w:val="auto"/>
                <w:highlight w:val="none"/>
                <w:lang w:eastAsia="zh-CN"/>
              </w:rPr>
              <w:t>项目</w:t>
            </w:r>
            <w:r>
              <w:rPr>
                <w:rFonts w:hint="default" w:ascii="Times New Roman" w:hAnsi="Times New Roman" w:eastAsia="宋体" w:cs="Times New Roman"/>
                <w:color w:val="auto"/>
                <w:highlight w:val="none"/>
              </w:rPr>
              <w:t>排放的固体废物基本不会对周围环境产生影响。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8" w:hRule="atLeast"/>
          <w:jc w:val="center"/>
        </w:trPr>
        <w:tc>
          <w:tcPr>
            <w:tcW w:w="433" w:type="dxa"/>
            <w:vAlign w:val="center"/>
          </w:tcPr>
          <w:p>
            <w:pPr>
              <w:pStyle w:val="26"/>
              <w:spacing w:after="120" w:line="240" w:lineRule="auto"/>
              <w:rPr>
                <w:rFonts w:hint="default" w:ascii="Times New Roman" w:hAnsi="Times New Roman" w:eastAsia="宋体" w:cs="Times New Roman"/>
                <w:b w:val="0"/>
                <w:color w:val="auto"/>
                <w:szCs w:val="21"/>
                <w:highlight w:val="none"/>
              </w:rPr>
            </w:pPr>
            <w:r>
              <w:rPr>
                <w:rFonts w:hint="default" w:ascii="Times New Roman" w:hAnsi="Times New Roman" w:eastAsia="宋体" w:cs="Times New Roman"/>
                <w:bCs/>
                <w:color w:val="auto"/>
                <w:kern w:val="2"/>
                <w:sz w:val="24"/>
                <w:szCs w:val="21"/>
                <w:highlight w:val="none"/>
              </w:rPr>
              <w:t>与项目有关的原有环境污染问题</w:t>
            </w:r>
          </w:p>
        </w:tc>
        <w:tc>
          <w:tcPr>
            <w:tcW w:w="8089" w:type="dxa"/>
            <w:vAlign w:val="center"/>
          </w:tcPr>
          <w:p>
            <w:pPr>
              <w:pStyle w:val="66"/>
              <w:ind w:firstLine="0" w:firstLineChars="0"/>
              <w:jc w:val="center"/>
              <w:rPr>
                <w:rFonts w:hint="default" w:ascii="Times New Roman" w:hAnsi="Times New Roman" w:eastAsia="宋体" w:cs="Times New Roman"/>
                <w:color w:val="auto"/>
                <w:highlight w:val="none"/>
              </w:rPr>
            </w:pPr>
            <w:r>
              <w:rPr>
                <w:rFonts w:hint="eastAsia" w:cs="Times New Roman"/>
                <w:color w:val="auto"/>
                <w:highlight w:val="none"/>
                <w:lang w:eastAsia="zh-CN"/>
              </w:rPr>
              <w:t>项目</w:t>
            </w:r>
            <w:r>
              <w:rPr>
                <w:rFonts w:hint="default" w:ascii="Times New Roman" w:hAnsi="Times New Roman" w:eastAsia="宋体" w:cs="Times New Roman"/>
                <w:color w:val="auto"/>
                <w:highlight w:val="none"/>
              </w:rPr>
              <w:t>为新建项目，不存在原有环境污染问题</w:t>
            </w:r>
          </w:p>
        </w:tc>
      </w:tr>
    </w:tbl>
    <w:p>
      <w:pPr>
        <w:pStyle w:val="26"/>
        <w:spacing w:after="120"/>
        <w:rPr>
          <w:rFonts w:hint="default" w:ascii="Times New Roman" w:hAnsi="Times New Roman" w:eastAsia="宋体" w:cs="Times New Roman"/>
          <w:snapToGrid w:val="0"/>
          <w:sz w:val="36"/>
          <w:szCs w:val="36"/>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spacing w:after="12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三、区域环境质量现状、环境保护目标及评价标准</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1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66" w:type="pct"/>
            <w:vAlign w:val="center"/>
          </w:tcPr>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区域</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环境</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质量</w:t>
            </w:r>
          </w:p>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color w:val="auto"/>
                <w:kern w:val="0"/>
                <w:sz w:val="24"/>
                <w:szCs w:val="21"/>
                <w:highlight w:val="none"/>
              </w:rPr>
              <w:t>现状</w:t>
            </w:r>
          </w:p>
        </w:tc>
        <w:tc>
          <w:tcPr>
            <w:tcW w:w="80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宋体"/>
                <w:color w:val="auto"/>
                <w:kern w:val="0"/>
                <w:sz w:val="24"/>
                <w:szCs w:val="21"/>
                <w:highlight w:val="none"/>
              </w:rPr>
            </w:pPr>
            <w:r>
              <w:rPr>
                <w:rFonts w:hint="eastAsia" w:ascii="Times New Roman" w:hAnsi="Times New Roman" w:cs="宋体"/>
                <w:color w:val="auto"/>
                <w:kern w:val="0"/>
                <w:sz w:val="24"/>
                <w:szCs w:val="21"/>
                <w:highlight w:val="none"/>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szCs w:val="21"/>
                <w:highlight w:val="none"/>
                <w:u w:val="none"/>
                <w:lang w:val="en-US" w:eastAsia="zh-CN"/>
              </w:rPr>
            </w:pPr>
            <w:r>
              <w:rPr>
                <w:rFonts w:hint="eastAsia" w:ascii="Times New Roman" w:hAnsi="Times New Roman" w:eastAsia="宋体" w:cs="宋体"/>
                <w:color w:val="auto"/>
                <w:sz w:val="24"/>
                <w:szCs w:val="21"/>
                <w:highlight w:val="none"/>
                <w:u w:val="none"/>
                <w:lang w:val="en-US" w:eastAsia="zh-CN"/>
              </w:rPr>
              <w:t>（1）达标区判定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宋体"/>
                <w:color w:val="auto"/>
                <w:kern w:val="0"/>
                <w:sz w:val="24"/>
                <w:szCs w:val="21"/>
                <w:highlight w:val="none"/>
              </w:rPr>
            </w:pPr>
            <w:r>
              <w:rPr>
                <w:rFonts w:hint="eastAsia" w:ascii="Times New Roman" w:hAnsi="Times New Roman" w:eastAsia="宋体" w:cs="宋体"/>
                <w:color w:val="auto"/>
                <w:sz w:val="24"/>
                <w:szCs w:val="21"/>
                <w:highlight w:val="none"/>
                <w:u w:val="none"/>
                <w:lang w:val="en-US" w:eastAsia="zh-CN"/>
              </w:rPr>
              <w:t>内蒙古自治区锡林郭勒盟太仆寺旗内蒙古锡林郭勒盟太仆寺旗宝昌镇璟程电缆厂内</w:t>
            </w:r>
            <w:r>
              <w:rPr>
                <w:rFonts w:ascii="Times New Roman" w:hAnsi="Times New Roman" w:cs="宋体"/>
                <w:color w:val="auto"/>
                <w:kern w:val="0"/>
                <w:sz w:val="24"/>
                <w:szCs w:val="21"/>
                <w:highlight w:val="none"/>
              </w:rPr>
              <w:t>。</w:t>
            </w:r>
            <w:r>
              <w:rPr>
                <w:rFonts w:hint="default" w:ascii="Times New Roman" w:hAnsi="Times New Roman" w:cs="宋体"/>
                <w:color w:val="auto"/>
                <w:kern w:val="0"/>
                <w:sz w:val="24"/>
                <w:szCs w:val="21"/>
                <w:highlight w:val="none"/>
              </w:rPr>
              <w:t>根据内蒙古自治区环境保护厅</w:t>
            </w:r>
            <w:r>
              <w:rPr>
                <w:rFonts w:hint="default" w:ascii="Times New Roman" w:hAnsi="Times New Roman" w:cs="宋体"/>
                <w:color w:val="auto"/>
                <w:kern w:val="0"/>
                <w:sz w:val="24"/>
                <w:szCs w:val="21"/>
                <w:highlight w:val="none"/>
                <w:lang w:val="en-US" w:eastAsia="zh-CN"/>
              </w:rPr>
              <w:t>2024年6月3日</w:t>
            </w:r>
            <w:r>
              <w:rPr>
                <w:rFonts w:hint="default" w:ascii="Times New Roman" w:hAnsi="Times New Roman" w:cs="宋体"/>
                <w:color w:val="auto"/>
                <w:kern w:val="0"/>
                <w:sz w:val="24"/>
                <w:szCs w:val="21"/>
                <w:highlight w:val="none"/>
              </w:rPr>
              <w:t>发布的</w:t>
            </w:r>
            <w:r>
              <w:rPr>
                <w:rFonts w:hint="eastAsia" w:ascii="Times New Roman" w:hAnsi="Times New Roman" w:cs="宋体"/>
                <w:color w:val="auto"/>
                <w:kern w:val="0"/>
                <w:sz w:val="24"/>
                <w:szCs w:val="21"/>
                <w:highlight w:val="none"/>
                <w:lang w:eastAsia="zh-CN"/>
              </w:rPr>
              <w:t>《</w:t>
            </w:r>
            <w:r>
              <w:rPr>
                <w:rFonts w:hint="default" w:ascii="Times New Roman" w:hAnsi="Times New Roman" w:cs="宋体"/>
                <w:color w:val="auto"/>
                <w:kern w:val="0"/>
                <w:sz w:val="24"/>
                <w:szCs w:val="21"/>
                <w:highlight w:val="none"/>
              </w:rPr>
              <w:t>内蒙古自治区生态环境状况公报</w:t>
            </w:r>
            <w:r>
              <w:rPr>
                <w:rFonts w:hint="eastAsia" w:ascii="Times New Roman" w:hAnsi="Times New Roman" w:cs="宋体"/>
                <w:color w:val="auto"/>
                <w:kern w:val="0"/>
                <w:sz w:val="24"/>
                <w:szCs w:val="21"/>
                <w:highlight w:val="none"/>
                <w:lang w:eastAsia="zh-CN"/>
              </w:rPr>
              <w:t>》</w:t>
            </w:r>
            <w:r>
              <w:rPr>
                <w:rFonts w:hint="default" w:ascii="Times New Roman" w:hAnsi="Times New Roman" w:cs="宋体"/>
                <w:color w:val="auto"/>
                <w:kern w:val="0"/>
                <w:sz w:val="24"/>
                <w:szCs w:val="21"/>
                <w:highlight w:val="none"/>
              </w:rPr>
              <w:t>，</w:t>
            </w:r>
            <w:r>
              <w:rPr>
                <w:rFonts w:hint="default" w:ascii="Times New Roman" w:hAnsi="Times New Roman" w:cs="宋体"/>
                <w:color w:val="auto"/>
                <w:kern w:val="0"/>
                <w:sz w:val="24"/>
                <w:szCs w:val="21"/>
                <w:highlight w:val="none"/>
                <w:lang w:val="en-US" w:eastAsia="zh-CN"/>
              </w:rPr>
              <w:t>2023年，全区12盟市中，除乌海市，其他11个盟市环境空气质量均达标。</w:t>
            </w:r>
            <w:r>
              <w:rPr>
                <w:rFonts w:hint="eastAsia" w:ascii="Times New Roman" w:hAnsi="Times New Roman" w:cs="宋体"/>
                <w:color w:val="auto"/>
                <w:kern w:val="0"/>
                <w:sz w:val="24"/>
                <w:szCs w:val="21"/>
                <w:highlight w:val="none"/>
                <w:lang w:val="en-US" w:eastAsia="zh-CN"/>
              </w:rPr>
              <w:t>因此</w:t>
            </w:r>
            <w:r>
              <w:rPr>
                <w:rFonts w:hint="eastAsia" w:ascii="Times New Roman" w:hAnsi="Times New Roman" w:cs="宋体"/>
                <w:color w:val="auto"/>
                <w:kern w:val="0"/>
                <w:sz w:val="24"/>
                <w:szCs w:val="21"/>
                <w:highlight w:val="none"/>
              </w:rPr>
              <w:t>，项目所在区域为达标区。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1"/>
                <w:highlight w:val="none"/>
              </w:rPr>
              <w:t>（2）</w:t>
            </w:r>
            <w:r>
              <w:rPr>
                <w:rFonts w:hint="default" w:ascii="Times New Roman" w:hAnsi="Times New Roman" w:cs="Times New Roman"/>
                <w:color w:val="auto"/>
                <w:kern w:val="0"/>
                <w:sz w:val="24"/>
                <w:szCs w:val="21"/>
                <w:highlight w:val="none"/>
                <w:lang w:eastAsia="zh-CN"/>
              </w:rPr>
              <w:t>特征污染物</w:t>
            </w:r>
            <w:r>
              <w:rPr>
                <w:rFonts w:hint="default" w:ascii="Times New Roman" w:hAnsi="Times New Roman" w:cs="Times New Roman"/>
                <w:color w:val="auto"/>
                <w:kern w:val="0"/>
                <w:sz w:val="24"/>
                <w:szCs w:val="21"/>
                <w:highlight w:val="none"/>
              </w:rPr>
              <w:t>现状监测</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lang w:val="en-US" w:eastAsia="zh-CN"/>
              </w:rPr>
              <w:t>非甲烷总烃</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非甲烷总烃现状数据引用《</w:t>
            </w:r>
            <w:r>
              <w:rPr>
                <w:rFonts w:hint="default" w:ascii="Times New Roman" w:hAnsi="Times New Roman" w:eastAsia="宋体" w:cs="Times New Roman"/>
                <w:color w:val="auto"/>
                <w:sz w:val="24"/>
                <w:szCs w:val="24"/>
                <w:highlight w:val="none"/>
                <w:lang w:val="en-US" w:eastAsia="zh-CN"/>
              </w:rPr>
              <w:t>太仆寺旗聚能加油加气站建设项目</w:t>
            </w:r>
            <w:r>
              <w:rPr>
                <w:rFonts w:hint="default" w:ascii="Times New Roman" w:hAnsi="Times New Roman" w:eastAsia="宋体" w:cs="Times New Roman"/>
                <w:color w:val="auto"/>
                <w:sz w:val="24"/>
                <w:szCs w:val="24"/>
                <w:highlight w:val="none"/>
                <w:lang w:eastAsia="zh-CN"/>
              </w:rPr>
              <w:t>建设项目》中的环境质量现状监测数据，监测时间为2022年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月1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月1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lang w:val="en-US" w:eastAsia="zh-CN"/>
              </w:rPr>
              <w:t>监测点位为阳光小区西侧。</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b w:val="0"/>
                <w:bCs w:val="0"/>
                <w:color w:val="auto"/>
                <w:kern w:val="0"/>
                <w:sz w:val="24"/>
                <w:highlight w:val="none"/>
                <w:lang w:val="en-US" w:eastAsia="zh-CN"/>
              </w:rPr>
            </w:pPr>
            <w:r>
              <w:rPr>
                <w:rFonts w:hint="eastAsia"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eastAsia="zh-CN"/>
              </w:rPr>
              <w:t>位于</w:t>
            </w:r>
            <w:r>
              <w:rPr>
                <w:rFonts w:hint="default" w:ascii="Times New Roman" w:hAnsi="Times New Roman" w:eastAsia="宋体" w:cs="Times New Roman"/>
                <w:color w:val="auto"/>
                <w:sz w:val="24"/>
                <w:szCs w:val="24"/>
                <w:highlight w:val="none"/>
                <w:lang w:val="en-US" w:eastAsia="zh-CN"/>
              </w:rPr>
              <w:t>阳光小区西侧监测点的东南2.</w:t>
            </w:r>
            <w:r>
              <w:rPr>
                <w:rFonts w:hint="eastAsia"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color w:val="auto"/>
                <w:sz w:val="24"/>
                <w:szCs w:val="24"/>
                <w:highlight w:val="none"/>
                <w:lang w:val="en-US" w:eastAsia="zh-CN"/>
              </w:rPr>
              <w:t>km</w:t>
            </w:r>
            <w:r>
              <w:rPr>
                <w:rFonts w:hint="default" w:ascii="Times New Roman" w:hAnsi="Times New Roman" w:eastAsia="宋体" w:cs="Times New Roman"/>
                <w:color w:val="auto"/>
                <w:sz w:val="24"/>
                <w:szCs w:val="24"/>
                <w:highlight w:val="none"/>
                <w:lang w:eastAsia="zh-CN"/>
              </w:rPr>
              <w:t>处，满足《建设项目环境影响报告表编制技术指南（污染影响类）（试行）》中区域环境质量现状大气环境中项目周边5km范围内近3年现有监测数据要求，</w:t>
            </w:r>
            <w:r>
              <w:rPr>
                <w:rFonts w:hint="default" w:ascii="Times New Roman" w:hAnsi="Times New Roman" w:eastAsia="宋体" w:cs="Times New Roman"/>
                <w:color w:val="auto"/>
                <w:sz w:val="24"/>
                <w:szCs w:val="24"/>
                <w:lang w:val="en-US" w:eastAsia="zh-CN"/>
              </w:rPr>
              <w:t>故</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所引用监测数据有效</w:t>
            </w:r>
            <w:r>
              <w:rPr>
                <w:rFonts w:hint="eastAsia" w:ascii="Times New Roman" w:hAnsi="Times New Roman" w:cs="Times New Roman"/>
                <w:b w:val="0"/>
                <w:bCs w:val="0"/>
                <w:color w:val="auto"/>
                <w:kern w:val="0"/>
                <w:sz w:val="24"/>
                <w:highlight w:val="none"/>
                <w:lang w:val="en-US" w:eastAsia="zh-CN"/>
              </w:rPr>
              <w:t>。</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cs="Times New Roman"/>
                <w:b/>
                <w:bCs/>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表3-1  非甲烷总烃现状评价表</w:t>
            </w:r>
          </w:p>
          <w:tbl>
            <w:tblPr>
              <w:tblStyle w:val="30"/>
              <w:tblW w:w="4987"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5"/>
              <w:gridCol w:w="1957"/>
              <w:gridCol w:w="1897"/>
              <w:gridCol w:w="1366"/>
              <w:gridCol w:w="10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15" w:type="pct"/>
                  <w:tcBorders>
                    <w:tl2br w:val="nil"/>
                    <w:tr2bl w:val="nil"/>
                  </w:tcBorders>
                  <w:noWrap/>
                  <w:vAlign w:val="center"/>
                </w:tcPr>
                <w:p>
                  <w:pPr>
                    <w:pStyle w:val="11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监测因子</w:t>
                  </w:r>
                </w:p>
              </w:tc>
              <w:tc>
                <w:tcPr>
                  <w:tcW w:w="1728" w:type="pct"/>
                  <w:tcBorders>
                    <w:tl2br w:val="nil"/>
                    <w:tr2bl w:val="nil"/>
                  </w:tcBorders>
                  <w:noWrap/>
                  <w:vAlign w:val="center"/>
                </w:tcPr>
                <w:p>
                  <w:pPr>
                    <w:pStyle w:val="11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采样日期</w:t>
                  </w:r>
                </w:p>
              </w:tc>
              <w:tc>
                <w:tcPr>
                  <w:tcW w:w="976"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现状浓度</w:t>
                  </w:r>
                  <w:r>
                    <w:rPr>
                      <w:rFonts w:hint="eastAsia" w:ascii="Times New Roman" w:hAnsi="Times New Roman" w:cs="Times New Roman"/>
                      <w:color w:val="auto"/>
                      <w:sz w:val="21"/>
                      <w:szCs w:val="21"/>
                    </w:rPr>
                    <w:t>范围</w:t>
                  </w:r>
                  <w:r>
                    <w:rPr>
                      <w:rFonts w:ascii="Times New Roman" w:hAnsi="Times New Roman" w:cs="Times New Roman"/>
                      <w:color w:val="auto"/>
                      <w:sz w:val="21"/>
                      <w:szCs w:val="21"/>
                    </w:rPr>
                    <w:t>（</w:t>
                  </w:r>
                  <w:r>
                    <w:rPr>
                      <w:rFonts w:hint="eastAsia" w:ascii="Times New Roman" w:hAnsi="Times New Roman" w:cs="Times New Roman"/>
                      <w:color w:val="auto"/>
                      <w:sz w:val="21"/>
                      <w:szCs w:val="21"/>
                    </w:rPr>
                    <w:t>m</w:t>
                  </w:r>
                  <w:r>
                    <w:rPr>
                      <w:rFonts w:ascii="Times New Roman" w:hAnsi="Times New Roman" w:cs="Times New Roman"/>
                      <w:color w:val="auto"/>
                      <w:sz w:val="21"/>
                      <w:szCs w:val="21"/>
                    </w:rPr>
                    <w:t>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688"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标准值（</w:t>
                  </w:r>
                  <w:r>
                    <w:rPr>
                      <w:rFonts w:hint="eastAsia" w:ascii="Times New Roman" w:hAnsi="Times New Roman" w:cs="Times New Roman"/>
                      <w:color w:val="auto"/>
                      <w:sz w:val="21"/>
                      <w:szCs w:val="21"/>
                    </w:rPr>
                    <w:t>m</w:t>
                  </w:r>
                  <w:r>
                    <w:rPr>
                      <w:rFonts w:ascii="Times New Roman" w:hAnsi="Times New Roman" w:cs="Times New Roman"/>
                      <w:color w:val="auto"/>
                      <w:sz w:val="21"/>
                      <w:szCs w:val="21"/>
                    </w:rPr>
                    <w:t>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508" w:type="pct"/>
                  <w:tcBorders>
                    <w:tl2br w:val="nil"/>
                    <w:tr2bl w:val="nil"/>
                  </w:tcBorders>
                  <w:noWrap/>
                  <w:vAlign w:val="center"/>
                </w:tcPr>
                <w:p>
                  <w:pPr>
                    <w:pStyle w:val="112"/>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超</w:t>
                  </w:r>
                  <w:r>
                    <w:rPr>
                      <w:rFonts w:ascii="Times New Roman" w:hAnsi="Times New Roman" w:cs="Times New Roman"/>
                      <w:color w:val="auto"/>
                      <w:sz w:val="21"/>
                      <w:szCs w:val="21"/>
                    </w:rPr>
                    <w:t>标率（%）</w:t>
                  </w:r>
                </w:p>
              </w:tc>
              <w:tc>
                <w:tcPr>
                  <w:tcW w:w="382"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15" w:type="pct"/>
                  <w:vMerge w:val="restart"/>
                  <w:tcBorders>
                    <w:tl2br w:val="nil"/>
                    <w:tr2bl w:val="nil"/>
                  </w:tcBorders>
                  <w:noWrap/>
                  <w:vAlign w:val="center"/>
                </w:tcPr>
                <w:p>
                  <w:pPr>
                    <w:pStyle w:val="11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非甲烷总烃</w:t>
                  </w:r>
                </w:p>
              </w:tc>
              <w:tc>
                <w:tcPr>
                  <w:tcW w:w="1728"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2022年</w:t>
                  </w: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17</w:t>
                  </w:r>
                  <w:r>
                    <w:rPr>
                      <w:rFonts w:ascii="Times New Roman" w:hAnsi="Times New Roman" w:cs="Times New Roman"/>
                      <w:color w:val="auto"/>
                      <w:sz w:val="21"/>
                      <w:szCs w:val="21"/>
                    </w:rPr>
                    <w:t>日～</w:t>
                  </w: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19</w:t>
                  </w:r>
                  <w:r>
                    <w:rPr>
                      <w:rFonts w:ascii="Times New Roman" w:hAnsi="Times New Roman" w:cs="Times New Roman"/>
                      <w:color w:val="auto"/>
                      <w:sz w:val="21"/>
                      <w:szCs w:val="21"/>
                    </w:rPr>
                    <w:t>日</w:t>
                  </w:r>
                </w:p>
              </w:tc>
              <w:tc>
                <w:tcPr>
                  <w:tcW w:w="976" w:type="pct"/>
                  <w:tcBorders>
                    <w:tl2br w:val="nil"/>
                    <w:tr2bl w:val="nil"/>
                  </w:tcBorders>
                  <w:noWrap/>
                  <w:vAlign w:val="center"/>
                </w:tcPr>
                <w:p>
                  <w:pPr>
                    <w:pStyle w:val="112"/>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58~0.65</w:t>
                  </w:r>
                </w:p>
              </w:tc>
              <w:tc>
                <w:tcPr>
                  <w:tcW w:w="688" w:type="pct"/>
                  <w:tcBorders>
                    <w:tl2br w:val="nil"/>
                    <w:tr2bl w:val="nil"/>
                  </w:tcBorders>
                  <w:noWrap/>
                  <w:vAlign w:val="center"/>
                </w:tcPr>
                <w:p>
                  <w:pPr>
                    <w:pStyle w:val="11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508" w:type="pct"/>
                  <w:tcBorders>
                    <w:tl2br w:val="nil"/>
                    <w:tr2bl w:val="nil"/>
                  </w:tcBorders>
                  <w:noWrap/>
                  <w:vAlign w:val="center"/>
                </w:tcPr>
                <w:p>
                  <w:pPr>
                    <w:pStyle w:val="112"/>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0</w:t>
                  </w:r>
                </w:p>
              </w:tc>
              <w:tc>
                <w:tcPr>
                  <w:tcW w:w="382"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15" w:type="pct"/>
                  <w:vMerge w:val="continue"/>
                  <w:tcBorders>
                    <w:tl2br w:val="nil"/>
                    <w:tr2bl w:val="nil"/>
                  </w:tcBorders>
                  <w:noWrap/>
                  <w:vAlign w:val="center"/>
                </w:tcPr>
                <w:p>
                  <w:pPr>
                    <w:pStyle w:val="112"/>
                    <w:jc w:val="center"/>
                    <w:rPr>
                      <w:rFonts w:ascii="Times New Roman" w:hAnsi="Times New Roman" w:cs="Times New Roman"/>
                      <w:color w:val="auto"/>
                      <w:sz w:val="21"/>
                      <w:szCs w:val="21"/>
                    </w:rPr>
                  </w:pPr>
                </w:p>
              </w:tc>
              <w:tc>
                <w:tcPr>
                  <w:tcW w:w="1728" w:type="pct"/>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综合评价</w:t>
                  </w:r>
                </w:p>
              </w:tc>
              <w:tc>
                <w:tcPr>
                  <w:tcW w:w="2556" w:type="pct"/>
                  <w:gridSpan w:val="4"/>
                  <w:tcBorders>
                    <w:tl2br w:val="nil"/>
                    <w:tr2bl w:val="nil"/>
                  </w:tcBorders>
                  <w:noWrap/>
                  <w:vAlign w:val="center"/>
                </w:tcPr>
                <w:p>
                  <w:pPr>
                    <w:pStyle w:val="112"/>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r>
          </w:tbl>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cs="Times New Roman"/>
                <w:b w:val="0"/>
                <w:bCs w:val="0"/>
                <w:color w:val="auto"/>
                <w:kern w:val="0"/>
                <w:sz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cs="宋体"/>
                <w:color w:val="auto"/>
                <w:kern w:val="0"/>
                <w:sz w:val="24"/>
                <w:szCs w:val="21"/>
                <w:highlight w:val="none"/>
                <w:lang w:val="en-US" w:eastAsia="zh-CN"/>
              </w:rPr>
            </w:pPr>
            <w:r>
              <w:rPr>
                <w:rFonts w:hint="eastAsia" w:ascii="Times New Roman" w:hAnsi="Times New Roman" w:cs="Times New Roman"/>
                <w:b w:val="0"/>
                <w:bCs w:val="0"/>
                <w:color w:val="auto"/>
                <w:kern w:val="0"/>
                <w:sz w:val="24"/>
                <w:highlight w:val="none"/>
                <w:lang w:val="en-US" w:eastAsia="zh-CN"/>
              </w:rPr>
              <w:t>根据监测结果，非甲烷总烃</w:t>
            </w:r>
            <w:r>
              <w:rPr>
                <w:rFonts w:hint="eastAsia" w:ascii="Times New Roman" w:hAnsi="Times New Roman" w:cs="宋体"/>
                <w:color w:val="auto"/>
                <w:kern w:val="0"/>
                <w:sz w:val="24"/>
                <w:szCs w:val="21"/>
                <w:highlight w:val="none"/>
              </w:rPr>
              <w:t>小时浓度</w:t>
            </w:r>
            <w:r>
              <w:rPr>
                <w:rFonts w:hint="eastAsia" w:ascii="Times New Roman" w:hAnsi="Times New Roman" w:cs="宋体"/>
                <w:color w:val="auto"/>
                <w:kern w:val="0"/>
                <w:sz w:val="24"/>
                <w:szCs w:val="21"/>
                <w:highlight w:val="none"/>
                <w:lang w:val="en-US" w:eastAsia="zh-CN"/>
              </w:rPr>
              <w:t>均满足河北省地方标准《环境空气质量 非甲烷总烃限值》（DB13/1577-2012）（2.0mg/m</w:t>
            </w:r>
            <w:r>
              <w:rPr>
                <w:rFonts w:hint="eastAsia" w:ascii="Times New Roman" w:hAnsi="Times New Roman" w:cs="宋体"/>
                <w:color w:val="auto"/>
                <w:kern w:val="0"/>
                <w:sz w:val="24"/>
                <w:szCs w:val="21"/>
                <w:highlight w:val="none"/>
                <w:vertAlign w:val="superscript"/>
                <w:lang w:val="en-US" w:eastAsia="zh-CN"/>
              </w:rPr>
              <w:t>3</w:t>
            </w:r>
            <w:r>
              <w:rPr>
                <w:rFonts w:hint="eastAsia" w:ascii="Times New Roman" w:hAnsi="Times New Roman" w:cs="宋体"/>
                <w:color w:val="auto"/>
                <w:kern w:val="0"/>
                <w:sz w:val="24"/>
                <w:szCs w:val="21"/>
                <w:highlight w:val="none"/>
                <w:lang w:val="en-US" w:eastAsia="zh-CN"/>
              </w:rPr>
              <w:t>）限值要求。</w:t>
            </w:r>
          </w:p>
          <w:p>
            <w:pPr>
              <w:pStyle w:val="29"/>
              <w:keepNext w:val="0"/>
              <w:keepLines w:val="0"/>
              <w:pageBreakBefore w:val="0"/>
              <w:widowControl/>
              <w:kinsoku/>
              <w:wordWrap/>
              <w:overflowPunct/>
              <w:topLinePunct w:val="0"/>
              <w:autoSpaceDE/>
              <w:autoSpaceDN/>
              <w:bidi w:val="0"/>
              <w:adjustRightInd/>
              <w:snapToGrid w:val="0"/>
              <w:spacing w:before="0" w:after="0"/>
              <w:ind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drawing>
                <wp:inline distT="0" distB="0" distL="114300" distR="114300">
                  <wp:extent cx="5006975" cy="4563745"/>
                  <wp:effectExtent l="0" t="0" r="3175" b="8255"/>
                  <wp:docPr id="5" name="图片 5" descr="5ff649663b2a0f54d05ff8e1ab32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f649663b2a0f54d05ff8e1ab328cf"/>
                          <pic:cNvPicPr>
                            <a:picLocks noChangeAspect="1"/>
                          </pic:cNvPicPr>
                        </pic:nvPicPr>
                        <pic:blipFill>
                          <a:blip r:embed="rId17"/>
                          <a:stretch>
                            <a:fillRect/>
                          </a:stretch>
                        </pic:blipFill>
                        <pic:spPr>
                          <a:xfrm>
                            <a:off x="0" y="0"/>
                            <a:ext cx="5006975" cy="4563745"/>
                          </a:xfrm>
                          <a:prstGeom prst="rect">
                            <a:avLst/>
                          </a:prstGeom>
                        </pic:spPr>
                      </pic:pic>
                    </a:graphicData>
                  </a:graphic>
                </wp:inline>
              </w:drawing>
            </w:r>
            <w:r>
              <w:rPr>
                <w:rFonts w:hint="eastAsia" w:ascii="Times New Roman" w:hAnsi="Times New Roman" w:eastAsia="宋体" w:cs="Times New Roman"/>
                <w:b/>
                <w:bCs/>
                <w:color w:val="auto"/>
                <w:kern w:val="0"/>
                <w:sz w:val="21"/>
                <w:szCs w:val="21"/>
                <w:highlight w:val="none"/>
                <w:lang w:val="en-US" w:eastAsia="zh-CN"/>
              </w:rPr>
              <w:t>图3-1  非甲烷总烃引用监测点位与本项目相对位置图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cs="宋体"/>
                <w:b/>
                <w:bCs/>
                <w:color w:val="auto"/>
                <w:kern w:val="0"/>
                <w:sz w:val="24"/>
                <w:szCs w:val="21"/>
                <w:highlight w:val="none"/>
              </w:rPr>
            </w:pPr>
            <w:r>
              <w:rPr>
                <w:rFonts w:hint="eastAsia" w:ascii="Times New Roman" w:hAnsi="Times New Roman" w:cs="宋体"/>
                <w:b/>
                <w:bCs/>
                <w:color w:val="auto"/>
                <w:kern w:val="0"/>
                <w:sz w:val="24"/>
                <w:szCs w:val="21"/>
                <w:highlight w:val="none"/>
              </w:rPr>
              <w:t>2、声环境质量现状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en-US"/>
              </w:rPr>
            </w:pPr>
            <w:r>
              <w:rPr>
                <w:rFonts w:hint="eastAsia" w:ascii="Times New Roman" w:hAnsi="Times New Roman"/>
                <w:bCs/>
                <w:color w:val="auto"/>
                <w:kern w:val="0"/>
                <w:sz w:val="24"/>
                <w:highlight w:val="none"/>
                <w:lang w:val="en-US" w:eastAsia="zh-CN"/>
              </w:rPr>
              <w:t>根据</w:t>
            </w:r>
            <w:r>
              <w:rPr>
                <w:rFonts w:hint="eastAsia" w:ascii="Times New Roman" w:hAnsi="Times New Roman" w:eastAsia="宋体" w:cs="Times New Roman"/>
                <w:b w:val="0"/>
                <w:bCs w:val="0"/>
                <w:color w:val="auto"/>
                <w:kern w:val="0"/>
                <w:sz w:val="24"/>
                <w:szCs w:val="24"/>
                <w:highlight w:val="none"/>
                <w:lang w:val="en-US" w:eastAsia="zh-CN" w:bidi="en-US"/>
              </w:rPr>
              <w:t>《建设项目环境影响报告表编制技术指南（污染影响类）》（试行），厂界外周边50米范围内存在声环境保护目标的建设项目，应监测保护目标声环境质量现状并评价达标情况。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eastAsia" w:cs="Times New Roman"/>
                <w:b w:val="0"/>
                <w:bCs w:val="0"/>
                <w:color w:val="auto"/>
                <w:kern w:val="0"/>
                <w:sz w:val="24"/>
                <w:szCs w:val="24"/>
                <w:highlight w:val="none"/>
                <w:lang w:val="en-US" w:eastAsia="zh-CN" w:bidi="en-US"/>
              </w:rPr>
              <w:t>项目</w:t>
            </w:r>
            <w:r>
              <w:rPr>
                <w:rFonts w:hint="default" w:ascii="Times New Roman" w:hAnsi="Times New Roman" w:cs="Times New Roman"/>
                <w:bCs/>
                <w:color w:val="auto"/>
                <w:kern w:val="0"/>
                <w:sz w:val="24"/>
                <w:highlight w:val="none"/>
                <w:lang w:val="en-US" w:eastAsia="zh-CN"/>
              </w:rPr>
              <w:t>区厂界外周边50米范围内</w:t>
            </w:r>
            <w:r>
              <w:rPr>
                <w:rFonts w:hint="eastAsia" w:ascii="Times New Roman" w:hAnsi="Times New Roman" w:cs="Times New Roman"/>
                <w:bCs/>
                <w:color w:val="auto"/>
                <w:kern w:val="0"/>
                <w:sz w:val="24"/>
                <w:highlight w:val="none"/>
                <w:lang w:val="en-US" w:eastAsia="zh-CN"/>
              </w:rPr>
              <w:t>无</w:t>
            </w:r>
            <w:r>
              <w:rPr>
                <w:rFonts w:hint="default" w:ascii="Times New Roman" w:hAnsi="Times New Roman" w:cs="Times New Roman"/>
                <w:bCs/>
                <w:color w:val="auto"/>
                <w:kern w:val="0"/>
                <w:sz w:val="24"/>
                <w:highlight w:val="none"/>
                <w:lang w:val="en-US" w:eastAsia="zh-CN"/>
              </w:rPr>
              <w:t>声环境保护目标</w:t>
            </w:r>
            <w:r>
              <w:rPr>
                <w:rFonts w:hint="eastAsia" w:ascii="Times New Roman" w:hAnsi="Times New Roman" w:cs="Times New Roman"/>
                <w:bCs/>
                <w:color w:val="auto"/>
                <w:kern w:val="0"/>
                <w:sz w:val="24"/>
                <w:highlight w:val="none"/>
                <w:lang w:val="en-US" w:eastAsia="zh-CN"/>
              </w:rPr>
              <w:t>，因此未进行声环境质量现状监测。</w:t>
            </w:r>
          </w:p>
          <w:p>
            <w:pPr>
              <w:pStyle w:val="12"/>
              <w:keepNext w:val="0"/>
              <w:keepLines w:val="0"/>
              <w:pageBreakBefore w:val="0"/>
              <w:widowControl w:val="0"/>
              <w:kinsoku/>
              <w:wordWrap/>
              <w:overflowPunct/>
              <w:topLinePunct w:val="0"/>
              <w:autoSpaceDE/>
              <w:autoSpaceDN/>
              <w:bidi w:val="0"/>
              <w:adjustRightInd/>
              <w:snapToGrid/>
              <w:spacing w:before="60" w:beforeLines="25" w:after="0" w:line="360" w:lineRule="auto"/>
              <w:ind w:left="0" w:leftChars="0" w:firstLine="482" w:firstLineChars="200"/>
              <w:jc w:val="both"/>
              <w:textAlignment w:val="auto"/>
              <w:rPr>
                <w:rFonts w:hint="default" w:ascii="Times New Roman" w:hAnsi="Times New Roman" w:cs="Times New Roman"/>
                <w:b/>
                <w:bCs/>
                <w:color w:val="auto"/>
                <w:kern w:val="0"/>
                <w:sz w:val="24"/>
                <w:highlight w:val="none"/>
                <w:lang w:val="en-US" w:eastAsia="zh-CN"/>
              </w:rPr>
            </w:pPr>
            <w:r>
              <w:rPr>
                <w:rFonts w:hint="eastAsia" w:ascii="Times New Roman" w:hAnsi="Times New Roman" w:cs="Times New Roman"/>
                <w:b/>
                <w:bCs/>
                <w:color w:val="auto"/>
                <w:kern w:val="0"/>
                <w:sz w:val="24"/>
                <w:highlight w:val="none"/>
                <w:lang w:val="en-US" w:eastAsia="zh-CN"/>
              </w:rPr>
              <w:t>3</w:t>
            </w:r>
            <w:r>
              <w:rPr>
                <w:rFonts w:hint="default" w:ascii="Times New Roman" w:hAnsi="Times New Roman" w:cs="Times New Roman"/>
                <w:b/>
                <w:bCs/>
                <w:color w:val="auto"/>
                <w:kern w:val="0"/>
                <w:sz w:val="24"/>
                <w:highlight w:val="none"/>
                <w:lang w:val="en-US" w:eastAsia="zh-CN"/>
              </w:rPr>
              <w:t>、地表水环境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宋体"/>
                <w:color w:val="auto"/>
                <w:kern w:val="0"/>
                <w:sz w:val="24"/>
                <w:szCs w:val="21"/>
                <w:highlight w:val="none"/>
                <w:lang w:val="en-US" w:eastAsia="zh-CN"/>
              </w:rPr>
            </w:pPr>
            <w:r>
              <w:rPr>
                <w:rFonts w:hint="default" w:ascii="Times New Roman" w:hAnsi="Times New Roman" w:cs="Times New Roman"/>
                <w:color w:val="auto"/>
                <w:sz w:val="24"/>
                <w:highlight w:val="none"/>
                <w:lang w:val="en-US" w:eastAsia="zh-CN"/>
              </w:rPr>
              <w:t>拟建项目</w:t>
            </w:r>
            <w:r>
              <w:rPr>
                <w:rFonts w:ascii="宋体" w:hAnsi="宋体"/>
                <w:color w:val="auto"/>
                <w:sz w:val="24"/>
                <w:highlight w:val="none"/>
                <w:lang w:val="en-US" w:eastAsia="zh-CN"/>
              </w:rPr>
              <w:t>周围</w:t>
            </w:r>
            <w:r>
              <w:rPr>
                <w:rFonts w:hint="default" w:ascii="Times New Roman" w:hAnsi="Times New Roman" w:cs="Times New Roman"/>
                <w:color w:val="auto"/>
                <w:sz w:val="24"/>
                <w:highlight w:val="none"/>
                <w:lang w:val="en-US" w:eastAsia="zh-CN"/>
              </w:rPr>
              <w:t>没有地表水体，则</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lang w:val="en-US" w:eastAsia="zh-CN"/>
              </w:rPr>
              <w:t>不开展地表水环境质量现状调查。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宋体"/>
                <w:b/>
                <w:bCs/>
                <w:color w:val="auto"/>
                <w:kern w:val="0"/>
                <w:sz w:val="24"/>
                <w:szCs w:val="21"/>
                <w:highlight w:val="none"/>
                <w:lang w:val="en-US" w:eastAsia="zh-CN"/>
              </w:rPr>
            </w:pPr>
            <w:r>
              <w:rPr>
                <w:rFonts w:hint="eastAsia" w:ascii="Times New Roman" w:hAnsi="Times New Roman" w:cs="宋体"/>
                <w:b/>
                <w:bCs/>
                <w:color w:val="auto"/>
                <w:kern w:val="0"/>
                <w:sz w:val="24"/>
                <w:szCs w:val="21"/>
                <w:highlight w:val="none"/>
                <w:lang w:val="en-US" w:eastAsia="zh-CN"/>
              </w:rPr>
              <w:t>4、地下水质量现状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宋体"/>
                <w:color w:val="auto"/>
                <w:kern w:val="0"/>
                <w:sz w:val="24"/>
                <w:szCs w:val="21"/>
                <w:highlight w:val="none"/>
                <w:lang w:val="en-US" w:eastAsia="zh-CN"/>
              </w:rPr>
            </w:pPr>
            <w:r>
              <w:rPr>
                <w:rFonts w:hint="eastAsia" w:ascii="Times New Roman" w:hAnsi="Times New Roman" w:cs="宋体"/>
                <w:color w:val="auto"/>
                <w:kern w:val="0"/>
                <w:sz w:val="24"/>
                <w:szCs w:val="21"/>
                <w:highlight w:val="none"/>
                <w:lang w:val="en-US" w:eastAsia="zh-CN"/>
              </w:rPr>
              <w:t>经现场勘查确定，</w:t>
            </w:r>
            <w:r>
              <w:rPr>
                <w:rFonts w:hint="eastAsia" w:cs="宋体"/>
                <w:color w:val="auto"/>
                <w:kern w:val="0"/>
                <w:sz w:val="24"/>
                <w:szCs w:val="21"/>
                <w:highlight w:val="none"/>
                <w:lang w:val="en-US" w:eastAsia="zh-CN"/>
              </w:rPr>
              <w:t>项目</w:t>
            </w:r>
            <w:r>
              <w:rPr>
                <w:rFonts w:hint="eastAsia" w:ascii="Times New Roman" w:hAnsi="Times New Roman" w:cs="宋体"/>
                <w:color w:val="auto"/>
                <w:kern w:val="0"/>
                <w:sz w:val="24"/>
                <w:szCs w:val="21"/>
                <w:highlight w:val="none"/>
                <w:lang w:val="en-US" w:eastAsia="zh-CN"/>
              </w:rPr>
              <w:t>周边500m范围内无居民水井、水源地等地下水敏感目标分布，且无其他水井分布，因此未进行地下</w:t>
            </w:r>
            <w:r>
              <w:rPr>
                <w:rFonts w:hint="eastAsia" w:cs="宋体"/>
                <w:color w:val="auto"/>
                <w:kern w:val="0"/>
                <w:sz w:val="24"/>
                <w:szCs w:val="21"/>
                <w:highlight w:val="none"/>
                <w:lang w:val="en-US" w:eastAsia="zh-CN"/>
              </w:rPr>
              <w:t>水环境监测</w:t>
            </w:r>
            <w:r>
              <w:rPr>
                <w:rFonts w:hint="eastAsia" w:ascii="Times New Roman" w:hAnsi="Times New Roman" w:cs="宋体"/>
                <w:color w:val="auto"/>
                <w:kern w:val="0"/>
                <w:sz w:val="24"/>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宋体"/>
                <w:b/>
                <w:bCs/>
                <w:color w:val="auto"/>
                <w:kern w:val="0"/>
                <w:sz w:val="24"/>
                <w:szCs w:val="21"/>
                <w:highlight w:val="none"/>
                <w:lang w:val="en-US" w:eastAsia="zh-CN"/>
              </w:rPr>
            </w:pPr>
            <w:r>
              <w:rPr>
                <w:rFonts w:hint="eastAsia" w:ascii="Times New Roman" w:hAnsi="Times New Roman" w:cs="宋体"/>
                <w:b/>
                <w:bCs/>
                <w:color w:val="auto"/>
                <w:kern w:val="0"/>
                <w:sz w:val="24"/>
                <w:szCs w:val="21"/>
                <w:highlight w:val="none"/>
                <w:lang w:val="en-US" w:eastAsia="zh-CN"/>
              </w:rPr>
              <w:t>5、土壤质量现状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eastAsia" w:ascii="Times New Roman" w:hAnsi="Times New Roman" w:cs="宋体"/>
                <w:color w:val="auto"/>
                <w:kern w:val="0"/>
                <w:sz w:val="24"/>
                <w:szCs w:val="21"/>
                <w:highlight w:val="none"/>
                <w:lang w:val="en-US" w:eastAsia="zh-CN"/>
              </w:rPr>
              <w:t>经现场勘查确定，</w:t>
            </w:r>
            <w:r>
              <w:rPr>
                <w:rFonts w:hint="eastAsia" w:cs="宋体"/>
                <w:color w:val="auto"/>
                <w:kern w:val="0"/>
                <w:sz w:val="24"/>
                <w:szCs w:val="21"/>
                <w:highlight w:val="none"/>
                <w:lang w:val="en-US" w:eastAsia="zh-CN"/>
              </w:rPr>
              <w:t>项目</w:t>
            </w:r>
            <w:r>
              <w:rPr>
                <w:rFonts w:hint="eastAsia" w:ascii="Times New Roman" w:hAnsi="Times New Roman" w:cs="宋体"/>
                <w:color w:val="auto"/>
                <w:kern w:val="0"/>
                <w:sz w:val="24"/>
                <w:szCs w:val="21"/>
                <w:highlight w:val="none"/>
                <w:lang w:val="en-US" w:eastAsia="zh-CN"/>
              </w:rPr>
              <w:t>周边50m范围内无基本草原、农田等土壤敏感目标分布，因此未进行</w:t>
            </w:r>
            <w:r>
              <w:rPr>
                <w:rFonts w:hint="eastAsia" w:cs="宋体"/>
                <w:color w:val="auto"/>
                <w:kern w:val="0"/>
                <w:sz w:val="24"/>
                <w:szCs w:val="21"/>
                <w:highlight w:val="none"/>
                <w:lang w:val="en-US" w:eastAsia="zh-CN"/>
              </w:rPr>
              <w:t>土壤环境监测</w:t>
            </w:r>
            <w:r>
              <w:rPr>
                <w:rFonts w:hint="eastAsia" w:ascii="Times New Roman" w:hAnsi="Times New Roman" w:cs="宋体"/>
                <w:color w:val="auto"/>
                <w:kern w:val="0"/>
                <w:sz w:val="24"/>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266" w:type="pct"/>
            <w:vAlign w:val="center"/>
          </w:tcPr>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环境</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保护</w:t>
            </w:r>
          </w:p>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color w:val="auto"/>
                <w:kern w:val="0"/>
                <w:sz w:val="24"/>
                <w:szCs w:val="21"/>
                <w:highlight w:val="none"/>
              </w:rPr>
              <w:t>目标</w:t>
            </w:r>
          </w:p>
        </w:tc>
        <w:tc>
          <w:tcPr>
            <w:tcW w:w="8066" w:type="dxa"/>
            <w:vAlign w:val="center"/>
          </w:tcPr>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000000"/>
                <w:kern w:val="0"/>
                <w:sz w:val="24"/>
              </w:rPr>
              <w:t>项目</w:t>
            </w:r>
            <w:r>
              <w:rPr>
                <w:rFonts w:hint="default" w:ascii="Times New Roman" w:hAnsi="Times New Roman" w:cs="Times New Roman"/>
                <w:color w:val="000000"/>
                <w:sz w:val="24"/>
              </w:rPr>
              <w:t>不在自然保护区内、文化自然遗产地、森林公园、地质公园、风景名胜区、重要湿地、重要饮用水水源保护区等范围内。根据现场调查，</w:t>
            </w:r>
            <w:r>
              <w:rPr>
                <w:rFonts w:hint="eastAsia" w:cs="Times New Roman"/>
                <w:color w:val="000000"/>
                <w:sz w:val="24"/>
                <w:lang w:eastAsia="zh-CN"/>
              </w:rPr>
              <w:t>项目</w:t>
            </w:r>
            <w:r>
              <w:rPr>
                <w:rFonts w:hint="default" w:ascii="Times New Roman" w:hAnsi="Times New Roman" w:cs="Times New Roman"/>
                <w:color w:val="000000"/>
                <w:sz w:val="24"/>
              </w:rPr>
              <w:t>周边为各类工业企业，厂界</w:t>
            </w:r>
            <w:r>
              <w:rPr>
                <w:rFonts w:hint="eastAsia" w:ascii="Times New Roman" w:hAnsi="Times New Roman" w:cs="Times New Roman"/>
                <w:color w:val="000000"/>
                <w:sz w:val="24"/>
                <w:lang w:val="en-US" w:eastAsia="zh-CN"/>
              </w:rPr>
              <w:t>500m范围内</w:t>
            </w:r>
            <w:r>
              <w:rPr>
                <w:rFonts w:hint="default" w:ascii="Times New Roman" w:hAnsi="Times New Roman" w:cs="Times New Roman"/>
                <w:color w:val="000000"/>
                <w:sz w:val="24"/>
              </w:rPr>
              <w:t>周围无居民、学校、医院等环境敏感点，外环境关系简单。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 w:type="pct"/>
            <w:tcMar>
              <w:left w:w="28" w:type="dxa"/>
              <w:right w:w="28" w:type="dxa"/>
            </w:tcMar>
            <w:vAlign w:val="center"/>
          </w:tcPr>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污染</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物排</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放控</w:t>
            </w:r>
          </w:p>
          <w:p>
            <w:pPr>
              <w:jc w:val="center"/>
              <w:rPr>
                <w:rFonts w:hint="default" w:ascii="Times New Roman" w:hAnsi="Times New Roman" w:eastAsia="宋体" w:cs="Times New Roman"/>
                <w:b/>
                <w:color w:val="auto"/>
                <w:kern w:val="0"/>
                <w:sz w:val="24"/>
                <w:szCs w:val="21"/>
                <w:highlight w:val="none"/>
              </w:rPr>
            </w:pPr>
            <w:r>
              <w:rPr>
                <w:rFonts w:hint="default" w:ascii="Times New Roman" w:hAnsi="Times New Roman" w:eastAsia="宋体" w:cs="Times New Roman"/>
                <w:b/>
                <w:color w:val="auto"/>
                <w:kern w:val="0"/>
                <w:sz w:val="24"/>
                <w:szCs w:val="21"/>
                <w:highlight w:val="none"/>
              </w:rPr>
              <w:t>制标</w:t>
            </w:r>
          </w:p>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color w:val="auto"/>
                <w:kern w:val="0"/>
                <w:sz w:val="24"/>
                <w:szCs w:val="21"/>
                <w:highlight w:val="none"/>
              </w:rPr>
              <w:t>准</w:t>
            </w:r>
          </w:p>
        </w:tc>
        <w:tc>
          <w:tcPr>
            <w:tcW w:w="4733" w:type="pct"/>
            <w:vAlign w:val="center"/>
          </w:tcPr>
          <w:p>
            <w:pPr>
              <w:pStyle w:val="66"/>
              <w:ind w:firstLine="482"/>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1、废气</w:t>
            </w:r>
          </w:p>
          <w:p>
            <w:pPr>
              <w:pStyle w:val="156"/>
              <w:spacing w:line="360" w:lineRule="auto"/>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施工期、运营期无组织扬尘执行《大气污染物综合排放标准》（GB16297-1996）中</w:t>
            </w:r>
            <w:r>
              <w:rPr>
                <w:rFonts w:hint="eastAsia" w:cs="Times New Roman"/>
                <w:color w:val="auto"/>
                <w:highlight w:val="none"/>
                <w:lang w:eastAsia="zh-CN"/>
              </w:rPr>
              <w:t>表2</w:t>
            </w:r>
            <w:r>
              <w:rPr>
                <w:rFonts w:hint="default" w:ascii="Times New Roman" w:hAnsi="Times New Roman" w:eastAsia="宋体" w:cs="Times New Roman"/>
                <w:color w:val="auto"/>
                <w:highlight w:val="none"/>
              </w:rPr>
              <w:t>无组织排放浓度限值，具体标准见下表</w:t>
            </w:r>
            <w:r>
              <w:rPr>
                <w:rFonts w:hint="eastAsia" w:cs="Times New Roman"/>
                <w:color w:val="auto"/>
                <w:highlight w:val="none"/>
                <w:lang w:val="en-US" w:eastAsia="zh-CN"/>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ascii="Times New Roman" w:hAnsi="Times New Roman" w:eastAsia="宋体" w:cs="Times New Roman"/>
                <w:b/>
                <w:bCs/>
                <w:color w:val="auto"/>
                <w:kern w:val="2"/>
                <w:sz w:val="21"/>
                <w:szCs w:val="21"/>
                <w:highlight w:val="none"/>
                <w:lang w:val="en-US" w:eastAsia="zh-CN" w:bidi="ar-SA"/>
              </w:rPr>
              <w:t xml:space="preserve">2   </w:t>
            </w:r>
            <w:r>
              <w:rPr>
                <w:rFonts w:hint="default" w:ascii="Times New Roman" w:hAnsi="Times New Roman" w:eastAsia="宋体" w:cs="Times New Roman"/>
                <w:b/>
                <w:bCs/>
                <w:color w:val="auto"/>
                <w:kern w:val="2"/>
                <w:sz w:val="21"/>
                <w:szCs w:val="21"/>
                <w:highlight w:val="none"/>
                <w:lang w:val="en-US" w:eastAsia="zh-CN" w:bidi="ar-SA"/>
              </w:rPr>
              <w:t>废气污染物排放标准值</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878"/>
              <w:gridCol w:w="1739"/>
              <w:gridCol w:w="1703"/>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73" w:type="pct"/>
                  <w:vMerge w:val="restart"/>
                  <w:tcBorders>
                    <w:tl2br w:val="nil"/>
                    <w:tr2bl w:val="nil"/>
                  </w:tcBorders>
                  <w:tcMar>
                    <w:left w:w="0" w:type="dxa"/>
                    <w:right w:w="0" w:type="dxa"/>
                  </w:tcMar>
                  <w:vAlign w:val="center"/>
                </w:tcPr>
                <w:p>
                  <w:pPr>
                    <w:pStyle w:val="7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1192" w:type="pct"/>
                  <w:vMerge w:val="restart"/>
                  <w:tcBorders>
                    <w:tl2br w:val="nil"/>
                    <w:tr2bl w:val="nil"/>
                  </w:tcBorders>
                  <w:tcMar>
                    <w:left w:w="0" w:type="dxa"/>
                    <w:right w:w="0" w:type="dxa"/>
                  </w:tcMar>
                  <w:vAlign w:val="center"/>
                </w:tcPr>
                <w:p>
                  <w:pPr>
                    <w:pStyle w:val="76"/>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kern w:val="44"/>
                      <w:szCs w:val="24"/>
                      <w:highlight w:val="none"/>
                    </w:rPr>
                    <w:t>最高允许排放浓度（mg/m³）</w:t>
                  </w:r>
                </w:p>
              </w:tc>
              <w:tc>
                <w:tcPr>
                  <w:tcW w:w="1104" w:type="pct"/>
                  <w:vMerge w:val="restart"/>
                  <w:tcBorders>
                    <w:tl2br w:val="nil"/>
                    <w:tr2bl w:val="nil"/>
                  </w:tcBorders>
                  <w:tcMar>
                    <w:left w:w="0" w:type="dxa"/>
                    <w:right w:w="0" w:type="dxa"/>
                  </w:tcMar>
                  <w:vAlign w:val="center"/>
                </w:tcPr>
                <w:p>
                  <w:pPr>
                    <w:pStyle w:val="76"/>
                    <w:rPr>
                      <w:rFonts w:hint="default" w:ascii="Times New Roman" w:hAnsi="Times New Roman" w:eastAsia="宋体" w:cs="Times New Roman"/>
                      <w:b/>
                      <w:color w:val="auto"/>
                      <w:kern w:val="44"/>
                      <w:szCs w:val="24"/>
                      <w:highlight w:val="none"/>
                    </w:rPr>
                  </w:pPr>
                  <w:r>
                    <w:rPr>
                      <w:rFonts w:hint="default" w:ascii="Times New Roman" w:hAnsi="Times New Roman" w:eastAsia="宋体" w:cs="Times New Roman"/>
                      <w:b/>
                      <w:color w:val="auto"/>
                      <w:kern w:val="44"/>
                      <w:szCs w:val="24"/>
                      <w:highlight w:val="none"/>
                    </w:rPr>
                    <w:t>排放速率（kg/h）</w:t>
                  </w:r>
                </w:p>
              </w:tc>
              <w:tc>
                <w:tcPr>
                  <w:tcW w:w="2129" w:type="pct"/>
                  <w:gridSpan w:val="2"/>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kern w:val="44"/>
                      <w:szCs w:val="24"/>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73" w:type="pct"/>
                  <w:vMerge w:val="continue"/>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p>
              </w:tc>
              <w:tc>
                <w:tcPr>
                  <w:tcW w:w="1192" w:type="pct"/>
                  <w:vMerge w:val="continue"/>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p>
              </w:tc>
              <w:tc>
                <w:tcPr>
                  <w:tcW w:w="1104" w:type="pct"/>
                  <w:vMerge w:val="continue"/>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p>
              </w:tc>
              <w:tc>
                <w:tcPr>
                  <w:tcW w:w="1081"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kern w:val="44"/>
                      <w:szCs w:val="24"/>
                      <w:highlight w:val="none"/>
                    </w:rPr>
                    <w:t>监控点</w:t>
                  </w:r>
                </w:p>
              </w:tc>
              <w:tc>
                <w:tcPr>
                  <w:tcW w:w="1048"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kern w:val="44"/>
                      <w:szCs w:val="24"/>
                      <w:highlight w:val="none"/>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73"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kern w:val="44"/>
                      <w:szCs w:val="24"/>
                      <w:highlight w:val="none"/>
                    </w:rPr>
                    <w:t>颗粒物</w:t>
                  </w:r>
                </w:p>
              </w:tc>
              <w:tc>
                <w:tcPr>
                  <w:tcW w:w="1192"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w:t>
                  </w:r>
                </w:p>
              </w:tc>
              <w:tc>
                <w:tcPr>
                  <w:tcW w:w="1104"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1081" w:type="pct"/>
                  <w:tcBorders>
                    <w:tl2br w:val="nil"/>
                    <w:tr2bl w:val="nil"/>
                  </w:tcBorders>
                  <w:tcMar>
                    <w:left w:w="0" w:type="dxa"/>
                    <w:right w:w="0" w:type="dxa"/>
                  </w:tcMar>
                  <w:vAlign w:val="center"/>
                </w:tcPr>
                <w:p>
                  <w:pPr>
                    <w:adjustRightInd/>
                    <w:snapToGrid/>
                    <w:jc w:val="center"/>
                    <w:rPr>
                      <w:rFonts w:hint="default" w:ascii="Times New Roman" w:hAnsi="Times New Roman" w:eastAsia="宋体" w:cs="Times New Roman"/>
                      <w:bCs/>
                      <w:color w:val="auto"/>
                      <w:kern w:val="44"/>
                      <w:highlight w:val="none"/>
                    </w:rPr>
                  </w:pPr>
                  <w:r>
                    <w:rPr>
                      <w:rFonts w:hint="default" w:ascii="Times New Roman" w:hAnsi="Times New Roman" w:eastAsia="宋体" w:cs="Times New Roman"/>
                      <w:bCs/>
                      <w:color w:val="auto"/>
                      <w:kern w:val="44"/>
                      <w:highlight w:val="none"/>
                    </w:rPr>
                    <w:t>周界外浓度最高点</w:t>
                  </w:r>
                </w:p>
              </w:tc>
              <w:tc>
                <w:tcPr>
                  <w:tcW w:w="1048" w:type="pct"/>
                  <w:tcBorders>
                    <w:tl2br w:val="nil"/>
                    <w:tr2bl w:val="nil"/>
                  </w:tcBorders>
                  <w:tcMar>
                    <w:left w:w="0" w:type="dxa"/>
                    <w:right w:w="0" w:type="dxa"/>
                  </w:tcMar>
                  <w:vAlign w:val="center"/>
                </w:tcPr>
                <w:p>
                  <w:pPr>
                    <w:adjustRightInd/>
                    <w:snapToGrid/>
                    <w:jc w:val="center"/>
                    <w:rPr>
                      <w:rFonts w:hint="default" w:ascii="Times New Roman" w:hAnsi="Times New Roman" w:eastAsia="宋体" w:cs="Times New Roman"/>
                      <w:bCs/>
                      <w:color w:val="auto"/>
                      <w:kern w:val="44"/>
                      <w:highlight w:val="none"/>
                    </w:rPr>
                  </w:pPr>
                  <w:r>
                    <w:rPr>
                      <w:rFonts w:hint="default" w:ascii="Times New Roman" w:hAnsi="Times New Roman" w:eastAsia="宋体" w:cs="Times New Roman"/>
                      <w:bCs/>
                      <w:color w:val="auto"/>
                      <w:kern w:val="4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73" w:type="pct"/>
                  <w:tcBorders>
                    <w:tl2br w:val="nil"/>
                    <w:tr2bl w:val="nil"/>
                  </w:tcBorders>
                  <w:tcMar>
                    <w:left w:w="0" w:type="dxa"/>
                    <w:right w:w="0" w:type="dxa"/>
                  </w:tcMar>
                  <w:vAlign w:val="center"/>
                </w:tcPr>
                <w:p>
                  <w:pPr>
                    <w:pStyle w:val="76"/>
                    <w:rPr>
                      <w:rFonts w:hint="eastAsia" w:ascii="Times New Roman" w:hAnsi="Times New Roman" w:eastAsia="宋体" w:cs="Times New Roman"/>
                      <w:bCs/>
                      <w:color w:val="auto"/>
                      <w:kern w:val="44"/>
                      <w:szCs w:val="24"/>
                      <w:highlight w:val="none"/>
                      <w:lang w:eastAsia="zh-CN"/>
                    </w:rPr>
                  </w:pPr>
                  <w:r>
                    <w:rPr>
                      <w:rFonts w:hint="eastAsia" w:cs="Times New Roman"/>
                      <w:bCs/>
                      <w:color w:val="auto"/>
                      <w:kern w:val="44"/>
                      <w:szCs w:val="24"/>
                      <w:highlight w:val="none"/>
                      <w:lang w:eastAsia="zh-CN"/>
                    </w:rPr>
                    <w:t>非甲烷总烃</w:t>
                  </w:r>
                </w:p>
              </w:tc>
              <w:tc>
                <w:tcPr>
                  <w:tcW w:w="1192"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120</w:t>
                  </w:r>
                </w:p>
              </w:tc>
              <w:tc>
                <w:tcPr>
                  <w:tcW w:w="1104" w:type="pct"/>
                  <w:tcBorders>
                    <w:tl2br w:val="nil"/>
                    <w:tr2bl w:val="nil"/>
                  </w:tcBorders>
                  <w:tcMar>
                    <w:left w:w="0" w:type="dxa"/>
                    <w:right w:w="0" w:type="dxa"/>
                  </w:tcMar>
                  <w:vAlign w:val="center"/>
                </w:tcPr>
                <w:p>
                  <w:pPr>
                    <w:pStyle w:val="76"/>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1081" w:type="pct"/>
                  <w:tcBorders>
                    <w:tl2br w:val="nil"/>
                    <w:tr2bl w:val="nil"/>
                  </w:tcBorders>
                  <w:tcMar>
                    <w:left w:w="0" w:type="dxa"/>
                    <w:right w:w="0" w:type="dxa"/>
                  </w:tcMar>
                  <w:vAlign w:val="center"/>
                </w:tcPr>
                <w:p>
                  <w:pPr>
                    <w:adjustRightInd/>
                    <w:snapToGrid/>
                    <w:jc w:val="center"/>
                    <w:rPr>
                      <w:rFonts w:hint="default" w:ascii="Times New Roman" w:hAnsi="Times New Roman" w:eastAsia="宋体" w:cs="Times New Roman"/>
                      <w:bCs/>
                      <w:color w:val="auto"/>
                      <w:kern w:val="44"/>
                      <w:highlight w:val="none"/>
                    </w:rPr>
                  </w:pPr>
                  <w:r>
                    <w:rPr>
                      <w:rFonts w:hint="default" w:ascii="Times New Roman" w:hAnsi="Times New Roman" w:eastAsia="宋体" w:cs="Times New Roman"/>
                      <w:bCs/>
                      <w:color w:val="auto"/>
                      <w:kern w:val="44"/>
                      <w:highlight w:val="none"/>
                    </w:rPr>
                    <w:t>周界外浓度最高点</w:t>
                  </w:r>
                </w:p>
              </w:tc>
              <w:tc>
                <w:tcPr>
                  <w:tcW w:w="1048" w:type="pct"/>
                  <w:tcBorders>
                    <w:tl2br w:val="nil"/>
                    <w:tr2bl w:val="nil"/>
                  </w:tcBorders>
                  <w:tcMar>
                    <w:left w:w="0" w:type="dxa"/>
                    <w:right w:w="0" w:type="dxa"/>
                  </w:tcMar>
                  <w:vAlign w:val="center"/>
                </w:tcPr>
                <w:p>
                  <w:pPr>
                    <w:adjustRightInd/>
                    <w:snapToGrid/>
                    <w:jc w:val="center"/>
                    <w:rPr>
                      <w:rFonts w:hint="default" w:ascii="Times New Roman" w:hAnsi="Times New Roman" w:eastAsia="宋体" w:cs="Times New Roman"/>
                      <w:bCs/>
                      <w:color w:val="auto"/>
                      <w:kern w:val="44"/>
                      <w:highlight w:val="none"/>
                      <w:lang w:val="en-US" w:eastAsia="zh-CN"/>
                    </w:rPr>
                  </w:pPr>
                  <w:r>
                    <w:rPr>
                      <w:rFonts w:hint="eastAsia" w:cs="Times New Roman"/>
                      <w:bCs/>
                      <w:color w:val="auto"/>
                      <w:kern w:val="44"/>
                      <w:highlight w:val="none"/>
                      <w:lang w:val="en-US" w:eastAsia="zh-CN"/>
                    </w:rPr>
                    <w:t>4.0</w:t>
                  </w:r>
                </w:p>
              </w:tc>
            </w:tr>
          </w:tbl>
          <w:p>
            <w:pPr>
              <w:pStyle w:val="66"/>
              <w:ind w:firstLine="0" w:firstLineChars="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2、噪声</w:t>
            </w:r>
          </w:p>
          <w:p>
            <w:pPr>
              <w:pStyle w:val="156"/>
              <w:ind w:firstLine="488"/>
              <w:rPr>
                <w:rFonts w:hint="default" w:ascii="Times New Roman" w:hAnsi="Times New Roman" w:eastAsia="宋体" w:cs="Times New Roman"/>
                <w:color w:val="auto"/>
                <w:szCs w:val="21"/>
                <w:highlight w:val="none"/>
                <w:lang w:val="en-US" w:eastAsia="zh-CN"/>
              </w:rPr>
            </w:pPr>
            <w:r>
              <w:rPr>
                <w:rFonts w:cs="Times New Roman"/>
                <w:color w:val="000000" w:themeColor="text1"/>
                <w:highlight w:val="none"/>
                <w14:textFill>
                  <w14:solidFill>
                    <w14:schemeClr w14:val="tx1"/>
                  </w14:solidFill>
                </w14:textFill>
              </w:rPr>
              <w:t>施工期场界噪声执行《建筑施工场界环境噪声排放标准》（GB12523-2011）</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运营期</w:t>
            </w:r>
            <w:r>
              <w:rPr>
                <w:rFonts w:hint="eastAsia" w:cs="Times New Roman"/>
                <w:color w:val="000000" w:themeColor="text1"/>
                <w:highlight w:val="none"/>
                <w:lang w:eastAsia="zh-CN"/>
                <w14:textFill>
                  <w14:solidFill>
                    <w14:schemeClr w14:val="tx1"/>
                  </w14:solidFill>
                </w14:textFill>
              </w:rPr>
              <w:t>厂界</w:t>
            </w:r>
            <w:r>
              <w:rPr>
                <w:rFonts w:cs="Times New Roman"/>
                <w:color w:val="000000" w:themeColor="text1"/>
                <w:highlight w:val="none"/>
                <w14:textFill>
                  <w14:solidFill>
                    <w14:schemeClr w14:val="tx1"/>
                  </w14:solidFill>
                </w14:textFill>
              </w:rPr>
              <w:t>噪声</w:t>
            </w:r>
            <w:r>
              <w:rPr>
                <w:rFonts w:hint="default" w:ascii="Times New Roman" w:hAnsi="Times New Roman" w:eastAsia="宋体" w:cs="Times New Roman"/>
                <w:color w:val="auto"/>
                <w:spacing w:val="4"/>
                <w:highlight w:val="none"/>
              </w:rPr>
              <w:t>执行</w:t>
            </w:r>
            <w:r>
              <w:rPr>
                <w:rFonts w:hint="default" w:ascii="Times New Roman" w:hAnsi="Times New Roman" w:eastAsia="宋体" w:cs="Times New Roman"/>
                <w:color w:val="auto"/>
                <w:highlight w:val="none"/>
              </w:rPr>
              <w:t>《工业企业厂界环境噪声排放标准》</w:t>
            </w:r>
            <w:r>
              <w:rPr>
                <w:rFonts w:hint="default" w:ascii="Times New Roman" w:hAnsi="Times New Roman" w:eastAsia="宋体" w:cs="Times New Roman"/>
                <w:color w:val="auto"/>
                <w:highlight w:val="none"/>
                <w:lang w:eastAsia="zh-CN"/>
              </w:rPr>
              <w:t>（GB12348-2008）</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eastAsia="zh-CN"/>
              </w:rPr>
              <w:t>类标准</w:t>
            </w:r>
            <w:r>
              <w:rPr>
                <w:rFonts w:hint="default" w:ascii="Times New Roman" w:hAnsi="Times New Roman" w:eastAsia="宋体" w:cs="Times New Roman"/>
                <w:color w:val="auto"/>
                <w:highlight w:val="none"/>
              </w:rPr>
              <w:t>，标准值详见表3-</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ascii="Times New Roman" w:hAnsi="Times New Roman" w:eastAsia="宋体" w:cs="Times New Roman"/>
                <w:b/>
                <w:bCs/>
                <w:color w:val="auto"/>
                <w:kern w:val="2"/>
                <w:sz w:val="21"/>
                <w:szCs w:val="21"/>
                <w:highlight w:val="none"/>
                <w:lang w:val="en-US" w:eastAsia="zh-CN" w:bidi="ar-SA"/>
              </w:rPr>
              <w:t>3  噪声排放标准一览表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116"/>
              <w:gridCol w:w="738"/>
              <w:gridCol w:w="762"/>
              <w:gridCol w:w="4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vAlign w:val="center"/>
                </w:tcPr>
                <w:p>
                  <w:pPr>
                    <w:pStyle w:val="67"/>
                    <w:bidi w:val="0"/>
                    <w:rPr>
                      <w:rFonts w:hint="default"/>
                      <w:b/>
                      <w:bCs/>
                      <w:highlight w:val="none"/>
                    </w:rPr>
                  </w:pPr>
                  <w:r>
                    <w:rPr>
                      <w:b/>
                      <w:bCs/>
                      <w:highlight w:val="none"/>
                    </w:rPr>
                    <w:t>时段</w:t>
                  </w:r>
                </w:p>
              </w:tc>
              <w:tc>
                <w:tcPr>
                  <w:tcW w:w="1116" w:type="dxa"/>
                  <w:tcBorders>
                    <w:tl2br w:val="nil"/>
                    <w:tr2bl w:val="nil"/>
                  </w:tcBorders>
                  <w:vAlign w:val="center"/>
                </w:tcPr>
                <w:p>
                  <w:pPr>
                    <w:pStyle w:val="67"/>
                    <w:bidi w:val="0"/>
                    <w:rPr>
                      <w:rFonts w:hint="default"/>
                      <w:b/>
                      <w:bCs/>
                      <w:highlight w:val="none"/>
                    </w:rPr>
                  </w:pPr>
                  <w:r>
                    <w:rPr>
                      <w:b/>
                      <w:bCs/>
                      <w:highlight w:val="none"/>
                    </w:rPr>
                    <w:t>单位</w:t>
                  </w:r>
                </w:p>
              </w:tc>
              <w:tc>
                <w:tcPr>
                  <w:tcW w:w="738" w:type="dxa"/>
                  <w:tcBorders>
                    <w:tl2br w:val="nil"/>
                    <w:tr2bl w:val="nil"/>
                  </w:tcBorders>
                  <w:vAlign w:val="center"/>
                </w:tcPr>
                <w:p>
                  <w:pPr>
                    <w:pStyle w:val="67"/>
                    <w:bidi w:val="0"/>
                    <w:rPr>
                      <w:rFonts w:hint="default"/>
                      <w:b/>
                      <w:bCs/>
                      <w:highlight w:val="none"/>
                    </w:rPr>
                  </w:pPr>
                  <w:r>
                    <w:rPr>
                      <w:b/>
                      <w:bCs/>
                      <w:highlight w:val="none"/>
                    </w:rPr>
                    <w:t>昼间</w:t>
                  </w:r>
                </w:p>
              </w:tc>
              <w:tc>
                <w:tcPr>
                  <w:tcW w:w="762" w:type="dxa"/>
                  <w:tcBorders>
                    <w:tl2br w:val="nil"/>
                    <w:tr2bl w:val="nil"/>
                  </w:tcBorders>
                  <w:vAlign w:val="center"/>
                </w:tcPr>
                <w:p>
                  <w:pPr>
                    <w:pStyle w:val="67"/>
                    <w:bidi w:val="0"/>
                    <w:rPr>
                      <w:rFonts w:hint="default"/>
                      <w:b/>
                      <w:bCs/>
                      <w:highlight w:val="none"/>
                    </w:rPr>
                  </w:pPr>
                  <w:r>
                    <w:rPr>
                      <w:b/>
                      <w:bCs/>
                      <w:highlight w:val="none"/>
                    </w:rPr>
                    <w:t>夜间</w:t>
                  </w:r>
                </w:p>
              </w:tc>
              <w:tc>
                <w:tcPr>
                  <w:tcW w:w="4004" w:type="dxa"/>
                  <w:tcBorders>
                    <w:tl2br w:val="nil"/>
                    <w:tr2bl w:val="nil"/>
                  </w:tcBorders>
                  <w:vAlign w:val="center"/>
                </w:tcPr>
                <w:p>
                  <w:pPr>
                    <w:pStyle w:val="67"/>
                    <w:bidi w:val="0"/>
                    <w:rPr>
                      <w:rFonts w:hint="default"/>
                      <w:b/>
                      <w:bCs/>
                      <w:highlight w:val="none"/>
                    </w:rPr>
                  </w:pPr>
                  <w:r>
                    <w:rPr>
                      <w:b/>
                      <w:bCs/>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6" w:type="dxa"/>
                  <w:tcBorders>
                    <w:tl2br w:val="nil"/>
                    <w:tr2bl w:val="nil"/>
                  </w:tcBorders>
                  <w:vAlign w:val="center"/>
                </w:tcPr>
                <w:p>
                  <w:pPr>
                    <w:pStyle w:val="67"/>
                    <w:bidi w:val="0"/>
                    <w:rPr>
                      <w:rFonts w:hint="default"/>
                      <w:highlight w:val="none"/>
                      <w:lang w:val="en-US" w:eastAsia="zh-CN"/>
                    </w:rPr>
                  </w:pPr>
                  <w:r>
                    <w:rPr>
                      <w:highlight w:val="none"/>
                    </w:rPr>
                    <w:t>施工期</w:t>
                  </w:r>
                </w:p>
              </w:tc>
              <w:tc>
                <w:tcPr>
                  <w:tcW w:w="1116" w:type="dxa"/>
                  <w:vMerge w:val="restart"/>
                  <w:tcBorders>
                    <w:tl2br w:val="nil"/>
                    <w:tr2bl w:val="nil"/>
                  </w:tcBorders>
                  <w:vAlign w:val="center"/>
                </w:tcPr>
                <w:p>
                  <w:pPr>
                    <w:pStyle w:val="67"/>
                    <w:bidi w:val="0"/>
                    <w:rPr>
                      <w:rFonts w:hint="default"/>
                      <w:highlight w:val="none"/>
                    </w:rPr>
                  </w:pPr>
                  <w:r>
                    <w:rPr>
                      <w:highlight w:val="none"/>
                    </w:rPr>
                    <w:t>dB（A）</w:t>
                  </w:r>
                </w:p>
              </w:tc>
              <w:tc>
                <w:tcPr>
                  <w:tcW w:w="738" w:type="dxa"/>
                  <w:tcBorders>
                    <w:tl2br w:val="nil"/>
                    <w:tr2bl w:val="nil"/>
                  </w:tcBorders>
                  <w:vAlign w:val="center"/>
                </w:tcPr>
                <w:p>
                  <w:pPr>
                    <w:pStyle w:val="67"/>
                    <w:bidi w:val="0"/>
                    <w:rPr>
                      <w:rFonts w:hint="default"/>
                      <w:highlight w:val="none"/>
                      <w:lang w:eastAsia="zh-CN"/>
                    </w:rPr>
                  </w:pPr>
                  <w:r>
                    <w:rPr>
                      <w:highlight w:val="none"/>
                    </w:rPr>
                    <w:t>70</w:t>
                  </w:r>
                </w:p>
              </w:tc>
              <w:tc>
                <w:tcPr>
                  <w:tcW w:w="762" w:type="dxa"/>
                  <w:tcBorders>
                    <w:tl2br w:val="nil"/>
                    <w:tr2bl w:val="nil"/>
                  </w:tcBorders>
                  <w:vAlign w:val="center"/>
                </w:tcPr>
                <w:p>
                  <w:pPr>
                    <w:pStyle w:val="67"/>
                    <w:bidi w:val="0"/>
                    <w:rPr>
                      <w:rFonts w:hint="default"/>
                      <w:highlight w:val="none"/>
                    </w:rPr>
                  </w:pPr>
                  <w:r>
                    <w:rPr>
                      <w:highlight w:val="none"/>
                    </w:rPr>
                    <w:t>55</w:t>
                  </w:r>
                </w:p>
              </w:tc>
              <w:tc>
                <w:tcPr>
                  <w:tcW w:w="4004" w:type="dxa"/>
                  <w:tcBorders>
                    <w:tl2br w:val="nil"/>
                    <w:tr2bl w:val="nil"/>
                  </w:tcBorders>
                  <w:vAlign w:val="center"/>
                </w:tcPr>
                <w:p>
                  <w:pPr>
                    <w:pStyle w:val="67"/>
                    <w:bidi w:val="0"/>
                    <w:rPr>
                      <w:rFonts w:hint="default"/>
                      <w:highlight w:val="none"/>
                    </w:rPr>
                  </w:pPr>
                  <w:r>
                    <w:rPr>
                      <w:highlight w:val="none"/>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tcBorders>
                    <w:tl2br w:val="nil"/>
                    <w:tr2bl w:val="nil"/>
                  </w:tcBorders>
                  <w:vAlign w:val="center"/>
                </w:tcPr>
                <w:p>
                  <w:pPr>
                    <w:pStyle w:val="67"/>
                    <w:bidi w:val="0"/>
                    <w:rPr>
                      <w:rFonts w:hint="default"/>
                      <w:highlight w:val="none"/>
                      <w:lang w:val="en-US" w:eastAsia="zh-CN"/>
                    </w:rPr>
                  </w:pPr>
                  <w:r>
                    <w:rPr>
                      <w:highlight w:val="none"/>
                    </w:rPr>
                    <w:t>运营期</w:t>
                  </w:r>
                </w:p>
              </w:tc>
              <w:tc>
                <w:tcPr>
                  <w:tcW w:w="1116" w:type="dxa"/>
                  <w:vMerge w:val="continue"/>
                  <w:tcBorders>
                    <w:tl2br w:val="nil"/>
                    <w:tr2bl w:val="nil"/>
                  </w:tcBorders>
                  <w:vAlign w:val="center"/>
                </w:tcPr>
                <w:p>
                  <w:pPr>
                    <w:pStyle w:val="67"/>
                    <w:bidi w:val="0"/>
                    <w:rPr>
                      <w:rFonts w:hint="default"/>
                      <w:highlight w:val="none"/>
                    </w:rPr>
                  </w:pPr>
                </w:p>
              </w:tc>
              <w:tc>
                <w:tcPr>
                  <w:tcW w:w="738" w:type="dxa"/>
                  <w:tcBorders>
                    <w:tl2br w:val="nil"/>
                    <w:tr2bl w:val="nil"/>
                  </w:tcBorders>
                  <w:vAlign w:val="center"/>
                </w:tcPr>
                <w:p>
                  <w:pPr>
                    <w:pStyle w:val="67"/>
                    <w:bidi w:val="0"/>
                    <w:rPr>
                      <w:rFonts w:hint="default"/>
                      <w:highlight w:val="none"/>
                    </w:rPr>
                  </w:pPr>
                  <w:r>
                    <w:rPr>
                      <w:highlight w:val="none"/>
                    </w:rPr>
                    <w:t>65</w:t>
                  </w:r>
                </w:p>
              </w:tc>
              <w:tc>
                <w:tcPr>
                  <w:tcW w:w="762" w:type="dxa"/>
                  <w:tcBorders>
                    <w:tl2br w:val="nil"/>
                    <w:tr2bl w:val="nil"/>
                  </w:tcBorders>
                  <w:vAlign w:val="center"/>
                </w:tcPr>
                <w:p>
                  <w:pPr>
                    <w:pStyle w:val="67"/>
                    <w:bidi w:val="0"/>
                    <w:rPr>
                      <w:rFonts w:hint="default"/>
                      <w:highlight w:val="none"/>
                    </w:rPr>
                  </w:pPr>
                  <w:r>
                    <w:rPr>
                      <w:highlight w:val="none"/>
                    </w:rPr>
                    <w:t>55</w:t>
                  </w:r>
                </w:p>
              </w:tc>
              <w:tc>
                <w:tcPr>
                  <w:tcW w:w="4004" w:type="dxa"/>
                  <w:tcBorders>
                    <w:tl2br w:val="nil"/>
                    <w:tr2bl w:val="nil"/>
                  </w:tcBorders>
                  <w:vAlign w:val="center"/>
                </w:tcPr>
                <w:p>
                  <w:pPr>
                    <w:pStyle w:val="67"/>
                    <w:bidi w:val="0"/>
                    <w:rPr>
                      <w:rFonts w:hint="default"/>
                      <w:highlight w:val="none"/>
                    </w:rPr>
                  </w:pPr>
                  <w:r>
                    <w:rPr>
                      <w:highlight w:val="none"/>
                    </w:rPr>
                    <w:t>《工业企业厂界环境噪声排放标准》（GB12348-2008）3类声功能区标准</w:t>
                  </w:r>
                </w:p>
              </w:tc>
            </w:tr>
          </w:tbl>
          <w:p>
            <w:pPr>
              <w:pStyle w:val="66"/>
              <w:ind w:firstLine="0" w:firstLineChars="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3、废水</w:t>
            </w:r>
          </w:p>
          <w:p>
            <w:pPr>
              <w:pStyle w:val="156"/>
              <w:ind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生活污水</w:t>
            </w:r>
            <w:r>
              <w:rPr>
                <w:rFonts w:hint="default" w:ascii="Times New Roman" w:hAnsi="Times New Roman" w:eastAsia="宋体" w:cs="Times New Roman"/>
                <w:color w:val="auto"/>
                <w:highlight w:val="none"/>
                <w:lang w:val="en-US" w:eastAsia="zh-CN"/>
              </w:rPr>
              <w:t>经化粪池排入园区生活污水管网，最终进入</w:t>
            </w:r>
            <w:r>
              <w:rPr>
                <w:rFonts w:hint="eastAsia" w:cs="Times New Roman"/>
                <w:color w:val="auto"/>
                <w:highlight w:val="none"/>
                <w:lang w:val="en-US" w:eastAsia="zh-CN"/>
              </w:rPr>
              <w:t>园区污水处理厂</w:t>
            </w:r>
            <w:r>
              <w:rPr>
                <w:rFonts w:hint="default" w:ascii="Times New Roman" w:hAnsi="Times New Roman" w:eastAsia="宋体" w:cs="Times New Roman"/>
                <w:color w:val="auto"/>
                <w:highlight w:val="none"/>
                <w:lang w:val="en-US" w:eastAsia="zh-CN"/>
              </w:rPr>
              <w:t>进一步处理</w:t>
            </w:r>
            <w:r>
              <w:rPr>
                <w:rFonts w:hint="default" w:ascii="Times New Roman" w:hAnsi="Times New Roman" w:eastAsia="宋体" w:cs="Times New Roman"/>
                <w:color w:val="auto"/>
                <w:highlight w:val="none"/>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ascii="Times New Roman" w:hAnsi="Times New Roman" w:eastAsia="宋体" w:cs="Times New Roman"/>
                <w:b/>
                <w:bCs/>
                <w:color w:val="auto"/>
                <w:kern w:val="2"/>
                <w:sz w:val="21"/>
                <w:szCs w:val="21"/>
                <w:highlight w:val="none"/>
                <w:lang w:val="en-US" w:eastAsia="zh-CN" w:bidi="ar-SA"/>
              </w:rPr>
              <w:t xml:space="preserve">4  </w:t>
            </w:r>
            <w:r>
              <w:rPr>
                <w:rFonts w:hint="default" w:ascii="Times New Roman" w:hAnsi="Times New Roman" w:eastAsia="宋体" w:cs="Times New Roman"/>
                <w:b/>
                <w:bCs/>
                <w:color w:val="auto"/>
                <w:kern w:val="2"/>
                <w:sz w:val="21"/>
                <w:szCs w:val="21"/>
                <w:highlight w:val="none"/>
                <w:lang w:val="en-US" w:eastAsia="zh-CN" w:bidi="ar-SA"/>
              </w:rPr>
              <w:t>废水执行标准单位：mg/L</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387"/>
              <w:gridCol w:w="1786"/>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58"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880"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1133"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标准限值</w:t>
                  </w:r>
                </w:p>
              </w:tc>
              <w:tc>
                <w:tcPr>
                  <w:tcW w:w="2326"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58"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80" w:type="pct"/>
                  <w:tcBorders>
                    <w:tl2br w:val="nil"/>
                    <w:tr2bl w:val="nil"/>
                  </w:tcBorders>
                  <w:vAlign w:val="center"/>
                </w:tcPr>
                <w:p>
                  <w:pPr>
                    <w:pStyle w:val="67"/>
                    <w:rPr>
                      <w:rFonts w:hint="default" w:ascii="Times New Roman" w:hAnsi="Times New Roman" w:eastAsia="宋体" w:cs="Times New Roman"/>
                      <w:color w:val="auto"/>
                      <w:kern w:val="0"/>
                      <w:sz w:val="21"/>
                      <w:szCs w:val="21"/>
                      <w:highlight w:val="none"/>
                      <w:lang w:val="en-US" w:eastAsia="zh-CN" w:bidi="ar-SA"/>
                    </w:rPr>
                  </w:pPr>
                  <w:r>
                    <w:rPr>
                      <w:color w:val="auto"/>
                      <w:highlight w:val="none"/>
                    </w:rPr>
                    <w:t>COD</w:t>
                  </w:r>
                </w:p>
              </w:tc>
              <w:tc>
                <w:tcPr>
                  <w:tcW w:w="1133"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c>
                <w:tcPr>
                  <w:tcW w:w="2326" w:type="pct"/>
                  <w:vMerge w:val="restar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658"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80" w:type="pct"/>
                  <w:tcBorders>
                    <w:tl2br w:val="nil"/>
                    <w:tr2bl w:val="nil"/>
                  </w:tcBorders>
                  <w:vAlign w:val="center"/>
                </w:tcPr>
                <w:p>
                  <w:pPr>
                    <w:pStyle w:val="67"/>
                    <w:rPr>
                      <w:rFonts w:hint="default" w:ascii="Times New Roman" w:hAnsi="Times New Roman" w:eastAsia="宋体" w:cs="Times New Roman"/>
                      <w:color w:val="auto"/>
                      <w:kern w:val="0"/>
                      <w:sz w:val="21"/>
                      <w:szCs w:val="21"/>
                      <w:highlight w:val="none"/>
                      <w:lang w:val="en-US" w:eastAsia="zh-CN" w:bidi="ar-SA"/>
                    </w:rPr>
                  </w:pPr>
                  <w:r>
                    <w:rPr>
                      <w:color w:val="auto"/>
                      <w:highlight w:val="none"/>
                    </w:rPr>
                    <w:t>BOD</w:t>
                  </w:r>
                  <w:r>
                    <w:rPr>
                      <w:color w:val="auto"/>
                      <w:highlight w:val="none"/>
                      <w:vertAlign w:val="subscript"/>
                    </w:rPr>
                    <w:t>5</w:t>
                  </w:r>
                </w:p>
              </w:tc>
              <w:tc>
                <w:tcPr>
                  <w:tcW w:w="1133"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2326"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58"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880" w:type="pct"/>
                  <w:tcBorders>
                    <w:tl2br w:val="nil"/>
                    <w:tr2bl w:val="nil"/>
                  </w:tcBorders>
                  <w:vAlign w:val="center"/>
                </w:tcPr>
                <w:p>
                  <w:pPr>
                    <w:pStyle w:val="67"/>
                    <w:rPr>
                      <w:rFonts w:hint="default" w:ascii="Times New Roman" w:hAnsi="Times New Roman" w:eastAsia="宋体" w:cs="Times New Roman"/>
                      <w:color w:val="auto"/>
                      <w:kern w:val="0"/>
                      <w:sz w:val="21"/>
                      <w:szCs w:val="21"/>
                      <w:highlight w:val="none"/>
                      <w:lang w:val="en-US" w:eastAsia="zh-CN" w:bidi="ar-SA"/>
                    </w:rPr>
                  </w:pPr>
                  <w:r>
                    <w:rPr>
                      <w:color w:val="auto"/>
                      <w:highlight w:val="none"/>
                    </w:rPr>
                    <w:t>SS</w:t>
                  </w:r>
                </w:p>
              </w:tc>
              <w:tc>
                <w:tcPr>
                  <w:tcW w:w="1133"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w:t>
                  </w:r>
                </w:p>
              </w:tc>
              <w:tc>
                <w:tcPr>
                  <w:tcW w:w="2326"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58" w:type="pct"/>
                  <w:tcBorders>
                    <w:tl2br w:val="nil"/>
                    <w:tr2bl w:val="nil"/>
                  </w:tcBorders>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80" w:type="pct"/>
                  <w:tcBorders>
                    <w:tl2br w:val="nil"/>
                    <w:tr2bl w:val="nil"/>
                  </w:tcBorders>
                  <w:vAlign w:val="center"/>
                </w:tcPr>
                <w:p>
                  <w:pPr>
                    <w:pStyle w:val="67"/>
                    <w:rPr>
                      <w:rFonts w:hint="default" w:ascii="Times New Roman" w:hAnsi="Times New Roman" w:eastAsia="宋体" w:cs="Times New Roman"/>
                      <w:color w:val="auto"/>
                      <w:kern w:val="0"/>
                      <w:sz w:val="21"/>
                      <w:szCs w:val="21"/>
                      <w:highlight w:val="none"/>
                      <w:lang w:val="en-US" w:eastAsia="zh-CN" w:bidi="ar-SA"/>
                    </w:rPr>
                  </w:pPr>
                  <w:r>
                    <w:rPr>
                      <w:color w:val="auto"/>
                      <w:highlight w:val="none"/>
                    </w:rPr>
                    <w:t>NH</w:t>
                  </w:r>
                  <w:r>
                    <w:rPr>
                      <w:color w:val="auto"/>
                      <w:highlight w:val="none"/>
                      <w:vertAlign w:val="subscript"/>
                    </w:rPr>
                    <w:t>3</w:t>
                  </w:r>
                  <w:r>
                    <w:rPr>
                      <w:color w:val="auto"/>
                      <w:highlight w:val="none"/>
                    </w:rPr>
                    <w:t>-N</w:t>
                  </w:r>
                </w:p>
              </w:tc>
              <w:tc>
                <w:tcPr>
                  <w:tcW w:w="1133" w:type="pct"/>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w:t>
                  </w:r>
                </w:p>
              </w:tc>
              <w:tc>
                <w:tcPr>
                  <w:tcW w:w="2326"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r>
          </w:tbl>
          <w:p>
            <w:pPr>
              <w:pStyle w:val="66"/>
              <w:ind w:firstLine="0" w:firstLineChars="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4、固体废弃物</w:t>
            </w:r>
          </w:p>
          <w:p>
            <w:pPr>
              <w:pStyle w:val="66"/>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一般固废</w:t>
            </w:r>
            <w:r>
              <w:rPr>
                <w:rFonts w:hint="default" w:ascii="Times New Roman" w:hAnsi="Times New Roman" w:eastAsia="宋体" w:cs="Times New Roman"/>
                <w:color w:val="auto"/>
                <w:highlight w:val="none"/>
                <w:lang w:eastAsia="zh-CN"/>
              </w:rPr>
              <w:t>参照</w:t>
            </w:r>
            <w:r>
              <w:rPr>
                <w:rFonts w:hint="default" w:ascii="Times New Roman" w:hAnsi="Times New Roman" w:eastAsia="宋体" w:cs="Times New Roman"/>
                <w:color w:val="auto"/>
                <w:highlight w:val="none"/>
              </w:rPr>
              <w:t>执行《一般工业固体废物贮存和填埋污染控制标准》（GB18599-2020）</w:t>
            </w:r>
            <w:r>
              <w:rPr>
                <w:rFonts w:hint="eastAsia" w:ascii="Times New Roman" w:hAnsi="Times New Roman" w:cs="宋体"/>
                <w:color w:val="auto"/>
                <w:kern w:val="0"/>
                <w:sz w:val="24"/>
                <w:szCs w:val="21"/>
                <w:highlight w:val="none"/>
              </w:rPr>
              <w:t>及《一般固体废物分类与代码》（GB/T39198-2020）</w:t>
            </w:r>
            <w:r>
              <w:rPr>
                <w:rFonts w:hint="default" w:ascii="Times New Roman" w:hAnsi="Times New Roman" w:eastAsia="宋体" w:cs="Times New Roman"/>
                <w:color w:val="auto"/>
                <w:highlight w:val="none"/>
              </w:rPr>
              <w:t>的规定</w:t>
            </w:r>
            <w:r>
              <w:rPr>
                <w:rFonts w:hint="eastAsia" w:cs="Times New Roman"/>
                <w:color w:val="auto"/>
                <w:highlight w:val="none"/>
                <w:lang w:eastAsia="zh-CN"/>
              </w:rPr>
              <w:t>；</w:t>
            </w:r>
          </w:p>
          <w:p>
            <w:pPr>
              <w:pStyle w:val="66"/>
              <w:ind w:firstLine="480"/>
              <w:rPr>
                <w:rFonts w:hint="eastAsia" w:cs="Times New Roman"/>
                <w:color w:val="auto"/>
                <w:sz w:val="24"/>
                <w:szCs w:val="24"/>
                <w:highlight w:val="none"/>
                <w:lang w:eastAsia="zh-CN"/>
              </w:rPr>
            </w:pPr>
            <w:r>
              <w:rPr>
                <w:rFonts w:hint="eastAsia" w:cs="Times New Roman"/>
                <w:color w:val="auto"/>
                <w:highlight w:val="none"/>
                <w:lang w:eastAsia="zh-CN"/>
              </w:rPr>
              <w:t>危险废物执行</w:t>
            </w:r>
            <w:r>
              <w:rPr>
                <w:rFonts w:hint="eastAsia" w:ascii="Times New Roman" w:hAnsi="Times New Roman" w:eastAsia="宋体" w:cs="Times New Roman"/>
                <w:color w:val="auto"/>
                <w:sz w:val="24"/>
                <w:szCs w:val="24"/>
                <w:highlight w:val="none"/>
                <w:lang w:eastAsia="zh-CN"/>
              </w:rPr>
              <w:t>《危险废物贮存污染控制标准》（GB18597-2023）</w:t>
            </w:r>
            <w:r>
              <w:rPr>
                <w:rFonts w:hint="eastAsia" w:cs="Times New Roman"/>
                <w:color w:val="auto"/>
                <w:sz w:val="24"/>
                <w:szCs w:val="24"/>
                <w:highlight w:val="none"/>
                <w:lang w:eastAsia="zh-CN"/>
              </w:rPr>
              <w:t>的规定。</w:t>
            </w:r>
          </w:p>
          <w:p>
            <w:pPr>
              <w:pStyle w:val="66"/>
              <w:ind w:firstLine="480"/>
              <w:rPr>
                <w:rFonts w:hint="eastAsia" w:cs="Times New Roman"/>
                <w:color w:val="auto"/>
                <w:sz w:val="24"/>
                <w:szCs w:val="24"/>
                <w:highlight w:val="none"/>
                <w:lang w:eastAsia="zh-CN"/>
              </w:rPr>
            </w:pPr>
            <w:r>
              <w:rPr>
                <w:rFonts w:hint="eastAsia" w:ascii="Times New Roman" w:hAnsi="Times New Roman" w:cs="宋体"/>
                <w:color w:val="auto"/>
                <w:kern w:val="0"/>
                <w:sz w:val="24"/>
                <w:szCs w:val="21"/>
                <w:highlight w:val="none"/>
              </w:rPr>
              <w:t>生活垃圾参照执行《中华人民共和国固体废物污染环境防治法》（2020年09月施行）中第四章中的相关内容。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66" w:type="pct"/>
            <w:vAlign w:val="center"/>
          </w:tcPr>
          <w:p>
            <w:pPr>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总量</w:t>
            </w:r>
          </w:p>
          <w:p>
            <w:pPr>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控制</w:t>
            </w:r>
          </w:p>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color w:val="auto"/>
                <w:kern w:val="0"/>
                <w:szCs w:val="21"/>
                <w:highlight w:val="none"/>
              </w:rPr>
              <w:t>指标</w:t>
            </w:r>
          </w:p>
        </w:tc>
        <w:tc>
          <w:tcPr>
            <w:tcW w:w="4733" w:type="pct"/>
            <w:vAlign w:val="center"/>
          </w:tcPr>
          <w:p>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宋体"/>
                <w:color w:val="auto"/>
                <w:kern w:val="0"/>
                <w:sz w:val="24"/>
                <w:szCs w:val="21"/>
                <w:highlight w:val="none"/>
                <w:lang w:val="en-US" w:eastAsia="zh-CN"/>
              </w:rPr>
            </w:pPr>
            <w:r>
              <w:rPr>
                <w:rFonts w:hint="eastAsia" w:ascii="Times New Roman" w:hAnsi="Times New Roman" w:cs="宋体"/>
                <w:color w:val="auto"/>
                <w:kern w:val="0"/>
                <w:sz w:val="24"/>
                <w:szCs w:val="21"/>
                <w:highlight w:val="none"/>
                <w:lang w:val="en-US" w:eastAsia="zh-CN"/>
              </w:rPr>
              <w:t>根据《十四五主要污染物总量控制规划》，我国“十四五”期间主要对挥发性有机物、化学需氧量、氨氮和氮氧化物这四种污染物实行排放总量控制。</w:t>
            </w:r>
          </w:p>
          <w:p>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宋体"/>
                <w:color w:val="auto"/>
                <w:kern w:val="0"/>
                <w:sz w:val="24"/>
                <w:szCs w:val="21"/>
                <w:highlight w:val="none"/>
                <w:lang w:val="en-US" w:eastAsia="zh-CN"/>
              </w:rPr>
            </w:pPr>
            <w:r>
              <w:rPr>
                <w:rFonts w:hint="eastAsia" w:ascii="Times New Roman" w:hAnsi="Times New Roman" w:cs="宋体"/>
                <w:color w:val="auto"/>
                <w:kern w:val="0"/>
                <w:sz w:val="24"/>
                <w:szCs w:val="21"/>
                <w:highlight w:val="none"/>
                <w:lang w:val="en-US" w:eastAsia="zh-CN"/>
              </w:rPr>
              <w:t>（1）废水</w:t>
            </w:r>
          </w:p>
          <w:p>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项目无生产废水产生，生活污水依托内蒙古璟程电缆有限公司化粪池收集后排入园区污水管网，最终纳入园区污水处理厂进行进一步处理。COD、氨氮总量已计入污水处理厂，无需再申请总量控制指标。</w:t>
            </w:r>
          </w:p>
          <w:p>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（2）废气</w:t>
            </w:r>
          </w:p>
          <w:p>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拉丝产生少量非甲烷总烃计，产生量为</w:t>
            </w:r>
            <w:r>
              <w:rPr>
                <w:rFonts w:hint="eastAsia" w:cs="Times New Roman"/>
                <w:color w:val="000000"/>
                <w:szCs w:val="21"/>
                <w:highlight w:val="none"/>
                <w:lang w:val="en-US" w:eastAsia="zh-CN"/>
              </w:rPr>
              <w:t>11.28kg</w:t>
            </w:r>
            <w:r>
              <w:rPr>
                <w:rFonts w:hint="eastAsia" w:ascii="Times New Roman" w:hAnsi="Times New Roman" w:eastAsia="宋体" w:cs="Times New Roman"/>
                <w:color w:val="000000"/>
                <w:szCs w:val="21"/>
                <w:highlight w:val="none"/>
                <w:lang w:val="en-US" w:eastAsia="zh-CN"/>
              </w:rPr>
              <w:t>/</w:t>
            </w:r>
            <w:r>
              <w:rPr>
                <w:rFonts w:hint="eastAsia" w:cs="Times New Roman"/>
                <w:color w:val="000000"/>
                <w:szCs w:val="21"/>
                <w:highlight w:val="none"/>
                <w:lang w:val="en-US" w:eastAsia="zh-CN"/>
              </w:rPr>
              <w:t>a</w:t>
            </w:r>
            <w:r>
              <w:rPr>
                <w:rFonts w:hint="eastAsia" w:cs="宋体"/>
                <w:color w:val="auto"/>
                <w:kern w:val="0"/>
                <w:sz w:val="24"/>
                <w:szCs w:val="21"/>
                <w:highlight w:val="none"/>
                <w:lang w:val="en-US" w:eastAsia="zh-CN"/>
              </w:rPr>
              <w:t>，</w:t>
            </w:r>
            <w:r>
              <w:rPr>
                <w:rFonts w:hint="eastAsia" w:ascii="Times New Roman" w:hAnsi="Times New Roman" w:eastAsia="宋体" w:cs="宋体"/>
                <w:color w:val="auto"/>
                <w:kern w:val="0"/>
                <w:sz w:val="24"/>
                <w:szCs w:val="21"/>
                <w:highlight w:val="none"/>
                <w:lang w:val="en-US" w:eastAsia="zh-CN"/>
              </w:rPr>
              <w:t>在车间内无组织排放</w:t>
            </w:r>
            <w:r>
              <w:rPr>
                <w:rFonts w:hint="eastAsia" w:cs="宋体"/>
                <w:color w:val="auto"/>
                <w:kern w:val="0"/>
                <w:sz w:val="24"/>
                <w:szCs w:val="21"/>
                <w:highlight w:val="none"/>
                <w:lang w:val="en-US" w:eastAsia="zh-CN"/>
              </w:rPr>
              <w:t>。因此无需进行总量申请。</w:t>
            </w: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rPr>
                <w:rFonts w:hint="default" w:ascii="Times New Roman" w:hAnsi="Times New Roman" w:eastAsia="宋体" w:cs="Times New Roman"/>
                <w:color w:val="auto"/>
                <w:highlight w:val="none"/>
              </w:rPr>
            </w:pPr>
          </w:p>
          <w:p>
            <w:pPr>
              <w:pStyle w:val="66"/>
              <w:ind w:left="0" w:leftChars="0" w:firstLine="0" w:firstLineChars="0"/>
              <w:rPr>
                <w:rFonts w:hint="default" w:ascii="Times New Roman" w:hAnsi="Times New Roman" w:eastAsia="宋体" w:cs="Times New Roman"/>
                <w:color w:val="auto"/>
                <w:highlight w:val="none"/>
              </w:rPr>
            </w:pPr>
          </w:p>
          <w:p>
            <w:pPr>
              <w:pStyle w:val="66"/>
              <w:ind w:left="0" w:leftChars="0" w:firstLine="0" w:firstLineChars="0"/>
              <w:rPr>
                <w:rFonts w:hint="default" w:ascii="Times New Roman" w:hAnsi="Times New Roman" w:eastAsia="宋体" w:cs="Times New Roman"/>
                <w:color w:val="auto"/>
                <w:highlight w:val="none"/>
              </w:rPr>
            </w:pPr>
          </w:p>
        </w:tc>
      </w:tr>
    </w:tbl>
    <w:p>
      <w:pPr>
        <w:pStyle w:val="26"/>
        <w:spacing w:after="12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sz w:val="36"/>
          <w:szCs w:val="36"/>
          <w:highlight w:val="none"/>
        </w:rPr>
        <w:br w:type="page"/>
      </w:r>
      <w:r>
        <w:rPr>
          <w:rFonts w:hint="default" w:ascii="Times New Roman" w:hAnsi="Times New Roman" w:eastAsia="宋体" w:cs="Times New Roman"/>
          <w:snapToGrid w:val="0"/>
          <w:color w:val="auto"/>
          <w:sz w:val="30"/>
          <w:szCs w:val="30"/>
          <w:highlight w:val="none"/>
        </w:rPr>
        <w:t>四、主要环境影响和保护措施</w:t>
      </w:r>
    </w:p>
    <w:tbl>
      <w:tblPr>
        <w:tblStyle w:val="30"/>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8"/>
        <w:gridCol w:w="82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7" w:hRule="atLeast"/>
          <w:jc w:val="center"/>
        </w:trPr>
        <w:tc>
          <w:tcPr>
            <w:tcW w:w="175" w:type="pct"/>
            <w:tcMar>
              <w:left w:w="28" w:type="dxa"/>
              <w:right w:w="28" w:type="dxa"/>
            </w:tcMar>
            <w:vAlign w:val="center"/>
          </w:tcPr>
          <w:p>
            <w:pPr>
              <w:pStyle w:val="67"/>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施工</w:t>
            </w:r>
          </w:p>
          <w:p>
            <w:pPr>
              <w:pStyle w:val="67"/>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期环</w:t>
            </w:r>
          </w:p>
          <w:p>
            <w:pPr>
              <w:pStyle w:val="67"/>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境保</w:t>
            </w:r>
          </w:p>
          <w:p>
            <w:pPr>
              <w:pStyle w:val="67"/>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护措</w:t>
            </w:r>
          </w:p>
          <w:p>
            <w:pPr>
              <w:pStyle w:val="67"/>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highlight w:val="none"/>
              </w:rPr>
              <w:t>施</w:t>
            </w:r>
          </w:p>
        </w:tc>
        <w:tc>
          <w:tcPr>
            <w:tcW w:w="4824" w:type="pct"/>
            <w:vAlign w:val="center"/>
          </w:tcPr>
          <w:p>
            <w:pPr>
              <w:pStyle w:val="66"/>
              <w:keepNext w:val="0"/>
              <w:keepLines w:val="0"/>
              <w:pageBreakBefore w:val="0"/>
              <w:widowControl w:val="0"/>
              <w:numPr>
                <w:ilvl w:val="0"/>
                <w:numId w:val="3"/>
              </w:numPr>
              <w:kinsoku/>
              <w:wordWrap/>
              <w:overflowPunct/>
              <w:topLinePunct w:val="0"/>
              <w:bidi w:val="0"/>
              <w:spacing w:line="360" w:lineRule="auto"/>
              <w:ind w:left="0"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施工期间的环境保护措施</w:t>
            </w:r>
          </w:p>
          <w:p>
            <w:pPr>
              <w:pStyle w:val="66"/>
              <w:keepNext w:val="0"/>
              <w:keepLines w:val="0"/>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加强施工期间的环境管理，实行清洁生产，杜绝粗放式施工，应尽可能合理安排施工计划，缩短施工周期，以减少施工期</w:t>
            </w:r>
            <w:r>
              <w:rPr>
                <w:rFonts w:hint="eastAsia" w:cs="Times New Roman"/>
                <w:color w:val="auto"/>
                <w:highlight w:val="none"/>
                <w:lang w:val="en-US" w:eastAsia="zh-CN"/>
              </w:rPr>
              <w:t>固废</w:t>
            </w:r>
            <w:r>
              <w:rPr>
                <w:rFonts w:hint="default" w:ascii="Times New Roman" w:hAnsi="Times New Roman" w:eastAsia="宋体" w:cs="Times New Roman"/>
                <w:color w:val="auto"/>
                <w:highlight w:val="none"/>
              </w:rPr>
              <w:t>及噪声等对外围环境的污染。</w:t>
            </w:r>
          </w:p>
          <w:p>
            <w:pPr>
              <w:pStyle w:val="66"/>
              <w:keepNext w:val="0"/>
              <w:keepLines w:val="0"/>
              <w:pageBreakBefore w:val="0"/>
              <w:widowControl w:val="0"/>
              <w:numPr>
                <w:ilvl w:val="0"/>
                <w:numId w:val="4"/>
              </w:numPr>
              <w:kinsoku/>
              <w:wordWrap/>
              <w:overflowPunct/>
              <w:topLinePunct w:val="0"/>
              <w:bidi w:val="0"/>
              <w:spacing w:line="360" w:lineRule="auto"/>
              <w:ind w:left="0"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废水的治理措施</w:t>
            </w:r>
          </w:p>
          <w:p>
            <w:pPr>
              <w:pStyle w:val="156"/>
              <w:keepNext w:val="0"/>
              <w:keepLines w:val="0"/>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highlight w:val="none"/>
              </w:rPr>
            </w:pPr>
            <w:bookmarkStart w:id="19" w:name="_Toc1131"/>
            <w:r>
              <w:rPr>
                <w:rFonts w:hint="default" w:ascii="Times New Roman" w:hAnsi="Times New Roman" w:eastAsia="宋体" w:cs="Times New Roman"/>
                <w:color w:val="auto"/>
                <w:highlight w:val="none"/>
              </w:rPr>
              <w:t>施工期废水来源于现场施工人员生活污水。</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宋体"/>
                <w:color w:val="auto"/>
                <w:sz w:val="24"/>
                <w:highlight w:val="none"/>
                <w:lang w:eastAsia="zh-CN"/>
              </w:rPr>
            </w:pPr>
            <w:r>
              <w:rPr>
                <w:rFonts w:hint="eastAsia" w:ascii="Times New Roman" w:hAnsi="Times New Roman" w:eastAsia="宋体" w:cs="宋体"/>
                <w:color w:val="auto"/>
                <w:sz w:val="24"/>
                <w:highlight w:val="none"/>
                <w:lang w:eastAsia="zh-CN"/>
              </w:rPr>
              <w:t>施工人员</w:t>
            </w:r>
            <w:r>
              <w:rPr>
                <w:rFonts w:hint="eastAsia"/>
                <w:color w:val="auto"/>
                <w:sz w:val="24"/>
                <w:highlight w:val="none"/>
                <w:lang w:val="en-US" w:eastAsia="zh-CN"/>
              </w:rPr>
              <w:t>生活污水依托内蒙古璟程电缆有限公司化粪池收集后排入园区污水管网，最终园区处理厂进行进一步处理</w:t>
            </w:r>
            <w:r>
              <w:rPr>
                <w:rFonts w:hint="eastAsia" w:ascii="Times New Roman" w:hAnsi="Times New Roman" w:eastAsia="宋体" w:cs="宋体"/>
                <w:color w:val="auto"/>
                <w:sz w:val="24"/>
                <w:highlight w:val="none"/>
                <w:lang w:eastAsia="zh-CN"/>
              </w:rPr>
              <w:t>。</w:t>
            </w:r>
          </w:p>
          <w:p>
            <w:pPr>
              <w:pStyle w:val="156"/>
              <w:keepNext w:val="0"/>
              <w:keepLines w:val="0"/>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评价要求施工期产生的生活污水不得随意排放。</w:t>
            </w:r>
            <w:bookmarkEnd w:id="19"/>
            <w:bookmarkStart w:id="20" w:name="_Toc11518"/>
            <w:bookmarkStart w:id="21" w:name="_Hlt500302901"/>
          </w:p>
          <w:bookmarkEnd w:id="20"/>
          <w:bookmarkEnd w:id="21"/>
          <w:p>
            <w:pPr>
              <w:pStyle w:val="66"/>
              <w:keepNext w:val="0"/>
              <w:keepLines w:val="0"/>
              <w:pageBreakBefore w:val="0"/>
              <w:widowControl w:val="0"/>
              <w:numPr>
                <w:ilvl w:val="0"/>
                <w:numId w:val="4"/>
              </w:numPr>
              <w:kinsoku/>
              <w:wordWrap/>
              <w:overflowPunct/>
              <w:topLinePunct w:val="0"/>
              <w:bidi w:val="0"/>
              <w:spacing w:line="360" w:lineRule="auto"/>
              <w:ind w:left="0"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噪声的治理措施</w:t>
            </w:r>
          </w:p>
          <w:p>
            <w:pPr>
              <w:keepNext w:val="0"/>
              <w:keepLines w:val="0"/>
              <w:pageBreakBefore w:val="0"/>
              <w:widowControl w:val="0"/>
              <w:kinsoku/>
              <w:wordWrap/>
              <w:overflowPunct/>
              <w:topLinePunct w:val="0"/>
              <w:bidi w:val="0"/>
              <w:spacing w:line="360" w:lineRule="auto"/>
              <w:ind w:left="0"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施工产生的噪声主要</w:t>
            </w:r>
            <w:r>
              <w:rPr>
                <w:rFonts w:hint="eastAsia" w:cs="Times New Roman"/>
                <w:color w:val="auto"/>
                <w:sz w:val="24"/>
                <w:highlight w:val="none"/>
                <w:lang w:eastAsia="zh-CN"/>
              </w:rPr>
              <w:t>来自</w:t>
            </w:r>
            <w:r>
              <w:rPr>
                <w:rFonts w:hint="default" w:ascii="Times New Roman" w:hAnsi="Times New Roman" w:eastAsia="宋体" w:cs="Times New Roman"/>
                <w:color w:val="auto"/>
                <w:sz w:val="24"/>
                <w:highlight w:val="none"/>
              </w:rPr>
              <w:t>车辆</w:t>
            </w:r>
            <w:r>
              <w:rPr>
                <w:rFonts w:hint="eastAsia" w:cs="Times New Roman"/>
                <w:color w:val="auto"/>
                <w:sz w:val="24"/>
                <w:highlight w:val="none"/>
                <w:lang w:eastAsia="zh-CN"/>
              </w:rPr>
              <w:t>运输</w:t>
            </w:r>
            <w:r>
              <w:rPr>
                <w:rFonts w:hint="default" w:ascii="Times New Roman" w:hAnsi="Times New Roman" w:eastAsia="宋体" w:cs="Times New Roman"/>
                <w:color w:val="auto"/>
                <w:sz w:val="24"/>
                <w:highlight w:val="none"/>
              </w:rPr>
              <w:t>、装卸机。施工机械持续时间</w:t>
            </w:r>
            <w:r>
              <w:rPr>
                <w:rFonts w:hint="eastAsia" w:cs="Times New Roman"/>
                <w:color w:val="auto"/>
                <w:sz w:val="24"/>
                <w:highlight w:val="none"/>
                <w:lang w:eastAsia="zh-CN"/>
              </w:rPr>
              <w:t>短</w:t>
            </w:r>
            <w:r>
              <w:rPr>
                <w:rFonts w:hint="default" w:ascii="Times New Roman" w:hAnsi="Times New Roman" w:eastAsia="宋体" w:cs="Times New Roman"/>
                <w:color w:val="auto"/>
                <w:sz w:val="24"/>
                <w:highlight w:val="none"/>
              </w:rPr>
              <w:t>，是主要的噪声源。</w:t>
            </w:r>
            <w:r>
              <w:rPr>
                <w:rFonts w:hint="eastAsia" w:cs="Times New Roman"/>
                <w:color w:val="auto"/>
                <w:sz w:val="24"/>
                <w:highlight w:val="none"/>
                <w:lang w:eastAsia="zh-CN"/>
              </w:rPr>
              <w:t>具体措施如下：</w:t>
            </w:r>
          </w:p>
          <w:p>
            <w:pPr>
              <w:keepNext w:val="0"/>
              <w:keepLines w:val="0"/>
              <w:pageBreakBefore w:val="0"/>
              <w:widowControl w:val="0"/>
              <w:kinsoku/>
              <w:wordWrap/>
              <w:overflowPunct/>
              <w:topLinePunct w:val="0"/>
              <w:bidi w:val="0"/>
              <w:spacing w:line="360" w:lineRule="auto"/>
              <w:ind w:left="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①合理安排施工时间：制定施工计划时，应尽可能避免大量高噪声设备同时施工。</w:t>
            </w:r>
          </w:p>
          <w:p>
            <w:pPr>
              <w:keepNext w:val="0"/>
              <w:keepLines w:val="0"/>
              <w:pageBreakBefore w:val="0"/>
              <w:widowControl w:val="0"/>
              <w:kinsoku/>
              <w:wordWrap/>
              <w:overflowPunct/>
              <w:topLinePunct w:val="0"/>
              <w:bidi w:val="0"/>
              <w:spacing w:line="360" w:lineRule="auto"/>
              <w:ind w:left="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②合理布局施工场地：避免在同一地点安装大量动力机械设备，避免局部声级过高。</w:t>
            </w:r>
          </w:p>
          <w:p>
            <w:pPr>
              <w:keepNext w:val="0"/>
              <w:keepLines w:val="0"/>
              <w:pageBreakBefore w:val="0"/>
              <w:widowControl w:val="0"/>
              <w:kinsoku/>
              <w:wordWrap/>
              <w:overflowPunct/>
              <w:topLinePunct w:val="0"/>
              <w:bidi w:val="0"/>
              <w:spacing w:line="360" w:lineRule="auto"/>
              <w:ind w:left="0" w:firstLine="480" w:firstLineChars="200"/>
              <w:textAlignment w:val="auto"/>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w:t>
            </w:r>
            <w:r>
              <w:rPr>
                <w:rFonts w:hint="eastAsia" w:ascii="Times New Roman" w:hAnsi="Times New Roman" w:eastAsia="宋体" w:cs="宋体"/>
                <w:color w:val="auto"/>
                <w:sz w:val="24"/>
                <w:highlight w:val="none"/>
                <w:lang w:val="en-US" w:eastAsia="zh-CN"/>
              </w:rPr>
              <w:t>夜间禁止施工</w:t>
            </w:r>
            <w:r>
              <w:rPr>
                <w:rFonts w:hint="eastAsia" w:ascii="Times New Roman" w:hAnsi="Times New Roman" w:eastAsia="宋体" w:cs="宋体"/>
                <w:color w:val="auto"/>
                <w:sz w:val="24"/>
                <w:highlight w:val="none"/>
                <w:lang w:eastAsia="zh-CN"/>
              </w:rPr>
              <w:t>。</w:t>
            </w:r>
          </w:p>
          <w:p>
            <w:pPr>
              <w:pStyle w:val="156"/>
              <w:keepNext w:val="0"/>
              <w:keepLines w:val="0"/>
              <w:pageBreakBefore w:val="0"/>
              <w:widowControl w:val="0"/>
              <w:kinsoku/>
              <w:wordWrap/>
              <w:overflowPunct/>
              <w:topLinePunct w:val="0"/>
              <w:bidi w:val="0"/>
              <w:spacing w:line="360" w:lineRule="auto"/>
              <w:ind w:left="0" w:firstLine="480" w:firstLineChars="200"/>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在采取上述措施后施工期噪声对周围环境影响较小</w:t>
            </w:r>
          </w:p>
          <w:p>
            <w:pPr>
              <w:pStyle w:val="66"/>
              <w:keepNext w:val="0"/>
              <w:keepLines w:val="0"/>
              <w:pageBreakBefore w:val="0"/>
              <w:widowControl w:val="0"/>
              <w:numPr>
                <w:ilvl w:val="0"/>
                <w:numId w:val="4"/>
              </w:numPr>
              <w:kinsoku/>
              <w:wordWrap/>
              <w:overflowPunct/>
              <w:topLinePunct w:val="0"/>
              <w:bidi w:val="0"/>
              <w:spacing w:line="360" w:lineRule="auto"/>
              <w:ind w:left="0"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固体废物的治理措施</w:t>
            </w:r>
          </w:p>
          <w:p>
            <w:pPr>
              <w:keepNext w:val="0"/>
              <w:keepLines w:val="0"/>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施工期产生固体废物主要是施工工人的生活垃圾。</w:t>
            </w:r>
          </w:p>
          <w:p>
            <w:pPr>
              <w:keepNext w:val="0"/>
              <w:keepLines w:val="0"/>
              <w:pageBreakBefore w:val="0"/>
              <w:widowControl w:val="0"/>
              <w:kinsoku/>
              <w:wordWrap/>
              <w:overflowPunct/>
              <w:topLinePunct w:val="0"/>
              <w:bidi w:val="0"/>
              <w:spacing w:line="360" w:lineRule="auto"/>
              <w:ind w:left="0" w:firstLine="480" w:firstLineChars="200"/>
              <w:textAlignment w:val="auto"/>
              <w:rPr>
                <w:rFonts w:hint="default" w:ascii="Times New Roman" w:hAnsi="Times New Roman" w:eastAsia="宋体" w:cs="Times New Roman"/>
                <w:color w:val="auto"/>
                <w:highlight w:val="none"/>
              </w:rPr>
            </w:pPr>
            <w:r>
              <w:rPr>
                <w:rFonts w:hint="eastAsia" w:cs="Times New Roman"/>
                <w:color w:val="auto"/>
                <w:sz w:val="24"/>
                <w:highlight w:val="none"/>
                <w:lang w:eastAsia="zh-CN"/>
              </w:rPr>
              <w:t>项目</w:t>
            </w:r>
            <w:r>
              <w:rPr>
                <w:rFonts w:hint="default" w:ascii="Times New Roman" w:hAnsi="Times New Roman" w:eastAsia="宋体" w:cs="Times New Roman"/>
                <w:color w:val="auto"/>
                <w:sz w:val="24"/>
                <w:highlight w:val="none"/>
              </w:rPr>
              <w:t>施工</w:t>
            </w:r>
            <w:r>
              <w:rPr>
                <w:rFonts w:hint="eastAsia" w:cs="Times New Roman"/>
                <w:color w:val="auto"/>
                <w:sz w:val="24"/>
                <w:highlight w:val="none"/>
                <w:lang w:eastAsia="zh-CN"/>
              </w:rPr>
              <w:t>期设备安装人员较少、周期较短。</w:t>
            </w:r>
            <w:r>
              <w:rPr>
                <w:rFonts w:hint="default" w:ascii="Times New Roman" w:hAnsi="Times New Roman" w:eastAsia="宋体" w:cs="Times New Roman"/>
                <w:color w:val="auto"/>
                <w:sz w:val="24"/>
                <w:highlight w:val="none"/>
              </w:rPr>
              <w:t>施工人员生活垃圾由施工单位分类收集后委托环卫部门清运处理。</w:t>
            </w:r>
          </w:p>
          <w:p>
            <w:pPr>
              <w:pStyle w:val="66"/>
              <w:ind w:firstLine="480"/>
              <w:rPr>
                <w:rFonts w:hint="default" w:ascii="Times New Roman" w:hAnsi="Times New Roman" w:eastAsia="宋体" w:cs="Times New Roman"/>
                <w:color w:val="auto"/>
                <w:highlight w:val="none"/>
              </w:rPr>
            </w:pPr>
          </w:p>
          <w:p>
            <w:pPr>
              <w:pStyle w:val="66"/>
              <w:ind w:firstLine="480"/>
              <w:rPr>
                <w:rFonts w:hint="default" w:ascii="Times New Roman" w:hAnsi="Times New Roman" w:eastAsia="宋体" w:cs="Times New Roman"/>
                <w:color w:val="auto"/>
                <w:highlight w:val="none"/>
              </w:rPr>
            </w:pPr>
          </w:p>
          <w:p>
            <w:pPr>
              <w:pStyle w:val="66"/>
              <w:ind w:firstLine="480"/>
              <w:rPr>
                <w:rFonts w:hint="default" w:ascii="Times New Roman" w:hAnsi="Times New Roman" w:eastAsia="宋体" w:cs="Times New Roman"/>
                <w:color w:val="auto"/>
                <w:highlight w:val="none"/>
              </w:rPr>
            </w:pPr>
          </w:p>
        </w:tc>
      </w:tr>
    </w:tbl>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br w:type="page"/>
      </w:r>
    </w:p>
    <w:tbl>
      <w:tblPr>
        <w:tblStyle w:val="30"/>
        <w:tblW w:w="53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0" w:hRule="atLeast"/>
          <w:jc w:val="center"/>
        </w:trPr>
        <w:tc>
          <w:tcPr>
            <w:tcW w:w="236" w:type="pct"/>
            <w:tcMar>
              <w:left w:w="28" w:type="dxa"/>
              <w:right w:w="28" w:type="dxa"/>
            </w:tcMar>
            <w:vAlign w:val="center"/>
          </w:tcPr>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运营</w:t>
            </w:r>
          </w:p>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期环</w:t>
            </w:r>
          </w:p>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境影</w:t>
            </w:r>
          </w:p>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响和</w:t>
            </w:r>
          </w:p>
          <w:p>
            <w:pPr>
              <w:pStyle w:val="67"/>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保护</w:t>
            </w:r>
          </w:p>
          <w:p>
            <w:pPr>
              <w:pStyle w:val="67"/>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rPr>
              <w:t>措施</w:t>
            </w:r>
          </w:p>
        </w:tc>
        <w:tc>
          <w:tcPr>
            <w:tcW w:w="4763" w:type="pct"/>
            <w:vAlign w:val="center"/>
          </w:tcPr>
          <w:p>
            <w:pPr>
              <w:pStyle w:val="66"/>
              <w:ind w:firstLine="0" w:firstLineChars="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二、运行期间的环境保护措施</w:t>
            </w:r>
          </w:p>
          <w:p>
            <w:pPr>
              <w:keepNext w:val="0"/>
              <w:keepLines w:val="0"/>
              <w:pageBreakBefore w:val="0"/>
              <w:widowControl w:val="0"/>
              <w:kinsoku/>
              <w:wordWrap/>
              <w:overflowPunct/>
              <w:topLinePunct w:val="0"/>
              <w:bidi w:val="0"/>
              <w:adjustRightInd w:val="0"/>
              <w:snapToGrid w:val="0"/>
              <w:spacing w:line="360" w:lineRule="auto"/>
              <w:ind w:firstLine="442" w:firstLineChars="200"/>
              <w:textAlignment w:val="auto"/>
              <w:rPr>
                <w:rFonts w:hint="default" w:ascii="Times New Roman" w:hAnsi="Times New Roman" w:eastAsia="宋体" w:cs="Times New Roman"/>
                <w:b/>
                <w:color w:val="auto"/>
                <w:spacing w:val="-10"/>
                <w:sz w:val="24"/>
                <w:highlight w:val="none"/>
              </w:rPr>
            </w:pPr>
            <w:bookmarkStart w:id="22" w:name="_Hlk536201500"/>
            <w:r>
              <w:rPr>
                <w:rFonts w:hint="default" w:ascii="Times New Roman" w:hAnsi="Times New Roman" w:eastAsia="宋体" w:cs="Times New Roman"/>
                <w:b/>
                <w:color w:val="auto"/>
                <w:spacing w:val="-10"/>
                <w:sz w:val="24"/>
                <w:highlight w:val="none"/>
              </w:rPr>
              <w:t>1.废气</w:t>
            </w:r>
          </w:p>
          <w:p>
            <w:pPr>
              <w:pStyle w:val="66"/>
              <w:keepNext w:val="0"/>
              <w:keepLines w:val="0"/>
              <w:pageBreakBefore w:val="0"/>
              <w:widowControl w:val="0"/>
              <w:kinsoku/>
              <w:wordWrap/>
              <w:overflowPunct/>
              <w:topLinePunct w:val="0"/>
              <w:bidi w:val="0"/>
              <w:adjustRightInd w:val="0"/>
              <w:snapToGrid w:val="0"/>
              <w:ind w:firstLine="482"/>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1.1产排污环节</w:t>
            </w:r>
          </w:p>
          <w:p>
            <w:pPr>
              <w:pStyle w:val="66"/>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项目运营期废气主要为</w:t>
            </w:r>
            <w:r>
              <w:rPr>
                <w:rFonts w:hint="eastAsia" w:cs="Times New Roman"/>
                <w:color w:val="auto"/>
                <w:highlight w:val="none"/>
                <w:lang w:eastAsia="zh-CN"/>
              </w:rPr>
              <w:t>设备运行时拉丝工序产生的无组织非甲烷总烃</w:t>
            </w:r>
            <w:r>
              <w:rPr>
                <w:rFonts w:hint="default" w:ascii="Times New Roman" w:hAnsi="Times New Roman" w:eastAsia="宋体" w:cs="Times New Roman"/>
                <w:color w:val="auto"/>
                <w:highlight w:val="none"/>
              </w:rPr>
              <w:t>。</w:t>
            </w:r>
          </w:p>
          <w:p>
            <w:pPr>
              <w:pStyle w:val="66"/>
              <w:keepNext w:val="0"/>
              <w:keepLines w:val="0"/>
              <w:pageBreakBefore w:val="0"/>
              <w:widowControl w:val="0"/>
              <w:kinsoku/>
              <w:wordWrap/>
              <w:overflowPunct/>
              <w:topLinePunct w:val="0"/>
              <w:bidi w:val="0"/>
              <w:adjustRightInd w:val="0"/>
              <w:snapToGrid w:val="0"/>
              <w:ind w:firstLine="482"/>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1.2废气产排及治理措施情况</w:t>
            </w:r>
          </w:p>
          <w:bookmarkEnd w:id="22"/>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ascii="Times New Roman" w:hAnsi="Times New Roman"/>
                <w:color w:val="auto"/>
                <w:sz w:val="24"/>
                <w:szCs w:val="24"/>
                <w:highlight w:val="none"/>
                <w:lang w:eastAsia="zh-CN"/>
              </w:rPr>
              <w:t>项目</w:t>
            </w:r>
            <w:r>
              <w:rPr>
                <w:rFonts w:hint="eastAsia"/>
                <w:color w:val="auto"/>
                <w:sz w:val="24"/>
                <w:szCs w:val="24"/>
                <w:highlight w:val="none"/>
                <w:lang w:val="en-US" w:eastAsia="zh-CN"/>
              </w:rPr>
              <w:t>拉丝工序加入拉丝油，会产生的非甲烷总烃，因产生量很小，</w:t>
            </w:r>
            <w:r>
              <w:rPr>
                <w:rFonts w:hint="eastAsia" w:ascii="Times New Roman" w:hAnsi="Times New Roman"/>
                <w:color w:val="auto"/>
                <w:sz w:val="24"/>
                <w:szCs w:val="24"/>
                <w:highlight w:val="none"/>
                <w:lang w:eastAsia="zh-CN"/>
              </w:rPr>
              <w:t>在生产车间内无组织排放。</w:t>
            </w:r>
            <w:r>
              <w:rPr>
                <w:rFonts w:hint="eastAsia" w:ascii="Times New Roman" w:hAnsi="Times New Roman"/>
                <w:color w:val="auto"/>
                <w:sz w:val="24"/>
                <w:szCs w:val="24"/>
                <w:highlight w:val="none"/>
                <w:lang w:val="en-US" w:eastAsia="zh-CN"/>
              </w:rPr>
              <w:t>项目有组织废气主要是在拉丝环节，会有少量挥发性有机物（以非甲烷总烃计）产生</w:t>
            </w:r>
            <w:r>
              <w:rPr>
                <w:rFonts w:hint="eastAsia" w:ascii="Times New Roman" w:hAnsi="Times New Roman"/>
                <w:color w:val="auto"/>
                <w:sz w:val="24"/>
                <w:szCs w:val="24"/>
                <w:highlight w:val="none"/>
                <w:lang w:eastAsia="zh-CN"/>
              </w:rPr>
              <w:t>，因拉丝油与切削液成分类似且作用一致，参考《排放源统计调查产排污核算方法和系数手册》中《机械行业系数手册》中“07机械加工”中机械加工工段使用切削液的产污系数为5.64kg/t原料，</w:t>
            </w:r>
            <w:r>
              <w:rPr>
                <w:rFonts w:hint="eastAsia"/>
                <w:color w:val="auto"/>
                <w:sz w:val="24"/>
                <w:szCs w:val="24"/>
                <w:highlight w:val="none"/>
                <w:lang w:val="en-US" w:eastAsia="zh-CN"/>
              </w:rPr>
              <w:t>年损耗2t/a，则非甲烷总烃产生量为11.28kg/a，产生速率为0.0042kg/h，以无组织形式排放</w:t>
            </w:r>
            <w:r>
              <w:rPr>
                <w:rFonts w:hint="eastAsia"/>
                <w:color w:val="auto"/>
                <w:sz w:val="24"/>
                <w:szCs w:val="24"/>
                <w:highlight w:val="none"/>
                <w:lang w:eastAsia="zh-CN"/>
              </w:rPr>
              <w:t>。</w:t>
            </w:r>
            <w:r>
              <w:rPr>
                <w:rFonts w:hint="eastAsia"/>
                <w:color w:val="auto"/>
                <w:sz w:val="24"/>
                <w:szCs w:val="24"/>
                <w:highlight w:val="none"/>
                <w:lang w:val="en-US" w:eastAsia="zh-CN"/>
              </w:rPr>
              <w:t>项目车间</w:t>
            </w:r>
            <w:r>
              <w:rPr>
                <w:rFonts w:hint="eastAsia" w:ascii="Times New Roman" w:hAnsi="Times New Roman"/>
                <w:color w:val="auto"/>
                <w:sz w:val="24"/>
                <w:szCs w:val="24"/>
                <w:highlight w:val="none"/>
                <w:lang w:eastAsia="zh-CN"/>
              </w:rPr>
              <w:t>设置排风扇，加强通风</w:t>
            </w:r>
            <w:r>
              <w:rPr>
                <w:rFonts w:hint="eastAsia"/>
                <w:color w:val="auto"/>
                <w:sz w:val="24"/>
                <w:szCs w:val="24"/>
                <w:highlight w:val="none"/>
                <w:lang w:eastAsia="zh-CN"/>
              </w:rPr>
              <w:t>，</w:t>
            </w:r>
            <w:r>
              <w:rPr>
                <w:rFonts w:hint="eastAsia" w:ascii="Times New Roman" w:hAnsi="Times New Roman"/>
                <w:color w:val="auto"/>
                <w:sz w:val="24"/>
                <w:szCs w:val="24"/>
                <w:highlight w:val="none"/>
                <w:lang w:eastAsia="zh-CN"/>
              </w:rPr>
              <w:t>厂界非甲烷总烃浓度可满足</w:t>
            </w:r>
            <w:r>
              <w:rPr>
                <w:rFonts w:hint="eastAsia" w:ascii="Times New Roman" w:hAnsi="Times New Roman"/>
                <w:color w:val="auto"/>
                <w:sz w:val="24"/>
                <w:szCs w:val="24"/>
                <w:highlight w:val="none"/>
                <w:lang w:val="en-US" w:eastAsia="zh-CN"/>
              </w:rPr>
              <w:t>《大气污染物综合排放标准》（GB16297-1996）表2无组织排放浓度限值要求</w:t>
            </w:r>
            <w:r>
              <w:rPr>
                <w:rFonts w:hint="eastAsia"/>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cs="Times New Roman"/>
                <w:color w:val="000000"/>
                <w:kern w:val="2"/>
                <w:sz w:val="24"/>
                <w:szCs w:val="24"/>
                <w:highlight w:val="none"/>
                <w:lang w:val="en-US" w:eastAsia="zh-CN" w:bidi="ar"/>
              </w:rPr>
              <w:t>项目</w:t>
            </w:r>
            <w:r>
              <w:rPr>
                <w:rFonts w:hint="default" w:ascii="Times New Roman" w:hAnsi="Times New Roman" w:eastAsia="宋体" w:cs="Times New Roman"/>
                <w:color w:val="000000"/>
                <w:kern w:val="2"/>
                <w:sz w:val="24"/>
                <w:szCs w:val="24"/>
                <w:highlight w:val="none"/>
                <w:lang w:val="en-US" w:eastAsia="zh-CN" w:bidi="ar"/>
              </w:rPr>
              <w:t>运营期间产生的非甲烷总烃及其治理措施见表</w:t>
            </w:r>
            <w:r>
              <w:rPr>
                <w:rFonts w:hint="eastAsia" w:ascii="Times New Roman" w:hAnsi="Times New Roman" w:eastAsia="宋体" w:cs="Times New Roman"/>
                <w:color w:val="000000"/>
                <w:kern w:val="2"/>
                <w:sz w:val="24"/>
                <w:szCs w:val="24"/>
                <w:highlight w:val="none"/>
                <w:lang w:val="en-US" w:eastAsia="zh-CN" w:bidi="ar"/>
              </w:rPr>
              <w:t>4-1</w:t>
            </w:r>
            <w:r>
              <w:rPr>
                <w:rFonts w:hint="default" w:ascii="Times New Roman" w:hAnsi="Times New Roman" w:eastAsia="宋体" w:cs="Times New Roman"/>
                <w:color w:val="000000"/>
                <w:kern w:val="2"/>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w:t>
            </w:r>
            <w:r>
              <w:rPr>
                <w:rFonts w:hint="eastAsia" w:ascii="Times New Roman" w:hAnsi="Times New Roman" w:eastAsia="宋体" w:cs="Times New Roman"/>
                <w:b/>
                <w:bCs/>
                <w:color w:val="000000"/>
                <w:sz w:val="21"/>
                <w:szCs w:val="21"/>
                <w:highlight w:val="none"/>
                <w:lang w:val="en-US" w:eastAsia="zh-CN"/>
              </w:rPr>
              <w:t>4-1</w:t>
            </w:r>
            <w:r>
              <w:rPr>
                <w:rFonts w:hint="default" w:ascii="Times New Roman" w:hAnsi="Times New Roman" w:eastAsia="宋体" w:cs="Times New Roman"/>
                <w:b/>
                <w:bCs/>
                <w:color w:val="000000"/>
                <w:sz w:val="21"/>
                <w:szCs w:val="21"/>
                <w:highlight w:val="none"/>
                <w:lang w:val="en-US" w:eastAsia="zh-CN"/>
              </w:rPr>
              <w:t xml:space="preserve">  运营期废气产排情况一览表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397"/>
              <w:gridCol w:w="1755"/>
              <w:gridCol w:w="1980"/>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tl2br w:val="nil"/>
                    <w:tr2bl w:val="nil"/>
                  </w:tcBorders>
                  <w:noWrap w:val="0"/>
                  <w:vAlign w:val="center"/>
                </w:tcPr>
                <w:p>
                  <w:pPr>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序号</w:t>
                  </w:r>
                </w:p>
              </w:tc>
              <w:tc>
                <w:tcPr>
                  <w:tcW w:w="1421" w:type="pct"/>
                  <w:tcBorders>
                    <w:tl2br w:val="nil"/>
                    <w:tr2bl w:val="nil"/>
                  </w:tcBorders>
                  <w:noWrap w:val="0"/>
                  <w:vAlign w:val="center"/>
                </w:tcPr>
                <w:p>
                  <w:pPr>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废气名称</w:t>
                  </w:r>
                </w:p>
              </w:tc>
              <w:tc>
                <w:tcPr>
                  <w:tcW w:w="1040" w:type="pct"/>
                  <w:tcBorders>
                    <w:tl2br w:val="nil"/>
                    <w:tr2bl w:val="nil"/>
                  </w:tcBorders>
                  <w:noWrap w:val="0"/>
                  <w:vAlign w:val="center"/>
                </w:tcPr>
                <w:p>
                  <w:pPr>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产生量</w:t>
                  </w:r>
                </w:p>
              </w:tc>
              <w:tc>
                <w:tcPr>
                  <w:tcW w:w="1174" w:type="pct"/>
                  <w:tcBorders>
                    <w:tl2br w:val="nil"/>
                    <w:tr2bl w:val="nil"/>
                  </w:tcBorders>
                  <w:noWrap w:val="0"/>
                  <w:vAlign w:val="center"/>
                </w:tcPr>
                <w:p>
                  <w:pPr>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环保措施</w:t>
                  </w:r>
                </w:p>
              </w:tc>
              <w:tc>
                <w:tcPr>
                  <w:tcW w:w="976" w:type="pct"/>
                  <w:tcBorders>
                    <w:tl2br w:val="nil"/>
                    <w:tr2bl w:val="nil"/>
                  </w:tcBorders>
                  <w:noWrap w:val="0"/>
                  <w:vAlign w:val="center"/>
                </w:tcPr>
                <w:p>
                  <w:pPr>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tl2br w:val="nil"/>
                    <w:tr2bl w:val="nil"/>
                  </w:tcBorders>
                  <w:noWrap w:val="0"/>
                  <w:vAlign w:val="center"/>
                </w:tcPr>
                <w:p>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w:t>
                  </w:r>
                </w:p>
              </w:tc>
              <w:tc>
                <w:tcPr>
                  <w:tcW w:w="1421" w:type="pct"/>
                  <w:tcBorders>
                    <w:tl2br w:val="nil"/>
                    <w:tr2bl w:val="nil"/>
                  </w:tcBorders>
                  <w:noWrap w:val="0"/>
                  <w:vAlign w:val="center"/>
                </w:tcPr>
                <w:p>
                  <w:pPr>
                    <w:jc w:val="center"/>
                    <w:rPr>
                      <w:rFonts w:hint="default" w:ascii="Times New Roman" w:hAnsi="Times New Roman" w:eastAsia="宋体" w:cs="Times New Roman"/>
                      <w:color w:val="000000"/>
                      <w:szCs w:val="21"/>
                      <w:highlight w:val="none"/>
                    </w:rPr>
                  </w:pPr>
                  <w:r>
                    <w:rPr>
                      <w:rFonts w:hint="eastAsia" w:ascii="Times New Roman" w:hAnsi="Times New Roman" w:eastAsia="宋体" w:cs="Times New Roman"/>
                      <w:color w:val="000000"/>
                      <w:szCs w:val="21"/>
                      <w:highlight w:val="none"/>
                      <w:lang w:val="en-US" w:eastAsia="zh-CN"/>
                    </w:rPr>
                    <w:t>拉丝工序</w:t>
                  </w:r>
                  <w:r>
                    <w:rPr>
                      <w:rFonts w:hint="default" w:ascii="Times New Roman" w:hAnsi="Times New Roman" w:eastAsia="宋体" w:cs="Times New Roman"/>
                      <w:color w:val="000000"/>
                      <w:szCs w:val="21"/>
                      <w:highlight w:val="none"/>
                    </w:rPr>
                    <w:t>非甲烷总烃</w:t>
                  </w:r>
                </w:p>
              </w:tc>
              <w:tc>
                <w:tcPr>
                  <w:tcW w:w="1040" w:type="pct"/>
                  <w:tcBorders>
                    <w:tl2br w:val="nil"/>
                    <w:tr2bl w:val="nil"/>
                  </w:tcBorders>
                  <w:noWrap w:val="0"/>
                  <w:vAlign w:val="center"/>
                </w:tcPr>
                <w:p>
                  <w:pPr>
                    <w:jc w:val="center"/>
                    <w:rPr>
                      <w:rFonts w:hint="default" w:ascii="Times New Roman" w:hAnsi="Times New Roman" w:eastAsia="宋体" w:cs="Times New Roman"/>
                      <w:color w:val="000000"/>
                      <w:szCs w:val="21"/>
                      <w:highlight w:val="none"/>
                    </w:rPr>
                  </w:pPr>
                  <w:r>
                    <w:rPr>
                      <w:rFonts w:hint="eastAsia" w:cs="Times New Roman"/>
                      <w:color w:val="000000"/>
                      <w:szCs w:val="21"/>
                      <w:highlight w:val="none"/>
                      <w:lang w:val="en-US" w:eastAsia="zh-CN"/>
                    </w:rPr>
                    <w:t>11.28kg</w:t>
                  </w:r>
                  <w:r>
                    <w:rPr>
                      <w:rFonts w:hint="eastAsia" w:ascii="Times New Roman" w:hAnsi="Times New Roman" w:eastAsia="宋体" w:cs="Times New Roman"/>
                      <w:color w:val="000000"/>
                      <w:szCs w:val="21"/>
                      <w:highlight w:val="none"/>
                      <w:lang w:val="en-US" w:eastAsia="zh-CN"/>
                    </w:rPr>
                    <w:t>/a</w:t>
                  </w:r>
                  <w:r>
                    <w:rPr>
                      <w:rFonts w:hint="default" w:ascii="Times New Roman" w:hAnsi="Times New Roman" w:eastAsia="宋体" w:cs="Times New Roman"/>
                      <w:color w:val="000000"/>
                      <w:szCs w:val="21"/>
                      <w:highlight w:val="none"/>
                    </w:rPr>
                    <w:t>（</w:t>
                  </w:r>
                  <w:r>
                    <w:rPr>
                      <w:rFonts w:hint="default" w:ascii="Times New Roman" w:hAnsi="Times New Roman" w:eastAsia="宋体" w:cs="Times New Roman"/>
                      <w:color w:val="000000"/>
                      <w:szCs w:val="21"/>
                      <w:highlight w:val="none"/>
                      <w:lang w:val="en-US" w:eastAsia="zh-CN"/>
                    </w:rPr>
                    <w:t>0.0</w:t>
                  </w:r>
                  <w:r>
                    <w:rPr>
                      <w:rFonts w:hint="eastAsia" w:cs="Times New Roman"/>
                      <w:color w:val="000000"/>
                      <w:szCs w:val="21"/>
                      <w:highlight w:val="none"/>
                      <w:lang w:val="en-US" w:eastAsia="zh-CN"/>
                    </w:rPr>
                    <w:t>042</w:t>
                  </w:r>
                  <w:r>
                    <w:rPr>
                      <w:rFonts w:hint="default" w:ascii="Times New Roman" w:hAnsi="Times New Roman" w:eastAsia="宋体" w:cs="Times New Roman"/>
                      <w:color w:val="000000"/>
                      <w:szCs w:val="21"/>
                      <w:highlight w:val="none"/>
                    </w:rPr>
                    <w:t>kg/h）</w:t>
                  </w:r>
                </w:p>
              </w:tc>
              <w:tc>
                <w:tcPr>
                  <w:tcW w:w="1174" w:type="pct"/>
                  <w:tcBorders>
                    <w:tl2br w:val="nil"/>
                    <w:tr2bl w:val="nil"/>
                  </w:tcBorders>
                  <w:noWrap w:val="0"/>
                  <w:vAlign w:val="center"/>
                </w:tcPr>
                <w:p>
                  <w:pPr>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设置排风扇，加强通风</w:t>
                  </w:r>
                </w:p>
              </w:tc>
              <w:tc>
                <w:tcPr>
                  <w:tcW w:w="976" w:type="pct"/>
                  <w:tcBorders>
                    <w:tl2br w:val="nil"/>
                    <w:tr2bl w:val="nil"/>
                  </w:tcBorders>
                  <w:noWrap w:val="0"/>
                  <w:vAlign w:val="center"/>
                </w:tcPr>
                <w:p>
                  <w:pPr>
                    <w:jc w:val="center"/>
                    <w:rPr>
                      <w:rFonts w:hint="eastAsia" w:ascii="Times New Roman" w:hAnsi="Times New Roman" w:eastAsia="宋体" w:cs="Times New Roman"/>
                      <w:color w:val="000000"/>
                      <w:szCs w:val="21"/>
                      <w:highlight w:val="none"/>
                      <w:lang w:eastAsia="zh-CN"/>
                    </w:rPr>
                  </w:pPr>
                  <w:r>
                    <w:rPr>
                      <w:rFonts w:hint="eastAsia" w:cs="Times New Roman"/>
                      <w:color w:val="000000"/>
                      <w:szCs w:val="21"/>
                      <w:highlight w:val="none"/>
                      <w:lang w:val="en-US" w:eastAsia="zh-CN"/>
                    </w:rPr>
                    <w:t>11.28kg</w:t>
                  </w:r>
                  <w:r>
                    <w:rPr>
                      <w:rFonts w:hint="eastAsia" w:ascii="Times New Roman" w:hAnsi="Times New Roman" w:eastAsia="宋体" w:cs="Times New Roman"/>
                      <w:color w:val="000000"/>
                      <w:szCs w:val="21"/>
                      <w:highlight w:val="none"/>
                      <w:lang w:val="en-US" w:eastAsia="zh-CN"/>
                    </w:rPr>
                    <w:t>/a</w:t>
                  </w:r>
                  <w:r>
                    <w:rPr>
                      <w:rFonts w:hint="default" w:ascii="Times New Roman" w:hAnsi="Times New Roman" w:eastAsia="宋体" w:cs="Times New Roman"/>
                      <w:color w:val="000000"/>
                      <w:szCs w:val="21"/>
                      <w:highlight w:val="none"/>
                    </w:rPr>
                    <w:t>（</w:t>
                  </w:r>
                  <w:r>
                    <w:rPr>
                      <w:rFonts w:hint="default" w:ascii="Times New Roman" w:hAnsi="Times New Roman" w:eastAsia="宋体" w:cs="Times New Roman"/>
                      <w:color w:val="000000"/>
                      <w:szCs w:val="21"/>
                      <w:highlight w:val="none"/>
                      <w:lang w:val="en-US" w:eastAsia="zh-CN"/>
                    </w:rPr>
                    <w:t>0.0</w:t>
                  </w:r>
                  <w:r>
                    <w:rPr>
                      <w:rFonts w:hint="eastAsia" w:cs="Times New Roman"/>
                      <w:color w:val="000000"/>
                      <w:szCs w:val="21"/>
                      <w:highlight w:val="none"/>
                      <w:lang w:val="en-US" w:eastAsia="zh-CN"/>
                    </w:rPr>
                    <w:t>042</w:t>
                  </w:r>
                  <w:r>
                    <w:rPr>
                      <w:rFonts w:hint="default" w:ascii="Times New Roman" w:hAnsi="Times New Roman" w:eastAsia="宋体" w:cs="Times New Roman"/>
                      <w:color w:val="000000"/>
                      <w:szCs w:val="21"/>
                      <w:highlight w:val="none"/>
                    </w:rPr>
                    <w:t>kg/h</w:t>
                  </w:r>
                  <w:r>
                    <w:rPr>
                      <w:rFonts w:hint="eastAsia" w:ascii="Times New Roman" w:hAnsi="Times New Roman" w:eastAsia="宋体" w:cs="Times New Roman"/>
                      <w:color w:val="000000"/>
                      <w:szCs w:val="21"/>
                      <w:highlight w:val="none"/>
                      <w:lang w:eastAsia="zh-CN"/>
                    </w:rPr>
                    <w:t>）</w:t>
                  </w:r>
                </w:p>
              </w:tc>
            </w:tr>
          </w:tbl>
          <w:p>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val="en-US" w:eastAsia="zh-CN"/>
              </w:rPr>
              <w:t>项目</w:t>
            </w:r>
            <w:r>
              <w:rPr>
                <w:rFonts w:hint="default" w:ascii="Times New Roman" w:hAnsi="Times New Roman" w:eastAsia="宋体" w:cs="Times New Roman"/>
                <w:color w:val="000000"/>
                <w:sz w:val="24"/>
                <w:highlight w:val="none"/>
              </w:rPr>
              <w:t>非甲烷总烃无组织排放满足《大气污染物综合排放标准》（GB16297-1996）表2新污染源大气污染物排放限值标准，即非甲烷总烃周界外浓度最高点4.0mg/m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p>
          <w:p>
            <w:pPr>
              <w:keepNext w:val="0"/>
              <w:keepLines w:val="0"/>
              <w:pageBreakBefore w:val="0"/>
              <w:widowControl w:val="0"/>
              <w:kinsoku/>
              <w:wordWrap/>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1.3监测计划</w:t>
            </w:r>
          </w:p>
          <w:p>
            <w:pPr>
              <w:pStyle w:val="68"/>
              <w:keepNext w:val="0"/>
              <w:keepLines w:val="0"/>
              <w:pageBreakBefore w:val="0"/>
              <w:widowControl w:val="0"/>
              <w:kinsoku/>
              <w:wordWrap/>
              <w:topLinePunct w:val="0"/>
              <w:bidi w:val="0"/>
              <w:adjustRightInd w:val="0"/>
              <w:snapToGrid w:val="0"/>
              <w:spacing w:before="0" w:beforeLines="0"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kern w:val="2"/>
                <w:sz w:val="24"/>
                <w:szCs w:val="24"/>
                <w:highlight w:val="none"/>
              </w:rPr>
              <w:t>根据《排污单位自行监测技术指南总则》（HJ819-2017）</w:t>
            </w:r>
            <w:r>
              <w:rPr>
                <w:rFonts w:hint="eastAsia" w:cs="Times New Roman"/>
                <w:b w:val="0"/>
                <w:color w:val="auto"/>
                <w:kern w:val="2"/>
                <w:sz w:val="24"/>
                <w:szCs w:val="24"/>
                <w:highlight w:val="none"/>
                <w:lang w:eastAsia="zh-CN"/>
              </w:rPr>
              <w:t>，项目</w:t>
            </w:r>
            <w:r>
              <w:rPr>
                <w:rFonts w:hint="default" w:ascii="Times New Roman" w:hAnsi="Times New Roman" w:eastAsia="宋体" w:cs="Times New Roman"/>
                <w:b w:val="0"/>
                <w:color w:val="auto"/>
                <w:kern w:val="2"/>
                <w:sz w:val="24"/>
                <w:szCs w:val="24"/>
                <w:highlight w:val="none"/>
              </w:rPr>
              <w:t>运营期环保监测计划见下表4-</w:t>
            </w:r>
            <w:r>
              <w:rPr>
                <w:rFonts w:hint="eastAsia" w:cs="Times New Roman"/>
                <w:b w:val="0"/>
                <w:color w:val="auto"/>
                <w:kern w:val="2"/>
                <w:sz w:val="24"/>
                <w:szCs w:val="24"/>
                <w:highlight w:val="none"/>
                <w:lang w:val="en-US" w:eastAsia="zh-CN"/>
              </w:rPr>
              <w:t>2</w:t>
            </w:r>
            <w:r>
              <w:rPr>
                <w:rFonts w:hint="default" w:ascii="Times New Roman" w:hAnsi="Times New Roman" w:eastAsia="宋体" w:cs="Times New Roman"/>
                <w:b w:val="0"/>
                <w:color w:val="auto"/>
                <w:kern w:val="2"/>
                <w:sz w:val="24"/>
                <w:szCs w:val="24"/>
                <w:highlight w:val="none"/>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 xml:space="preserve">2  </w:t>
            </w:r>
            <w:r>
              <w:rPr>
                <w:rFonts w:hint="default" w:ascii="Times New Roman" w:hAnsi="Times New Roman" w:eastAsia="宋体" w:cs="Times New Roman"/>
                <w:b/>
                <w:bCs/>
                <w:color w:val="auto"/>
                <w:kern w:val="2"/>
                <w:sz w:val="21"/>
                <w:szCs w:val="21"/>
                <w:highlight w:val="none"/>
                <w:lang w:val="en-US" w:eastAsia="zh-CN" w:bidi="ar-SA"/>
              </w:rPr>
              <w:t>运营期废气监测计划</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300"/>
              <w:gridCol w:w="1804"/>
              <w:gridCol w:w="1222"/>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tcBorders>
                    <w:tl2br w:val="nil"/>
                    <w:tr2bl w:val="nil"/>
                  </w:tcBorders>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污染源</w:t>
                  </w:r>
                </w:p>
              </w:tc>
              <w:tc>
                <w:tcPr>
                  <w:tcW w:w="771" w:type="pct"/>
                  <w:tcBorders>
                    <w:tl2br w:val="nil"/>
                    <w:tr2bl w:val="nil"/>
                  </w:tcBorders>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监测点位</w:t>
                  </w:r>
                </w:p>
              </w:tc>
              <w:tc>
                <w:tcPr>
                  <w:tcW w:w="1070" w:type="pct"/>
                  <w:tcBorders>
                    <w:tl2br w:val="nil"/>
                    <w:tr2bl w:val="nil"/>
                  </w:tcBorders>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监测因子</w:t>
                  </w:r>
                </w:p>
              </w:tc>
              <w:tc>
                <w:tcPr>
                  <w:tcW w:w="725" w:type="pct"/>
                  <w:tcBorders>
                    <w:tl2br w:val="nil"/>
                    <w:tr2bl w:val="nil"/>
                  </w:tcBorders>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1596" w:type="pct"/>
                  <w:tcBorders>
                    <w:tl2br w:val="nil"/>
                    <w:tr2bl w:val="nil"/>
                  </w:tcBorders>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36" w:type="pct"/>
                  <w:tcBorders>
                    <w:tl2br w:val="nil"/>
                    <w:tr2bl w:val="nil"/>
                  </w:tcBorders>
                  <w:vAlign w:val="center"/>
                </w:tcPr>
                <w:p>
                  <w:pPr>
                    <w:pStyle w:val="7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rPr>
                    <w:t>无组织</w:t>
                  </w:r>
                </w:p>
              </w:tc>
              <w:tc>
                <w:tcPr>
                  <w:tcW w:w="771" w:type="pct"/>
                  <w:tcBorders>
                    <w:tl2br w:val="nil"/>
                    <w:tr2bl w:val="nil"/>
                  </w:tcBorders>
                  <w:vAlign w:val="center"/>
                </w:tcPr>
                <w:p>
                  <w:pPr>
                    <w:pStyle w:val="7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rPr>
                    <w:t>厂界四周</w:t>
                  </w:r>
                </w:p>
              </w:tc>
              <w:tc>
                <w:tcPr>
                  <w:tcW w:w="1070" w:type="pct"/>
                  <w:tcBorders>
                    <w:tl2br w:val="nil"/>
                    <w:tr2bl w:val="nil"/>
                  </w:tcBorders>
                  <w:vAlign w:val="center"/>
                </w:tcPr>
                <w:p>
                  <w:pPr>
                    <w:pStyle w:val="76"/>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eastAsia="zh-CN"/>
                    </w:rPr>
                    <w:t>非甲烷总烃</w:t>
                  </w:r>
                </w:p>
              </w:tc>
              <w:tc>
                <w:tcPr>
                  <w:tcW w:w="725" w:type="pct"/>
                  <w:tcBorders>
                    <w:tl2br w:val="nil"/>
                    <w:tr2bl w:val="nil"/>
                  </w:tcBorders>
                  <w:vAlign w:val="center"/>
                </w:tcPr>
                <w:p>
                  <w:pPr>
                    <w:pStyle w:val="68"/>
                    <w:spacing w:before="0" w:beforeLines="0"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每年</w:t>
                  </w:r>
                  <w:r>
                    <w:rPr>
                      <w:rFonts w:hint="default" w:ascii="Times New Roman" w:hAnsi="Times New Roman" w:eastAsia="宋体" w:cs="Times New Roman"/>
                      <w:b w:val="0"/>
                      <w:bCs/>
                      <w:color w:val="auto"/>
                      <w:szCs w:val="18"/>
                      <w:highlight w:val="none"/>
                    </w:rPr>
                    <w:t>一次</w:t>
                  </w:r>
                </w:p>
              </w:tc>
              <w:tc>
                <w:tcPr>
                  <w:tcW w:w="1596"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18"/>
                      <w:highlight w:val="none"/>
                    </w:rPr>
                    <w:t>《大气污染物综合排放标准》（GB16297-1996）中无组织排放监控浓度限值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2.废污水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2.1产排污环节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项目运营期废水主要生活废水。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2.2废水产排及治理措施情况</w:t>
            </w:r>
          </w:p>
          <w:p>
            <w:pPr>
              <w:pStyle w:val="15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项目</w:t>
            </w:r>
            <w:r>
              <w:rPr>
                <w:rFonts w:hint="default" w:ascii="Times New Roman" w:hAnsi="Times New Roman" w:eastAsia="宋体" w:cs="Times New Roman"/>
                <w:color w:val="auto"/>
                <w:highlight w:val="none"/>
              </w:rPr>
              <w:t>工作人员</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eastAsia="zh-CN"/>
              </w:rPr>
              <w:t>人</w:t>
            </w:r>
            <w:r>
              <w:rPr>
                <w:rFonts w:hint="default" w:ascii="Times New Roman" w:hAnsi="Times New Roman" w:eastAsia="宋体" w:cs="Times New Roman"/>
                <w:color w:val="auto"/>
                <w:highlight w:val="none"/>
              </w:rPr>
              <w:t>，生活用水取50L/人·d，则生活用水量为0.</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m³/d（</w:t>
            </w:r>
            <w:r>
              <w:rPr>
                <w:rFonts w:hint="eastAsia" w:cs="Times New Roman"/>
                <w:color w:val="auto"/>
                <w:highlight w:val="none"/>
                <w:lang w:eastAsia="zh-CN"/>
              </w:rPr>
              <w:t>136</w:t>
            </w:r>
            <w:r>
              <w:rPr>
                <w:rFonts w:hint="default" w:ascii="Times New Roman" w:hAnsi="Times New Roman" w:eastAsia="宋体" w:cs="Times New Roman"/>
                <w:color w:val="auto"/>
                <w:highlight w:val="none"/>
              </w:rPr>
              <w:t>m³/a），</w:t>
            </w:r>
            <w:r>
              <w:rPr>
                <w:rFonts w:hint="default" w:ascii="Times New Roman" w:hAnsi="Times New Roman" w:eastAsia="宋体" w:cs="Times New Roman"/>
                <w:bCs/>
                <w:color w:val="auto"/>
                <w:highlight w:val="none"/>
              </w:rPr>
              <w:t>生活污水产生量按用水量的80%计，则生活污水产生为0.</w:t>
            </w:r>
            <w:r>
              <w:rPr>
                <w:rFonts w:hint="eastAsia" w:cs="Times New Roman"/>
                <w:bCs/>
                <w:color w:val="auto"/>
                <w:highlight w:val="none"/>
                <w:lang w:val="en-US" w:eastAsia="zh-CN"/>
              </w:rPr>
              <w:t>32</w:t>
            </w:r>
            <w:r>
              <w:rPr>
                <w:rFonts w:hint="default" w:ascii="Times New Roman" w:hAnsi="Times New Roman" w:eastAsia="宋体" w:cs="Times New Roman"/>
                <w:bCs/>
                <w:color w:val="auto"/>
                <w:highlight w:val="none"/>
              </w:rPr>
              <w:t>m³/d（</w:t>
            </w:r>
            <w:r>
              <w:rPr>
                <w:rFonts w:hint="eastAsia" w:cs="Times New Roman"/>
                <w:bCs/>
                <w:color w:val="auto"/>
                <w:highlight w:val="none"/>
                <w:lang w:eastAsia="zh-CN"/>
              </w:rPr>
              <w:t>108.8</w:t>
            </w:r>
            <w:r>
              <w:rPr>
                <w:rFonts w:hint="default" w:ascii="Times New Roman" w:hAnsi="Times New Roman" w:eastAsia="宋体" w:cs="Times New Roman"/>
                <w:bCs/>
                <w:color w:val="auto"/>
                <w:highlight w:val="none"/>
              </w:rPr>
              <w:t>m³/a）</w:t>
            </w:r>
            <w:r>
              <w:rPr>
                <w:rFonts w:hint="eastAsia" w:cs="Times New Roman"/>
                <w:bCs/>
                <w:color w:val="auto"/>
                <w:highlight w:val="none"/>
                <w:lang w:eastAsia="zh-CN"/>
              </w:rPr>
              <w:t>。</w:t>
            </w:r>
            <w:r>
              <w:rPr>
                <w:rFonts w:hint="default" w:ascii="Times New Roman" w:hAnsi="Times New Roman" w:eastAsia="宋体" w:cs="Times New Roman"/>
                <w:color w:val="auto"/>
                <w:highlight w:val="none"/>
              </w:rPr>
              <w:t>生活污水根据《社会区域类环境影响评价》（原国家环境保护总局职业资格培训管理办公室编制的培训教材）推荐的生活污水水质参数并结合项目特点，项目生活污水</w:t>
            </w:r>
            <w:r>
              <w:rPr>
                <w:rFonts w:hint="eastAsia" w:cs="Times New Roman"/>
                <w:color w:val="auto"/>
                <w:highlight w:val="none"/>
                <w:lang w:eastAsia="zh-CN"/>
              </w:rPr>
              <w:t>达到</w:t>
            </w:r>
            <w:r>
              <w:rPr>
                <w:rFonts w:hint="default" w:ascii="Times New Roman" w:hAnsi="Times New Roman" w:eastAsia="宋体" w:cs="Times New Roman"/>
                <w:color w:val="auto"/>
                <w:highlight w:val="none"/>
              </w:rPr>
              <w:t>《污水综合排放标准》（GB8978--1996）三级标准</w:t>
            </w:r>
            <w:r>
              <w:rPr>
                <w:rFonts w:hint="eastAsia" w:cs="Times New Roman"/>
                <w:color w:val="auto"/>
                <w:highlight w:val="none"/>
                <w:lang w:val="en-US" w:eastAsia="zh-CN"/>
              </w:rPr>
              <w:t>可以满足园区污水处理厂的接纳水质要求，</w:t>
            </w:r>
            <w:r>
              <w:rPr>
                <w:rFonts w:hint="eastAsia" w:ascii="Times New Roman" w:hAnsi="Times New Roman" w:eastAsia="宋体" w:cs="宋体"/>
                <w:bCs/>
                <w:color w:val="auto"/>
                <w:kern w:val="2"/>
                <w:sz w:val="24"/>
                <w:szCs w:val="24"/>
                <w:highlight w:val="none"/>
                <w:lang w:val="en-US" w:eastAsia="zh-CN" w:bidi="ar-SA"/>
              </w:rPr>
              <w:t>经园区污水管网，最终进入</w:t>
            </w:r>
            <w:r>
              <w:rPr>
                <w:rFonts w:hint="eastAsia" w:cs="宋体"/>
                <w:bCs/>
                <w:color w:val="auto"/>
                <w:kern w:val="2"/>
                <w:sz w:val="24"/>
                <w:szCs w:val="24"/>
                <w:highlight w:val="none"/>
                <w:lang w:val="en-US" w:eastAsia="zh-CN" w:bidi="ar-SA"/>
              </w:rPr>
              <w:t>园区污水</w:t>
            </w:r>
            <w:r>
              <w:rPr>
                <w:rFonts w:hint="eastAsia" w:ascii="Times New Roman" w:hAnsi="Times New Roman" w:eastAsia="宋体" w:cs="宋体"/>
                <w:bCs/>
                <w:color w:val="auto"/>
                <w:kern w:val="2"/>
                <w:sz w:val="24"/>
                <w:szCs w:val="24"/>
                <w:highlight w:val="none"/>
                <w:lang w:val="en-US" w:eastAsia="zh-CN" w:bidi="ar-SA"/>
              </w:rPr>
              <w:t>处理厂进行进一步处理</w:t>
            </w:r>
            <w:r>
              <w:rPr>
                <w:rFonts w:hint="default" w:ascii="Times New Roman" w:hAnsi="Times New Roman" w:eastAsia="宋体" w:cs="Times New Roman"/>
                <w:color w:val="auto"/>
                <w:highlight w:val="none"/>
              </w:rPr>
              <w:t>。</w:t>
            </w:r>
          </w:p>
          <w:p>
            <w:pPr>
              <w:pStyle w:val="15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则</w:t>
            </w:r>
            <w:r>
              <w:rPr>
                <w:rFonts w:hint="eastAsia" w:cs="Times New Roman"/>
                <w:color w:val="auto"/>
                <w:highlight w:val="none"/>
                <w:lang w:eastAsia="zh-CN"/>
              </w:rPr>
              <w:t>项目</w:t>
            </w:r>
            <w:r>
              <w:rPr>
                <w:rFonts w:hint="default" w:ascii="Times New Roman" w:hAnsi="Times New Roman" w:eastAsia="宋体" w:cs="Times New Roman"/>
                <w:color w:val="auto"/>
                <w:highlight w:val="none"/>
              </w:rPr>
              <w:t>工作人员生活污水排放情况见表4-</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 xml:space="preserve">3  </w:t>
            </w:r>
            <w:r>
              <w:rPr>
                <w:rFonts w:hint="default" w:ascii="Times New Roman" w:hAnsi="Times New Roman" w:eastAsia="宋体" w:cs="Times New Roman"/>
                <w:b/>
                <w:bCs/>
                <w:color w:val="auto"/>
                <w:kern w:val="2"/>
                <w:sz w:val="21"/>
                <w:szCs w:val="21"/>
                <w:highlight w:val="none"/>
                <w:lang w:val="en-US" w:eastAsia="zh-CN" w:bidi="ar-SA"/>
              </w:rPr>
              <w:t>生活污水及污染物排放量</w:t>
            </w:r>
          </w:p>
          <w:tbl>
            <w:tblPr>
              <w:tblStyle w:val="1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373"/>
              <w:gridCol w:w="1196"/>
              <w:gridCol w:w="1450"/>
              <w:gridCol w:w="1120"/>
              <w:gridCol w:w="112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生活用水量</w:t>
                  </w:r>
                </w:p>
              </w:tc>
              <w:tc>
                <w:tcPr>
                  <w:tcW w:w="814"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污水排放量</w:t>
                  </w:r>
                </w:p>
              </w:tc>
              <w:tc>
                <w:tcPr>
                  <w:tcW w:w="709"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860"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产生</w:t>
                  </w:r>
                  <w:r>
                    <w:rPr>
                      <w:rFonts w:hint="default" w:ascii="Times New Roman" w:hAnsi="Times New Roman" w:eastAsia="宋体" w:cs="Times New Roman"/>
                      <w:b/>
                      <w:bCs/>
                      <w:color w:val="auto"/>
                      <w:highlight w:val="none"/>
                    </w:rPr>
                    <w:t>浓度（mg/L）</w:t>
                  </w:r>
                </w:p>
              </w:tc>
              <w:tc>
                <w:tcPr>
                  <w:tcW w:w="664" w:type="pct"/>
                  <w:tcBorders>
                    <w:tl2br w:val="nil"/>
                    <w:tr2bl w:val="nil"/>
                  </w:tcBorders>
                  <w:vAlign w:val="center"/>
                </w:tcPr>
                <w:p>
                  <w:pPr>
                    <w:pStyle w:val="67"/>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产生</w:t>
                  </w:r>
                  <w:r>
                    <w:rPr>
                      <w:rFonts w:hint="default" w:ascii="Times New Roman" w:hAnsi="Times New Roman" w:eastAsia="宋体" w:cs="Times New Roman"/>
                      <w:b/>
                      <w:bCs/>
                      <w:color w:val="auto"/>
                      <w:highlight w:val="none"/>
                    </w:rPr>
                    <w:t>量（t/a）</w:t>
                  </w:r>
                </w:p>
              </w:tc>
              <w:tc>
                <w:tcPr>
                  <w:tcW w:w="664" w:type="pct"/>
                  <w:tcBorders>
                    <w:tl2br w:val="nil"/>
                    <w:tr2bl w:val="nil"/>
                  </w:tcBorders>
                  <w:vAlign w:val="center"/>
                </w:tcPr>
                <w:p>
                  <w:pPr>
                    <w:pStyle w:val="67"/>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highlight w:val="none"/>
                      <w:lang w:val="en-US" w:eastAsia="zh-CN"/>
                    </w:rPr>
                    <w:t>排放</w:t>
                  </w:r>
                  <w:r>
                    <w:rPr>
                      <w:rFonts w:hint="default" w:ascii="Times New Roman" w:hAnsi="Times New Roman" w:eastAsia="宋体" w:cs="Times New Roman"/>
                      <w:b/>
                      <w:bCs/>
                      <w:color w:val="auto"/>
                      <w:highlight w:val="none"/>
                    </w:rPr>
                    <w:t>浓度（mg/L）</w:t>
                  </w:r>
                </w:p>
              </w:tc>
              <w:tc>
                <w:tcPr>
                  <w:tcW w:w="664" w:type="pct"/>
                  <w:tcBorders>
                    <w:tl2br w:val="nil"/>
                    <w:tr2bl w:val="nil"/>
                  </w:tcBorders>
                  <w:vAlign w:val="center"/>
                </w:tcPr>
                <w:p>
                  <w:pPr>
                    <w:pStyle w:val="67"/>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highlight w:val="none"/>
                      <w:lang w:val="en-US" w:eastAsia="zh-CN"/>
                    </w:rPr>
                    <w:t>排放</w:t>
                  </w:r>
                  <w:r>
                    <w:rPr>
                      <w:rFonts w:hint="default" w:ascii="Times New Roman" w:hAnsi="Times New Roman" w:eastAsia="宋体" w:cs="Times New Roman"/>
                      <w:b/>
                      <w:bCs/>
                      <w:color w:val="auto"/>
                      <w:highlight w:val="none"/>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vMerge w:val="restart"/>
                  <w:tcBorders>
                    <w:tl2br w:val="nil"/>
                    <w:tr2bl w:val="nil"/>
                  </w:tcBorders>
                  <w:vAlign w:val="center"/>
                </w:tcPr>
                <w:p>
                  <w:pPr>
                    <w:pStyle w:val="76"/>
                    <w:rPr>
                      <w:rFonts w:hint="default" w:ascii="Times New Roman" w:hAnsi="Times New Roman" w:eastAsia="宋体" w:cs="Times New Roman"/>
                      <w:color w:val="auto"/>
                      <w:highlight w:val="none"/>
                    </w:rPr>
                  </w:pPr>
                  <w:r>
                    <w:rPr>
                      <w:rFonts w:hint="eastAsia" w:cs="Times New Roman"/>
                      <w:color w:val="auto"/>
                      <w:highlight w:val="none"/>
                      <w:lang w:eastAsia="zh-CN"/>
                    </w:rPr>
                    <w:t>136</w:t>
                  </w:r>
                  <w:r>
                    <w:rPr>
                      <w:rFonts w:hint="default" w:ascii="Times New Roman" w:hAnsi="Times New Roman" w:eastAsia="宋体" w:cs="Times New Roman"/>
                      <w:color w:val="auto"/>
                      <w:highlight w:val="none"/>
                    </w:rPr>
                    <w:t>t/a</w:t>
                  </w:r>
                </w:p>
              </w:tc>
              <w:tc>
                <w:tcPr>
                  <w:tcW w:w="814" w:type="pct"/>
                  <w:vMerge w:val="restart"/>
                  <w:tcBorders>
                    <w:tl2br w:val="nil"/>
                    <w:tr2bl w:val="nil"/>
                  </w:tcBorders>
                  <w:vAlign w:val="center"/>
                </w:tcPr>
                <w:p>
                  <w:pPr>
                    <w:pStyle w:val="76"/>
                    <w:rPr>
                      <w:rFonts w:hint="default" w:ascii="Times New Roman" w:hAnsi="Times New Roman" w:eastAsia="宋体" w:cs="Times New Roman"/>
                      <w:color w:val="auto"/>
                      <w:highlight w:val="none"/>
                    </w:rPr>
                  </w:pPr>
                  <w:r>
                    <w:rPr>
                      <w:rFonts w:hint="eastAsia" w:cs="Times New Roman"/>
                      <w:color w:val="auto"/>
                      <w:highlight w:val="none"/>
                      <w:lang w:eastAsia="zh-CN"/>
                    </w:rPr>
                    <w:t>108.8</w:t>
                  </w:r>
                  <w:r>
                    <w:rPr>
                      <w:rFonts w:hint="default" w:ascii="Times New Roman" w:hAnsi="Times New Roman" w:eastAsia="宋体" w:cs="Times New Roman"/>
                      <w:color w:val="auto"/>
                      <w:highlight w:val="none"/>
                    </w:rPr>
                    <w:t>t/a</w:t>
                  </w:r>
                </w:p>
              </w:tc>
              <w:tc>
                <w:tcPr>
                  <w:tcW w:w="709"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860"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350</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0.0</w:t>
                  </w:r>
                  <w:r>
                    <w:rPr>
                      <w:rFonts w:hint="eastAsia" w:cs="Times New Roman"/>
                      <w:color w:val="auto"/>
                      <w:highlight w:val="none"/>
                      <w:lang w:val="en-US" w:eastAsia="zh-CN"/>
                    </w:rPr>
                    <w:t>41</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335</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814"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709"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860"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0.0</w:t>
                  </w:r>
                  <w:r>
                    <w:rPr>
                      <w:rFonts w:hint="eastAsia" w:cs="Times New Roman"/>
                      <w:color w:val="auto"/>
                      <w:highlight w:val="none"/>
                      <w:lang w:val="en-US" w:eastAsia="zh-CN"/>
                    </w:rPr>
                    <w:t>235</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175</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1"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814"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709"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860"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0.0</w:t>
                  </w:r>
                  <w:r>
                    <w:rPr>
                      <w:rFonts w:hint="eastAsia" w:cs="Times New Roman"/>
                      <w:color w:val="auto"/>
                      <w:highlight w:val="none"/>
                      <w:lang w:val="en-US" w:eastAsia="zh-CN"/>
                    </w:rPr>
                    <w:t>35</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180</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1"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814" w:type="pct"/>
                  <w:vMerge w:val="continue"/>
                  <w:tcBorders>
                    <w:tl2br w:val="nil"/>
                    <w:tr2bl w:val="nil"/>
                  </w:tcBorders>
                  <w:vAlign w:val="center"/>
                </w:tcPr>
                <w:p>
                  <w:pPr>
                    <w:pStyle w:val="67"/>
                    <w:rPr>
                      <w:rFonts w:hint="default" w:ascii="Times New Roman" w:hAnsi="Times New Roman" w:eastAsia="宋体" w:cs="Times New Roman"/>
                      <w:color w:val="auto"/>
                      <w:highlight w:val="none"/>
                    </w:rPr>
                  </w:pPr>
                </w:p>
              </w:tc>
              <w:tc>
                <w:tcPr>
                  <w:tcW w:w="709"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860" w:type="pct"/>
                  <w:tcBorders>
                    <w:tl2br w:val="nil"/>
                    <w:tr2bl w:val="nil"/>
                  </w:tcBorders>
                  <w:vAlign w:val="center"/>
                </w:tcPr>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0.00</w:t>
                  </w:r>
                  <w:r>
                    <w:rPr>
                      <w:rFonts w:hint="eastAsia" w:cs="Times New Roman"/>
                      <w:color w:val="auto"/>
                      <w:highlight w:val="none"/>
                      <w:lang w:val="en-US" w:eastAsia="zh-CN"/>
                    </w:rPr>
                    <w:t>35</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664" w:type="pct"/>
                  <w:tcBorders>
                    <w:tl2br w:val="nil"/>
                    <w:tr2bl w:val="nil"/>
                  </w:tcBorders>
                  <w:vAlign w:val="bottom"/>
                </w:tcPr>
                <w:p>
                  <w:pPr>
                    <w:pStyle w:val="6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3</w:t>
                  </w:r>
                </w:p>
              </w:tc>
            </w:tr>
          </w:tbl>
          <w:p>
            <w:pPr>
              <w:pStyle w:val="156"/>
              <w:keepNext w:val="0"/>
              <w:keepLines w:val="0"/>
              <w:pageBreakBefore w:val="0"/>
              <w:widowControl w:val="0"/>
              <w:kinsoku/>
              <w:wordWrap/>
              <w:overflowPunct/>
              <w:topLinePunct w:val="0"/>
              <w:bidi w:val="0"/>
              <w:ind w:firstLine="480"/>
              <w:textAlignment w:val="auto"/>
              <w:rPr>
                <w:rFonts w:hint="default" w:ascii="Times New Roman" w:hAnsi="Times New Roman" w:eastAsia="宋体" w:cs="Times New Roman"/>
                <w:color w:val="auto"/>
                <w:sz w:val="24"/>
                <w:highlight w:val="none"/>
              </w:rPr>
            </w:pPr>
            <w:r>
              <w:rPr>
                <w:rFonts w:hint="eastAsia" w:cs="Times New Roman"/>
                <w:bCs/>
                <w:color w:val="auto"/>
                <w:highlight w:val="none"/>
                <w:lang w:eastAsia="zh-CN"/>
              </w:rPr>
              <w:t>依托现有化粪池</w:t>
            </w:r>
            <w:r>
              <w:rPr>
                <w:rFonts w:hint="eastAsia" w:ascii="Times New Roman" w:hAnsi="Times New Roman" w:eastAsia="宋体" w:cs="宋体"/>
                <w:bCs/>
                <w:color w:val="auto"/>
                <w:kern w:val="2"/>
                <w:sz w:val="24"/>
                <w:szCs w:val="24"/>
                <w:highlight w:val="none"/>
                <w:lang w:val="en-US" w:eastAsia="zh-CN" w:bidi="ar-SA"/>
              </w:rPr>
              <w:t>排入园区生活污水管网，最终进入</w:t>
            </w:r>
            <w:r>
              <w:rPr>
                <w:rFonts w:hint="eastAsia" w:cs="宋体"/>
                <w:bCs/>
                <w:color w:val="auto"/>
                <w:kern w:val="2"/>
                <w:sz w:val="24"/>
                <w:szCs w:val="24"/>
                <w:highlight w:val="none"/>
                <w:lang w:val="en-US" w:eastAsia="zh-CN" w:bidi="ar-SA"/>
              </w:rPr>
              <w:t>园区污水处理厂</w:t>
            </w:r>
            <w:r>
              <w:rPr>
                <w:rFonts w:hint="eastAsia" w:ascii="Times New Roman" w:hAnsi="Times New Roman" w:eastAsia="宋体" w:cs="宋体"/>
                <w:bCs/>
                <w:color w:val="auto"/>
                <w:kern w:val="2"/>
                <w:sz w:val="24"/>
                <w:szCs w:val="24"/>
                <w:highlight w:val="none"/>
                <w:lang w:val="en-US" w:eastAsia="zh-CN" w:bidi="ar-SA"/>
              </w:rPr>
              <w:t>进一步处理</w:t>
            </w:r>
            <w:r>
              <w:rPr>
                <w:rFonts w:hint="default" w:ascii="Times New Roman" w:hAnsi="Times New Roman" w:eastAsia="宋体" w:cs="Times New Roman"/>
                <w:bCs/>
                <w:color w:val="auto"/>
                <w:highlight w:val="none"/>
              </w:rPr>
              <w:t>，</w:t>
            </w:r>
            <w:r>
              <w:rPr>
                <w:rFonts w:hint="default" w:ascii="Times New Roman" w:hAnsi="Times New Roman" w:eastAsia="宋体" w:cs="Times New Roman"/>
                <w:color w:val="auto"/>
                <w:highlight w:val="none"/>
              </w:rPr>
              <w:t>对周围水环境影响很小。</w:t>
            </w:r>
          </w:p>
          <w:p>
            <w:pPr>
              <w:pStyle w:val="66"/>
              <w:keepNext w:val="0"/>
              <w:keepLines w:val="0"/>
              <w:pageBreakBefore w:val="0"/>
              <w:widowControl w:val="0"/>
              <w:kinsoku/>
              <w:wordWrap/>
              <w:overflowPunct/>
              <w:topLinePunct w:val="0"/>
              <w:bidi w:val="0"/>
              <w:ind w:firstLine="482"/>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2.3废水治理设施</w:t>
            </w:r>
          </w:p>
          <w:p>
            <w:pPr>
              <w:pStyle w:val="46"/>
              <w:keepNext w:val="0"/>
              <w:keepLines w:val="0"/>
              <w:pageBreakBefore w:val="0"/>
              <w:widowControl w:val="0"/>
              <w:kinsoku/>
              <w:wordWrap/>
              <w:overflowPunct/>
              <w:topLinePunct w:val="0"/>
              <w:bidi w:val="0"/>
              <w:spacing w:line="360" w:lineRule="auto"/>
              <w:ind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（1）化粪池处理</w:t>
            </w:r>
          </w:p>
          <w:p>
            <w:pPr>
              <w:pStyle w:val="46"/>
              <w:keepNext w:val="0"/>
              <w:keepLines w:val="0"/>
              <w:pageBreakBefore w:val="0"/>
              <w:widowControl w:val="0"/>
              <w:kinsoku/>
              <w:wordWrap/>
              <w:overflowPunct/>
              <w:topLinePunct w:val="0"/>
              <w:bidi w:val="0"/>
              <w:spacing w:line="360" w:lineRule="auto"/>
              <w:ind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eastAsia="zh-CN"/>
              </w:rPr>
              <w:t>项目依托现有</w:t>
            </w:r>
            <w:r>
              <w:rPr>
                <w:rFonts w:hint="default" w:ascii="Times New Roman" w:hAnsi="Times New Roman" w:eastAsia="宋体" w:cs="Times New Roman"/>
                <w:bCs/>
                <w:color w:val="auto"/>
                <w:kern w:val="44"/>
                <w:sz w:val="24"/>
                <w:szCs w:val="24"/>
                <w:highlight w:val="none"/>
              </w:rPr>
              <w:t>防渗</w:t>
            </w:r>
            <w:r>
              <w:rPr>
                <w:rFonts w:hint="default" w:ascii="Times New Roman" w:hAnsi="Times New Roman" w:eastAsia="宋体" w:cs="Times New Roman"/>
                <w:color w:val="auto"/>
                <w:kern w:val="0"/>
                <w:sz w:val="24"/>
                <w:szCs w:val="24"/>
                <w:highlight w:val="none"/>
              </w:rPr>
              <w:t>化粪池，</w:t>
            </w:r>
            <w:r>
              <w:rPr>
                <w:rFonts w:hint="eastAsia" w:ascii="Times New Roman" w:hAnsi="Times New Roman"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rPr>
              <w:t>污水在进入污水处理系统在</w:t>
            </w:r>
            <w:r>
              <w:rPr>
                <w:rFonts w:hint="default" w:ascii="Times New Roman" w:hAnsi="Times New Roman" w:eastAsia="宋体" w:cs="Times New Roman"/>
                <w:bCs/>
                <w:color w:val="auto"/>
                <w:kern w:val="44"/>
                <w:sz w:val="24"/>
                <w:szCs w:val="24"/>
                <w:highlight w:val="none"/>
              </w:rPr>
              <w:t>防渗</w:t>
            </w:r>
            <w:r>
              <w:rPr>
                <w:rFonts w:hint="default" w:ascii="Times New Roman" w:hAnsi="Times New Roman" w:eastAsia="宋体" w:cs="Times New Roman"/>
                <w:color w:val="auto"/>
                <w:kern w:val="0"/>
                <w:sz w:val="24"/>
                <w:szCs w:val="24"/>
                <w:highlight w:val="none"/>
              </w:rPr>
              <w:t>化粪池内进行腐化和沉淀</w:t>
            </w:r>
            <w:r>
              <w:rPr>
                <w:rFonts w:hint="default" w:ascii="Times New Roman" w:hAnsi="Times New Roman" w:eastAsia="宋体" w:cs="Times New Roman"/>
                <w:color w:val="auto"/>
                <w:kern w:val="0"/>
                <w:sz w:val="24"/>
                <w:szCs w:val="24"/>
                <w:highlight w:val="none"/>
                <w:lang w:val="en-US" w:eastAsia="zh-CN"/>
              </w:rPr>
              <w:t>后</w:t>
            </w:r>
            <w:r>
              <w:rPr>
                <w:rFonts w:hint="eastAsia" w:ascii="Times New Roman" w:hAnsi="Times New Roman" w:cs="Times New Roman"/>
                <w:color w:val="auto"/>
                <w:kern w:val="0"/>
                <w:sz w:val="24"/>
                <w:szCs w:val="24"/>
                <w:highlight w:val="none"/>
                <w:lang w:val="en-US" w:eastAsia="zh-CN"/>
              </w:rPr>
              <w:t>排入园区生活污水管网，最终进入园区污水处理厂</w:t>
            </w:r>
            <w:r>
              <w:rPr>
                <w:rFonts w:hint="default" w:ascii="Times New Roman" w:hAnsi="Times New Roman" w:eastAsia="宋体" w:cs="Times New Roman"/>
                <w:color w:val="auto"/>
                <w:kern w:val="0"/>
                <w:sz w:val="24"/>
                <w:szCs w:val="24"/>
                <w:highlight w:val="none"/>
                <w:lang w:val="en-US" w:eastAsia="zh-CN"/>
              </w:rPr>
              <w:t>处理</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numPr>
                <w:ilvl w:val="0"/>
                <w:numId w:val="0"/>
              </w:numPr>
              <w:kinsoku/>
              <w:wordWrap/>
              <w:overflowPunct/>
              <w:topLinePunct w:val="0"/>
              <w:bidi w:val="0"/>
              <w:spacing w:line="360" w:lineRule="auto"/>
              <w:ind w:firstLine="442" w:firstLineChars="200"/>
              <w:jc w:val="left"/>
              <w:textAlignment w:val="auto"/>
              <w:rPr>
                <w:rFonts w:hint="default" w:ascii="Times New Roman" w:hAnsi="Times New Roman" w:eastAsia="宋体" w:cs="Times New Roman"/>
                <w:b/>
                <w:color w:val="auto"/>
                <w:spacing w:val="-10"/>
                <w:sz w:val="24"/>
                <w:highlight w:val="none"/>
              </w:rPr>
            </w:pPr>
            <w:r>
              <w:rPr>
                <w:rFonts w:hint="default" w:ascii="Times New Roman" w:hAnsi="Times New Roman" w:eastAsia="宋体" w:cs="Times New Roman"/>
                <w:b/>
                <w:color w:val="auto"/>
                <w:spacing w:val="-10"/>
                <w:sz w:val="24"/>
                <w:highlight w:val="none"/>
                <w:lang w:val="en-US" w:eastAsia="zh-CN"/>
              </w:rPr>
              <w:t>3.</w:t>
            </w:r>
            <w:r>
              <w:rPr>
                <w:rFonts w:hint="default" w:ascii="Times New Roman" w:hAnsi="Times New Roman" w:eastAsia="宋体" w:cs="Times New Roman"/>
                <w:b/>
                <w:color w:val="auto"/>
                <w:spacing w:val="-10"/>
                <w:sz w:val="24"/>
                <w:highlight w:val="none"/>
              </w:rPr>
              <w:t>固体废物治理措施</w:t>
            </w:r>
          </w:p>
          <w:p>
            <w:pPr>
              <w:pStyle w:val="156"/>
              <w:keepNext w:val="0"/>
              <w:keepLines w:val="0"/>
              <w:pageBreakBefore w:val="0"/>
              <w:widowControl w:val="0"/>
              <w:kinsoku/>
              <w:wordWrap/>
              <w:overflowPunct/>
              <w:topLinePunct w:val="0"/>
              <w:bidi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本项目产生的固废主要为生活垃圾、</w:t>
            </w:r>
            <w:r>
              <w:rPr>
                <w:rFonts w:hint="eastAsia" w:cs="Times New Roman"/>
                <w:color w:val="auto"/>
                <w:highlight w:val="none"/>
                <w:lang w:eastAsia="zh-CN"/>
              </w:rPr>
              <w:t>一般工业固废</w:t>
            </w:r>
            <w:r>
              <w:rPr>
                <w:rFonts w:hint="default" w:ascii="Times New Roman" w:hAnsi="Times New Roman" w:eastAsia="宋体" w:cs="Times New Roman"/>
                <w:color w:val="auto"/>
                <w:highlight w:val="none"/>
              </w:rPr>
              <w:t>和</w:t>
            </w:r>
            <w:r>
              <w:rPr>
                <w:rFonts w:hint="eastAsia" w:cs="Times New Roman"/>
                <w:color w:val="auto"/>
                <w:highlight w:val="none"/>
                <w:lang w:eastAsia="zh-CN"/>
              </w:rPr>
              <w:t>危险废物</w:t>
            </w:r>
            <w:r>
              <w:rPr>
                <w:rFonts w:hint="default" w:ascii="Times New Roman" w:hAnsi="Times New Roman" w:eastAsia="宋体" w:cs="Times New Roman"/>
                <w:color w:val="auto"/>
                <w:highlight w:val="none"/>
              </w:rPr>
              <w:t>。</w:t>
            </w:r>
          </w:p>
          <w:p>
            <w:pPr>
              <w:pStyle w:val="156"/>
              <w:keepNext w:val="0"/>
              <w:keepLines w:val="0"/>
              <w:pageBreakBefore w:val="0"/>
              <w:widowControl w:val="0"/>
              <w:kinsoku/>
              <w:wordWrap/>
              <w:overflowPunct/>
              <w:topLinePunct w:val="0"/>
              <w:bidi w:val="0"/>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生活垃圾产生量按0.5kg/人·d计算，本项目生活垃圾产生量为</w:t>
            </w:r>
            <w:r>
              <w:rPr>
                <w:rFonts w:hint="eastAsia" w:cs="Times New Roman"/>
                <w:color w:val="auto"/>
                <w:highlight w:val="none"/>
                <w:lang w:eastAsia="zh-CN"/>
              </w:rPr>
              <w:t>1.36</w:t>
            </w:r>
            <w:r>
              <w:rPr>
                <w:rFonts w:hint="default" w:ascii="Times New Roman" w:hAnsi="Times New Roman" w:eastAsia="宋体" w:cs="Times New Roman"/>
                <w:color w:val="auto"/>
                <w:highlight w:val="none"/>
              </w:rPr>
              <w:t>t/a。项目设有垃圾收集箱，生活垃圾统一收集后由环卫部门清运。</w:t>
            </w:r>
          </w:p>
          <w:p>
            <w:pPr>
              <w:pStyle w:val="156"/>
              <w:keepNext w:val="0"/>
              <w:keepLines w:val="0"/>
              <w:pageBreakBefore w:val="0"/>
              <w:widowControl w:val="0"/>
              <w:kinsoku/>
              <w:wordWrap/>
              <w:overflowPunct/>
              <w:topLinePunct w:val="0"/>
              <w:bidi w:val="0"/>
              <w:ind w:firstLine="480"/>
              <w:textAlignment w:val="auto"/>
              <w:rPr>
                <w:rFonts w:hint="eastAsia" w:cs="Times New Roman"/>
                <w:color w:val="auto"/>
                <w:highlight w:val="none"/>
                <w:lang w:val="en-US" w:eastAsia="zh-CN"/>
              </w:rPr>
            </w:pPr>
            <w:r>
              <w:rPr>
                <w:rFonts w:hint="eastAsia"/>
                <w:color w:val="000000"/>
                <w:kern w:val="0"/>
                <w:szCs w:val="21"/>
                <w:highlight w:val="none"/>
                <w:lang w:val="en-US" w:eastAsia="zh-CN" w:bidi="ar"/>
              </w:rPr>
              <w:t>一般固废主要包括废铝绞线边角料和不合格品。其中废铝绞线边角料和不合格品8t/a，收集后交由资源回收公司处理</w:t>
            </w:r>
            <w:r>
              <w:rPr>
                <w:rFonts w:hint="eastAsia" w:cs="Times New Roman"/>
                <w:color w:val="auto"/>
                <w:highlight w:val="none"/>
                <w:lang w:val="en-US" w:eastAsia="zh-CN"/>
              </w:rPr>
              <w:t>。</w:t>
            </w:r>
          </w:p>
          <w:p>
            <w:pPr>
              <w:pStyle w:val="156"/>
              <w:keepNext w:val="0"/>
              <w:keepLines w:val="0"/>
              <w:pageBreakBefore w:val="0"/>
              <w:widowControl w:val="0"/>
              <w:kinsoku/>
              <w:wordWrap/>
              <w:overflowPunct/>
              <w:topLinePunct w:val="0"/>
              <w:bidi w:val="0"/>
              <w:ind w:firstLine="480"/>
              <w:textAlignment w:val="auto"/>
              <w:rPr>
                <w:rFonts w:hint="default" w:ascii="Times New Roman" w:hAnsi="Times New Roman" w:eastAsia="宋体" w:cs="Times New Roman"/>
                <w:color w:val="auto"/>
                <w:sz w:val="24"/>
                <w:highlight w:val="none"/>
                <w:lang w:val="en-US" w:eastAsia="zh-CN"/>
              </w:rPr>
            </w:pPr>
            <w:r>
              <w:rPr>
                <w:rFonts w:hint="eastAsia"/>
                <w:color w:val="000000"/>
                <w:kern w:val="0"/>
                <w:szCs w:val="21"/>
                <w:highlight w:val="none"/>
                <w:lang w:val="en-US" w:eastAsia="zh-CN" w:bidi="ar"/>
              </w:rPr>
              <w:t>危险废物主要为废拉丝油及油泥、废机油、废包装桶（废机油桶、废拉丝油桶）、废含油抹布，暂存危废暂存间，定期交由有相应危险废物处理资质单位进行处理</w:t>
            </w:r>
            <w:r>
              <w:rPr>
                <w:rFonts w:hint="default" w:ascii="Times New Roman" w:hAnsi="Times New Roman" w:eastAsia="宋体" w:cs="Times New Roman"/>
                <w:color w:val="auto"/>
                <w:highlight w:val="none"/>
              </w:rPr>
              <w:t>。</w:t>
            </w:r>
            <w:r>
              <w:rPr>
                <w:rFonts w:hint="eastAsia" w:cs="Times New Roman"/>
                <w:color w:val="auto"/>
                <w:sz w:val="24"/>
                <w:highlight w:val="none"/>
                <w:lang w:val="en-US" w:eastAsia="zh-CN"/>
              </w:rPr>
              <w:t>其中废拉丝油及油泥2t/a、废机油0.1t/a、废包装桶（废机油桶、废拉丝油桶）0.4t/a、废含油抹布0.01t/a。</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综上所述，本项目产生的固体废物均得到合理处置，采取上述措施后，不会产生二次污染，对环境影响很小。</w:t>
            </w:r>
          </w:p>
          <w:p>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4.</w:t>
            </w:r>
            <w:r>
              <w:rPr>
                <w:rFonts w:hint="default" w:ascii="Times New Roman" w:hAnsi="Times New Roman" w:eastAsia="宋体" w:cs="Times New Roman"/>
                <w:b/>
                <w:bCs/>
                <w:color w:val="auto"/>
                <w:sz w:val="24"/>
                <w:highlight w:val="none"/>
              </w:rPr>
              <w:t>噪声</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8"/>
                <w:highlight w:val="none"/>
                <w:lang w:val="en-US" w:eastAsia="zh-CN" w:bidi="ar-SA"/>
              </w:rPr>
            </w:pPr>
            <w:r>
              <w:rPr>
                <w:rFonts w:hint="default" w:ascii="Times New Roman" w:hAnsi="Times New Roman" w:eastAsia="宋体" w:cs="Times New Roman"/>
                <w:kern w:val="0"/>
                <w:sz w:val="24"/>
                <w:szCs w:val="28"/>
                <w:highlight w:val="none"/>
                <w:lang w:val="en-US" w:eastAsia="zh-CN" w:bidi="ar-SA"/>
              </w:rPr>
              <w:t>项目噪声源主要是车间生产设备运行时所产生，选用低噪声设备，进行基础减震、厂房隔声，合理布局噪声源。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项目噪声源主要为各机加工设备、风机等，噪声源强介于</w:t>
            </w:r>
            <w:r>
              <w:rPr>
                <w:rFonts w:hint="eastAsia" w:ascii="Times New Roman" w:hAnsi="Times New Roman" w:eastAsia="宋体" w:cs="Times New Roman"/>
                <w:color w:val="auto"/>
                <w:sz w:val="24"/>
                <w:lang w:val="en-US" w:eastAsia="zh-CN"/>
              </w:rPr>
              <w:t>70</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90</w:t>
            </w:r>
            <w:r>
              <w:rPr>
                <w:rFonts w:hint="default" w:ascii="Times New Roman" w:hAnsi="Times New Roman" w:eastAsia="宋体" w:cs="Times New Roman"/>
                <w:color w:val="auto"/>
                <w:sz w:val="24"/>
                <w:lang w:eastAsia="zh-CN"/>
              </w:rPr>
              <w:t>dB(A</w:t>
            </w:r>
            <w:r>
              <w:rPr>
                <w:rFonts w:hint="eastAsia" w:cs="Times New Roman"/>
                <w:color w:val="auto"/>
                <w:sz w:val="24"/>
                <w:lang w:eastAsia="zh-CN"/>
              </w:rPr>
              <w:t>）</w:t>
            </w:r>
            <w:r>
              <w:rPr>
                <w:rFonts w:hint="default" w:ascii="Times New Roman" w:hAnsi="Times New Roman" w:eastAsia="宋体" w:cs="Times New Roman"/>
                <w:color w:val="auto"/>
                <w:sz w:val="24"/>
                <w:lang w:eastAsia="zh-CN"/>
              </w:rPr>
              <w:t>之间。主要噪声源强详见下表。</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4-4</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项目</w:t>
            </w:r>
            <w:r>
              <w:rPr>
                <w:rFonts w:hint="default" w:ascii="Times New Roman" w:hAnsi="Times New Roman" w:eastAsia="宋体" w:cs="Times New Roman"/>
                <w:b/>
                <w:bCs/>
                <w:color w:val="auto"/>
                <w:kern w:val="2"/>
                <w:sz w:val="21"/>
                <w:szCs w:val="21"/>
                <w:highlight w:val="none"/>
                <w:lang w:val="en-US" w:eastAsia="zh-CN" w:bidi="ar-SA"/>
              </w:rPr>
              <w:t>噪声污染源</w:t>
            </w:r>
            <w:r>
              <w:rPr>
                <w:rFonts w:hint="eastAsia" w:ascii="Times New Roman" w:hAnsi="Times New Roman" w:eastAsia="宋体" w:cs="Times New Roman"/>
                <w:b/>
                <w:bCs/>
                <w:color w:val="auto"/>
                <w:kern w:val="2"/>
                <w:sz w:val="21"/>
                <w:szCs w:val="21"/>
                <w:highlight w:val="none"/>
                <w:lang w:val="en-US" w:eastAsia="zh-CN" w:bidi="ar-SA"/>
              </w:rPr>
              <w:t>调查清单（室内声源）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052"/>
              <w:gridCol w:w="766"/>
              <w:gridCol w:w="557"/>
              <w:gridCol w:w="749"/>
              <w:gridCol w:w="765"/>
              <w:gridCol w:w="541"/>
              <w:gridCol w:w="628"/>
              <w:gridCol w:w="746"/>
              <w:gridCol w:w="402"/>
              <w:gridCol w:w="746"/>
              <w:gridCol w:w="580"/>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序号</w:t>
                  </w:r>
                </w:p>
              </w:tc>
              <w:tc>
                <w:tcPr>
                  <w:tcW w:w="6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声源名称</w:t>
                  </w:r>
                </w:p>
              </w:tc>
              <w:tc>
                <w:tcPr>
                  <w:tcW w:w="4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sz w:val="15"/>
                      <w:szCs w:val="15"/>
                      <w:lang w:val="en-US" w:eastAsia="zh-CN"/>
                    </w:rPr>
                    <w:t>声压级</w:t>
                  </w:r>
                  <w:r>
                    <w:rPr>
                      <w:rFonts w:hint="default" w:ascii="Times New Roman" w:hAnsi="Times New Roman" w:eastAsia="宋体" w:cs="Times New Roman"/>
                      <w:b w:val="0"/>
                      <w:bCs w:val="0"/>
                      <w:color w:val="000000"/>
                      <w:sz w:val="15"/>
                      <w:szCs w:val="15"/>
                      <w:lang w:val="en-US" w:eastAsia="zh-CN"/>
                    </w:rPr>
                    <w:t>/</w:t>
                  </w:r>
                  <w:r>
                    <w:rPr>
                      <w:rFonts w:hint="eastAsia" w:ascii="Times New Roman" w:hAnsi="Times New Roman" w:eastAsia="宋体" w:cs="Times New Roman"/>
                      <w:b w:val="0"/>
                      <w:bCs w:val="0"/>
                      <w:color w:val="000000"/>
                      <w:sz w:val="15"/>
                      <w:szCs w:val="15"/>
                      <w:lang w:val="en-US" w:eastAsia="zh-CN"/>
                    </w:rPr>
                    <w:t>距声源距离（</w:t>
                  </w:r>
                  <w:r>
                    <w:rPr>
                      <w:rFonts w:hint="default" w:ascii="Times New Roman" w:hAnsi="Times New Roman" w:eastAsia="宋体" w:cs="Times New Roman"/>
                      <w:b w:val="0"/>
                      <w:bCs w:val="0"/>
                      <w:color w:val="000000"/>
                      <w:sz w:val="15"/>
                      <w:szCs w:val="15"/>
                      <w:lang w:val="en-US" w:eastAsia="zh-CN"/>
                    </w:rPr>
                    <w:t>dB(A)/m</w:t>
                  </w:r>
                  <w:r>
                    <w:rPr>
                      <w:rFonts w:hint="eastAsia" w:ascii="Times New Roman" w:hAnsi="Times New Roman" w:eastAsia="宋体" w:cs="Times New Roman"/>
                      <w:b w:val="0"/>
                      <w:bCs w:val="0"/>
                      <w:color w:val="000000"/>
                      <w:sz w:val="15"/>
                      <w:szCs w:val="15"/>
                      <w:lang w:val="en-US" w:eastAsia="zh-CN"/>
                    </w:rPr>
                    <w:t>）</w:t>
                  </w:r>
                </w:p>
              </w:tc>
              <w:tc>
                <w:tcPr>
                  <w:tcW w:w="3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lang w:val="en-US" w:eastAsia="zh-CN"/>
                    </w:rPr>
                  </w:pPr>
                  <w:r>
                    <w:rPr>
                      <w:rFonts w:hint="eastAsia" w:ascii="Times New Roman" w:hAnsi="Times New Roman" w:eastAsia="宋体" w:cs="Times New Roman"/>
                      <w:b w:val="0"/>
                      <w:bCs w:val="0"/>
                      <w:color w:val="000000"/>
                      <w:sz w:val="15"/>
                      <w:szCs w:val="15"/>
                      <w:lang w:val="en-US" w:eastAsia="zh-CN"/>
                    </w:rPr>
                    <w:t>声源控制措施</w:t>
                  </w:r>
                </w:p>
              </w:tc>
              <w:tc>
                <w:tcPr>
                  <w:tcW w:w="1218" w:type="pct"/>
                  <w:gridSpan w:val="3"/>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sz w:val="15"/>
                      <w:szCs w:val="15"/>
                      <w:highlight w:val="none"/>
                      <w:vertAlign w:val="baseline"/>
                    </w:rPr>
                  </w:pPr>
                  <w:r>
                    <w:rPr>
                      <w:rFonts w:hint="default" w:ascii="Times New Roman" w:hAnsi="Times New Roman" w:cs="Times New Roman"/>
                      <w:b w:val="0"/>
                      <w:bCs w:val="0"/>
                      <w:color w:val="000000"/>
                      <w:sz w:val="15"/>
                      <w:szCs w:val="15"/>
                      <w:highlight w:val="none"/>
                    </w:rPr>
                    <w:t>空间相对位置/m</w:t>
                  </w:r>
                </w:p>
              </w:tc>
              <w:tc>
                <w:tcPr>
                  <w:tcW w:w="3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highlight w:val="none"/>
                      <w:vertAlign w:val="baseline"/>
                    </w:rPr>
                  </w:pPr>
                  <w:r>
                    <w:rPr>
                      <w:rFonts w:hint="default" w:ascii="Times New Roman" w:hAnsi="Times New Roman" w:cs="Times New Roman"/>
                      <w:b w:val="0"/>
                      <w:bCs w:val="0"/>
                      <w:color w:val="000000"/>
                      <w:sz w:val="15"/>
                      <w:szCs w:val="15"/>
                      <w:highlight w:val="none"/>
                    </w:rPr>
                    <w:t>距室内边界距离/m</w:t>
                  </w:r>
                </w:p>
              </w:tc>
              <w:tc>
                <w:tcPr>
                  <w:tcW w:w="4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highlight w:val="yellow"/>
                      <w:vertAlign w:val="baseline"/>
                    </w:rPr>
                  </w:pPr>
                  <w:r>
                    <w:rPr>
                      <w:rFonts w:hint="default" w:ascii="Times New Roman" w:hAnsi="Times New Roman" w:cs="Times New Roman"/>
                      <w:b w:val="0"/>
                      <w:bCs w:val="0"/>
                      <w:color w:val="000000"/>
                      <w:sz w:val="15"/>
                      <w:szCs w:val="15"/>
                      <w:highlight w:val="none"/>
                    </w:rPr>
                    <w:t>室内边界声级/dB(A)</w:t>
                  </w:r>
                </w:p>
              </w:tc>
              <w:tc>
                <w:tcPr>
                  <w:tcW w:w="2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运行时段</w:t>
                  </w:r>
                </w:p>
              </w:tc>
              <w:tc>
                <w:tcPr>
                  <w:tcW w:w="4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建筑物插入损失/dB(A)</w:t>
                  </w:r>
                </w:p>
              </w:tc>
              <w:tc>
                <w:tcPr>
                  <w:tcW w:w="6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9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62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54"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330"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highlight w:val="none"/>
                      <w:lang w:val="en-US" w:eastAsia="zh-CN" w:bidi="ar-SA"/>
                    </w:rPr>
                  </w:pPr>
                  <w:r>
                    <w:rPr>
                      <w:rFonts w:hint="eastAsia" w:ascii="Times New Roman" w:hAnsi="Times New Roman" w:eastAsia="宋体" w:cs="Times New Roman"/>
                      <w:b w:val="0"/>
                      <w:bCs w:val="0"/>
                      <w:color w:val="000000"/>
                      <w:kern w:val="2"/>
                      <w:sz w:val="15"/>
                      <w:szCs w:val="15"/>
                      <w:highlight w:val="none"/>
                      <w:lang w:val="en-US" w:eastAsia="zh-CN" w:bidi="ar-SA"/>
                    </w:rPr>
                    <w:t>X</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highlight w:val="none"/>
                      <w:lang w:val="en-US" w:eastAsia="zh-CN" w:bidi="ar-SA"/>
                    </w:rPr>
                  </w:pPr>
                  <w:r>
                    <w:rPr>
                      <w:rFonts w:hint="eastAsia" w:ascii="Times New Roman" w:hAnsi="Times New Roman" w:eastAsia="宋体" w:cs="Times New Roman"/>
                      <w:b w:val="0"/>
                      <w:bCs w:val="0"/>
                      <w:color w:val="000000"/>
                      <w:kern w:val="2"/>
                      <w:sz w:val="15"/>
                      <w:szCs w:val="15"/>
                      <w:highlight w:val="none"/>
                      <w:lang w:val="en-US" w:eastAsia="zh-CN" w:bidi="ar-SA"/>
                    </w:rPr>
                    <w:t>Y</w:t>
                  </w:r>
                </w:p>
              </w:tc>
              <w:tc>
                <w:tcPr>
                  <w:tcW w:w="320"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highlight w:val="none"/>
                      <w:lang w:val="en-US" w:eastAsia="zh-CN" w:bidi="ar-SA"/>
                    </w:rPr>
                  </w:pPr>
                  <w:r>
                    <w:rPr>
                      <w:rFonts w:hint="eastAsia" w:ascii="Times New Roman" w:hAnsi="Times New Roman" w:eastAsia="宋体" w:cs="Times New Roman"/>
                      <w:b w:val="0"/>
                      <w:bCs w:val="0"/>
                      <w:color w:val="000000"/>
                      <w:kern w:val="2"/>
                      <w:sz w:val="15"/>
                      <w:szCs w:val="15"/>
                      <w:highlight w:val="none"/>
                      <w:lang w:val="en-US" w:eastAsia="zh-CN" w:bidi="ar-SA"/>
                    </w:rPr>
                    <w:t>Z</w:t>
                  </w:r>
                </w:p>
              </w:tc>
              <w:tc>
                <w:tcPr>
                  <w:tcW w:w="37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23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highlight w:val="none"/>
                    </w:rPr>
                    <w:t>声压级/dB(A)</w:t>
                  </w:r>
                </w:p>
              </w:tc>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c>
                <w:tcPr>
                  <w:tcW w:w="62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color w:val="auto"/>
                      <w:spacing w:val="7"/>
                      <w:kern w:val="2"/>
                      <w:sz w:val="15"/>
                      <w:szCs w:val="15"/>
                      <w:highlight w:val="none"/>
                      <w:lang w:val="en-US" w:eastAsia="zh-CN" w:bidi="ar-SA"/>
                    </w:rPr>
                    <w:t>60盘框绞机</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default" w:ascii="Times New Roman" w:hAnsi="Times New Roman" w:eastAsia="宋体" w:cs="Times New Roman"/>
                      <w:b w:val="0"/>
                      <w:bCs w:val="0"/>
                      <w:color w:val="000000"/>
                      <w:kern w:val="2"/>
                      <w:sz w:val="15"/>
                      <w:szCs w:val="15"/>
                      <w:lang w:val="en-US" w:eastAsia="zh-CN" w:bidi="ar-SA"/>
                    </w:rPr>
                    <w:t>85</w:t>
                  </w:r>
                  <w:r>
                    <w:rPr>
                      <w:rFonts w:hint="eastAsia" w:ascii="Times New Roman" w:hAnsi="Times New Roman" w:eastAsia="宋体" w:cs="Times New Roman"/>
                      <w:b w:val="0"/>
                      <w:bCs w:val="0"/>
                      <w:color w:val="000000"/>
                      <w:kern w:val="2"/>
                      <w:sz w:val="15"/>
                      <w:szCs w:val="15"/>
                      <w:lang w:val="en-US" w:eastAsia="zh-CN" w:bidi="ar-SA"/>
                    </w:rPr>
                    <w:t>/1</w:t>
                  </w:r>
                </w:p>
              </w:tc>
              <w:tc>
                <w:tcPr>
                  <w:tcW w:w="33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00"/>
                      <w:kern w:val="2"/>
                      <w:sz w:val="15"/>
                      <w:szCs w:val="15"/>
                      <w:lang w:val="en-US" w:eastAsia="zh-CN" w:bidi="ar-SA"/>
                    </w:rPr>
                  </w:pPr>
                  <w:r>
                    <w:rPr>
                      <w:rFonts w:hint="default" w:ascii="Times New Roman" w:hAnsi="Times New Roman" w:eastAsia="宋体" w:cs="Times New Roman"/>
                      <w:b w:val="0"/>
                      <w:bCs w:val="0"/>
                      <w:color w:val="000000"/>
                      <w:spacing w:val="-8"/>
                      <w:sz w:val="15"/>
                      <w:szCs w:val="15"/>
                    </w:rPr>
                    <w:t>选</w:t>
                  </w:r>
                  <w:r>
                    <w:rPr>
                      <w:rFonts w:hint="default" w:ascii="Times New Roman" w:hAnsi="Times New Roman" w:eastAsia="宋体" w:cs="Times New Roman"/>
                      <w:b w:val="0"/>
                      <w:bCs w:val="0"/>
                      <w:color w:val="000000"/>
                      <w:spacing w:val="-5"/>
                      <w:sz w:val="15"/>
                      <w:szCs w:val="15"/>
                    </w:rPr>
                    <w:t>用</w:t>
                  </w:r>
                  <w:r>
                    <w:rPr>
                      <w:rFonts w:hint="default" w:ascii="Times New Roman" w:hAnsi="Times New Roman" w:eastAsia="宋体" w:cs="Times New Roman"/>
                      <w:b w:val="0"/>
                      <w:bCs w:val="0"/>
                      <w:color w:val="000000"/>
                      <w:spacing w:val="-4"/>
                      <w:sz w:val="15"/>
                      <w:szCs w:val="15"/>
                    </w:rPr>
                    <w:t>低噪声设备，基础减振和</w:t>
                  </w:r>
                  <w:r>
                    <w:rPr>
                      <w:rFonts w:hint="default" w:ascii="Times New Roman" w:hAnsi="Times New Roman" w:eastAsia="宋体" w:cs="Times New Roman"/>
                      <w:b w:val="0"/>
                      <w:bCs w:val="0"/>
                      <w:color w:val="000000"/>
                      <w:spacing w:val="-3"/>
                      <w:sz w:val="15"/>
                      <w:szCs w:val="15"/>
                    </w:rPr>
                    <w:t>厂</w:t>
                  </w:r>
                  <w:r>
                    <w:rPr>
                      <w:rFonts w:hint="default" w:ascii="Times New Roman" w:hAnsi="Times New Roman" w:eastAsia="宋体" w:cs="Times New Roman"/>
                      <w:b w:val="0"/>
                      <w:bCs w:val="0"/>
                      <w:color w:val="000000"/>
                      <w:spacing w:val="-2"/>
                      <w:sz w:val="15"/>
                      <w:szCs w:val="15"/>
                    </w:rPr>
                    <w:t>房隔声</w:t>
                  </w: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71.25</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-93.53</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1.2</w:t>
                  </w:r>
                </w:p>
              </w:tc>
              <w:tc>
                <w:tcPr>
                  <w:tcW w:w="372"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10.2</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sz w:val="15"/>
                      <w:szCs w:val="15"/>
                      <w:lang w:val="en-US" w:eastAsia="zh-CN"/>
                    </w:rPr>
                    <w:t>58.8</w:t>
                  </w:r>
                </w:p>
              </w:tc>
              <w:tc>
                <w:tcPr>
                  <w:tcW w:w="238"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昼间</w:t>
                  </w:r>
                </w:p>
              </w:tc>
              <w:tc>
                <w:tcPr>
                  <w:tcW w:w="442"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20</w:t>
                  </w: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sz w:val="15"/>
                      <w:szCs w:val="15"/>
                      <w:lang w:val="en-US" w:eastAsia="zh-CN"/>
                    </w:rPr>
                    <w:t>32.8</w:t>
                  </w:r>
                </w:p>
              </w:tc>
              <w:tc>
                <w:tcPr>
                  <w:tcW w:w="336"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95"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w:t>
                  </w:r>
                </w:p>
              </w:tc>
              <w:tc>
                <w:tcPr>
                  <w:tcW w:w="62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color w:val="auto"/>
                      <w:spacing w:val="7"/>
                      <w:kern w:val="2"/>
                      <w:sz w:val="15"/>
                      <w:szCs w:val="15"/>
                      <w:highlight w:val="none"/>
                      <w:lang w:val="en-US" w:eastAsia="zh-CN" w:bidi="ar-SA"/>
                    </w:rPr>
                    <w:t>54盘框绞机</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default" w:ascii="Times New Roman" w:hAnsi="Times New Roman" w:cs="Times New Roman"/>
                      <w:b w:val="0"/>
                      <w:bCs w:val="0"/>
                      <w:color w:val="000000"/>
                      <w:sz w:val="15"/>
                      <w:szCs w:val="15"/>
                    </w:rPr>
                    <w:t>85</w:t>
                  </w:r>
                  <w:r>
                    <w:rPr>
                      <w:rFonts w:hint="eastAsia" w:ascii="Times New Roman" w:hAnsi="Times New Roman" w:cs="Times New Roman"/>
                      <w:b w:val="0"/>
                      <w:bCs w:val="0"/>
                      <w:color w:val="000000"/>
                      <w:sz w:val="15"/>
                      <w:szCs w:val="15"/>
                      <w:lang w:val="en-US" w:eastAsia="zh-CN"/>
                    </w:rPr>
                    <w:t>/1</w:t>
                  </w:r>
                </w:p>
              </w:tc>
              <w:tc>
                <w:tcPr>
                  <w:tcW w:w="3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cs="Times New Roman"/>
                      <w:b w:val="0"/>
                      <w:bCs w:val="0"/>
                      <w:color w:val="000000"/>
                      <w:sz w:val="15"/>
                      <w:szCs w:val="15"/>
                    </w:rPr>
                  </w:pP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90.31</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-71.52</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1.2</w:t>
                  </w:r>
                </w:p>
              </w:tc>
              <w:tc>
                <w:tcPr>
                  <w:tcW w:w="372"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15.3</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sz w:val="15"/>
                      <w:szCs w:val="15"/>
                      <w:lang w:val="en-US" w:eastAsia="zh-CN"/>
                    </w:rPr>
                    <w:t>49.4</w:t>
                  </w:r>
                </w:p>
              </w:tc>
              <w:tc>
                <w:tcPr>
                  <w:tcW w:w="23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20</w:t>
                  </w: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sz w:val="15"/>
                      <w:szCs w:val="15"/>
                      <w:lang w:val="en-US" w:eastAsia="zh-CN"/>
                    </w:rPr>
                    <w:t>23.4</w:t>
                  </w:r>
                </w:p>
              </w:tc>
              <w:tc>
                <w:tcPr>
                  <w:tcW w:w="336"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3</w:t>
                  </w:r>
                </w:p>
              </w:tc>
              <w:tc>
                <w:tcPr>
                  <w:tcW w:w="62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color w:val="auto"/>
                      <w:spacing w:val="7"/>
                      <w:kern w:val="2"/>
                      <w:sz w:val="15"/>
                      <w:szCs w:val="15"/>
                      <w:highlight w:val="none"/>
                      <w:lang w:val="en-US" w:eastAsia="zh-CN" w:bidi="ar-SA"/>
                    </w:rPr>
                    <w:t>36盘框绞机</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default" w:ascii="Times New Roman" w:hAnsi="Times New Roman" w:eastAsia="宋体" w:cs="Times New Roman"/>
                      <w:b w:val="0"/>
                      <w:bCs w:val="0"/>
                      <w:color w:val="000000"/>
                      <w:kern w:val="2"/>
                      <w:sz w:val="15"/>
                      <w:szCs w:val="15"/>
                      <w:lang w:val="en-US" w:eastAsia="zh-CN" w:bidi="ar-SA"/>
                    </w:rPr>
                    <w:t>85</w:t>
                  </w:r>
                  <w:r>
                    <w:rPr>
                      <w:rFonts w:hint="eastAsia" w:ascii="Times New Roman" w:hAnsi="Times New Roman" w:eastAsia="宋体" w:cs="Times New Roman"/>
                      <w:b w:val="0"/>
                      <w:bCs w:val="0"/>
                      <w:color w:val="000000"/>
                      <w:kern w:val="2"/>
                      <w:sz w:val="15"/>
                      <w:szCs w:val="15"/>
                      <w:lang w:val="en-US" w:eastAsia="zh-CN" w:bidi="ar-SA"/>
                    </w:rPr>
                    <w:t>/1</w:t>
                  </w:r>
                </w:p>
              </w:tc>
              <w:tc>
                <w:tcPr>
                  <w:tcW w:w="3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00"/>
                      <w:kern w:val="2"/>
                      <w:sz w:val="15"/>
                      <w:szCs w:val="15"/>
                      <w:lang w:val="en-US" w:eastAsia="zh-CN" w:bidi="ar-SA"/>
                    </w:rPr>
                  </w:pP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45.41</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-13.35</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1.2</w:t>
                  </w:r>
                </w:p>
              </w:tc>
              <w:tc>
                <w:tcPr>
                  <w:tcW w:w="372"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14.6</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val="0"/>
                      <w:bCs w:val="0"/>
                      <w:color w:val="000000"/>
                      <w:sz w:val="15"/>
                      <w:szCs w:val="15"/>
                      <w:lang w:val="en-US" w:eastAsia="zh-CN"/>
                    </w:rPr>
                  </w:pPr>
                  <w:r>
                    <w:rPr>
                      <w:rFonts w:hint="eastAsia" w:ascii="Times New Roman" w:hAnsi="Times New Roman" w:eastAsia="宋体" w:cs="Times New Roman"/>
                      <w:b w:val="0"/>
                      <w:bCs w:val="0"/>
                      <w:color w:val="000000"/>
                      <w:sz w:val="15"/>
                      <w:szCs w:val="15"/>
                      <w:lang w:val="en-US" w:eastAsia="zh-CN"/>
                    </w:rPr>
                    <w:t>45.6</w:t>
                  </w:r>
                </w:p>
              </w:tc>
              <w:tc>
                <w:tcPr>
                  <w:tcW w:w="23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20</w:t>
                  </w: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19.6</w:t>
                  </w:r>
                </w:p>
              </w:tc>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4</w:t>
                  </w:r>
                </w:p>
              </w:tc>
              <w:tc>
                <w:tcPr>
                  <w:tcW w:w="62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color w:val="auto"/>
                      <w:spacing w:val="7"/>
                      <w:kern w:val="2"/>
                      <w:sz w:val="15"/>
                      <w:szCs w:val="15"/>
                      <w:highlight w:val="none"/>
                      <w:lang w:val="en-US" w:eastAsia="zh-CN" w:bidi="ar-SA"/>
                    </w:rPr>
                    <w:t>拉丝机</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default" w:ascii="Times New Roman" w:hAnsi="Times New Roman" w:eastAsia="宋体" w:cs="Times New Roman"/>
                      <w:b w:val="0"/>
                      <w:bCs w:val="0"/>
                      <w:color w:val="000000"/>
                      <w:kern w:val="2"/>
                      <w:sz w:val="15"/>
                      <w:szCs w:val="15"/>
                      <w:lang w:val="en-US" w:eastAsia="zh-CN" w:bidi="ar-SA"/>
                    </w:rPr>
                    <w:t>85</w:t>
                  </w:r>
                  <w:r>
                    <w:rPr>
                      <w:rFonts w:hint="eastAsia" w:ascii="Times New Roman" w:hAnsi="Times New Roman" w:eastAsia="宋体" w:cs="Times New Roman"/>
                      <w:b w:val="0"/>
                      <w:bCs w:val="0"/>
                      <w:color w:val="000000"/>
                      <w:kern w:val="2"/>
                      <w:sz w:val="15"/>
                      <w:szCs w:val="15"/>
                      <w:lang w:val="en-US" w:eastAsia="zh-CN" w:bidi="ar-SA"/>
                    </w:rPr>
                    <w:t>/1</w:t>
                  </w:r>
                </w:p>
              </w:tc>
              <w:tc>
                <w:tcPr>
                  <w:tcW w:w="3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00"/>
                      <w:kern w:val="2"/>
                      <w:sz w:val="15"/>
                      <w:szCs w:val="15"/>
                      <w:lang w:val="en-US" w:eastAsia="zh-CN" w:bidi="ar-SA"/>
                    </w:rPr>
                  </w:pP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28.86</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-51.44</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1.2</w:t>
                  </w:r>
                </w:p>
              </w:tc>
              <w:tc>
                <w:tcPr>
                  <w:tcW w:w="372"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12.7</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sz w:val="15"/>
                      <w:szCs w:val="15"/>
                      <w:lang w:val="en-US" w:eastAsia="zh-CN"/>
                    </w:rPr>
                    <w:t>55.6</w:t>
                  </w:r>
                </w:p>
              </w:tc>
              <w:tc>
                <w:tcPr>
                  <w:tcW w:w="23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20</w:t>
                  </w: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sz w:val="15"/>
                      <w:szCs w:val="15"/>
                      <w:lang w:val="en-US" w:eastAsia="zh-CN"/>
                    </w:rPr>
                    <w:t>29.6</w:t>
                  </w:r>
                </w:p>
              </w:tc>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5</w:t>
                  </w:r>
                </w:p>
              </w:tc>
              <w:tc>
                <w:tcPr>
                  <w:tcW w:w="62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color w:val="auto"/>
                      <w:spacing w:val="7"/>
                      <w:kern w:val="2"/>
                      <w:sz w:val="15"/>
                      <w:szCs w:val="15"/>
                      <w:highlight w:val="none"/>
                      <w:lang w:val="en-US" w:eastAsia="zh-CN" w:bidi="ar-SA"/>
                    </w:rPr>
                    <w:t>并丝机</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default" w:ascii="Times New Roman" w:hAnsi="Times New Roman" w:eastAsia="宋体" w:cs="Times New Roman"/>
                      <w:b w:val="0"/>
                      <w:bCs w:val="0"/>
                      <w:color w:val="000000"/>
                      <w:kern w:val="2"/>
                      <w:sz w:val="15"/>
                      <w:szCs w:val="15"/>
                      <w:lang w:val="en-US" w:eastAsia="zh-CN" w:bidi="ar-SA"/>
                    </w:rPr>
                    <w:t>85</w:t>
                  </w:r>
                  <w:r>
                    <w:rPr>
                      <w:rFonts w:hint="eastAsia" w:ascii="Times New Roman" w:hAnsi="Times New Roman" w:eastAsia="宋体" w:cs="Times New Roman"/>
                      <w:b w:val="0"/>
                      <w:bCs w:val="0"/>
                      <w:color w:val="000000"/>
                      <w:kern w:val="2"/>
                      <w:sz w:val="15"/>
                      <w:szCs w:val="15"/>
                      <w:lang w:val="en-US" w:eastAsia="zh-CN" w:bidi="ar-SA"/>
                    </w:rPr>
                    <w:t>/1</w:t>
                  </w:r>
                </w:p>
              </w:tc>
              <w:tc>
                <w:tcPr>
                  <w:tcW w:w="3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00"/>
                      <w:kern w:val="2"/>
                      <w:sz w:val="15"/>
                      <w:szCs w:val="15"/>
                      <w:lang w:val="en-US" w:eastAsia="zh-CN" w:bidi="ar-SA"/>
                    </w:rPr>
                  </w:pPr>
                </w:p>
              </w:tc>
              <w:tc>
                <w:tcPr>
                  <w:tcW w:w="444"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63.13</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-47.89</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kern w:val="2"/>
                      <w:sz w:val="15"/>
                      <w:szCs w:val="15"/>
                      <w:lang w:val="en-US" w:eastAsia="zh-CN" w:bidi="ar-SA"/>
                    </w:rPr>
                    <w:t>1.2</w:t>
                  </w:r>
                </w:p>
              </w:tc>
              <w:tc>
                <w:tcPr>
                  <w:tcW w:w="372"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15.6</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sz w:val="15"/>
                      <w:szCs w:val="15"/>
                      <w:vertAlign w:val="baseline"/>
                    </w:rPr>
                  </w:pPr>
                  <w:r>
                    <w:rPr>
                      <w:rFonts w:hint="eastAsia" w:ascii="Times New Roman" w:hAnsi="Times New Roman" w:eastAsia="宋体" w:cs="Times New Roman"/>
                      <w:b w:val="0"/>
                      <w:bCs w:val="0"/>
                      <w:color w:val="000000"/>
                      <w:sz w:val="15"/>
                      <w:szCs w:val="15"/>
                      <w:lang w:val="en-US" w:eastAsia="zh-CN"/>
                    </w:rPr>
                    <w:t>66.0</w:t>
                  </w:r>
                </w:p>
              </w:tc>
              <w:tc>
                <w:tcPr>
                  <w:tcW w:w="23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spacing w:line="240" w:lineRule="auto"/>
                    <w:ind w:firstLine="0"/>
                    <w:jc w:val="center"/>
                    <w:rPr>
                      <w:rFonts w:hint="eastAsia" w:ascii="Times New Roman" w:hAnsi="Times New Roman" w:eastAsia="宋体" w:cs="Times New Roman"/>
                      <w:b w:val="0"/>
                      <w:bCs w:val="0"/>
                      <w:color w:val="000000"/>
                      <w:sz w:val="15"/>
                      <w:szCs w:val="15"/>
                      <w:vertAlign w:val="baseline"/>
                    </w:rPr>
                  </w:pPr>
                </w:p>
              </w:tc>
              <w:tc>
                <w:tcPr>
                  <w:tcW w:w="44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20</w:t>
                  </w:r>
                </w:p>
              </w:tc>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sz w:val="15"/>
                      <w:szCs w:val="15"/>
                      <w:lang w:val="en-US" w:eastAsia="zh-CN"/>
                    </w:rPr>
                    <w:t>40.0</w:t>
                  </w:r>
                </w:p>
              </w:tc>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val="0"/>
                      <w:bCs w:val="0"/>
                      <w:color w:val="000000"/>
                      <w:kern w:val="2"/>
                      <w:sz w:val="15"/>
                      <w:szCs w:val="15"/>
                      <w:lang w:val="en-US" w:eastAsia="zh-CN" w:bidi="ar-SA"/>
                    </w:rPr>
                  </w:pPr>
                  <w:r>
                    <w:rPr>
                      <w:rFonts w:hint="eastAsia" w:ascii="Times New Roman" w:hAnsi="Times New Roman" w:eastAsia="宋体" w:cs="Times New Roman"/>
                      <w:b w:val="0"/>
                      <w:bCs w:val="0"/>
                      <w:color w:val="000000"/>
                      <w:kern w:val="2"/>
                      <w:sz w:val="15"/>
                      <w:szCs w:val="15"/>
                      <w:lang w:val="en-US" w:eastAsia="zh-CN" w:bidi="ar-SA"/>
                    </w:rPr>
                    <w:t>1</w:t>
                  </w:r>
                </w:p>
              </w:tc>
            </w:tr>
          </w:tbl>
          <w:p>
            <w:pPr>
              <w:pStyle w:val="6"/>
              <w:spacing w:before="60" w:beforeLines="25" w:line="460" w:lineRule="exact"/>
              <w:ind w:firstLine="480"/>
              <w:rPr>
                <w:rFonts w:hint="eastAsia" w:ascii="Times New Roman" w:hAnsi="Times New Roman" w:eastAsia="宋体" w:cs="Times New Roman"/>
                <w:b/>
                <w:bCs w:val="0"/>
                <w:color w:val="000000"/>
                <w:sz w:val="24"/>
              </w:rPr>
            </w:pPr>
            <w:r>
              <w:rPr>
                <w:rFonts w:hint="eastAsia" w:ascii="Times New Roman" w:hAnsi="Times New Roman" w:eastAsia="宋体" w:cs="Times New Roman"/>
                <w:b/>
                <w:bCs w:val="0"/>
                <w:color w:val="000000"/>
                <w:sz w:val="21"/>
                <w:szCs w:val="21"/>
                <w:lang w:val="en-US" w:eastAsia="zh-CN"/>
              </w:rPr>
              <w:t>注：</w:t>
            </w:r>
            <w:r>
              <w:rPr>
                <w:rFonts w:hint="default" w:ascii="Times New Roman" w:hAnsi="Times New Roman" w:eastAsia="宋体" w:cs="Times New Roman"/>
                <w:b/>
                <w:bCs w:val="0"/>
                <w:color w:val="000000"/>
                <w:sz w:val="21"/>
                <w:szCs w:val="21"/>
                <w:lang w:val="en-US" w:eastAsia="zh-CN"/>
              </w:rPr>
              <w:t>表中坐标以厂界</w:t>
            </w:r>
            <w:r>
              <w:rPr>
                <w:rFonts w:hint="eastAsia" w:ascii="Times New Roman" w:hAnsi="Times New Roman" w:eastAsia="宋体" w:cs="Times New Roman"/>
                <w:b/>
                <w:bCs w:val="0"/>
                <w:color w:val="000000"/>
                <w:sz w:val="21"/>
                <w:szCs w:val="21"/>
                <w:lang w:val="en-US" w:eastAsia="zh-CN"/>
              </w:rPr>
              <w:t>西南角</w:t>
            </w:r>
            <w:r>
              <w:rPr>
                <w:rFonts w:hint="default" w:ascii="Times New Roman" w:hAnsi="Times New Roman" w:eastAsia="宋体" w:cs="Times New Roman"/>
                <w:b/>
                <w:bCs w:val="0"/>
                <w:color w:val="000000"/>
                <w:sz w:val="21"/>
                <w:szCs w:val="21"/>
                <w:lang w:val="en-US" w:eastAsia="zh-CN"/>
              </w:rPr>
              <w:t>为坐标原点，正东向为X轴正方向，正北向为Y轴正方向</w:t>
            </w:r>
            <w:r>
              <w:rPr>
                <w:rFonts w:hint="eastAsia" w:ascii="Times New Roman" w:hAnsi="Times New Roman" w:eastAsia="宋体" w:cs="Times New Roman"/>
                <w:b/>
                <w:bCs w:val="0"/>
                <w:color w:val="000000"/>
                <w:sz w:val="21"/>
                <w:szCs w:val="21"/>
                <w:lang w:val="en-US" w:eastAsia="zh-CN"/>
              </w:rPr>
              <w:t>；距室内边界距离以各个车间南侧边界为准。</w:t>
            </w:r>
          </w:p>
          <w:p>
            <w:pPr>
              <w:pStyle w:val="177"/>
              <w:keepNext w:val="0"/>
              <w:keepLines w:val="0"/>
              <w:pageBreakBefore w:val="0"/>
              <w:widowControl w:val="0"/>
              <w:kinsoku/>
              <w:wordWrap/>
              <w:overflowPunct/>
              <w:topLinePunct w:val="0"/>
              <w:autoSpaceDE/>
              <w:autoSpaceDN/>
              <w:bidi w:val="0"/>
              <w:adjustRightInd/>
              <w:snapToGrid w:val="0"/>
              <w:spacing w:before="5" w:line="480" w:lineRule="exact"/>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w:t>
            </w:r>
            <w:r>
              <w:rPr>
                <w:rFonts w:hint="eastAsia" w:ascii="Times New Roman" w:hAnsi="Times New Roman" w:eastAsia="宋体" w:cs="Times New Roman"/>
                <w:color w:val="000000"/>
                <w:lang w:val="en-US" w:eastAsia="zh-CN"/>
              </w:rPr>
              <w:t>1</w:t>
            </w:r>
            <w:r>
              <w:rPr>
                <w:rFonts w:hint="eastAsia" w:ascii="Times New Roman" w:hAnsi="Times New Roman" w:cs="Times New Roman"/>
                <w:color w:val="000000"/>
                <w:lang w:val="en-US" w:eastAsia="zh-CN"/>
              </w:rPr>
              <w:t>）</w:t>
            </w:r>
            <w:r>
              <w:rPr>
                <w:rFonts w:hint="default" w:ascii="Times New Roman" w:hAnsi="Times New Roman" w:eastAsia="宋体" w:cs="Times New Roman"/>
                <w:color w:val="000000"/>
                <w:lang w:val="en-US" w:eastAsia="zh-CN"/>
              </w:rPr>
              <w:t>声源的简化</w:t>
            </w:r>
          </w:p>
          <w:p>
            <w:pPr>
              <w:pStyle w:val="177"/>
              <w:keepNext w:val="0"/>
              <w:keepLines w:val="0"/>
              <w:pageBreakBefore w:val="0"/>
              <w:widowControl w:val="0"/>
              <w:kinsoku/>
              <w:wordWrap/>
              <w:overflowPunct/>
              <w:topLinePunct w:val="0"/>
              <w:autoSpaceDE/>
              <w:autoSpaceDN/>
              <w:bidi w:val="0"/>
              <w:adjustRightInd/>
              <w:snapToGrid w:val="0"/>
              <w:spacing w:before="5" w:line="480" w:lineRule="exact"/>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根据HJ2.4-2021《环境影响评价技术导则 声环境》推荐的计算方法，并结合噪声源的空间分布形式以及预测点的位置，本次评价将各声源分别简化为点声源处理，室内声源可采用等效室外声源声功率级法进行计算，预测室外源衰减至厂界处的噪声值。具体方式如下。</w:t>
            </w:r>
          </w:p>
          <w:p>
            <w:pPr>
              <w:pStyle w:val="177"/>
              <w:keepNext w:val="0"/>
              <w:keepLines w:val="0"/>
              <w:pageBreakBefore w:val="0"/>
              <w:widowControl w:val="0"/>
              <w:kinsoku/>
              <w:wordWrap/>
              <w:overflowPunct/>
              <w:topLinePunct w:val="0"/>
              <w:autoSpaceDE/>
              <w:autoSpaceDN/>
              <w:bidi w:val="0"/>
              <w:adjustRightInd/>
              <w:snapToGrid w:val="0"/>
              <w:spacing w:before="5" w:line="480" w:lineRule="exact"/>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w:t>
            </w:r>
            <w:r>
              <w:rPr>
                <w:rFonts w:hint="eastAsia" w:ascii="Times New Roman" w:hAnsi="Times New Roman" w:eastAsia="宋体" w:cs="Times New Roman"/>
                <w:color w:val="000000"/>
                <w:lang w:val="en-US" w:eastAsia="zh-CN"/>
              </w:rPr>
              <w:t>2</w:t>
            </w:r>
            <w:r>
              <w:rPr>
                <w:rFonts w:hint="eastAsia" w:ascii="Times New Roman" w:hAnsi="Times New Roman" w:cs="Times New Roman"/>
                <w:color w:val="000000"/>
                <w:lang w:val="en-US" w:eastAsia="zh-CN"/>
              </w:rPr>
              <w:t>）</w:t>
            </w:r>
            <w:r>
              <w:rPr>
                <w:rFonts w:hint="default" w:ascii="Times New Roman" w:hAnsi="Times New Roman" w:eastAsia="宋体" w:cs="Times New Roman"/>
                <w:color w:val="000000"/>
                <w:lang w:val="en-US" w:eastAsia="zh-CN"/>
              </w:rPr>
              <w:t>预测模式</w:t>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bookmarkStart w:id="23" w:name="_Toc49364844"/>
            <w:bookmarkStart w:id="24" w:name="_Toc50221978"/>
            <w:bookmarkStart w:id="25" w:name="_Toc49354515"/>
            <w:r>
              <w:rPr>
                <w:rFonts w:hint="eastAsia" w:ascii="Times New Roman" w:hAnsi="Times New Roman" w:eastAsia="宋体" w:cs="Times New Roman"/>
                <w:color w:val="000000"/>
                <w:lang w:val="en-US" w:eastAsia="zh-CN"/>
              </w:rPr>
              <w:t>①</w:t>
            </w:r>
            <w:r>
              <w:rPr>
                <w:rFonts w:hint="default" w:ascii="Times New Roman" w:hAnsi="Times New Roman" w:eastAsia="宋体" w:cs="Times New Roman"/>
                <w:color w:val="000000"/>
                <w:lang w:val="en-US" w:eastAsia="zh-CN"/>
              </w:rPr>
              <w:t>室内声源等效室外声源声功率级计算方法</w:t>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声源位于室内，室内声源可采用等效室外声源声功率级法进行计算。设靠近开口处（或窗户）室内、室外某倍频带的声压级分别为Lp1和Lp2。若声源所在室内声场为近似扩散声场，按下列公式计算出靠近室外围护结构处的声压级：</w:t>
            </w:r>
          </w:p>
          <w:p>
            <w:pPr>
              <w:pStyle w:val="1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drawing>
                <wp:inline distT="0" distB="0" distL="114300" distR="114300">
                  <wp:extent cx="1861820" cy="312420"/>
                  <wp:effectExtent l="0" t="0" r="0" b="0"/>
                  <wp:docPr id="68" name="图片 18"/>
                  <wp:cNvGraphicFramePr/>
                  <a:graphic xmlns:a="http://schemas.openxmlformats.org/drawingml/2006/main">
                    <a:graphicData uri="http://schemas.openxmlformats.org/drawingml/2006/picture">
                      <pic:pic xmlns:pic="http://schemas.openxmlformats.org/drawingml/2006/picture">
                        <pic:nvPicPr>
                          <pic:cNvPr id="68" name="图片 18"/>
                          <pic:cNvPicPr/>
                        </pic:nvPicPr>
                        <pic:blipFill>
                          <a:blip r:embed="rId18"/>
                          <a:srcRect l="27688" t="2605" r="32903" b="-1202"/>
                          <a:stretch>
                            <a:fillRect/>
                          </a:stretch>
                        </pic:blipFill>
                        <pic:spPr>
                          <a:xfrm>
                            <a:off x="0" y="0"/>
                            <a:ext cx="1861820" cy="312420"/>
                          </a:xfrm>
                          <a:prstGeom prst="rect">
                            <a:avLst/>
                          </a:prstGeom>
                          <a:noFill/>
                          <a:ln>
                            <a:noFill/>
                          </a:ln>
                        </pic:spPr>
                      </pic:pic>
                    </a:graphicData>
                  </a:graphic>
                </wp:inline>
              </w:drawing>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式中：</w:t>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LP2i（T）—靠近围护结构处室外N个声源i倍频带的叠加声压级，dB；</w:t>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TLi—围护结构i倍频带的隔声量，dB。</w:t>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然后按下列公式将室外声源的声压级和透过面积换算成等效的室外声源，计算出中心位置位于透声面积（S）处的等效声源的倍频带声功率级。</w:t>
            </w:r>
          </w:p>
          <w:p>
            <w:pPr>
              <w:pStyle w:val="1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drawing>
                <wp:inline distT="0" distB="0" distL="114300" distR="114300">
                  <wp:extent cx="2546350" cy="309245"/>
                  <wp:effectExtent l="0" t="0" r="0" b="0"/>
                  <wp:docPr id="64" name="图片 19"/>
                  <wp:cNvGraphicFramePr/>
                  <a:graphic xmlns:a="http://schemas.openxmlformats.org/drawingml/2006/main">
                    <a:graphicData uri="http://schemas.openxmlformats.org/drawingml/2006/picture">
                      <pic:pic xmlns:pic="http://schemas.openxmlformats.org/drawingml/2006/picture">
                        <pic:nvPicPr>
                          <pic:cNvPr id="64" name="图片 19"/>
                          <pic:cNvPicPr/>
                        </pic:nvPicPr>
                        <pic:blipFill>
                          <a:blip r:embed="rId19"/>
                          <a:srcRect l="22702" t="194" r="22124" b="5243"/>
                          <a:stretch>
                            <a:fillRect/>
                          </a:stretch>
                        </pic:blipFill>
                        <pic:spPr>
                          <a:xfrm>
                            <a:off x="0" y="0"/>
                            <a:ext cx="2546350" cy="309245"/>
                          </a:xfrm>
                          <a:prstGeom prst="rect">
                            <a:avLst/>
                          </a:prstGeom>
                          <a:noFill/>
                          <a:ln>
                            <a:noFill/>
                          </a:ln>
                        </pic:spPr>
                      </pic:pic>
                    </a:graphicData>
                  </a:graphic>
                </wp:inline>
              </w:drawing>
            </w:r>
          </w:p>
          <w:p>
            <w:pPr>
              <w:pStyle w:val="177"/>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然后按室外声源预测方法计算预测点处的A声级。室内声源等效为室外声源示意图见图</w:t>
            </w:r>
            <w:r>
              <w:rPr>
                <w:rFonts w:hint="eastAsia" w:ascii="Times New Roman" w:hAnsi="Times New Roman" w:cs="Times New Roman"/>
                <w:color w:val="000000"/>
                <w:lang w:val="en-US" w:eastAsia="zh-CN"/>
              </w:rPr>
              <w:t>4-1</w:t>
            </w:r>
            <w:r>
              <w:rPr>
                <w:rFonts w:hint="default" w:ascii="Times New Roman" w:hAnsi="Times New Roman" w:eastAsia="宋体" w:cs="Times New Roman"/>
                <w:color w:val="000000"/>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rPr>
            </w:pPr>
            <w:r>
              <w:rPr>
                <w:color w:val="000000"/>
                <w:position w:val="-55"/>
              </w:rPr>
              <w:drawing>
                <wp:inline distT="0" distB="0" distL="114300" distR="114300">
                  <wp:extent cx="3540760" cy="888365"/>
                  <wp:effectExtent l="0" t="0" r="2540" b="635"/>
                  <wp:docPr id="63" name="图片 20"/>
                  <wp:cNvGraphicFramePr/>
                  <a:graphic xmlns:a="http://schemas.openxmlformats.org/drawingml/2006/main">
                    <a:graphicData uri="http://schemas.openxmlformats.org/drawingml/2006/picture">
                      <pic:pic xmlns:pic="http://schemas.openxmlformats.org/drawingml/2006/picture">
                        <pic:nvPicPr>
                          <pic:cNvPr id="63" name="图片 20"/>
                          <pic:cNvPicPr/>
                        </pic:nvPicPr>
                        <pic:blipFill>
                          <a:blip r:embed="rId20"/>
                          <a:stretch>
                            <a:fillRect/>
                          </a:stretch>
                        </pic:blipFill>
                        <pic:spPr>
                          <a:xfrm>
                            <a:off x="0" y="0"/>
                            <a:ext cx="3540760" cy="888365"/>
                          </a:xfrm>
                          <a:prstGeom prst="rect">
                            <a:avLst/>
                          </a:prstGeom>
                          <a:noFill/>
                          <a:ln>
                            <a:noFill/>
                          </a:ln>
                        </pic:spPr>
                      </pic:pic>
                    </a:graphicData>
                  </a:graphic>
                </wp:inline>
              </w:drawing>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w:t>
            </w:r>
            <w:r>
              <w:rPr>
                <w:rFonts w:hint="eastAsia" w:ascii="Times New Roman" w:hAnsi="Times New Roman" w:eastAsia="宋体" w:cs="Times New Roman"/>
                <w:b/>
                <w:bCs/>
                <w:color w:val="auto"/>
                <w:kern w:val="2"/>
                <w:sz w:val="21"/>
                <w:szCs w:val="21"/>
                <w:highlight w:val="none"/>
                <w:lang w:val="en-US" w:eastAsia="zh-CN" w:bidi="ar-SA"/>
              </w:rPr>
              <w:t>4-1</w:t>
            </w:r>
            <w:r>
              <w:rPr>
                <w:rFonts w:hint="default" w:ascii="Times New Roman" w:hAnsi="Times New Roman" w:eastAsia="宋体" w:cs="Times New Roman"/>
                <w:b/>
                <w:bCs/>
                <w:color w:val="auto"/>
                <w:kern w:val="2"/>
                <w:sz w:val="21"/>
                <w:szCs w:val="21"/>
                <w:highlight w:val="none"/>
                <w:lang w:val="en-US" w:eastAsia="zh-CN" w:bidi="ar-SA"/>
              </w:rPr>
              <w:t xml:space="preserve">  室内声源等效为室外声源示意图</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t>②</w:t>
            </w:r>
            <w:r>
              <w:rPr>
                <w:rFonts w:hint="default" w:ascii="Times New Roman" w:hAnsi="Times New Roman" w:eastAsia="宋体" w:cs="Times New Roman"/>
                <w:snapToGrid/>
                <w:color w:val="000000"/>
                <w:kern w:val="2"/>
                <w:sz w:val="24"/>
                <w:szCs w:val="24"/>
                <w:lang w:val="en-US" w:eastAsia="zh-CN" w:bidi="ar-SA"/>
              </w:rPr>
              <w:t>室内声源等效室外声源声功率级计算方法</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A声级的计算公式：</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Lp（r）=Lp（r0）</w:t>
            </w:r>
            <w:r>
              <w:rPr>
                <w:rFonts w:hint="eastAsia" w:ascii="Times New Roman" w:hAnsi="Times New Roman" w:eastAsia="宋体" w:cs="Times New Roman"/>
                <w:snapToGrid/>
                <w:color w:val="000000"/>
                <w:kern w:val="2"/>
                <w:sz w:val="24"/>
                <w:szCs w:val="24"/>
                <w:lang w:val="en-US" w:eastAsia="zh-CN" w:bidi="ar-SA"/>
              </w:rPr>
              <w:t>—</w:t>
            </w:r>
            <w:r>
              <w:rPr>
                <w:rFonts w:hint="default" w:ascii="Times New Roman" w:hAnsi="Times New Roman" w:eastAsia="宋体" w:cs="Times New Roman"/>
                <w:snapToGrid/>
                <w:color w:val="000000"/>
                <w:kern w:val="2"/>
                <w:sz w:val="24"/>
                <w:szCs w:val="24"/>
                <w:lang w:val="en-US" w:eastAsia="zh-CN" w:bidi="ar-SA"/>
              </w:rPr>
              <w:t>（Adiv+Abar+Aatm+Agy+Amisc）</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式中：Lp（r）--距声源r处的A声级，dB；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Lp（r0）--参考位置r0处的A声级，dB；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AdiV--声波几何发散引起的A声级衰减量，dB；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Abar--遮挡物引起的A声级衰减量，dB；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Aatm--空气吸收引起的A声级衰减量，dB；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Agy--地面效应衰减量，dB；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Amisc--其他多方面效应，dB；</w:t>
            </w:r>
          </w:p>
          <w:p>
            <w:pPr>
              <w:keepNext w:val="0"/>
              <w:keepLines w:val="0"/>
              <w:pageBreakBefore w:val="0"/>
              <w:widowControl w:val="0"/>
              <w:kinsoku/>
              <w:wordWrap/>
              <w:overflowPunct/>
              <w:topLinePunct w:val="0"/>
              <w:autoSpaceDE/>
              <w:autoSpaceDN/>
              <w:bidi w:val="0"/>
              <w:adjustRightInd/>
              <w:snapToGrid/>
              <w:spacing w:before="5"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根据现场调查，项目所在地地势平坦，周边绿化以低矮乔木为主，预测点主要集中在厂界外1m处，故本次评价不考虑Agy、Aatm、Amisc。</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t>③</w:t>
            </w:r>
            <w:r>
              <w:rPr>
                <w:rFonts w:hint="default" w:ascii="Times New Roman" w:hAnsi="Times New Roman" w:eastAsia="宋体" w:cs="Times New Roman"/>
                <w:snapToGrid/>
                <w:color w:val="000000"/>
                <w:kern w:val="2"/>
                <w:sz w:val="24"/>
                <w:szCs w:val="24"/>
                <w:lang w:val="en-US" w:eastAsia="zh-CN" w:bidi="ar-SA"/>
              </w:rPr>
              <w:t>室外点声源的几何发散衰减</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ascii="宋体" w:hAnsi="宋体" w:eastAsia="宋体" w:cs="宋体"/>
                <w:color w:val="000000"/>
                <w:sz w:val="24"/>
                <w:szCs w:val="24"/>
              </w:rPr>
            </w:pPr>
            <w:r>
              <w:rPr>
                <w:rFonts w:hint="default" w:ascii="Times New Roman" w:hAnsi="Times New Roman" w:eastAsia="宋体" w:cs="Times New Roman"/>
                <w:snapToGrid/>
                <w:color w:val="000000"/>
                <w:kern w:val="2"/>
                <w:sz w:val="24"/>
                <w:szCs w:val="24"/>
                <w:lang w:val="en-US" w:eastAsia="zh-CN" w:bidi="ar-SA"/>
              </w:rPr>
              <w:t>假定声源位于地面时的声场为半自由声场，则：</w:t>
            </w:r>
          </w:p>
          <w:p>
            <w:pPr>
              <w:spacing w:before="149" w:line="360" w:lineRule="auto"/>
              <w:ind w:firstLine="16"/>
              <w:jc w:val="center"/>
              <w:rPr>
                <w:color w:val="000000"/>
              </w:rPr>
            </w:pPr>
            <w:r>
              <w:rPr>
                <w:color w:val="000000"/>
                <w:position w:val="-19"/>
              </w:rPr>
              <w:drawing>
                <wp:inline distT="0" distB="0" distL="114300" distR="114300">
                  <wp:extent cx="2427605" cy="457200"/>
                  <wp:effectExtent l="0" t="0" r="0" b="0"/>
                  <wp:docPr id="62" name="图片 21"/>
                  <wp:cNvGraphicFramePr/>
                  <a:graphic xmlns:a="http://schemas.openxmlformats.org/drawingml/2006/main">
                    <a:graphicData uri="http://schemas.openxmlformats.org/drawingml/2006/picture">
                      <pic:pic xmlns:pic="http://schemas.openxmlformats.org/drawingml/2006/picture">
                        <pic:nvPicPr>
                          <pic:cNvPr id="62" name="图片 21"/>
                          <pic:cNvPicPr/>
                        </pic:nvPicPr>
                        <pic:blipFill>
                          <a:blip r:embed="rId21"/>
                          <a:srcRect l="30273" t="17988" r="23728" b="8841"/>
                          <a:stretch>
                            <a:fillRect/>
                          </a:stretch>
                        </pic:blipFill>
                        <pic:spPr>
                          <a:xfrm>
                            <a:off x="0" y="0"/>
                            <a:ext cx="2427605" cy="457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④面声源的几何发散衰减</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如图给出了长方形面声源中心轴线上的声衰减曲线。图中虚线为实际衰减量。当预测点和面声源中心距离r处于以下条件时，可按表</w:t>
            </w:r>
            <w:r>
              <w:rPr>
                <w:rFonts w:hint="eastAsia" w:ascii="Times New Roman" w:hAnsi="Times New Roman" w:eastAsia="宋体" w:cs="Times New Roman"/>
                <w:snapToGrid/>
                <w:color w:val="000000"/>
                <w:kern w:val="2"/>
                <w:sz w:val="24"/>
                <w:szCs w:val="24"/>
                <w:lang w:val="en-US" w:eastAsia="zh-CN" w:bidi="ar-SA"/>
              </w:rPr>
              <w:t>4-</w:t>
            </w:r>
            <w:r>
              <w:rPr>
                <w:rFonts w:hint="eastAsia" w:cs="Times New Roman"/>
                <w:snapToGrid/>
                <w:color w:val="000000"/>
                <w:kern w:val="2"/>
                <w:sz w:val="24"/>
                <w:szCs w:val="24"/>
                <w:lang w:val="en-US" w:eastAsia="zh-CN" w:bidi="ar-SA"/>
              </w:rPr>
              <w:t>5</w:t>
            </w:r>
            <w:r>
              <w:rPr>
                <w:rFonts w:hint="default" w:ascii="Times New Roman" w:hAnsi="Times New Roman" w:eastAsia="宋体" w:cs="Times New Roman"/>
                <w:snapToGrid/>
                <w:color w:val="000000"/>
                <w:kern w:val="2"/>
                <w:sz w:val="24"/>
                <w:szCs w:val="24"/>
                <w:lang w:val="en-US" w:eastAsia="zh-CN" w:bidi="ar-SA"/>
              </w:rPr>
              <w:t>方法近似计算。</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4-5</w:t>
            </w:r>
            <w:r>
              <w:rPr>
                <w:rFonts w:hint="default" w:ascii="Times New Roman" w:hAnsi="Times New Roman" w:eastAsia="宋体" w:cs="Times New Roman"/>
                <w:b/>
                <w:bCs/>
                <w:color w:val="auto"/>
                <w:kern w:val="2"/>
                <w:sz w:val="21"/>
                <w:szCs w:val="21"/>
                <w:highlight w:val="none"/>
                <w:lang w:val="en-US" w:eastAsia="zh-CN" w:bidi="ar-SA"/>
              </w:rPr>
              <w:t xml:space="preserve">  面声源的几何发散衰减</w:t>
            </w:r>
          </w:p>
          <w:tbl>
            <w:tblPr>
              <w:tblStyle w:val="11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2"/>
              <w:gridCol w:w="2555"/>
              <w:gridCol w:w="2781"/>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24" w:type="pct"/>
                  <w:tcBorders>
                    <w:tl2br w:val="nil"/>
                    <w:tr2bl w:val="nil"/>
                  </w:tcBorders>
                  <w:noWrap w:val="0"/>
                  <w:vAlign w:val="center"/>
                </w:tcPr>
                <w:p>
                  <w:pPr>
                    <w:pStyle w:val="167"/>
                    <w:autoSpaceDE w:val="0"/>
                    <w:autoSpaceDN w:val="0"/>
                    <w:spacing w:before="126" w:line="23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pacing w:val="5"/>
                      <w:sz w:val="21"/>
                      <w:szCs w:val="21"/>
                    </w:rPr>
                    <w:t>序号</w:t>
                  </w:r>
                </w:p>
              </w:tc>
              <w:tc>
                <w:tcPr>
                  <w:tcW w:w="1516" w:type="pct"/>
                  <w:tcBorders>
                    <w:tl2br w:val="nil"/>
                    <w:tr2bl w:val="nil"/>
                  </w:tcBorders>
                  <w:noWrap w:val="0"/>
                  <w:vAlign w:val="center"/>
                </w:tcPr>
                <w:p>
                  <w:pPr>
                    <w:pStyle w:val="167"/>
                    <w:autoSpaceDE w:val="0"/>
                    <w:autoSpaceDN w:val="0"/>
                    <w:spacing w:before="127" w:line="229"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pacing w:val="9"/>
                      <w:sz w:val="21"/>
                      <w:szCs w:val="21"/>
                    </w:rPr>
                    <w:t>预测点和面声源中心距离</w:t>
                  </w:r>
                </w:p>
              </w:tc>
              <w:tc>
                <w:tcPr>
                  <w:tcW w:w="1650" w:type="pct"/>
                  <w:tcBorders>
                    <w:tl2br w:val="nil"/>
                    <w:tr2bl w:val="nil"/>
                  </w:tcBorders>
                  <w:noWrap w:val="0"/>
                  <w:vAlign w:val="center"/>
                </w:tcPr>
                <w:p>
                  <w:pPr>
                    <w:pStyle w:val="167"/>
                    <w:autoSpaceDE w:val="0"/>
                    <w:autoSpaceDN w:val="0"/>
                    <w:spacing w:before="127" w:line="229"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pacing w:val="6"/>
                      <w:sz w:val="21"/>
                      <w:szCs w:val="21"/>
                    </w:rPr>
                    <w:t>衰减量</w:t>
                  </w:r>
                </w:p>
              </w:tc>
              <w:tc>
                <w:tcPr>
                  <w:tcW w:w="1208" w:type="pct"/>
                  <w:tcBorders>
                    <w:tl2br w:val="nil"/>
                    <w:tr2bl w:val="nil"/>
                  </w:tcBorders>
                  <w:noWrap w:val="0"/>
                  <w:vAlign w:val="center"/>
                </w:tcPr>
                <w:p>
                  <w:pPr>
                    <w:pStyle w:val="167"/>
                    <w:autoSpaceDE w:val="0"/>
                    <w:autoSpaceDN w:val="0"/>
                    <w:spacing w:before="96" w:line="274" w:lineRule="exact"/>
                    <w:jc w:val="center"/>
                    <w:rPr>
                      <w:rFonts w:hint="default" w:ascii="Times New Roman" w:hAnsi="Times New Roman" w:cs="Times New Roman"/>
                      <w:b/>
                      <w:bCs/>
                      <w:color w:val="000000"/>
                      <w:sz w:val="21"/>
                      <w:szCs w:val="21"/>
                    </w:rPr>
                  </w:pPr>
                  <w:r>
                    <w:rPr>
                      <w:rFonts w:hint="default" w:ascii="Times New Roman" w:hAnsi="Times New Roman" w:eastAsia="Times New Roman" w:cs="Times New Roman"/>
                      <w:b/>
                      <w:bCs/>
                      <w:color w:val="000000"/>
                      <w:position w:val="1"/>
                      <w:sz w:val="21"/>
                      <w:szCs w:val="21"/>
                    </w:rPr>
                    <w:t>Adiv</w:t>
                  </w:r>
                  <w:r>
                    <w:rPr>
                      <w:rFonts w:hint="default" w:ascii="Times New Roman" w:hAnsi="Times New Roman" w:cs="Times New Roman"/>
                      <w:b/>
                      <w:bCs/>
                      <w:color w:val="000000"/>
                      <w:spacing w:val="19"/>
                      <w:position w:val="1"/>
                      <w:sz w:val="21"/>
                      <w:szCs w:val="21"/>
                    </w:rPr>
                    <w:t>（</w:t>
                  </w:r>
                  <w:r>
                    <w:rPr>
                      <w:rFonts w:hint="default" w:ascii="Times New Roman" w:hAnsi="Times New Roman" w:eastAsia="Times New Roman" w:cs="Times New Roman"/>
                      <w:b/>
                      <w:bCs/>
                      <w:color w:val="000000"/>
                      <w:position w:val="1"/>
                      <w:sz w:val="21"/>
                      <w:szCs w:val="21"/>
                    </w:rPr>
                    <w:t>dB</w:t>
                  </w:r>
                  <w:r>
                    <w:rPr>
                      <w:rFonts w:hint="default" w:ascii="Times New Roman" w:hAnsi="Times New Roman" w:cs="Times New Roman"/>
                      <w:b/>
                      <w:bCs/>
                      <w:color w:val="000000"/>
                      <w:spacing w:val="19"/>
                      <w:position w:val="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24" w:type="pct"/>
                  <w:tcBorders>
                    <w:tl2br w:val="nil"/>
                    <w:tr2bl w:val="nil"/>
                  </w:tcBorders>
                  <w:noWrap w:val="0"/>
                  <w:vAlign w:val="center"/>
                </w:tcPr>
                <w:p>
                  <w:pPr>
                    <w:autoSpaceDE w:val="0"/>
                    <w:autoSpaceDN w:val="0"/>
                    <w:spacing w:before="66" w:line="195"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1</w:t>
                  </w:r>
                </w:p>
              </w:tc>
              <w:tc>
                <w:tcPr>
                  <w:tcW w:w="1516" w:type="pct"/>
                  <w:tcBorders>
                    <w:tl2br w:val="nil"/>
                    <w:tr2bl w:val="nil"/>
                  </w:tcBorders>
                  <w:noWrap w:val="0"/>
                  <w:vAlign w:val="center"/>
                </w:tcPr>
                <w:p>
                  <w:pPr>
                    <w:autoSpaceDE w:val="0"/>
                    <w:autoSpaceDN w:val="0"/>
                    <w:spacing w:line="261" w:lineRule="exact"/>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pacing w:val="4"/>
                      <w:position w:val="1"/>
                      <w:sz w:val="21"/>
                      <w:szCs w:val="21"/>
                    </w:rPr>
                    <w:t>r&lt;a/π</w:t>
                  </w:r>
                </w:p>
              </w:tc>
              <w:tc>
                <w:tcPr>
                  <w:tcW w:w="1650" w:type="pct"/>
                  <w:tcBorders>
                    <w:tl2br w:val="nil"/>
                    <w:tr2bl w:val="nil"/>
                  </w:tcBorders>
                  <w:noWrap w:val="0"/>
                  <w:vAlign w:val="center"/>
                </w:tcPr>
                <w:p>
                  <w:pPr>
                    <w:pStyle w:val="167"/>
                    <w:autoSpaceDE w:val="0"/>
                    <w:autoSpaceDN w:val="0"/>
                    <w:spacing w:before="30" w:line="213"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7"/>
                      <w:sz w:val="21"/>
                      <w:szCs w:val="21"/>
                    </w:rPr>
                    <w:t>几乎不衰减</w:t>
                  </w:r>
                </w:p>
              </w:tc>
              <w:tc>
                <w:tcPr>
                  <w:tcW w:w="1208" w:type="pct"/>
                  <w:tcBorders>
                    <w:tl2br w:val="nil"/>
                    <w:tr2bl w:val="nil"/>
                  </w:tcBorders>
                  <w:noWrap w:val="0"/>
                  <w:vAlign w:val="center"/>
                </w:tcPr>
                <w:p>
                  <w:pPr>
                    <w:autoSpaceDE w:val="0"/>
                    <w:autoSpaceDN w:val="0"/>
                    <w:spacing w:line="261" w:lineRule="exact"/>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position w:val="1"/>
                      <w:sz w:val="21"/>
                      <w:szCs w:val="21"/>
                    </w:rPr>
                    <w:t>Adiv</w:t>
                  </w:r>
                  <w:r>
                    <w:rPr>
                      <w:rFonts w:hint="default" w:ascii="Times New Roman" w:hAnsi="Times New Roman" w:eastAsia="Times New Roman" w:cs="Times New Roman"/>
                      <w:color w:val="000000"/>
                      <w:spacing w:val="14"/>
                      <w:position w:val="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24" w:type="pct"/>
                  <w:tcBorders>
                    <w:tl2br w:val="nil"/>
                    <w:tr2bl w:val="nil"/>
                  </w:tcBorders>
                  <w:noWrap w:val="0"/>
                  <w:vAlign w:val="center"/>
                </w:tcPr>
                <w:p>
                  <w:pPr>
                    <w:autoSpaceDE w:val="0"/>
                    <w:autoSpaceDN w:val="0"/>
                    <w:spacing w:before="202" w:line="195"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2</w:t>
                  </w:r>
                </w:p>
              </w:tc>
              <w:tc>
                <w:tcPr>
                  <w:tcW w:w="1516" w:type="pct"/>
                  <w:tcBorders>
                    <w:tl2br w:val="nil"/>
                    <w:tr2bl w:val="nil"/>
                  </w:tcBorders>
                  <w:noWrap w:val="0"/>
                  <w:vAlign w:val="center"/>
                </w:tcPr>
                <w:p>
                  <w:pPr>
                    <w:autoSpaceDE w:val="0"/>
                    <w:autoSpaceDN w:val="0"/>
                    <w:spacing w:before="136" w:line="274" w:lineRule="exact"/>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pacing w:val="3"/>
                      <w:position w:val="1"/>
                      <w:sz w:val="21"/>
                      <w:szCs w:val="21"/>
                    </w:rPr>
                    <w:t>a/π&lt;r&lt;b/π</w:t>
                  </w:r>
                </w:p>
              </w:tc>
              <w:tc>
                <w:tcPr>
                  <w:tcW w:w="1650" w:type="pct"/>
                  <w:tcBorders>
                    <w:tl2br w:val="nil"/>
                    <w:tr2bl w:val="nil"/>
                  </w:tcBorders>
                  <w:noWrap w:val="0"/>
                  <w:vAlign w:val="center"/>
                </w:tcPr>
                <w:p>
                  <w:pPr>
                    <w:pStyle w:val="167"/>
                    <w:autoSpaceDE w:val="0"/>
                    <w:autoSpaceDN w:val="0"/>
                    <w:spacing w:before="2" w:line="245" w:lineRule="auto"/>
                    <w:ind w:left="458" w:right="1" w:hanging="453"/>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6"/>
                      <w:sz w:val="21"/>
                      <w:szCs w:val="21"/>
                    </w:rPr>
                    <w:t>距离加倍衰减</w:t>
                  </w:r>
                  <w:r>
                    <w:rPr>
                      <w:rFonts w:hint="default" w:ascii="Times New Roman" w:hAnsi="Times New Roman" w:eastAsia="Times New Roman" w:cs="Times New Roman"/>
                      <w:color w:val="000000"/>
                      <w:spacing w:val="6"/>
                      <w:sz w:val="21"/>
                      <w:szCs w:val="21"/>
                    </w:rPr>
                    <w:t>3</w:t>
                  </w:r>
                  <w:r>
                    <w:rPr>
                      <w:rFonts w:hint="default" w:ascii="Times New Roman" w:hAnsi="Times New Roman" w:eastAsia="Times New Roman" w:cs="Times New Roman"/>
                      <w:color w:val="000000"/>
                      <w:sz w:val="21"/>
                      <w:szCs w:val="21"/>
                    </w:rPr>
                    <w:t>dB</w:t>
                  </w:r>
                  <w:r>
                    <w:rPr>
                      <w:rFonts w:hint="default" w:ascii="Times New Roman" w:hAnsi="Times New Roman" w:cs="Times New Roman"/>
                      <w:color w:val="000000"/>
                      <w:spacing w:val="6"/>
                      <w:sz w:val="21"/>
                      <w:szCs w:val="21"/>
                    </w:rPr>
                    <w:t>左右，类</w:t>
                  </w:r>
                  <w:r>
                    <w:rPr>
                      <w:rFonts w:hint="default" w:ascii="Times New Roman" w:hAnsi="Times New Roman" w:cs="Times New Roman"/>
                      <w:color w:val="000000"/>
                      <w:spacing w:val="8"/>
                      <w:sz w:val="21"/>
                      <w:szCs w:val="21"/>
                    </w:rPr>
                    <w:t>似线声源衰减特性</w:t>
                  </w:r>
                </w:p>
              </w:tc>
              <w:tc>
                <w:tcPr>
                  <w:tcW w:w="1208" w:type="pct"/>
                  <w:tcBorders>
                    <w:tl2br w:val="nil"/>
                    <w:tr2bl w:val="nil"/>
                  </w:tcBorders>
                  <w:noWrap w:val="0"/>
                  <w:vAlign w:val="center"/>
                </w:tcPr>
                <w:p>
                  <w:pPr>
                    <w:pStyle w:val="167"/>
                    <w:autoSpaceDE w:val="0"/>
                    <w:autoSpaceDN w:val="0"/>
                    <w:spacing w:before="133" w:line="274" w:lineRule="exact"/>
                    <w:jc w:val="center"/>
                    <w:rPr>
                      <w:rFonts w:hint="default" w:ascii="Times New Roman" w:hAnsi="Times New Roman" w:cs="Times New Roman"/>
                      <w:color w:val="000000"/>
                      <w:sz w:val="21"/>
                      <w:szCs w:val="21"/>
                    </w:rPr>
                  </w:pPr>
                  <w:r>
                    <w:rPr>
                      <w:rFonts w:hint="default" w:ascii="Times New Roman" w:hAnsi="Times New Roman" w:eastAsia="Times New Roman" w:cs="Times New Roman"/>
                      <w:color w:val="000000"/>
                      <w:position w:val="3"/>
                      <w:sz w:val="21"/>
                      <w:szCs w:val="21"/>
                    </w:rPr>
                    <w:t>Adiv</w:t>
                  </w:r>
                  <w:r>
                    <w:rPr>
                      <w:rFonts w:hint="default" w:ascii="Times New Roman" w:hAnsi="Times New Roman" w:eastAsia="Times New Roman" w:cs="Times New Roman"/>
                      <w:color w:val="000000"/>
                      <w:spacing w:val="6"/>
                      <w:position w:val="3"/>
                      <w:sz w:val="21"/>
                      <w:szCs w:val="21"/>
                    </w:rPr>
                    <w:t>≈10</w:t>
                  </w:r>
                  <w:r>
                    <w:rPr>
                      <w:rFonts w:hint="default" w:ascii="Times New Roman" w:hAnsi="Times New Roman" w:eastAsia="Times New Roman" w:cs="Times New Roman"/>
                      <w:color w:val="000000"/>
                      <w:position w:val="3"/>
                      <w:sz w:val="21"/>
                      <w:szCs w:val="21"/>
                    </w:rPr>
                    <w:t>lg</w:t>
                  </w:r>
                  <w:r>
                    <w:rPr>
                      <w:rFonts w:hint="default" w:ascii="Times New Roman" w:hAnsi="Times New Roman" w:cs="Times New Roman"/>
                      <w:color w:val="000000"/>
                      <w:spacing w:val="6"/>
                      <w:position w:val="3"/>
                      <w:sz w:val="21"/>
                      <w:szCs w:val="21"/>
                    </w:rPr>
                    <w:t>（</w:t>
                  </w:r>
                  <w:r>
                    <w:rPr>
                      <w:rFonts w:hint="default" w:ascii="Times New Roman" w:hAnsi="Times New Roman" w:eastAsia="Times New Roman" w:cs="Times New Roman"/>
                      <w:color w:val="000000"/>
                      <w:spacing w:val="6"/>
                      <w:position w:val="3"/>
                      <w:sz w:val="21"/>
                      <w:szCs w:val="21"/>
                    </w:rPr>
                    <w:t>r/r</w:t>
                  </w:r>
                  <w:r>
                    <w:rPr>
                      <w:rFonts w:hint="default" w:ascii="Times New Roman" w:hAnsi="Times New Roman" w:eastAsia="Times New Roman" w:cs="Times New Roman"/>
                      <w:color w:val="000000"/>
                      <w:spacing w:val="6"/>
                      <w:position w:val="2"/>
                      <w:sz w:val="21"/>
                      <w:szCs w:val="21"/>
                    </w:rPr>
                    <w:t>0</w:t>
                  </w:r>
                  <w:r>
                    <w:rPr>
                      <w:rFonts w:hint="default" w:ascii="Times New Roman" w:hAnsi="Times New Roman" w:cs="Times New Roman"/>
                      <w:color w:val="000000"/>
                      <w:spacing w:val="6"/>
                      <w:position w:val="3"/>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24" w:type="pct"/>
                  <w:tcBorders>
                    <w:tl2br w:val="nil"/>
                    <w:tr2bl w:val="nil"/>
                  </w:tcBorders>
                  <w:noWrap w:val="0"/>
                  <w:vAlign w:val="center"/>
                </w:tcPr>
                <w:p>
                  <w:pPr>
                    <w:autoSpaceDE w:val="0"/>
                    <w:autoSpaceDN w:val="0"/>
                    <w:spacing w:before="204" w:line="195" w:lineRule="auto"/>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3</w:t>
                  </w:r>
                </w:p>
              </w:tc>
              <w:tc>
                <w:tcPr>
                  <w:tcW w:w="1516" w:type="pct"/>
                  <w:tcBorders>
                    <w:tl2br w:val="nil"/>
                    <w:tr2bl w:val="nil"/>
                  </w:tcBorders>
                  <w:noWrap w:val="0"/>
                  <w:vAlign w:val="center"/>
                </w:tcPr>
                <w:p>
                  <w:pPr>
                    <w:autoSpaceDE w:val="0"/>
                    <w:autoSpaceDN w:val="0"/>
                    <w:spacing w:before="137" w:line="274" w:lineRule="exact"/>
                    <w:jc w:val="center"/>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pacing w:val="3"/>
                      <w:position w:val="1"/>
                      <w:sz w:val="21"/>
                      <w:szCs w:val="21"/>
                    </w:rPr>
                    <w:t>r&gt;b/π</w:t>
                  </w:r>
                </w:p>
              </w:tc>
              <w:tc>
                <w:tcPr>
                  <w:tcW w:w="1650" w:type="pct"/>
                  <w:tcBorders>
                    <w:tl2br w:val="nil"/>
                    <w:tr2bl w:val="nil"/>
                  </w:tcBorders>
                  <w:noWrap w:val="0"/>
                  <w:vAlign w:val="center"/>
                </w:tcPr>
                <w:p>
                  <w:pPr>
                    <w:pStyle w:val="167"/>
                    <w:autoSpaceDE w:val="0"/>
                    <w:autoSpaceDN w:val="0"/>
                    <w:spacing w:before="2" w:line="246" w:lineRule="auto"/>
                    <w:ind w:left="354" w:right="93" w:hanging="308"/>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4"/>
                      <w:sz w:val="21"/>
                      <w:szCs w:val="21"/>
                    </w:rPr>
                    <w:t>距离加倍衰减趋近于</w:t>
                  </w:r>
                  <w:r>
                    <w:rPr>
                      <w:rFonts w:hint="default" w:ascii="Times New Roman" w:hAnsi="Times New Roman" w:cs="Times New Roman"/>
                      <w:color w:val="000000"/>
                      <w:spacing w:val="-35"/>
                      <w:sz w:val="21"/>
                      <w:szCs w:val="21"/>
                    </w:rPr>
                    <w:t xml:space="preserve"> </w:t>
                  </w:r>
                  <w:r>
                    <w:rPr>
                      <w:rFonts w:hint="default" w:ascii="Times New Roman" w:hAnsi="Times New Roman" w:eastAsia="Times New Roman" w:cs="Times New Roman"/>
                      <w:color w:val="000000"/>
                      <w:spacing w:val="4"/>
                      <w:sz w:val="21"/>
                      <w:szCs w:val="21"/>
                    </w:rPr>
                    <w:t>6</w:t>
                  </w:r>
                  <w:r>
                    <w:rPr>
                      <w:rFonts w:hint="default" w:ascii="Times New Roman" w:hAnsi="Times New Roman" w:eastAsia="Times New Roman" w:cs="Times New Roman"/>
                      <w:color w:val="000000"/>
                      <w:sz w:val="21"/>
                      <w:szCs w:val="21"/>
                    </w:rPr>
                    <w:t>dB</w:t>
                  </w:r>
                  <w:r>
                    <w:rPr>
                      <w:rFonts w:hint="default" w:ascii="Times New Roman" w:hAnsi="Times New Roman" w:cs="Times New Roman"/>
                      <w:color w:val="000000"/>
                      <w:spacing w:val="4"/>
                      <w:sz w:val="21"/>
                      <w:szCs w:val="21"/>
                    </w:rPr>
                    <w:t>，</w:t>
                  </w:r>
                  <w:r>
                    <w:rPr>
                      <w:rFonts w:hint="default" w:ascii="Times New Roman" w:hAnsi="Times New Roman" w:cs="Times New Roman"/>
                      <w:color w:val="000000"/>
                      <w:spacing w:val="8"/>
                      <w:sz w:val="21"/>
                      <w:szCs w:val="21"/>
                    </w:rPr>
                    <w:t>类似点声源衰减特性</w:t>
                  </w:r>
                </w:p>
              </w:tc>
              <w:tc>
                <w:tcPr>
                  <w:tcW w:w="1208" w:type="pct"/>
                  <w:tcBorders>
                    <w:tl2br w:val="nil"/>
                    <w:tr2bl w:val="nil"/>
                  </w:tcBorders>
                  <w:noWrap w:val="0"/>
                  <w:vAlign w:val="center"/>
                </w:tcPr>
                <w:p>
                  <w:pPr>
                    <w:pStyle w:val="167"/>
                    <w:autoSpaceDE w:val="0"/>
                    <w:autoSpaceDN w:val="0"/>
                    <w:spacing w:before="137" w:line="274" w:lineRule="exact"/>
                    <w:jc w:val="center"/>
                    <w:rPr>
                      <w:rFonts w:hint="default" w:ascii="Times New Roman" w:hAnsi="Times New Roman" w:cs="Times New Roman"/>
                      <w:color w:val="000000"/>
                      <w:sz w:val="21"/>
                      <w:szCs w:val="21"/>
                    </w:rPr>
                  </w:pPr>
                  <w:r>
                    <w:rPr>
                      <w:rFonts w:hint="default" w:ascii="Times New Roman" w:hAnsi="Times New Roman" w:eastAsia="Times New Roman" w:cs="Times New Roman"/>
                      <w:color w:val="000000"/>
                      <w:position w:val="3"/>
                      <w:sz w:val="21"/>
                      <w:szCs w:val="21"/>
                    </w:rPr>
                    <w:t>Adiv</w:t>
                  </w:r>
                  <w:r>
                    <w:rPr>
                      <w:rFonts w:hint="default" w:ascii="Times New Roman" w:hAnsi="Times New Roman" w:eastAsia="Times New Roman" w:cs="Times New Roman"/>
                      <w:color w:val="000000"/>
                      <w:spacing w:val="6"/>
                      <w:position w:val="3"/>
                      <w:sz w:val="21"/>
                      <w:szCs w:val="21"/>
                    </w:rPr>
                    <w:t>≈20</w:t>
                  </w:r>
                  <w:r>
                    <w:rPr>
                      <w:rFonts w:hint="default" w:ascii="Times New Roman" w:hAnsi="Times New Roman" w:eastAsia="Times New Roman" w:cs="Times New Roman"/>
                      <w:color w:val="000000"/>
                      <w:position w:val="3"/>
                      <w:sz w:val="21"/>
                      <w:szCs w:val="21"/>
                    </w:rPr>
                    <w:t>lg</w:t>
                  </w:r>
                  <w:r>
                    <w:rPr>
                      <w:rFonts w:hint="default" w:ascii="Times New Roman" w:hAnsi="Times New Roman" w:cs="Times New Roman"/>
                      <w:color w:val="000000"/>
                      <w:spacing w:val="6"/>
                      <w:position w:val="3"/>
                      <w:sz w:val="21"/>
                      <w:szCs w:val="21"/>
                    </w:rPr>
                    <w:t>（</w:t>
                  </w:r>
                  <w:r>
                    <w:rPr>
                      <w:rFonts w:hint="default" w:ascii="Times New Roman" w:hAnsi="Times New Roman" w:eastAsia="Times New Roman" w:cs="Times New Roman"/>
                      <w:color w:val="000000"/>
                      <w:spacing w:val="6"/>
                      <w:position w:val="3"/>
                      <w:sz w:val="21"/>
                      <w:szCs w:val="21"/>
                    </w:rPr>
                    <w:t>r/r</w:t>
                  </w:r>
                  <w:r>
                    <w:rPr>
                      <w:rFonts w:hint="default" w:ascii="Times New Roman" w:hAnsi="Times New Roman" w:eastAsia="Times New Roman" w:cs="Times New Roman"/>
                      <w:color w:val="000000"/>
                      <w:spacing w:val="6"/>
                      <w:position w:val="2"/>
                      <w:sz w:val="21"/>
                      <w:szCs w:val="21"/>
                    </w:rPr>
                    <w:t>0</w:t>
                  </w:r>
                  <w:r>
                    <w:rPr>
                      <w:rFonts w:hint="default" w:ascii="Times New Roman" w:hAnsi="Times New Roman" w:cs="Times New Roman"/>
                      <w:color w:val="000000"/>
                      <w:spacing w:val="6"/>
                      <w:position w:val="3"/>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tcBorders>
                    <w:tl2br w:val="nil"/>
                    <w:tr2bl w:val="nil"/>
                  </w:tcBorders>
                  <w:noWrap w:val="0"/>
                  <w:vAlign w:val="center"/>
                </w:tcPr>
                <w:p>
                  <w:pPr>
                    <w:pStyle w:val="167"/>
                    <w:autoSpaceDE w:val="0"/>
                    <w:autoSpaceDN w:val="0"/>
                    <w:spacing w:before="137" w:line="274" w:lineRule="exact"/>
                    <w:ind w:left="83"/>
                    <w:jc w:val="center"/>
                    <w:rPr>
                      <w:rFonts w:hint="default" w:ascii="Times New Roman" w:hAnsi="Times New Roman" w:eastAsia="宋体" w:cs="Times New Roman"/>
                      <w:color w:val="000000"/>
                      <w:position w:val="3"/>
                      <w:sz w:val="21"/>
                      <w:szCs w:val="21"/>
                      <w:lang w:eastAsia="zh-CN"/>
                    </w:rPr>
                  </w:pPr>
                  <w:r>
                    <w:rPr>
                      <w:rFonts w:hint="default" w:ascii="Times New Roman" w:hAnsi="Times New Roman" w:eastAsia="宋体" w:cs="Times New Roman"/>
                      <w:color w:val="000000"/>
                      <w:spacing w:val="3"/>
                      <w:sz w:val="21"/>
                      <w:szCs w:val="21"/>
                      <w:u w:val="none" w:color="auto"/>
                    </w:rPr>
                    <w:t>注：其中面声源的</w:t>
                  </w:r>
                  <w:r>
                    <w:rPr>
                      <w:rFonts w:hint="default" w:ascii="Times New Roman" w:hAnsi="Times New Roman" w:eastAsia="宋体" w:cs="Times New Roman"/>
                      <w:color w:val="000000"/>
                      <w:spacing w:val="-48"/>
                      <w:sz w:val="21"/>
                      <w:szCs w:val="21"/>
                      <w:u w:val="none" w:color="auto"/>
                    </w:rPr>
                    <w:t xml:space="preserve"> </w:t>
                  </w:r>
                  <w:r>
                    <w:rPr>
                      <w:rFonts w:hint="default" w:ascii="Times New Roman" w:hAnsi="Times New Roman" w:eastAsia="Times New Roman" w:cs="Times New Roman"/>
                      <w:color w:val="000000"/>
                      <w:spacing w:val="3"/>
                      <w:sz w:val="21"/>
                      <w:szCs w:val="21"/>
                      <w:u w:val="none" w:color="auto"/>
                    </w:rPr>
                    <w:t>b&gt;a</w:t>
                  </w:r>
                  <w:r>
                    <w:rPr>
                      <w:rFonts w:hint="default" w:ascii="Times New Roman" w:hAnsi="Times New Roman" w:eastAsia="Times New Roman" w:cs="Times New Roman"/>
                      <w:color w:val="000000"/>
                      <w:spacing w:val="-20"/>
                      <w:sz w:val="21"/>
                      <w:szCs w:val="21"/>
                      <w:u w:val="none" w:color="auto"/>
                    </w:rPr>
                    <w:t xml:space="preserve"> </w:t>
                  </w:r>
                  <w:r>
                    <w:rPr>
                      <w:rFonts w:hint="default" w:ascii="Times New Roman" w:hAnsi="Times New Roman" w:eastAsia="宋体" w:cs="Times New Roman"/>
                      <w:color w:val="000000"/>
                      <w:spacing w:val="-20"/>
                      <w:sz w:val="21"/>
                      <w:szCs w:val="21"/>
                      <w:u w:val="none" w:color="auto"/>
                      <w:lang w:eastAsia="zh-CN"/>
                    </w:rPr>
                    <w:t>。</w:t>
                  </w:r>
                </w:p>
              </w:tc>
            </w:tr>
          </w:tbl>
          <w:p>
            <w:pPr>
              <w:spacing w:line="2810" w:lineRule="exact"/>
              <w:ind w:firstLine="777"/>
              <w:rPr>
                <w:color w:val="000000"/>
              </w:rPr>
            </w:pPr>
            <w:r>
              <w:rPr>
                <w:color w:val="000000"/>
                <w:position w:val="-56"/>
              </w:rPr>
              <w:drawing>
                <wp:anchor distT="0" distB="0" distL="114300" distR="114300" simplePos="0" relativeHeight="251660288" behindDoc="0" locked="0" layoutInCell="1" allowOverlap="1">
                  <wp:simplePos x="0" y="0"/>
                  <wp:positionH relativeFrom="column">
                    <wp:posOffset>579755</wp:posOffset>
                  </wp:positionH>
                  <wp:positionV relativeFrom="paragraph">
                    <wp:posOffset>198120</wp:posOffset>
                  </wp:positionV>
                  <wp:extent cx="4295775" cy="1784350"/>
                  <wp:effectExtent l="0" t="0" r="9525" b="6350"/>
                  <wp:wrapNone/>
                  <wp:docPr id="65" name="图片 32"/>
                  <wp:cNvGraphicFramePr/>
                  <a:graphic xmlns:a="http://schemas.openxmlformats.org/drawingml/2006/main">
                    <a:graphicData uri="http://schemas.openxmlformats.org/drawingml/2006/picture">
                      <pic:pic xmlns:pic="http://schemas.openxmlformats.org/drawingml/2006/picture">
                        <pic:nvPicPr>
                          <pic:cNvPr id="65" name="图片 32"/>
                          <pic:cNvPicPr/>
                        </pic:nvPicPr>
                        <pic:blipFill>
                          <a:blip r:embed="rId22"/>
                          <a:stretch>
                            <a:fillRect/>
                          </a:stretch>
                        </pic:blipFill>
                        <pic:spPr>
                          <a:xfrm>
                            <a:off x="0" y="0"/>
                            <a:ext cx="4295775" cy="1784350"/>
                          </a:xfrm>
                          <a:prstGeom prst="rect">
                            <a:avLst/>
                          </a:prstGeom>
                          <a:noFill/>
                          <a:ln>
                            <a:noFill/>
                          </a:ln>
                        </pic:spPr>
                      </pic:pic>
                    </a:graphicData>
                  </a:graphic>
                </wp:anchor>
              </w:drawing>
            </w:r>
          </w:p>
          <w:p>
            <w:pPr>
              <w:spacing w:line="360" w:lineRule="auto"/>
              <w:jc w:val="center"/>
              <w:rPr>
                <w:rFonts w:hint="eastAsia" w:ascii="Times New Roman" w:hAnsi="Times New Roman" w:eastAsia="宋体" w:cs="Times New Roman"/>
                <w:b/>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图4-2  长方形面声源中心轴线上的衰减特性</w:t>
            </w:r>
          </w:p>
          <w:p>
            <w:pPr>
              <w:keepNext w:val="0"/>
              <w:keepLines w:val="0"/>
              <w:pageBreakBefore w:val="0"/>
              <w:widowControl w:val="0"/>
              <w:kinsoku/>
              <w:wordWrap/>
              <w:overflowPunct/>
              <w:topLinePunct w:val="0"/>
              <w:autoSpaceDE/>
              <w:autoSpaceDN/>
              <w:bidi w:val="0"/>
              <w:adjustRightInd w:val="0"/>
              <w:snapToGrid/>
              <w:spacing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⑤屏障引起的衰减（Abar）</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default" w:ascii="Times New Roman" w:hAnsi="Times New Roman" w:eastAsia="宋体" w:cs="Times New Roman"/>
                <w:snapToGrid/>
                <w:color w:val="000000"/>
                <w:kern w:val="2"/>
                <w:sz w:val="24"/>
                <w:szCs w:val="24"/>
                <w:lang w:val="en-US" w:eastAsia="zh-CN" w:bidi="ar-SA"/>
              </w:rPr>
            </w:pPr>
            <w:r>
              <w:rPr>
                <w:rFonts w:hint="default" w:ascii="Times New Roman" w:hAnsi="Times New Roman" w:eastAsia="宋体" w:cs="Times New Roman"/>
                <w:snapToGrid/>
                <w:color w:val="000000"/>
                <w:kern w:val="2"/>
                <w:sz w:val="24"/>
                <w:szCs w:val="24"/>
                <w:lang w:val="en-US" w:eastAsia="zh-CN" w:bidi="ar-SA"/>
              </w:rPr>
              <w:t>主要考虑厂房衰减的计算，采用双绕射计算对于图</w:t>
            </w:r>
            <w:r>
              <w:rPr>
                <w:rFonts w:hint="eastAsia" w:ascii="Times New Roman" w:hAnsi="Times New Roman" w:eastAsia="宋体" w:cs="Times New Roman"/>
                <w:snapToGrid/>
                <w:color w:val="000000"/>
                <w:kern w:val="2"/>
                <w:sz w:val="24"/>
                <w:szCs w:val="24"/>
                <w:lang w:val="en-US" w:eastAsia="zh-CN" w:bidi="ar-SA"/>
              </w:rPr>
              <w:t>10</w:t>
            </w:r>
            <w:r>
              <w:rPr>
                <w:rFonts w:hint="default" w:ascii="Times New Roman" w:hAnsi="Times New Roman" w:eastAsia="宋体" w:cs="Times New Roman"/>
                <w:snapToGrid/>
                <w:color w:val="000000"/>
                <w:kern w:val="2"/>
                <w:sz w:val="24"/>
                <w:szCs w:val="24"/>
                <w:lang w:val="en-US" w:eastAsia="zh-CN" w:bidi="ar-SA"/>
              </w:rPr>
              <w:t>所示的双绕射情景，屏障衰减在双绕射（即厚屏障）情况，衰减最大取25dB。可由以下公式计算绕射声与直达声之间的声程差δ:</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drawing>
                <wp:inline distT="0" distB="0" distL="114300" distR="114300">
                  <wp:extent cx="5277485" cy="464185"/>
                  <wp:effectExtent l="0" t="0" r="18415" b="12065"/>
                  <wp:docPr id="66" name="图片 22"/>
                  <wp:cNvGraphicFramePr/>
                  <a:graphic xmlns:a="http://schemas.openxmlformats.org/drawingml/2006/main">
                    <a:graphicData uri="http://schemas.openxmlformats.org/drawingml/2006/picture">
                      <pic:pic xmlns:pic="http://schemas.openxmlformats.org/drawingml/2006/picture">
                        <pic:nvPicPr>
                          <pic:cNvPr id="66" name="图片 22"/>
                          <pic:cNvPicPr/>
                        </pic:nvPicPr>
                        <pic:blipFill>
                          <a:blip r:embed="rId23"/>
                          <a:stretch>
                            <a:fillRect/>
                          </a:stretch>
                        </pic:blipFill>
                        <pic:spPr>
                          <a:xfrm>
                            <a:off x="0" y="0"/>
                            <a:ext cx="5277485" cy="46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t>式中：a—声源和接收点之间的距离在平行于屏障上边界的投影长度，m。</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t>dss—声源到第一绕射边的距离，m。</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hint="eastAsia" w:ascii="Times New Roman" w:hAnsi="Times New Roman" w:eastAsia="宋体" w:cs="Times New Roman"/>
                <w:snapToGrid/>
                <w:color w:val="000000"/>
                <w:kern w:val="2"/>
                <w:sz w:val="24"/>
                <w:szCs w:val="24"/>
                <w:lang w:val="en-US" w:eastAsia="zh-CN" w:bidi="ar-SA"/>
              </w:rPr>
            </w:pPr>
            <w:r>
              <w:rPr>
                <w:rFonts w:hint="eastAsia" w:ascii="Times New Roman" w:hAnsi="Times New Roman" w:eastAsia="宋体" w:cs="Times New Roman"/>
                <w:snapToGrid/>
                <w:color w:val="000000"/>
                <w:kern w:val="2"/>
                <w:sz w:val="24"/>
                <w:szCs w:val="24"/>
                <w:lang w:val="en-US" w:eastAsia="zh-CN" w:bidi="ar-SA"/>
              </w:rPr>
              <w:t>dsr—（第二）绕射边到接收点的距离，m。</w:t>
            </w:r>
          </w:p>
          <w:p>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jc w:val="both"/>
              <w:textAlignment w:val="auto"/>
              <w:rPr>
                <w:rFonts w:ascii="宋体" w:hAnsi="宋体" w:eastAsia="宋体" w:cs="宋体"/>
                <w:color w:val="000000"/>
                <w:sz w:val="24"/>
                <w:szCs w:val="24"/>
              </w:rPr>
            </w:pPr>
            <w:r>
              <w:rPr>
                <w:rFonts w:hint="eastAsia" w:ascii="Times New Roman" w:hAnsi="Times New Roman" w:eastAsia="宋体" w:cs="Times New Roman"/>
                <w:snapToGrid/>
                <w:color w:val="000000"/>
                <w:kern w:val="2"/>
                <w:sz w:val="24"/>
                <w:szCs w:val="24"/>
                <w:lang w:val="en-US" w:eastAsia="zh-CN" w:bidi="ar-SA"/>
              </w:rPr>
              <w:t>e—在双绕射情况下两个绕射边界之间的距离，m</w:t>
            </w:r>
            <w:r>
              <w:rPr>
                <w:rFonts w:hint="eastAsia" w:cs="Times New Roman"/>
                <w:snapToGrid/>
                <w:color w:val="000000"/>
                <w:kern w:val="2"/>
                <w:sz w:val="24"/>
                <w:szCs w:val="24"/>
                <w:lang w:val="en-US" w:eastAsia="zh-CN" w:bidi="ar-SA"/>
              </w:rPr>
              <w:t>.</w:t>
            </w:r>
          </w:p>
          <w:p>
            <w:pPr>
              <w:spacing w:before="144" w:line="2388" w:lineRule="exact"/>
              <w:ind w:firstLine="1120"/>
              <w:rPr>
                <w:color w:val="000000"/>
              </w:rPr>
            </w:pPr>
            <w:r>
              <w:rPr>
                <w:color w:val="000000"/>
                <w:position w:val="-47"/>
              </w:rPr>
              <w:drawing>
                <wp:inline distT="0" distB="0" distL="114300" distR="114300">
                  <wp:extent cx="3867785" cy="1515745"/>
                  <wp:effectExtent l="0" t="0" r="18415" b="8255"/>
                  <wp:docPr id="67" name="图片 23"/>
                  <wp:cNvGraphicFramePr/>
                  <a:graphic xmlns:a="http://schemas.openxmlformats.org/drawingml/2006/main">
                    <a:graphicData uri="http://schemas.openxmlformats.org/drawingml/2006/picture">
                      <pic:pic xmlns:pic="http://schemas.openxmlformats.org/drawingml/2006/picture">
                        <pic:nvPicPr>
                          <pic:cNvPr id="67" name="图片 23"/>
                          <pic:cNvPicPr/>
                        </pic:nvPicPr>
                        <pic:blipFill>
                          <a:blip r:embed="rId24"/>
                          <a:stretch>
                            <a:fillRect/>
                          </a:stretch>
                        </pic:blipFill>
                        <pic:spPr>
                          <a:xfrm>
                            <a:off x="0" y="0"/>
                            <a:ext cx="3867785" cy="1515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图4-3  双绕射情景示意图</w:t>
            </w:r>
          </w:p>
          <w:p>
            <w:pPr>
              <w:pStyle w:val="177"/>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w:t>
            </w:r>
            <w:r>
              <w:rPr>
                <w:rFonts w:hint="eastAsia" w:ascii="Times New Roman" w:hAnsi="Times New Roman" w:eastAsia="宋体" w:cs="Times New Roman"/>
                <w:color w:val="000000"/>
                <w:lang w:val="en-US" w:eastAsia="zh-CN"/>
              </w:rPr>
              <w:t>3</w:t>
            </w:r>
            <w:r>
              <w:rPr>
                <w:rFonts w:hint="eastAsia" w:ascii="Times New Roman" w:hAnsi="Times New Roman" w:cs="Times New Roman"/>
                <w:color w:val="000000"/>
                <w:lang w:val="en-US" w:eastAsia="zh-CN"/>
              </w:rPr>
              <w:t>）</w:t>
            </w:r>
            <w:r>
              <w:rPr>
                <w:rFonts w:hint="default" w:ascii="Times New Roman" w:hAnsi="Times New Roman" w:eastAsia="宋体" w:cs="Times New Roman"/>
                <w:color w:val="000000"/>
                <w:lang w:val="en-US" w:eastAsia="zh-CN"/>
              </w:rPr>
              <w:t>噪声预测结果分析与评价</w:t>
            </w:r>
            <w:bookmarkEnd w:id="23"/>
            <w:bookmarkEnd w:id="24"/>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通过预测，正常工况下厂界噪声贡献值预测结果见表</w:t>
            </w:r>
            <w:r>
              <w:rPr>
                <w:rFonts w:hint="eastAsia" w:ascii="Times New Roman" w:hAnsi="Times New Roman" w:cs="Times New Roman"/>
                <w:color w:val="000000"/>
                <w:sz w:val="24"/>
                <w:lang w:val="en-US" w:eastAsia="zh-CN"/>
              </w:rPr>
              <w:t>4-</w:t>
            </w:r>
            <w:r>
              <w:rPr>
                <w:rFonts w:hint="eastAsia" w:cs="Times New Roman"/>
                <w:color w:val="000000"/>
                <w:sz w:val="24"/>
                <w:lang w:val="en-US" w:eastAsia="zh-CN"/>
              </w:rPr>
              <w:t>6</w:t>
            </w:r>
            <w:r>
              <w:rPr>
                <w:rFonts w:hint="default" w:ascii="Times New Roman" w:hAnsi="Times New Roman" w:cs="Times New Roman"/>
                <w:color w:val="000000"/>
                <w:sz w:val="24"/>
              </w:rPr>
              <w:t>。</w:t>
            </w:r>
          </w:p>
          <w:p>
            <w:pPr>
              <w:pStyle w:val="68"/>
              <w:keepNext w:val="0"/>
              <w:keepLines w:val="0"/>
              <w:pageBreakBefore w:val="0"/>
              <w:widowControl w:val="0"/>
              <w:kinsoku/>
              <w:wordWrap/>
              <w:overflowPunct w:val="0"/>
              <w:topLinePunct w:val="0"/>
              <w:autoSpaceDE w:val="0"/>
              <w:autoSpaceDN w:val="0"/>
              <w:bidi w:val="0"/>
              <w:adjustRightInd w:val="0"/>
              <w:snapToGrid w:val="0"/>
              <w:spacing w:before="0" w:beforeLines="0" w:line="36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4-6</w:t>
            </w:r>
            <w:r>
              <w:rPr>
                <w:rFonts w:hint="default" w:ascii="Times New Roman" w:hAnsi="Times New Roman" w:eastAsia="宋体" w:cs="Times New Roman"/>
                <w:b/>
                <w:bCs/>
                <w:color w:val="auto"/>
                <w:kern w:val="2"/>
                <w:sz w:val="21"/>
                <w:szCs w:val="21"/>
                <w:highlight w:val="none"/>
                <w:lang w:val="en-US" w:eastAsia="zh-CN" w:bidi="ar-SA"/>
              </w:rPr>
              <w:t xml:space="preserve">  厂界噪声贡献值预测结果一览表</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28"/>
              <w:gridCol w:w="852"/>
              <w:gridCol w:w="801"/>
              <w:gridCol w:w="981"/>
              <w:gridCol w:w="1398"/>
              <w:gridCol w:w="1400"/>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预测方位</w:t>
                  </w:r>
                </w:p>
              </w:tc>
              <w:tc>
                <w:tcPr>
                  <w:tcW w:w="147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空间相对位置/m</w:t>
                  </w:r>
                </w:p>
              </w:tc>
              <w:tc>
                <w:tcPr>
                  <w:tcW w:w="5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时段</w:t>
                  </w:r>
                </w:p>
              </w:tc>
              <w:tc>
                <w:tcPr>
                  <w:tcW w:w="8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lang w:val="en-US" w:eastAsia="zh-CN"/>
                    </w:rPr>
                    <w:t>贡献值</w:t>
                  </w:r>
                  <w:r>
                    <w:rPr>
                      <w:rFonts w:hint="default" w:ascii="Times New Roman" w:hAnsi="Times New Roman" w:eastAsia="宋体" w:cs="Times New Roman"/>
                      <w:b w:val="0"/>
                      <w:bCs/>
                      <w:color w:val="000000"/>
                      <w:sz w:val="21"/>
                      <w:szCs w:val="21"/>
                      <w:highlight w:val="none"/>
                    </w:rPr>
                    <w:t>（dB(A)）</w:t>
                  </w:r>
                </w:p>
              </w:tc>
              <w:tc>
                <w:tcPr>
                  <w:tcW w:w="8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标准限值（dB(A)）</w:t>
                  </w:r>
                </w:p>
              </w:tc>
              <w:tc>
                <w:tcPr>
                  <w:tcW w:w="6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X</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Y</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Z</w:t>
                  </w:r>
                </w:p>
              </w:tc>
              <w:tc>
                <w:tcPr>
                  <w:tcW w:w="5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p>
              </w:tc>
              <w:tc>
                <w:tcPr>
                  <w:tcW w:w="8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p>
              </w:tc>
              <w:tc>
                <w:tcPr>
                  <w:tcW w:w="6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东侧</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66.70</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-00.58</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1.2</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昼间</w:t>
                  </w:r>
                </w:p>
              </w:tc>
              <w:tc>
                <w:tcPr>
                  <w:tcW w:w="830" w:type="pct"/>
                  <w:tcBorders>
                    <w:tl2br w:val="nil"/>
                    <w:tr2bl w:val="nil"/>
                  </w:tcBorders>
                  <w:noWrap w:val="0"/>
                  <w:vAlign w:val="center"/>
                </w:tcPr>
                <w:p>
                  <w:pPr>
                    <w:pStyle w:val="56"/>
                    <w:ind w:left="-120" w:leftChars="0" w:right="-120" w:rightChars="0" w:firstLine="90" w:firstLineChars="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40.32</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65</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南侧</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33.45</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-48.19</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1.2</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昼间</w:t>
                  </w:r>
                </w:p>
              </w:tc>
              <w:tc>
                <w:tcPr>
                  <w:tcW w:w="830" w:type="pct"/>
                  <w:tcBorders>
                    <w:tl2br w:val="nil"/>
                    <w:tr2bl w:val="nil"/>
                  </w:tcBorders>
                  <w:noWrap w:val="0"/>
                  <w:vAlign w:val="center"/>
                </w:tcPr>
                <w:p>
                  <w:pPr>
                    <w:pStyle w:val="56"/>
                    <w:ind w:left="-120" w:leftChars="0" w:right="-120" w:rightChars="0" w:firstLine="90" w:firstLineChars="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41.24</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65</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西侧</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rPr>
                  </w:pPr>
                  <w:r>
                    <w:rPr>
                      <w:rFonts w:hint="eastAsia" w:ascii="Times New Roman" w:hAnsi="Times New Roman" w:eastAsia="宋体" w:cs="Times New Roman"/>
                      <w:b w:val="0"/>
                      <w:bCs/>
                      <w:color w:val="000000"/>
                      <w:sz w:val="21"/>
                      <w:szCs w:val="21"/>
                      <w:highlight w:val="none"/>
                      <w:lang w:val="en-US" w:eastAsia="zh-CN"/>
                    </w:rPr>
                    <w:t>52.42</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rPr>
                  </w:pPr>
                  <w:r>
                    <w:rPr>
                      <w:rFonts w:hint="eastAsia" w:ascii="Times New Roman" w:hAnsi="Times New Roman" w:eastAsia="宋体" w:cs="Times New Roman"/>
                      <w:b w:val="0"/>
                      <w:bCs/>
                      <w:color w:val="000000"/>
                      <w:sz w:val="21"/>
                      <w:szCs w:val="21"/>
                      <w:highlight w:val="none"/>
                      <w:lang w:val="en-US" w:eastAsia="zh-CN"/>
                    </w:rPr>
                    <w:t>-56.32</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sz w:val="21"/>
                      <w:szCs w:val="21"/>
                      <w:highlight w:val="none"/>
                      <w:lang w:val="en-US" w:eastAsia="zh-CN"/>
                    </w:rPr>
                    <w:t>1.2</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昼间</w:t>
                  </w:r>
                </w:p>
              </w:tc>
              <w:tc>
                <w:tcPr>
                  <w:tcW w:w="830" w:type="pct"/>
                  <w:tcBorders>
                    <w:tl2br w:val="nil"/>
                    <w:tr2bl w:val="nil"/>
                  </w:tcBorders>
                  <w:noWrap w:val="0"/>
                  <w:vAlign w:val="center"/>
                </w:tcPr>
                <w:p>
                  <w:pPr>
                    <w:pStyle w:val="56"/>
                    <w:ind w:left="-120" w:leftChars="0" w:right="-120" w:rightChars="0" w:firstLine="90" w:firstLineChars="0"/>
                    <w:rPr>
                      <w:rFonts w:hint="default" w:ascii="Times New Roman" w:hAnsi="Times New Roman" w:eastAsia="宋体" w:cs="Times New Roman"/>
                      <w:b w:val="0"/>
                      <w:bCs/>
                      <w:color w:val="000000"/>
                      <w:sz w:val="21"/>
                      <w:szCs w:val="21"/>
                      <w:highlight w:val="none"/>
                      <w:lang w:val="en-US"/>
                    </w:rPr>
                  </w:pPr>
                  <w:r>
                    <w:rPr>
                      <w:rFonts w:hint="eastAsia" w:ascii="Times New Roman" w:hAnsi="Times New Roman" w:eastAsia="宋体" w:cs="Times New Roman"/>
                      <w:b w:val="0"/>
                      <w:bCs/>
                      <w:color w:val="000000"/>
                      <w:sz w:val="21"/>
                      <w:szCs w:val="21"/>
                      <w:highlight w:val="none"/>
                      <w:lang w:val="en-US" w:eastAsia="zh-CN"/>
                    </w:rPr>
                    <w:t>45.53</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65</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北侧</w:t>
                  </w:r>
                </w:p>
              </w:tc>
              <w:tc>
                <w:tcPr>
                  <w:tcW w:w="4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71.32</w:t>
                  </w:r>
                </w:p>
              </w:tc>
              <w:tc>
                <w:tcPr>
                  <w:tcW w:w="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-48.34</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sz w:val="21"/>
                      <w:szCs w:val="21"/>
                      <w:highlight w:val="none"/>
                      <w:lang w:val="en-US" w:eastAsia="zh-CN"/>
                    </w:rPr>
                    <w:t>1.2</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昼间</w:t>
                  </w:r>
                </w:p>
              </w:tc>
              <w:tc>
                <w:tcPr>
                  <w:tcW w:w="830" w:type="pct"/>
                  <w:tcBorders>
                    <w:tl2br w:val="nil"/>
                    <w:tr2bl w:val="nil"/>
                  </w:tcBorders>
                  <w:noWrap w:val="0"/>
                  <w:vAlign w:val="center"/>
                </w:tcPr>
                <w:p>
                  <w:pPr>
                    <w:pStyle w:val="56"/>
                    <w:ind w:left="-120" w:leftChars="0" w:right="-120" w:rightChars="0" w:firstLine="90" w:firstLineChars="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47.11</w:t>
                  </w:r>
                </w:p>
              </w:tc>
              <w:tc>
                <w:tcPr>
                  <w:tcW w:w="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65</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before="78" w:beforeLines="25" w:line="360" w:lineRule="auto"/>
              <w:ind w:firstLine="480" w:firstLineChars="200"/>
              <w:textAlignment w:val="auto"/>
              <w:rPr>
                <w:rFonts w:hint="default" w:ascii="Times New Roman" w:hAnsi="Times New Roman"/>
                <w:color w:val="000000"/>
                <w:sz w:val="24"/>
                <w:szCs w:val="24"/>
                <w:highlight w:val="none"/>
                <w:lang w:val="en-US" w:eastAsia="zh-CN"/>
              </w:rPr>
            </w:pPr>
            <w:r>
              <w:rPr>
                <w:rFonts w:hint="default" w:ascii="Times New Roman" w:hAnsi="Times New Roman" w:cs="Times New Roman"/>
                <w:color w:val="000000"/>
                <w:sz w:val="24"/>
              </w:rPr>
              <w:t>经预测，正常运行工况下，厂界噪声贡献值范围</w:t>
            </w:r>
            <w:r>
              <w:rPr>
                <w:rFonts w:hint="eastAsia" w:ascii="Times New Roman" w:hAnsi="Times New Roman" w:cs="Times New Roman"/>
                <w:color w:val="000000"/>
                <w:sz w:val="24"/>
                <w:lang w:val="en-US" w:eastAsia="zh-CN"/>
              </w:rPr>
              <w:t>40.32</w:t>
            </w:r>
            <w:r>
              <w:rPr>
                <w:rFonts w:hint="default" w:ascii="Times New Roman" w:hAnsi="Times New Roman" w:cs="Times New Roman"/>
                <w:color w:val="000000"/>
                <w:sz w:val="24"/>
              </w:rPr>
              <w:t>~</w:t>
            </w:r>
            <w:r>
              <w:rPr>
                <w:rFonts w:hint="eastAsia" w:ascii="Times New Roman" w:hAnsi="Times New Roman" w:cs="Times New Roman"/>
                <w:color w:val="000000"/>
                <w:sz w:val="24"/>
                <w:lang w:val="en-US" w:eastAsia="zh-CN"/>
              </w:rPr>
              <w:t>47.11</w:t>
            </w:r>
            <w:r>
              <w:rPr>
                <w:rFonts w:hint="default" w:ascii="Times New Roman" w:hAnsi="Times New Roman" w:cs="Times New Roman"/>
                <w:color w:val="000000"/>
                <w:sz w:val="24"/>
              </w:rPr>
              <w:t>dB(A)，均满足《工业企业厂界环境噪声排放标准》</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GB12348-2008</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3类区标准限值</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昼间65dB(A)、夜间55dB(A)</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要求</w:t>
            </w:r>
            <w:r>
              <w:rPr>
                <w:rFonts w:hint="eastAsia" w:ascii="Times New Roman" w:hAnsi="Times New Roman"/>
                <w:color w:val="000000"/>
                <w:sz w:val="24"/>
                <w:szCs w:val="24"/>
                <w:highlight w:val="none"/>
                <w:lang w:val="en-US" w:eastAsia="zh-CN"/>
              </w:rPr>
              <w:t>。</w:t>
            </w:r>
          </w:p>
          <w:p>
            <w:pPr>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4.4噪声监测要求</w:t>
            </w:r>
          </w:p>
          <w:p>
            <w:pPr>
              <w:pStyle w:val="66"/>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根据《排污单位自行监测技术指南总则》（HJ819-2017）本项目环保监测计划见下表。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表4-</w:t>
            </w:r>
            <w:r>
              <w:rPr>
                <w:rFonts w:hint="eastAsia" w:ascii="Times New Roman" w:hAnsi="Times New Roman" w:eastAsia="宋体" w:cs="Times New Roman"/>
                <w:b/>
                <w:bCs/>
                <w:color w:val="000000"/>
                <w:sz w:val="21"/>
                <w:szCs w:val="21"/>
                <w:highlight w:val="none"/>
                <w:lang w:val="en-US" w:eastAsia="zh-CN"/>
              </w:rPr>
              <w:t>7</w:t>
            </w:r>
            <w:r>
              <w:rPr>
                <w:rFonts w:hint="default" w:ascii="Times New Roman" w:hAnsi="Times New Roman" w:eastAsia="宋体" w:cs="Times New Roman"/>
                <w:b/>
                <w:bCs/>
                <w:color w:val="000000"/>
                <w:sz w:val="21"/>
                <w:szCs w:val="21"/>
                <w:highlight w:val="none"/>
                <w:lang w:val="en-US" w:eastAsia="zh-CN"/>
              </w:rPr>
              <w:t xml:space="preserve">  运营期噪声监测计划</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88"/>
              <w:gridCol w:w="1376"/>
              <w:gridCol w:w="1463"/>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89" w:type="pct"/>
                  <w:tcBorders>
                    <w:tl2br w:val="nil"/>
                    <w:tr2bl w:val="nil"/>
                  </w:tcBorders>
                  <w:vAlign w:val="center"/>
                </w:tcPr>
                <w:p>
                  <w:pPr>
                    <w:spacing w:line="0" w:lineRule="atLeast"/>
                    <w:ind w:left="151" w:leftChars="7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001" w:type="pct"/>
                  <w:tcBorders>
                    <w:tl2br w:val="nil"/>
                    <w:tr2bl w:val="nil"/>
                  </w:tcBorders>
                  <w:vAlign w:val="center"/>
                </w:tcPr>
                <w:p>
                  <w:pPr>
                    <w:spacing w:line="0" w:lineRule="atLeast"/>
                    <w:ind w:left="151" w:leftChars="7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监测点名称</w:t>
                  </w:r>
                </w:p>
              </w:tc>
              <w:tc>
                <w:tcPr>
                  <w:tcW w:w="816" w:type="pct"/>
                  <w:tcBorders>
                    <w:tl2br w:val="nil"/>
                    <w:tr2bl w:val="nil"/>
                  </w:tcBorders>
                  <w:vAlign w:val="center"/>
                </w:tcPr>
                <w:p>
                  <w:pPr>
                    <w:spacing w:line="0" w:lineRule="atLeast"/>
                    <w:ind w:left="151" w:leftChars="7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监测项目</w:t>
                  </w:r>
                </w:p>
              </w:tc>
              <w:tc>
                <w:tcPr>
                  <w:tcW w:w="867" w:type="pct"/>
                  <w:tcBorders>
                    <w:tl2br w:val="nil"/>
                    <w:tr2bl w:val="nil"/>
                  </w:tcBorders>
                  <w:vAlign w:val="center"/>
                </w:tcPr>
                <w:p>
                  <w:pPr>
                    <w:spacing w:line="0" w:lineRule="atLeast"/>
                    <w:ind w:left="151" w:leftChars="7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监测频率</w:t>
                  </w:r>
                </w:p>
              </w:tc>
              <w:tc>
                <w:tcPr>
                  <w:tcW w:w="1725" w:type="pct"/>
                  <w:tcBorders>
                    <w:tl2br w:val="nil"/>
                    <w:tr2bl w:val="nil"/>
                  </w:tcBorders>
                  <w:vAlign w:val="center"/>
                </w:tcPr>
                <w:p>
                  <w:pPr>
                    <w:ind w:left="151" w:leftChars="7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89" w:type="pct"/>
                  <w:tcBorders>
                    <w:tl2br w:val="nil"/>
                    <w:tr2bl w:val="nil"/>
                  </w:tcBorders>
                  <w:vAlign w:val="center"/>
                </w:tcPr>
                <w:p>
                  <w:pPr>
                    <w:spacing w:line="0" w:lineRule="atLeast"/>
                    <w:ind w:left="151" w:leftChars="72"/>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1001" w:type="pct"/>
                  <w:tcBorders>
                    <w:tl2br w:val="nil"/>
                    <w:tr2bl w:val="nil"/>
                  </w:tcBorders>
                  <w:vAlign w:val="center"/>
                </w:tcPr>
                <w:p>
                  <w:pPr>
                    <w:spacing w:line="0" w:lineRule="atLeast"/>
                    <w:ind w:left="151" w:leftChars="72"/>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厂区周围设4个点</w:t>
                  </w:r>
                </w:p>
              </w:tc>
              <w:tc>
                <w:tcPr>
                  <w:tcW w:w="816" w:type="pct"/>
                  <w:tcBorders>
                    <w:tl2br w:val="nil"/>
                    <w:tr2bl w:val="nil"/>
                  </w:tcBorders>
                  <w:vAlign w:val="center"/>
                </w:tcPr>
                <w:p>
                  <w:pPr>
                    <w:pStyle w:val="6"/>
                    <w:adjustRightInd w:val="0"/>
                    <w:snapToGrid w:val="0"/>
                    <w:spacing w:line="0" w:lineRule="atLeast"/>
                    <w:ind w:left="151" w:leftChars="72"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等效声级LeqdB（A）</w:t>
                  </w:r>
                </w:p>
              </w:tc>
              <w:tc>
                <w:tcPr>
                  <w:tcW w:w="867" w:type="pct"/>
                  <w:tcBorders>
                    <w:tl2br w:val="nil"/>
                    <w:tr2bl w:val="nil"/>
                  </w:tcBorders>
                  <w:vAlign w:val="center"/>
                </w:tcPr>
                <w:p>
                  <w:pPr>
                    <w:ind w:left="151" w:leftChars="72"/>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每</w:t>
                  </w:r>
                  <w:r>
                    <w:rPr>
                      <w:rFonts w:hint="default" w:ascii="Times New Roman" w:hAnsi="Times New Roman" w:eastAsia="宋体" w:cs="Times New Roman"/>
                      <w:color w:val="auto"/>
                      <w:szCs w:val="21"/>
                      <w:highlight w:val="none"/>
                      <w:lang w:val="en-US" w:eastAsia="zh-CN"/>
                    </w:rPr>
                    <w:t>季度</w:t>
                  </w:r>
                  <w:r>
                    <w:rPr>
                      <w:rFonts w:hint="default" w:ascii="Times New Roman" w:hAnsi="Times New Roman" w:eastAsia="宋体" w:cs="Times New Roman"/>
                      <w:color w:val="auto"/>
                      <w:szCs w:val="21"/>
                      <w:highlight w:val="none"/>
                    </w:rPr>
                    <w:t>1次</w:t>
                  </w:r>
                </w:p>
              </w:tc>
              <w:tc>
                <w:tcPr>
                  <w:tcW w:w="1725" w:type="pct"/>
                  <w:tcBorders>
                    <w:tl2br w:val="nil"/>
                    <w:tr2bl w:val="nil"/>
                  </w:tcBorders>
                  <w:vAlign w:val="center"/>
                </w:tcPr>
                <w:p>
                  <w:pPr>
                    <w:ind w:left="151" w:leftChars="72"/>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snapToGrid w:val="0"/>
                      <w:color w:val="auto"/>
                      <w:kern w:val="0"/>
                      <w:szCs w:val="21"/>
                      <w:highlight w:val="none"/>
                    </w:rPr>
                    <w:t>《工业企业厂界环境噪声排放标准》</w:t>
                  </w:r>
                  <w:r>
                    <w:rPr>
                      <w:rFonts w:hint="default" w:ascii="Times New Roman" w:hAnsi="Times New Roman" w:eastAsia="宋体" w:cs="Times New Roman"/>
                      <w:snapToGrid w:val="0"/>
                      <w:color w:val="auto"/>
                      <w:kern w:val="0"/>
                      <w:szCs w:val="21"/>
                      <w:highlight w:val="none"/>
                      <w:lang w:eastAsia="zh-CN"/>
                    </w:rPr>
                    <w:t>（GB12348-2008）2类标准</w:t>
                  </w:r>
                </w:p>
              </w:tc>
            </w:tr>
          </w:tbl>
          <w:p>
            <w:pPr>
              <w:pStyle w:val="4"/>
              <w:spacing w:before="0" w:after="0" w:line="360" w:lineRule="auto"/>
              <w:jc w:val="left"/>
              <w:rPr>
                <w:rFonts w:hint="default" w:ascii="Times New Roman" w:hAnsi="Times New Roman" w:eastAsia="宋体" w:cs="Times New Roman"/>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sz w:val="24"/>
                <w:highlight w:val="none"/>
                <w:lang w:val="en-US" w:eastAsia="zh-CN" w:bidi="ar"/>
              </w:rPr>
            </w:pPr>
            <w:r>
              <w:rPr>
                <w:rFonts w:hint="eastAsia" w:ascii="Times New Roman" w:hAnsi="Times New Roman" w:cs="Times New Roman"/>
                <w:b/>
                <w:color w:val="000000"/>
                <w:sz w:val="24"/>
                <w:highlight w:val="none"/>
                <w:lang w:val="en-US" w:eastAsia="zh-CN" w:bidi="ar"/>
              </w:rPr>
              <w:t>5</w:t>
            </w:r>
            <w:r>
              <w:rPr>
                <w:rFonts w:hint="default" w:ascii="Times New Roman" w:hAnsi="Times New Roman" w:cs="Times New Roman"/>
                <w:b/>
                <w:color w:val="000000"/>
                <w:sz w:val="24"/>
                <w:highlight w:val="none"/>
                <w:lang w:bidi="ar"/>
              </w:rPr>
              <w:t>、地下水</w:t>
            </w:r>
            <w:r>
              <w:rPr>
                <w:rFonts w:hint="eastAsia" w:cs="Times New Roman"/>
                <w:b/>
                <w:color w:val="000000"/>
                <w:sz w:val="24"/>
                <w:highlight w:val="none"/>
                <w:lang w:val="en-US" w:eastAsia="zh-CN" w:bidi="ar"/>
              </w:rPr>
              <w:t>污染防治措施</w:t>
            </w:r>
          </w:p>
          <w:p>
            <w:pPr>
              <w:pStyle w:val="2"/>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480" w:firstLineChars="200"/>
              <w:textAlignment w:val="auto"/>
              <w:rPr>
                <w:rFonts w:ascii="Times New Roman" w:hAnsi="Times New Roman"/>
                <w:color w:val="auto"/>
                <w:sz w:val="24"/>
                <w:szCs w:val="24"/>
                <w:u w:val="none"/>
              </w:rPr>
            </w:pPr>
            <w:r>
              <w:rPr>
                <w:rFonts w:ascii="Times New Roman" w:hAnsi="Times New Roman"/>
                <w:color w:val="auto"/>
                <w:sz w:val="24"/>
                <w:szCs w:val="24"/>
                <w:u w:val="none"/>
              </w:rPr>
              <w:t>根据《环境影响评价技术导则</w:t>
            </w:r>
            <w:r>
              <w:rPr>
                <w:rFonts w:hint="eastAsia" w:ascii="Times New Roman" w:hAnsi="Times New Roman"/>
                <w:color w:val="auto"/>
                <w:sz w:val="24"/>
                <w:szCs w:val="24"/>
                <w:u w:val="none"/>
                <w:lang w:val="en-US" w:eastAsia="zh-CN"/>
              </w:rPr>
              <w:t xml:space="preserve"> </w:t>
            </w:r>
            <w:r>
              <w:rPr>
                <w:rFonts w:ascii="Times New Roman" w:hAnsi="Times New Roman"/>
                <w:color w:val="auto"/>
                <w:sz w:val="24"/>
                <w:szCs w:val="24"/>
                <w:u w:val="none"/>
              </w:rPr>
              <w:t>地下水环境》（HJ610-2016）建设项目分类，</w:t>
            </w:r>
            <w:r>
              <w:rPr>
                <w:rFonts w:hint="eastAsia" w:ascii="Times New Roman" w:hAnsi="Times New Roman"/>
                <w:color w:val="auto"/>
                <w:sz w:val="24"/>
                <w:szCs w:val="24"/>
                <w:u w:val="none"/>
                <w:lang w:eastAsia="zh-CN"/>
              </w:rPr>
              <w:t>本</w:t>
            </w:r>
            <w:r>
              <w:rPr>
                <w:rFonts w:ascii="Times New Roman" w:hAnsi="Times New Roman"/>
                <w:color w:val="auto"/>
                <w:sz w:val="24"/>
                <w:szCs w:val="24"/>
                <w:u w:val="none"/>
              </w:rPr>
              <w:t>项目属于</w:t>
            </w:r>
            <w:r>
              <w:rPr>
                <w:rFonts w:hint="eastAsia" w:ascii="Times New Roman" w:hAnsi="Times New Roman"/>
                <w:color w:val="auto"/>
                <w:sz w:val="24"/>
                <w:szCs w:val="24"/>
                <w:u w:val="none"/>
                <w:lang w:eastAsia="zh-CN"/>
              </w:rPr>
              <w:t>“</w:t>
            </w:r>
            <w:r>
              <w:rPr>
                <w:rFonts w:hint="eastAsia" w:ascii="Times New Roman" w:hAnsi="Times New Roman"/>
                <w:color w:val="auto"/>
                <w:sz w:val="24"/>
                <w:szCs w:val="24"/>
                <w:u w:val="none"/>
                <w:lang w:val="en-US" w:eastAsia="zh-CN"/>
              </w:rPr>
              <w:t>I 金属制品</w:t>
            </w:r>
            <w:r>
              <w:rPr>
                <w:rFonts w:ascii="Times New Roman" w:hAnsi="Times New Roman"/>
                <w:color w:val="auto"/>
                <w:sz w:val="24"/>
                <w:szCs w:val="24"/>
                <w:u w:val="none"/>
              </w:rPr>
              <w:t>-</w:t>
            </w:r>
            <w:r>
              <w:rPr>
                <w:rFonts w:hint="eastAsia" w:ascii="Times New Roman" w:hAnsi="Times New Roman"/>
                <w:color w:val="auto"/>
                <w:sz w:val="24"/>
                <w:szCs w:val="24"/>
                <w:u w:val="none"/>
                <w:lang w:val="en-US" w:eastAsia="zh-CN"/>
              </w:rPr>
              <w:t>53、金属制品加工制造</w:t>
            </w:r>
            <w:r>
              <w:rPr>
                <w:rFonts w:hint="eastAsia"/>
                <w:color w:val="auto"/>
                <w:sz w:val="24"/>
                <w:szCs w:val="24"/>
                <w:u w:val="none"/>
                <w:lang w:val="en-US" w:eastAsia="zh-CN"/>
              </w:rPr>
              <w:t>－</w:t>
            </w:r>
            <w:r>
              <w:rPr>
                <w:rFonts w:hint="eastAsia" w:ascii="Times New Roman" w:hAnsi="Times New Roman"/>
                <w:color w:val="auto"/>
                <w:sz w:val="24"/>
                <w:szCs w:val="24"/>
                <w:u w:val="none"/>
                <w:lang w:val="en-US" w:eastAsia="zh-CN"/>
              </w:rPr>
              <w:t>其他</w:t>
            </w:r>
            <w:r>
              <w:rPr>
                <w:rFonts w:hint="eastAsia" w:ascii="Times New Roman" w:hAnsi="Times New Roman"/>
                <w:color w:val="auto"/>
                <w:sz w:val="24"/>
                <w:szCs w:val="24"/>
                <w:u w:val="none"/>
                <w:lang w:eastAsia="zh-CN"/>
              </w:rPr>
              <w:t>”</w:t>
            </w:r>
            <w:r>
              <w:rPr>
                <w:rFonts w:ascii="Times New Roman" w:hAnsi="Times New Roman"/>
                <w:color w:val="auto"/>
                <w:sz w:val="24"/>
                <w:szCs w:val="24"/>
                <w:u w:val="none"/>
              </w:rPr>
              <w:t>，地下水环境影响评价项目类别</w:t>
            </w:r>
            <w:r>
              <w:rPr>
                <w:rFonts w:hint="eastAsia" w:ascii="Times New Roman" w:hAnsi="Times New Roman"/>
                <w:color w:val="auto"/>
                <w:sz w:val="24"/>
                <w:szCs w:val="24"/>
                <w:u w:val="none"/>
                <w:lang w:eastAsia="zh-CN"/>
              </w:rPr>
              <w:t>均</w:t>
            </w:r>
            <w:r>
              <w:rPr>
                <w:rFonts w:ascii="Times New Roman" w:hAnsi="Times New Roman"/>
                <w:color w:val="auto"/>
                <w:sz w:val="24"/>
                <w:szCs w:val="24"/>
                <w:u w:val="none"/>
              </w:rPr>
              <w:t>为</w:t>
            </w:r>
            <w:r>
              <w:rPr>
                <w:rFonts w:hint="eastAsia" w:ascii="宋体" w:hAnsi="宋体" w:eastAsia="宋体" w:cs="宋体"/>
                <w:color w:val="auto"/>
                <w:kern w:val="0"/>
                <w:sz w:val="24"/>
                <w:szCs w:val="24"/>
                <w:u w:val="none"/>
                <w:lang w:val="en-US" w:eastAsia="zh-CN"/>
              </w:rPr>
              <w:t>Ⅳ</w:t>
            </w:r>
            <w:r>
              <w:rPr>
                <w:rFonts w:ascii="Times New Roman" w:hAnsi="Times New Roman"/>
                <w:color w:val="auto"/>
                <w:sz w:val="24"/>
                <w:szCs w:val="24"/>
                <w:u w:val="none"/>
              </w:rPr>
              <w:t>类，可不开展地下水环境影响评价，本次评价仅对地下水影响进行简要分析。</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项目可能对地下水和土壤造成污染的途径主要是</w:t>
            </w:r>
            <w:r>
              <w:rPr>
                <w:rFonts w:hint="eastAsia" w:cs="Times New Roman"/>
                <w:color w:val="000000"/>
                <w:sz w:val="24"/>
                <w:highlight w:val="none"/>
                <w:lang w:val="en-US" w:eastAsia="zh-CN"/>
              </w:rPr>
              <w:t>油类物质（拉丝油、废机油）</w:t>
            </w:r>
            <w:r>
              <w:rPr>
                <w:rFonts w:hint="default" w:ascii="Times New Roman" w:hAnsi="Times New Roman" w:eastAsia="宋体" w:cs="Times New Roman"/>
                <w:color w:val="000000"/>
                <w:sz w:val="24"/>
                <w:highlight w:val="none"/>
                <w:lang w:val="en-US" w:eastAsia="zh-CN"/>
              </w:rPr>
              <w:t>泄漏后通过垂直渗透进入包气带，进入包气带的污染物在物理、化学和生物作用下经吸附、转化、迁移和分解后输入地下水。</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ascii="Times New Roman" w:hAnsi="Times New Roman"/>
                <w:color w:val="auto"/>
                <w:sz w:val="24"/>
                <w:szCs w:val="24"/>
                <w:u w:val="none"/>
              </w:rPr>
              <w:t>项目区域地下水可能受污染情况为项目</w:t>
            </w:r>
            <w:r>
              <w:rPr>
                <w:rFonts w:hint="eastAsia"/>
                <w:color w:val="auto"/>
                <w:sz w:val="24"/>
                <w:szCs w:val="24"/>
                <w:u w:val="none"/>
                <w:lang w:eastAsia="zh-CN"/>
              </w:rPr>
              <w:t>拉丝油池</w:t>
            </w:r>
            <w:r>
              <w:rPr>
                <w:rFonts w:ascii="Times New Roman" w:hAnsi="Times New Roman"/>
                <w:color w:val="auto"/>
                <w:sz w:val="24"/>
                <w:szCs w:val="24"/>
                <w:u w:val="none"/>
              </w:rPr>
              <w:t>破损，</w:t>
            </w:r>
            <w:r>
              <w:rPr>
                <w:rFonts w:hint="eastAsia"/>
                <w:color w:val="auto"/>
                <w:sz w:val="24"/>
                <w:szCs w:val="24"/>
                <w:u w:val="none"/>
                <w:lang w:eastAsia="zh-CN"/>
              </w:rPr>
              <w:t>拉丝油池</w:t>
            </w:r>
            <w:r>
              <w:rPr>
                <w:rFonts w:ascii="Times New Roman" w:hAnsi="Times New Roman"/>
                <w:color w:val="auto"/>
                <w:sz w:val="24"/>
                <w:szCs w:val="24"/>
                <w:u w:val="none"/>
              </w:rPr>
              <w:t>水泄漏至土壤从而进入地下水；</w:t>
            </w:r>
            <w:r>
              <w:rPr>
                <w:rFonts w:hint="eastAsia" w:ascii="Times New Roman" w:hAnsi="Times New Roman"/>
                <w:color w:val="auto"/>
                <w:sz w:val="24"/>
                <w:szCs w:val="24"/>
                <w:u w:val="none"/>
              </w:rPr>
              <w:t>项目对</w:t>
            </w:r>
            <w:r>
              <w:rPr>
                <w:rFonts w:hint="eastAsia"/>
                <w:color w:val="auto"/>
                <w:sz w:val="24"/>
                <w:szCs w:val="24"/>
                <w:u w:val="none"/>
                <w:lang w:eastAsia="zh-CN"/>
              </w:rPr>
              <w:t>拉丝油池</w:t>
            </w:r>
            <w:r>
              <w:rPr>
                <w:rFonts w:hint="eastAsia" w:ascii="Times New Roman" w:hAnsi="Times New Roman"/>
                <w:color w:val="auto"/>
                <w:sz w:val="24"/>
                <w:szCs w:val="24"/>
                <w:u w:val="none"/>
              </w:rPr>
              <w:t>周围及底部采取</w:t>
            </w:r>
            <w:r>
              <w:rPr>
                <w:rFonts w:hint="eastAsia" w:ascii="Times New Roman" w:hAnsi="Times New Roman"/>
                <w:color w:val="auto"/>
                <w:sz w:val="24"/>
                <w:szCs w:val="24"/>
                <w:u w:val="none"/>
                <w:lang w:val="en-US" w:eastAsia="zh-CN"/>
              </w:rPr>
              <w:t>重点防渗，抗渗混凝土（厚度不宜小于150mm）+HDPE防渗涂层（厚度不小于2mm）结构形式，防渗结构层渗透系数不应大于1.0×10</w:t>
            </w:r>
            <w:r>
              <w:rPr>
                <w:rFonts w:hint="eastAsia" w:ascii="Times New Roman" w:hAnsi="Times New Roman"/>
                <w:color w:val="auto"/>
                <w:sz w:val="24"/>
                <w:szCs w:val="24"/>
                <w:u w:val="none"/>
                <w:vertAlign w:val="superscript"/>
                <w:lang w:val="en-US" w:eastAsia="zh-CN"/>
              </w:rPr>
              <w:t>-10</w:t>
            </w:r>
            <w:r>
              <w:rPr>
                <w:rFonts w:hint="eastAsia" w:ascii="Times New Roman" w:hAnsi="Times New Roman"/>
                <w:color w:val="auto"/>
                <w:sz w:val="24"/>
                <w:szCs w:val="24"/>
                <w:u w:val="none"/>
                <w:vertAlign w:val="baseline"/>
                <w:lang w:val="en-US" w:eastAsia="zh-CN"/>
              </w:rPr>
              <w:t>cm/s</w:t>
            </w:r>
            <w:r>
              <w:rPr>
                <w:rFonts w:hint="eastAsia" w:ascii="Times New Roman" w:hAnsi="Times New Roman"/>
                <w:color w:val="auto"/>
                <w:sz w:val="24"/>
                <w:szCs w:val="24"/>
                <w:u w:val="none"/>
                <w:lang w:eastAsia="zh-CN"/>
              </w:rPr>
              <w:t>。</w:t>
            </w:r>
          </w:p>
          <w:p>
            <w:pPr>
              <w:keepNext w:val="0"/>
              <w:keepLines w:val="0"/>
              <w:pageBreakBefore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项目</w:t>
            </w:r>
            <w:r>
              <w:rPr>
                <w:rFonts w:hint="default" w:ascii="Times New Roman" w:hAnsi="Times New Roman" w:cs="Times New Roman"/>
                <w:color w:val="000000"/>
                <w:sz w:val="24"/>
                <w:highlight w:val="none"/>
                <w:lang w:val="en-US" w:eastAsia="zh-CN"/>
              </w:rPr>
              <w:t>危废暂存间</w:t>
            </w:r>
            <w:r>
              <w:rPr>
                <w:rFonts w:hint="default" w:ascii="Times New Roman" w:hAnsi="Times New Roman" w:cs="Times New Roman"/>
                <w:color w:val="000000"/>
                <w:sz w:val="24"/>
                <w:highlight w:val="none"/>
              </w:rPr>
              <w:t>地面进行防渗处理，</w:t>
            </w:r>
            <w:r>
              <w:rPr>
                <w:rFonts w:hint="eastAsia" w:ascii="Times New Roman" w:hAnsi="Times New Roman" w:cs="Times New Roman"/>
                <w:color w:val="000000"/>
                <w:sz w:val="24"/>
                <w:highlight w:val="none"/>
                <w:lang w:val="en-US" w:eastAsia="zh-CN"/>
              </w:rPr>
              <w:t>在</w:t>
            </w:r>
            <w:r>
              <w:rPr>
                <w:rFonts w:hint="default" w:ascii="Times New Roman" w:hAnsi="Times New Roman" w:eastAsia="宋体" w:cs="Times New Roman"/>
                <w:color w:val="000000"/>
                <w:sz w:val="24"/>
                <w:szCs w:val="24"/>
                <w:highlight w:val="none"/>
                <w:lang w:val="en-US" w:eastAsia="zh-CN"/>
              </w:rPr>
              <w:t>现有</w:t>
            </w:r>
            <w:r>
              <w:rPr>
                <w:rFonts w:hint="eastAsia" w:ascii="Times New Roman" w:hAnsi="Times New Roman" w:eastAsia="宋体" w:cs="Times New Roman"/>
                <w:color w:val="000000"/>
                <w:sz w:val="24"/>
                <w:szCs w:val="24"/>
                <w:highlight w:val="none"/>
                <w:lang w:val="en-US" w:eastAsia="zh-CN"/>
              </w:rPr>
              <w:t>车间</w:t>
            </w:r>
            <w:r>
              <w:rPr>
                <w:rFonts w:hint="default" w:ascii="Times New Roman" w:hAnsi="Times New Roman" w:eastAsia="宋体" w:cs="Times New Roman"/>
                <w:color w:val="000000"/>
                <w:sz w:val="24"/>
                <w:szCs w:val="24"/>
                <w:highlight w:val="none"/>
                <w:lang w:val="en-US" w:eastAsia="zh-CN"/>
              </w:rPr>
              <w:t>地面基础上采用丙纶防渗材料进行2层防渗漏处理</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敷设并涂刷环氧树脂，</w:t>
            </w:r>
            <w:r>
              <w:rPr>
                <w:rFonts w:hint="default" w:ascii="Times New Roman" w:hAnsi="Times New Roman" w:eastAsia="宋体" w:cs="Times New Roman"/>
                <w:color w:val="000000"/>
                <w:sz w:val="24"/>
                <w:szCs w:val="24"/>
                <w:highlight w:val="none"/>
                <w:lang w:eastAsia="zh-CN"/>
              </w:rPr>
              <w:t>做</w:t>
            </w:r>
            <w:r>
              <w:rPr>
                <w:rFonts w:hint="default" w:ascii="Times New Roman" w:hAnsi="Times New Roman" w:eastAsia="宋体" w:cs="Times New Roman"/>
                <w:color w:val="000000"/>
                <w:sz w:val="24"/>
                <w:szCs w:val="24"/>
                <w:highlight w:val="none"/>
                <w:lang w:val="en-US" w:eastAsia="zh-CN"/>
              </w:rPr>
              <w:t>50cm高的防渗裙角，</w:t>
            </w:r>
            <w:r>
              <w:rPr>
                <w:rFonts w:hint="default" w:ascii="Times New Roman" w:hAnsi="Times New Roman" w:eastAsia="宋体" w:cs="Times New Roman"/>
                <w:color w:val="000000"/>
                <w:sz w:val="24"/>
                <w:highlight w:val="none"/>
              </w:rPr>
              <w:t>渗透系数K≤1×10</w:t>
            </w:r>
            <w:r>
              <w:rPr>
                <w:rFonts w:hint="default" w:ascii="Times New Roman" w:hAnsi="Times New Roman" w:eastAsia="宋体" w:cs="Times New Roman"/>
                <w:color w:val="000000"/>
                <w:sz w:val="24"/>
                <w:highlight w:val="none"/>
                <w:vertAlign w:val="superscript"/>
              </w:rPr>
              <w:t>-10</w:t>
            </w:r>
            <w:r>
              <w:rPr>
                <w:rFonts w:hint="default" w:ascii="Times New Roman" w:hAnsi="Times New Roman" w:eastAsia="宋体" w:cs="Times New Roman"/>
                <w:color w:val="000000"/>
                <w:sz w:val="24"/>
                <w:highlight w:val="none"/>
              </w:rPr>
              <w:t>cm/s</w:t>
            </w:r>
            <w:r>
              <w:rPr>
                <w:rFonts w:hint="default"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000000"/>
                <w:sz w:val="24"/>
                <w:highlight w:val="none"/>
                <w:lang w:val="en-US" w:eastAsia="zh-CN"/>
              </w:rPr>
              <w:t>暂存间</w:t>
            </w:r>
            <w:r>
              <w:rPr>
                <w:rFonts w:hint="default" w:ascii="Times New Roman" w:hAnsi="Times New Roman" w:eastAsia="宋体" w:cs="Times New Roman"/>
                <w:color w:val="000000"/>
                <w:sz w:val="24"/>
                <w:highlight w:val="none"/>
                <w:lang w:val="en-US" w:eastAsia="zh-CN"/>
              </w:rPr>
              <w:t>设置废液收集池，地面、导流槽和废液收集池全部进行防渗处理，渗透系数≤1×10</w:t>
            </w:r>
            <w:r>
              <w:rPr>
                <w:rFonts w:hint="default" w:ascii="Times New Roman" w:hAnsi="Times New Roman" w:eastAsia="宋体" w:cs="Times New Roman"/>
                <w:color w:val="000000"/>
                <w:sz w:val="24"/>
                <w:highlight w:val="none"/>
                <w:vertAlign w:val="superscript"/>
                <w:lang w:val="en-US" w:eastAsia="zh-CN"/>
              </w:rPr>
              <w:t>-10</w:t>
            </w:r>
            <w:r>
              <w:rPr>
                <w:rFonts w:hint="default" w:ascii="Times New Roman" w:hAnsi="Times New Roman" w:eastAsia="宋体" w:cs="Times New Roman"/>
                <w:color w:val="000000"/>
                <w:sz w:val="24"/>
                <w:highlight w:val="none"/>
                <w:lang w:val="en-US" w:eastAsia="zh-CN"/>
              </w:rPr>
              <w:t>cm/s。</w:t>
            </w:r>
            <w:r>
              <w:rPr>
                <w:rFonts w:hint="eastAsia" w:ascii="Times New Roman" w:hAnsi="Times New Roman" w:eastAsia="宋体" w:cs="Times New Roman"/>
                <w:color w:val="000000"/>
                <w:sz w:val="24"/>
                <w:highlight w:val="none"/>
                <w:lang w:val="en-US" w:eastAsia="zh-CN"/>
              </w:rPr>
              <w:t>同时项目生产区地面设置防渗措施：</w:t>
            </w:r>
            <w:r>
              <w:rPr>
                <w:rFonts w:hint="default" w:ascii="Times New Roman" w:hAnsi="Times New Roman" w:eastAsia="宋体" w:cs="Times New Roman"/>
                <w:color w:val="000000"/>
                <w:sz w:val="24"/>
                <w:szCs w:val="24"/>
                <w:highlight w:val="none"/>
                <w:lang w:val="en-US" w:eastAsia="zh-CN"/>
              </w:rPr>
              <w:t>地面基础上采用丙纶防渗材料进行2层防渗漏处理</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敷设并涂刷环氧树脂，</w:t>
            </w:r>
            <w:r>
              <w:rPr>
                <w:rFonts w:hint="default" w:ascii="Times New Roman" w:hAnsi="Times New Roman" w:eastAsia="宋体" w:cs="Times New Roman"/>
                <w:color w:val="000000"/>
                <w:sz w:val="24"/>
                <w:highlight w:val="none"/>
              </w:rPr>
              <w:t>渗透系数K≤1×10</w:t>
            </w:r>
            <w:r>
              <w:rPr>
                <w:rFonts w:hint="default" w:ascii="Times New Roman" w:hAnsi="Times New Roman" w:eastAsia="宋体" w:cs="Times New Roman"/>
                <w:color w:val="000000"/>
                <w:sz w:val="24"/>
                <w:highlight w:val="none"/>
                <w:vertAlign w:val="superscript"/>
              </w:rPr>
              <w:t>-10</w:t>
            </w:r>
            <w:r>
              <w:rPr>
                <w:rFonts w:hint="default" w:ascii="Times New Roman" w:hAnsi="Times New Roman" w:eastAsia="宋体" w:cs="Times New Roman"/>
                <w:color w:val="000000"/>
                <w:sz w:val="24"/>
                <w:highlight w:val="none"/>
              </w:rPr>
              <w:t>cm/s</w:t>
            </w:r>
            <w:r>
              <w:rPr>
                <w:rFonts w:hint="eastAsia" w:ascii="Times New Roman" w:hAnsi="Times New Roman" w:eastAsia="宋体" w:cs="Times New Roman"/>
                <w:color w:val="000000"/>
                <w:sz w:val="24"/>
                <w:highlight w:val="none"/>
                <w:lang w:eastAsia="zh-CN"/>
              </w:rPr>
              <w:t>。</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项目储存场地按照</w:t>
            </w:r>
            <w:r>
              <w:rPr>
                <w:rFonts w:hint="eastAsia" w:ascii="Times New Roman" w:hAnsi="Times New Roman" w:eastAsia="宋体" w:cs="Times New Roman"/>
                <w:color w:val="000000"/>
                <w:sz w:val="24"/>
                <w:highlight w:val="none"/>
                <w:lang w:val="en-US" w:eastAsia="zh-CN"/>
              </w:rPr>
              <w:t>《危险废物贮存污染控制标准》（GB 18597-2023）</w:t>
            </w:r>
            <w:r>
              <w:rPr>
                <w:rFonts w:hint="default" w:ascii="Times New Roman" w:hAnsi="Times New Roman" w:eastAsia="宋体" w:cs="Times New Roman"/>
                <w:color w:val="000000"/>
                <w:sz w:val="24"/>
                <w:highlight w:val="none"/>
                <w:lang w:val="en-US" w:eastAsia="zh-CN"/>
              </w:rPr>
              <w:t xml:space="preserve">、《环境影响评价技术导则 地下水环境》（HJ 610-2016）要求进行建设，正常状况下，运营期不会对地下水和土壤造成污染。 </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运营期非正常状况主要指库内地面、</w:t>
            </w:r>
            <w:r>
              <w:rPr>
                <w:rFonts w:hint="eastAsia" w:cs="Times New Roman"/>
                <w:color w:val="000000"/>
                <w:sz w:val="24"/>
                <w:highlight w:val="none"/>
                <w:lang w:val="en-US" w:eastAsia="zh-CN"/>
              </w:rPr>
              <w:t>拉丝油池、</w:t>
            </w:r>
            <w:r>
              <w:rPr>
                <w:rFonts w:hint="default" w:ascii="Times New Roman" w:hAnsi="Times New Roman" w:eastAsia="宋体" w:cs="Times New Roman"/>
                <w:color w:val="000000"/>
                <w:sz w:val="24"/>
                <w:highlight w:val="none"/>
                <w:lang w:val="en-US" w:eastAsia="zh-CN"/>
              </w:rPr>
              <w:t>导流槽、废液收集池出现破损或其他原因出现漏洞等情景。本项目为防止上述情景出现，要求加强防渗工程建设要求及加强运营期间的管理。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（1）源头控制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 xml:space="preserve">本项目正常状况下不产生废水。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lang w:val="en-US"/>
              </w:rPr>
            </w:pPr>
            <w:r>
              <w:rPr>
                <w:rFonts w:hint="default" w:ascii="Times New Roman" w:hAnsi="Times New Roman" w:eastAsia="宋体" w:cs="Times New Roman"/>
                <w:color w:val="000000"/>
                <w:sz w:val="24"/>
                <w:highlight w:val="none"/>
                <w:lang w:val="en-US" w:eastAsia="zh-CN"/>
              </w:rPr>
              <w:t>项目建设及防渗工程严格按照</w:t>
            </w:r>
            <w:r>
              <w:rPr>
                <w:rFonts w:hint="eastAsia" w:ascii="Times New Roman" w:hAnsi="Times New Roman"/>
                <w:color w:val="000000"/>
                <w:sz w:val="24"/>
                <w:highlight w:val="none"/>
                <w:lang w:eastAsia="zh-CN"/>
              </w:rPr>
              <w:t>《危险废物贮存污染控制标准》（GB 18597-2023）</w:t>
            </w:r>
            <w:r>
              <w:rPr>
                <w:rFonts w:hint="default" w:ascii="Times New Roman" w:hAnsi="Times New Roman" w:eastAsia="宋体" w:cs="Times New Roman"/>
                <w:color w:val="000000"/>
                <w:sz w:val="24"/>
                <w:highlight w:val="none"/>
                <w:lang w:val="en-US" w:eastAsia="zh-CN"/>
              </w:rPr>
              <w:t>及《环境影响评价技术导则 地下水环境》（HJ 610-2016）要求建设，</w:t>
            </w:r>
            <w:r>
              <w:rPr>
                <w:rFonts w:hint="eastAsia" w:ascii="Times New Roman" w:hAnsi="Times New Roman" w:eastAsia="宋体" w:cs="Times New Roman"/>
                <w:color w:val="000000"/>
                <w:sz w:val="24"/>
                <w:highlight w:val="none"/>
                <w:lang w:val="en-US" w:eastAsia="zh-CN"/>
              </w:rPr>
              <w:t>危废暂存间</w:t>
            </w:r>
            <w:r>
              <w:rPr>
                <w:rFonts w:hint="default" w:ascii="Times New Roman" w:hAnsi="Times New Roman" w:eastAsia="宋体" w:cs="Times New Roman"/>
                <w:color w:val="000000"/>
                <w:sz w:val="24"/>
                <w:highlight w:val="none"/>
                <w:lang w:val="en-US" w:eastAsia="zh-CN"/>
              </w:rPr>
              <w:t>四周设置围堰及导流槽，设置废液收集池，地面、导流槽及事故池全部进行防渗处理，渗透系数K≤1×10</w:t>
            </w:r>
            <w:r>
              <w:rPr>
                <w:rFonts w:hint="default" w:ascii="Times New Roman" w:hAnsi="Times New Roman" w:eastAsia="宋体" w:cs="Times New Roman"/>
                <w:color w:val="000000"/>
                <w:sz w:val="24"/>
                <w:highlight w:val="none"/>
                <w:vertAlign w:val="superscript"/>
                <w:lang w:val="en-US" w:eastAsia="zh-CN"/>
              </w:rPr>
              <w:t>-10</w:t>
            </w:r>
            <w:r>
              <w:rPr>
                <w:rFonts w:hint="default" w:ascii="Times New Roman" w:hAnsi="Times New Roman" w:eastAsia="宋体" w:cs="Times New Roman"/>
                <w:color w:val="000000"/>
                <w:sz w:val="24"/>
                <w:highlight w:val="none"/>
                <w:lang w:val="en-US" w:eastAsia="zh-CN"/>
              </w:rPr>
              <w:t>cm/s</w:t>
            </w:r>
            <w:r>
              <w:rPr>
                <w:rFonts w:hint="eastAsia" w:ascii="Times New Roman" w:hAnsi="Times New Roman" w:eastAsia="宋体" w:cs="Times New Roman"/>
                <w:color w:val="000000"/>
                <w:sz w:val="24"/>
                <w:highlight w:val="none"/>
                <w:lang w:val="en-US" w:eastAsia="zh-CN"/>
              </w:rPr>
              <w:t>；</w:t>
            </w:r>
            <w:r>
              <w:rPr>
                <w:rFonts w:hint="eastAsia" w:cs="Times New Roman"/>
                <w:color w:val="000000"/>
                <w:sz w:val="24"/>
                <w:highlight w:val="none"/>
                <w:lang w:val="en-US" w:eastAsia="zh-CN"/>
              </w:rPr>
              <w:t>拉丝生产区</w:t>
            </w:r>
            <w:r>
              <w:rPr>
                <w:rFonts w:hint="eastAsia" w:ascii="Times New Roman" w:hAnsi="Times New Roman" w:eastAsia="宋体" w:cs="Times New Roman"/>
                <w:color w:val="000000"/>
                <w:sz w:val="24"/>
                <w:highlight w:val="none"/>
                <w:lang w:val="en-US" w:eastAsia="zh-CN"/>
              </w:rPr>
              <w:t>地面设置防渗层，</w:t>
            </w:r>
            <w:r>
              <w:rPr>
                <w:rFonts w:hint="default" w:ascii="Times New Roman" w:hAnsi="Times New Roman" w:eastAsia="宋体" w:cs="Times New Roman"/>
                <w:color w:val="000000"/>
                <w:sz w:val="24"/>
                <w:highlight w:val="none"/>
                <w:lang w:val="en-US" w:eastAsia="zh-CN"/>
              </w:rPr>
              <w:t>渗透系数K≤1×10</w:t>
            </w:r>
            <w:r>
              <w:rPr>
                <w:rFonts w:hint="default" w:ascii="Times New Roman" w:hAnsi="Times New Roman" w:eastAsia="宋体" w:cs="Times New Roman"/>
                <w:color w:val="000000"/>
                <w:sz w:val="24"/>
                <w:highlight w:val="none"/>
                <w:vertAlign w:val="superscript"/>
                <w:lang w:val="en-US" w:eastAsia="zh-CN"/>
              </w:rPr>
              <w:t>-10</w:t>
            </w:r>
            <w:r>
              <w:rPr>
                <w:rFonts w:hint="default" w:ascii="Times New Roman" w:hAnsi="Times New Roman" w:eastAsia="宋体" w:cs="Times New Roman"/>
                <w:color w:val="000000"/>
                <w:sz w:val="24"/>
                <w:highlight w:val="none"/>
                <w:lang w:val="en-US" w:eastAsia="zh-CN"/>
              </w:rPr>
              <w:t>cm/s</w:t>
            </w:r>
            <w:r>
              <w:rPr>
                <w:rFonts w:hint="eastAsia" w:cs="Times New Roman"/>
                <w:color w:val="000000"/>
                <w:sz w:val="24"/>
                <w:highlight w:val="none"/>
                <w:lang w:val="en-US" w:eastAsia="zh-CN"/>
              </w:rPr>
              <w:t>；拉丝油池设置</w:t>
            </w:r>
            <w:r>
              <w:rPr>
                <w:rFonts w:hint="eastAsia" w:ascii="Times New Roman" w:hAnsi="Times New Roman" w:eastAsia="宋体" w:cs="Times New Roman"/>
                <w:color w:val="000000"/>
                <w:sz w:val="24"/>
                <w:highlight w:val="none"/>
                <w:lang w:val="en-US" w:eastAsia="zh-CN"/>
              </w:rPr>
              <w:t>防渗层，</w:t>
            </w:r>
            <w:r>
              <w:rPr>
                <w:rFonts w:hint="default" w:ascii="Times New Roman" w:hAnsi="Times New Roman" w:eastAsia="宋体" w:cs="Times New Roman"/>
                <w:color w:val="000000"/>
                <w:sz w:val="24"/>
                <w:highlight w:val="none"/>
                <w:lang w:val="en-US" w:eastAsia="zh-CN"/>
              </w:rPr>
              <w:t>渗透系数K≤1×10</w:t>
            </w:r>
            <w:r>
              <w:rPr>
                <w:rFonts w:hint="default" w:ascii="Times New Roman" w:hAnsi="Times New Roman" w:eastAsia="宋体" w:cs="Times New Roman"/>
                <w:color w:val="000000"/>
                <w:sz w:val="24"/>
                <w:highlight w:val="none"/>
                <w:vertAlign w:val="superscript"/>
                <w:lang w:val="en-US" w:eastAsia="zh-CN"/>
              </w:rPr>
              <w:t>-10</w:t>
            </w:r>
            <w:r>
              <w:rPr>
                <w:rFonts w:hint="default" w:ascii="Times New Roman" w:hAnsi="Times New Roman" w:eastAsia="宋体" w:cs="Times New Roman"/>
                <w:color w:val="000000"/>
                <w:sz w:val="24"/>
                <w:highlight w:val="none"/>
                <w:lang w:val="en-US" w:eastAsia="zh-CN"/>
              </w:rPr>
              <w:t>cm/s</w:t>
            </w:r>
            <w:r>
              <w:rPr>
                <w:rFonts w:hint="eastAsia" w:ascii="Times New Roman" w:hAnsi="Times New Roman" w:eastAsia="宋体" w:cs="Times New Roman"/>
                <w:color w:val="00000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 xml:space="preserve">（2）分区防控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 xml:space="preserve">评价要求建设单位加强监督管理，将污染物的跑、冒、滴、漏降到最低限度。同时根据建设项目场地天然包气带防污性能、污染控制难易程度和污染物特性，对项目不同场地提出分区防渗要求。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w:t>
            </w:r>
            <w:r>
              <w:rPr>
                <w:rFonts w:hint="eastAsia" w:ascii="Times New Roman" w:hAnsi="Times New Roman" w:eastAsia="宋体" w:cs="Times New Roman"/>
                <w:b/>
                <w:bCs/>
                <w:color w:val="000000"/>
                <w:sz w:val="21"/>
                <w:szCs w:val="21"/>
                <w:highlight w:val="none"/>
                <w:lang w:val="en-US" w:eastAsia="zh-CN"/>
              </w:rPr>
              <w:t>4-8</w:t>
            </w:r>
            <w:r>
              <w:rPr>
                <w:rFonts w:hint="default" w:ascii="Times New Roman" w:hAnsi="Times New Roman" w:eastAsia="宋体" w:cs="Times New Roman"/>
                <w:b/>
                <w:bCs/>
                <w:color w:val="000000"/>
                <w:sz w:val="21"/>
                <w:szCs w:val="21"/>
                <w:highlight w:val="none"/>
                <w:lang w:val="en-US" w:eastAsia="zh-CN"/>
              </w:rPr>
              <w:t xml:space="preserve">   地下水防渗分区参照表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237"/>
              <w:gridCol w:w="4305"/>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dxa"/>
                  <w:tcBorders>
                    <w:tl2br w:val="nil"/>
                    <w:tr2bl w:val="nil"/>
                  </w:tcBorders>
                  <w:noWrap w:val="0"/>
                  <w:vAlign w:val="center"/>
                </w:tcPr>
                <w:p>
                  <w:pPr>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防渗区</w:t>
                  </w:r>
                </w:p>
              </w:tc>
              <w:tc>
                <w:tcPr>
                  <w:tcW w:w="1237" w:type="dxa"/>
                  <w:tcBorders>
                    <w:tl2br w:val="nil"/>
                    <w:tr2bl w:val="nil"/>
                  </w:tcBorders>
                  <w:noWrap w:val="0"/>
                  <w:vAlign w:val="center"/>
                </w:tcPr>
                <w:p>
                  <w:pPr>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防渗单元</w:t>
                  </w:r>
                </w:p>
              </w:tc>
              <w:tc>
                <w:tcPr>
                  <w:tcW w:w="4305" w:type="dxa"/>
                  <w:tcBorders>
                    <w:tl2br w:val="nil"/>
                    <w:tr2bl w:val="nil"/>
                  </w:tcBorders>
                  <w:noWrap w:val="0"/>
                  <w:vAlign w:val="center"/>
                </w:tcPr>
                <w:p>
                  <w:pPr>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防渗措施</w:t>
                  </w:r>
                </w:p>
              </w:tc>
              <w:tc>
                <w:tcPr>
                  <w:tcW w:w="1847" w:type="dxa"/>
                  <w:tcBorders>
                    <w:tl2br w:val="nil"/>
                    <w:tr2bl w:val="nil"/>
                  </w:tcBorders>
                  <w:noWrap w:val="0"/>
                  <w:vAlign w:val="center"/>
                </w:tcPr>
                <w:p>
                  <w:pPr>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dxa"/>
                  <w:tcBorders>
                    <w:tl2br w:val="nil"/>
                    <w:tr2bl w:val="nil"/>
                  </w:tcBorders>
                  <w:noWrap w:val="0"/>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重点防渗区</w:t>
                  </w:r>
                </w:p>
              </w:tc>
              <w:tc>
                <w:tcPr>
                  <w:tcW w:w="1237"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危险废物暂存间</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拉丝生产区地面、拉丝油池</w:t>
                  </w:r>
                </w:p>
              </w:tc>
              <w:tc>
                <w:tcPr>
                  <w:tcW w:w="4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rPr>
                    <w:t>①按</w:t>
                  </w:r>
                  <w:r>
                    <w:rPr>
                      <w:rFonts w:hint="default" w:ascii="Times New Roman" w:hAnsi="Times New Roman" w:cs="Times New Roman"/>
                      <w:color w:val="000000"/>
                      <w:sz w:val="21"/>
                      <w:szCs w:val="21"/>
                      <w:highlight w:val="none"/>
                      <w:lang w:eastAsia="zh-CN"/>
                    </w:rPr>
                    <w:t>《危险废物贮存污染控制标准》（GB 18597-2023）</w:t>
                  </w:r>
                  <w:r>
                    <w:rPr>
                      <w:rFonts w:hint="default" w:ascii="Times New Roman" w:hAnsi="Times New Roman" w:cs="Times New Roman"/>
                      <w:color w:val="000000"/>
                      <w:sz w:val="21"/>
                      <w:szCs w:val="21"/>
                      <w:highlight w:val="none"/>
                    </w:rPr>
                    <w:t>进行设计：</w:t>
                  </w:r>
                  <w:r>
                    <w:rPr>
                      <w:rFonts w:hint="default" w:ascii="Times New Roman" w:hAnsi="Times New Roman" w:cs="Times New Roman"/>
                      <w:color w:val="000000"/>
                      <w:sz w:val="21"/>
                      <w:szCs w:val="21"/>
                      <w:highlight w:val="none"/>
                      <w:shd w:val="clear" w:color="auto" w:fill="auto"/>
                      <w:lang w:val="en-US" w:eastAsia="zh-CN"/>
                    </w:rPr>
                    <w:t>防渗层由下到上分别为</w:t>
                  </w:r>
                  <w:r>
                    <w:rPr>
                      <w:rFonts w:hint="default" w:ascii="Times New Roman" w:hAnsi="Times New Roman" w:eastAsia="宋体" w:cs="Times New Roman"/>
                      <w:color w:val="000000"/>
                      <w:sz w:val="21"/>
                      <w:szCs w:val="21"/>
                      <w:highlight w:val="none"/>
                      <w:shd w:val="clear" w:color="auto" w:fill="auto"/>
                      <w:lang w:val="en-US" w:eastAsia="zh-CN"/>
                    </w:rPr>
                    <w:t>2层丙纶防渗材料</w:t>
                  </w:r>
                  <w:r>
                    <w:rPr>
                      <w:rFonts w:hint="default" w:ascii="Times New Roman" w:hAnsi="Times New Roman" w:cs="Times New Roman"/>
                      <w:color w:val="000000"/>
                      <w:sz w:val="21"/>
                      <w:szCs w:val="21"/>
                      <w:highlight w:val="none"/>
                      <w:shd w:val="clear" w:color="auto" w:fill="auto"/>
                      <w:lang w:val="en-US" w:eastAsia="zh-CN"/>
                    </w:rPr>
                    <w:t>、上</w:t>
                  </w:r>
                  <w:r>
                    <w:rPr>
                      <w:rFonts w:hint="default" w:ascii="Times New Roman" w:hAnsi="Times New Roman" w:eastAsia="宋体" w:cs="Times New Roman"/>
                      <w:color w:val="000000"/>
                      <w:sz w:val="21"/>
                      <w:szCs w:val="21"/>
                      <w:highlight w:val="none"/>
                      <w:shd w:val="clear" w:color="auto" w:fill="auto"/>
                      <w:lang w:val="en-US" w:eastAsia="zh-CN"/>
                    </w:rPr>
                    <w:t>敷环氧树脂</w:t>
                  </w:r>
                  <w:r>
                    <w:rPr>
                      <w:rFonts w:hint="default" w:ascii="Times New Roman" w:hAnsi="Times New Roman" w:eastAsia="宋体" w:cs="Times New Roman"/>
                      <w:color w:val="000000"/>
                      <w:sz w:val="21"/>
                      <w:szCs w:val="21"/>
                      <w:highlight w:val="none"/>
                      <w:lang w:val="en-US" w:eastAsia="zh-CN"/>
                    </w:rPr>
                    <w:t>。裙角为50cm高的防渗裙角，</w:t>
                  </w:r>
                  <w:r>
                    <w:rPr>
                      <w:rFonts w:hint="default" w:ascii="Times New Roman" w:hAnsi="Times New Roman" w:eastAsia="宋体" w:cs="Times New Roman"/>
                      <w:color w:val="000000"/>
                      <w:sz w:val="21"/>
                      <w:szCs w:val="21"/>
                      <w:highlight w:val="none"/>
                      <w:lang w:eastAsia="zh-CN"/>
                    </w:rPr>
                    <w:t>危废暂存间内墙边四周</w:t>
                  </w:r>
                  <w:r>
                    <w:rPr>
                      <w:rFonts w:hint="default" w:ascii="Times New Roman" w:hAnsi="Times New Roman" w:cs="Times New Roman"/>
                      <w:color w:val="000000"/>
                      <w:sz w:val="21"/>
                      <w:szCs w:val="21"/>
                      <w:highlight w:val="none"/>
                    </w:rPr>
                    <w:t>设置</w:t>
                  </w:r>
                  <w:r>
                    <w:rPr>
                      <w:rFonts w:hint="default" w:ascii="Times New Roman" w:hAnsi="Times New Roman" w:cs="Times New Roman"/>
                      <w:color w:val="000000"/>
                      <w:sz w:val="21"/>
                      <w:szCs w:val="21"/>
                      <w:highlight w:val="none"/>
                      <w:lang w:eastAsia="zh-CN"/>
                    </w:rPr>
                    <w:t>导流槽</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eastAsia="zh-CN"/>
                    </w:rPr>
                    <w:t>危废暂存间西侧设置废液收集池1个，容积为</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lang w:eastAsia="zh-CN"/>
                    </w:rPr>
                    <w:t>立方米，</w:t>
                  </w:r>
                  <w:r>
                    <w:rPr>
                      <w:rFonts w:hint="default" w:ascii="Times New Roman" w:hAnsi="Times New Roman" w:cs="Times New Roman"/>
                      <w:color w:val="000000"/>
                      <w:sz w:val="21"/>
                      <w:szCs w:val="21"/>
                      <w:highlight w:val="none"/>
                    </w:rPr>
                    <w:t>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r>
                    <w:rPr>
                      <w:rFonts w:hint="default" w:ascii="Times New Roman" w:hAnsi="Times New Roman" w:cs="Times New Roman"/>
                      <w:color w:val="000000"/>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②生产区</w:t>
                  </w:r>
                  <w:r>
                    <w:rPr>
                      <w:rFonts w:hint="default" w:ascii="Times New Roman" w:hAnsi="Times New Roman" w:cs="Times New Roman"/>
                      <w:color w:val="000000"/>
                      <w:sz w:val="21"/>
                      <w:szCs w:val="21"/>
                      <w:highlight w:val="none"/>
                      <w:shd w:val="clear" w:color="auto" w:fill="auto"/>
                      <w:lang w:val="en-US" w:eastAsia="zh-CN"/>
                    </w:rPr>
                    <w:t>防渗层由下到上分别为</w:t>
                  </w:r>
                  <w:r>
                    <w:rPr>
                      <w:rFonts w:hint="default" w:ascii="Times New Roman" w:hAnsi="Times New Roman" w:eastAsia="宋体" w:cs="Times New Roman"/>
                      <w:color w:val="000000"/>
                      <w:sz w:val="21"/>
                      <w:szCs w:val="21"/>
                      <w:highlight w:val="none"/>
                      <w:shd w:val="clear" w:color="auto" w:fill="auto"/>
                      <w:lang w:val="en-US" w:eastAsia="zh-CN"/>
                    </w:rPr>
                    <w:t>2层丙纶防渗材料</w:t>
                  </w:r>
                  <w:r>
                    <w:rPr>
                      <w:rFonts w:hint="default" w:ascii="Times New Roman" w:hAnsi="Times New Roman" w:cs="Times New Roman"/>
                      <w:color w:val="000000"/>
                      <w:sz w:val="21"/>
                      <w:szCs w:val="21"/>
                      <w:highlight w:val="none"/>
                      <w:shd w:val="clear" w:color="auto" w:fill="auto"/>
                      <w:lang w:val="en-US" w:eastAsia="zh-CN"/>
                    </w:rPr>
                    <w:t>、上</w:t>
                  </w:r>
                  <w:r>
                    <w:rPr>
                      <w:rFonts w:hint="default" w:ascii="Times New Roman" w:hAnsi="Times New Roman" w:eastAsia="宋体" w:cs="Times New Roman"/>
                      <w:color w:val="000000"/>
                      <w:sz w:val="21"/>
                      <w:szCs w:val="21"/>
                      <w:highlight w:val="none"/>
                      <w:shd w:val="clear" w:color="auto" w:fill="auto"/>
                      <w:lang w:val="en-US" w:eastAsia="zh-CN"/>
                    </w:rPr>
                    <w:t>敷环氧树脂</w:t>
                  </w:r>
                  <w:r>
                    <w:rPr>
                      <w:rFonts w:hint="default" w:ascii="Times New Roman" w:hAnsi="Times New Roman" w:eastAsia="宋体" w:cs="Times New Roman"/>
                      <w:color w:val="000000"/>
                      <w:sz w:val="21"/>
                      <w:szCs w:val="21"/>
                      <w:highlight w:val="none"/>
                      <w:lang w:val="en-US" w:eastAsia="zh-CN"/>
                    </w:rPr>
                    <w:t>，</w:t>
                  </w:r>
                  <w:r>
                    <w:rPr>
                      <w:rFonts w:hint="default" w:ascii="Times New Roman" w:hAnsi="Times New Roman" w:cs="Times New Roman"/>
                      <w:color w:val="000000"/>
                      <w:sz w:val="21"/>
                      <w:szCs w:val="21"/>
                      <w:highlight w:val="none"/>
                    </w:rPr>
                    <w:t>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r>
                    <w:rPr>
                      <w:rFonts w:hint="default" w:ascii="Times New Roman" w:hAnsi="Times New Roman" w:cs="Times New Roman"/>
                      <w:color w:val="000000"/>
                      <w:sz w:val="21"/>
                      <w:szCs w:val="21"/>
                      <w:highlight w:val="none"/>
                      <w:lang w:eastAsia="zh-CN"/>
                    </w:rPr>
                    <w:t>。</w:t>
                  </w:r>
                </w:p>
                <w:p>
                  <w:pPr>
                    <w:pStyle w:val="29"/>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000000"/>
                      <w:sz w:val="21"/>
                      <w:szCs w:val="21"/>
                      <w:highlight w:val="none"/>
                      <w:lang w:val="en-US" w:eastAsia="zh-CN"/>
                    </w:rPr>
                    <w:t>③</w:t>
                  </w:r>
                  <w:r>
                    <w:rPr>
                      <w:rFonts w:hint="eastAsia" w:cs="Times New Roman"/>
                      <w:color w:val="000000"/>
                      <w:sz w:val="21"/>
                      <w:szCs w:val="21"/>
                      <w:highlight w:val="none"/>
                      <w:lang w:val="en-US" w:eastAsia="zh-CN"/>
                    </w:rPr>
                    <w:t>拉丝油池防渗措施</w:t>
                  </w:r>
                  <w:r>
                    <w:rPr>
                      <w:rFonts w:hint="default" w:ascii="Times New Roman" w:hAnsi="Times New Roman" w:cs="Times New Roman"/>
                      <w:color w:val="000000"/>
                      <w:sz w:val="21"/>
                      <w:szCs w:val="21"/>
                      <w:highlight w:val="none"/>
                      <w:lang w:val="en-US" w:eastAsia="zh-CN"/>
                    </w:rPr>
                    <w:t>为</w:t>
                  </w:r>
                  <w:r>
                    <w:rPr>
                      <w:rFonts w:hint="default" w:ascii="Times New Roman" w:hAnsi="Times New Roman" w:cs="Times New Roman"/>
                      <w:color w:val="auto"/>
                      <w:sz w:val="21"/>
                      <w:szCs w:val="21"/>
                      <w:u w:val="none"/>
                      <w:lang w:val="en-US" w:eastAsia="zh-CN"/>
                    </w:rPr>
                    <w:t>抗渗混凝土（厚度不宜小于150mm）+HDPE防渗涂层（厚度不小于2mm）结构形式，防渗结构层渗透系数不应大于1.0×10</w:t>
                  </w:r>
                  <w:r>
                    <w:rPr>
                      <w:rFonts w:hint="default" w:ascii="Times New Roman" w:hAnsi="Times New Roman" w:cs="Times New Roman"/>
                      <w:color w:val="auto"/>
                      <w:sz w:val="21"/>
                      <w:szCs w:val="21"/>
                      <w:u w:val="none"/>
                      <w:vertAlign w:val="superscript"/>
                      <w:lang w:val="en-US" w:eastAsia="zh-CN"/>
                    </w:rPr>
                    <w:t>-10</w:t>
                  </w:r>
                  <w:r>
                    <w:rPr>
                      <w:rFonts w:hint="default" w:ascii="Times New Roman" w:hAnsi="Times New Roman" w:cs="Times New Roman"/>
                      <w:color w:val="auto"/>
                      <w:sz w:val="21"/>
                      <w:szCs w:val="21"/>
                      <w:u w:val="none"/>
                      <w:vertAlign w:val="baseline"/>
                      <w:lang w:val="en-US" w:eastAsia="zh-CN"/>
                    </w:rPr>
                    <w:t>cm/s</w:t>
                  </w:r>
                  <w:r>
                    <w:rPr>
                      <w:rFonts w:hint="default" w:ascii="Times New Roman" w:hAnsi="Times New Roman" w:cs="Times New Roman"/>
                      <w:color w:val="auto"/>
                      <w:sz w:val="21"/>
                      <w:szCs w:val="21"/>
                      <w:u w:val="none"/>
                      <w:lang w:eastAsia="zh-CN"/>
                    </w:rPr>
                    <w:t>。</w:t>
                  </w:r>
                </w:p>
              </w:tc>
              <w:tc>
                <w:tcPr>
                  <w:tcW w:w="1847" w:type="dxa"/>
                  <w:tcBorders>
                    <w:tl2br w:val="nil"/>
                    <w:tr2bl w:val="nil"/>
                  </w:tcBorders>
                  <w:noWrap w:val="0"/>
                  <w:vAlign w:val="center"/>
                </w:tcPr>
                <w:p>
                  <w:pPr>
                    <w:jc w:val="both"/>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等效黏土防渗层Mb≥6.0m，渗透系数K≤1×10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一般防渗区</w:t>
                  </w:r>
                </w:p>
              </w:tc>
              <w:tc>
                <w:tcPr>
                  <w:tcW w:w="1237"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车间其他区域</w:t>
                  </w:r>
                </w:p>
              </w:tc>
              <w:tc>
                <w:tcPr>
                  <w:tcW w:w="4305"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混凝土硬化</w:t>
                  </w:r>
                </w:p>
              </w:tc>
              <w:tc>
                <w:tcPr>
                  <w:tcW w:w="1847" w:type="dxa"/>
                  <w:tcBorders>
                    <w:tl2br w:val="nil"/>
                    <w:tr2bl w:val="nil"/>
                  </w:tcBorders>
                  <w:noWrap w:val="0"/>
                  <w:vAlign w:val="center"/>
                </w:tcPr>
                <w:p>
                  <w:pPr>
                    <w:jc w:val="both"/>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r>
          </w:tbl>
          <w:p>
            <w:pPr>
              <w:pStyle w:val="4"/>
              <w:spacing w:before="0" w:after="0" w:line="360" w:lineRule="auto"/>
              <w:jc w:val="left"/>
              <w:rPr>
                <w:rFonts w:hint="default" w:ascii="Times New Roman" w:hAnsi="Times New Roman" w:eastAsia="宋体" w:cs="Times New Roman"/>
                <w:bCs w:val="0"/>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000000"/>
                <w:sz w:val="24"/>
                <w:highlight w:val="none"/>
                <w:lang w:val="en-US" w:eastAsia="zh-CN" w:bidi="ar"/>
              </w:rPr>
            </w:pPr>
            <w:r>
              <w:rPr>
                <w:rFonts w:hint="eastAsia" w:ascii="Times New Roman" w:hAnsi="Times New Roman" w:eastAsia="宋体" w:cs="Times New Roman"/>
                <w:b/>
                <w:color w:val="000000"/>
                <w:sz w:val="24"/>
                <w:highlight w:val="none"/>
                <w:lang w:val="en-US" w:eastAsia="zh-CN" w:bidi="ar"/>
              </w:rPr>
              <w:t>6、土壤环境影响分析</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Theme="minorEastAsia"/>
                <w:color w:val="auto"/>
                <w:kern w:val="0"/>
                <w:sz w:val="24"/>
                <w:szCs w:val="24"/>
                <w:u w:val="none"/>
                <w:lang w:val="en-US" w:eastAsia="zh-CN"/>
              </w:rPr>
            </w:pPr>
            <w:r>
              <w:rPr>
                <w:rFonts w:ascii="Times New Roman" w:hAnsi="Times New Roman"/>
                <w:color w:val="auto"/>
                <w:kern w:val="0"/>
                <w:sz w:val="24"/>
                <w:szCs w:val="24"/>
                <w:u w:val="none"/>
              </w:rPr>
              <w:t>根据《环境影响评价技术导则 土壤环境（试行）》（HJ964-2018），本项目属于附录A</w:t>
            </w:r>
            <w:r>
              <w:rPr>
                <w:rFonts w:hint="eastAsia" w:ascii="Times New Roman" w:hAnsi="Times New Roman"/>
                <w:color w:val="auto"/>
                <w:kern w:val="0"/>
                <w:sz w:val="24"/>
                <w:szCs w:val="24"/>
                <w:u w:val="none"/>
                <w:lang w:eastAsia="zh-CN"/>
              </w:rPr>
              <w:t>“制造业</w:t>
            </w:r>
            <w:r>
              <w:rPr>
                <w:rFonts w:hint="eastAsia"/>
                <w:color w:val="auto"/>
                <w:kern w:val="0"/>
                <w:sz w:val="24"/>
                <w:szCs w:val="24"/>
                <w:u w:val="none"/>
                <w:lang w:eastAsia="zh-CN"/>
              </w:rPr>
              <w:t>－</w:t>
            </w:r>
            <w:r>
              <w:rPr>
                <w:rFonts w:hint="eastAsia" w:ascii="Times New Roman" w:hAnsi="Times New Roman"/>
                <w:color w:val="auto"/>
                <w:kern w:val="0"/>
                <w:sz w:val="24"/>
                <w:szCs w:val="24"/>
                <w:u w:val="none"/>
                <w:lang w:val="en-US" w:eastAsia="zh-CN"/>
              </w:rPr>
              <w:t>其他</w:t>
            </w:r>
            <w:r>
              <w:rPr>
                <w:rFonts w:hint="eastAsia" w:ascii="Times New Roman" w:hAnsi="Times New Roman"/>
                <w:color w:val="auto"/>
                <w:kern w:val="0"/>
                <w:sz w:val="24"/>
                <w:szCs w:val="24"/>
                <w:u w:val="none"/>
                <w:lang w:eastAsia="zh-CN"/>
              </w:rPr>
              <w:t>”</w:t>
            </w:r>
            <w:r>
              <w:rPr>
                <w:rFonts w:ascii="Times New Roman" w:hAnsi="Times New Roman"/>
                <w:color w:val="auto"/>
                <w:kern w:val="0"/>
                <w:sz w:val="24"/>
                <w:szCs w:val="24"/>
                <w:u w:val="none"/>
              </w:rPr>
              <w:t>，属于</w:t>
            </w:r>
            <w:r>
              <w:rPr>
                <w:rFonts w:hint="eastAsia" w:ascii="宋体" w:hAnsi="宋体" w:eastAsia="宋体" w:cs="宋体"/>
                <w:color w:val="auto"/>
                <w:kern w:val="0"/>
                <w:sz w:val="24"/>
                <w:szCs w:val="24"/>
                <w:u w:val="none"/>
                <w:lang w:val="en-US" w:eastAsia="zh-CN"/>
              </w:rPr>
              <w:t>Ⅲ</w:t>
            </w:r>
            <w:r>
              <w:rPr>
                <w:rFonts w:hint="eastAsia"/>
                <w:color w:val="auto"/>
                <w:sz w:val="24"/>
                <w:szCs w:val="24"/>
                <w:u w:val="none"/>
                <w:lang w:eastAsia="zh-CN"/>
              </w:rPr>
              <w:t>类</w:t>
            </w:r>
            <w:r>
              <w:rPr>
                <w:rFonts w:ascii="Times New Roman" w:hAnsi="Times New Roman"/>
                <w:color w:val="auto"/>
                <w:kern w:val="0"/>
                <w:sz w:val="24"/>
                <w:szCs w:val="24"/>
                <w:u w:val="none"/>
              </w:rPr>
              <w:t>项目，</w:t>
            </w:r>
            <w:r>
              <w:rPr>
                <w:rFonts w:hint="default" w:ascii="Times New Roman" w:hAnsi="Times New Roman" w:eastAsia="宋体" w:cs="Times New Roman"/>
                <w:color w:val="auto"/>
                <w:sz w:val="24"/>
                <w:szCs w:val="24"/>
                <w:u w:val="none" w:color="auto"/>
                <w:lang w:val="en-US" w:eastAsia="zh-CN"/>
              </w:rPr>
              <w:t>项目占地面积</w:t>
            </w:r>
            <w:r>
              <w:rPr>
                <w:rFonts w:hint="eastAsia" w:cs="Times New Roman"/>
                <w:color w:val="auto"/>
                <w:sz w:val="24"/>
                <w:szCs w:val="24"/>
                <w:u w:val="none" w:color="auto"/>
                <w:lang w:val="en-US" w:eastAsia="zh-CN"/>
              </w:rPr>
              <w:t>3000</w:t>
            </w:r>
            <w:r>
              <w:rPr>
                <w:rFonts w:hint="eastAsia" w:ascii="Times New Roman" w:hAnsi="Times New Roman" w:cs="Times New Roman"/>
                <w:color w:val="auto"/>
                <w:sz w:val="24"/>
                <w:szCs w:val="24"/>
                <w:u w:val="none" w:color="auto"/>
                <w:lang w:val="en-US" w:eastAsia="zh-CN"/>
              </w:rPr>
              <w:t>m²</w:t>
            </w:r>
            <w:r>
              <w:rPr>
                <w:rFonts w:hint="default" w:ascii="Times New Roman" w:hAnsi="Times New Roman" w:eastAsia="宋体" w:cs="Times New Roman"/>
                <w:color w:val="auto"/>
                <w:sz w:val="24"/>
                <w:szCs w:val="24"/>
                <w:u w:val="none" w:color="auto"/>
                <w:lang w:val="en-US" w:eastAsia="zh-CN"/>
              </w:rPr>
              <w:t>，规模属于</w:t>
            </w:r>
            <w:r>
              <w:rPr>
                <w:rFonts w:hint="eastAsia" w:cs="Times New Roman"/>
                <w:color w:val="auto"/>
                <w:sz w:val="24"/>
                <w:szCs w:val="24"/>
                <w:u w:val="none" w:color="auto"/>
                <w:lang w:val="en-US" w:eastAsia="zh-CN"/>
              </w:rPr>
              <w:t>小</w:t>
            </w:r>
            <w:r>
              <w:rPr>
                <w:rFonts w:hint="default" w:ascii="Times New Roman" w:hAnsi="Times New Roman" w:eastAsia="宋体" w:cs="Times New Roman"/>
                <w:color w:val="auto"/>
                <w:sz w:val="24"/>
                <w:szCs w:val="24"/>
                <w:u w:val="none" w:color="auto"/>
                <w:lang w:val="en-US" w:eastAsia="zh-CN"/>
              </w:rPr>
              <w:t>型</w:t>
            </w:r>
            <w:r>
              <w:rPr>
                <w:rFonts w:hint="eastAsia" w:cs="Times New Roman"/>
                <w:color w:val="auto"/>
                <w:sz w:val="24"/>
                <w:szCs w:val="24"/>
                <w:u w:val="none" w:color="auto"/>
                <w:lang w:val="en-US" w:eastAsia="zh-CN"/>
              </w:rPr>
              <w:t>（</w:t>
            </w:r>
            <w:r>
              <w:rPr>
                <w:rFonts w:hint="default" w:ascii="Times New Roman" w:hAnsi="Times New Roman" w:cs="Times New Roman"/>
                <w:color w:val="auto"/>
                <w:spacing w:val="-1"/>
                <w:position w:val="1"/>
                <w:sz w:val="24"/>
                <w:szCs w:val="24"/>
                <w:lang w:eastAsia="zh-CN"/>
              </w:rPr>
              <w:t>≤</w:t>
            </w:r>
            <w:r>
              <w:rPr>
                <w:rFonts w:ascii="Times New Roman" w:hAnsi="Times New Roman" w:eastAsia="Times New Roman" w:cs="Times New Roman"/>
                <w:color w:val="auto"/>
                <w:spacing w:val="-1"/>
                <w:position w:val="1"/>
                <w:sz w:val="24"/>
                <w:szCs w:val="24"/>
              </w:rPr>
              <w:t>5h</w:t>
            </w:r>
            <w:r>
              <w:rPr>
                <w:rFonts w:hint="eastAsia" w:ascii="Times New Roman" w:hAnsi="Times New Roman" w:eastAsia="宋体" w:cs="Times New Roman"/>
                <w:color w:val="auto"/>
                <w:spacing w:val="-1"/>
                <w:position w:val="1"/>
                <w:sz w:val="24"/>
                <w:szCs w:val="24"/>
                <w:lang w:eastAsia="zh-CN"/>
              </w:rPr>
              <w:t>m²</w:t>
            </w:r>
            <w:r>
              <w:rPr>
                <w:rFonts w:ascii="宋体" w:hAnsi="宋体" w:eastAsia="宋体" w:cs="宋体"/>
                <w:color w:val="auto"/>
                <w:spacing w:val="-1"/>
                <w:position w:val="1"/>
                <w:sz w:val="24"/>
                <w:szCs w:val="24"/>
              </w:rPr>
              <w:t>)</w:t>
            </w:r>
            <w:r>
              <w:rPr>
                <w:color w:val="auto"/>
                <w:kern w:val="0"/>
                <w:sz w:val="24"/>
                <w:szCs w:val="24"/>
                <w:lang w:bidi="ar"/>
              </w:rPr>
              <w:t>，敏感程度为</w:t>
            </w:r>
            <w:r>
              <w:rPr>
                <w:rFonts w:hint="eastAsia"/>
                <w:color w:val="auto"/>
                <w:kern w:val="0"/>
                <w:sz w:val="24"/>
                <w:szCs w:val="24"/>
                <w:lang w:eastAsia="zh-CN" w:bidi="ar"/>
              </w:rPr>
              <w:t>不</w:t>
            </w:r>
            <w:r>
              <w:rPr>
                <w:color w:val="auto"/>
                <w:kern w:val="0"/>
                <w:sz w:val="24"/>
                <w:szCs w:val="24"/>
                <w:lang w:bidi="ar"/>
              </w:rPr>
              <w:t>敏感</w:t>
            </w:r>
            <w:r>
              <w:rPr>
                <w:rFonts w:hint="eastAsia"/>
                <w:color w:val="auto"/>
                <w:kern w:val="0"/>
                <w:sz w:val="24"/>
                <w:szCs w:val="24"/>
                <w:lang w:eastAsia="zh-CN" w:bidi="ar"/>
              </w:rPr>
              <w:t>。</w:t>
            </w:r>
            <w:r>
              <w:rPr>
                <w:rFonts w:ascii="Times New Roman" w:hAnsi="Times New Roman"/>
                <w:color w:val="auto"/>
                <w:kern w:val="0"/>
                <w:sz w:val="24"/>
                <w:szCs w:val="24"/>
                <w:u w:val="none"/>
              </w:rPr>
              <w:t>根据导则要求</w:t>
            </w:r>
            <w:r>
              <w:rPr>
                <w:rFonts w:hint="eastAsia" w:ascii="Times New Roman" w:hAnsi="Times New Roman"/>
                <w:color w:val="auto"/>
                <w:kern w:val="0"/>
                <w:sz w:val="24"/>
                <w:szCs w:val="24"/>
                <w:u w:val="none"/>
                <w:lang w:eastAsia="zh-CN"/>
              </w:rPr>
              <w:t>“</w:t>
            </w:r>
            <w:r>
              <w:rPr>
                <w:rFonts w:hint="eastAsia" w:ascii="宋体" w:hAnsi="宋体" w:eastAsia="宋体" w:cs="宋体"/>
                <w:color w:val="auto"/>
                <w:kern w:val="0"/>
                <w:sz w:val="24"/>
                <w:szCs w:val="24"/>
                <w:u w:val="none"/>
                <w:lang w:val="en-US" w:eastAsia="zh-CN"/>
              </w:rPr>
              <w:t>Ⅲ</w:t>
            </w:r>
            <w:r>
              <w:rPr>
                <w:rFonts w:hint="eastAsia"/>
                <w:color w:val="auto"/>
                <w:sz w:val="24"/>
                <w:szCs w:val="24"/>
                <w:u w:val="none"/>
                <w:lang w:eastAsia="zh-CN"/>
              </w:rPr>
              <w:t>类</w:t>
            </w:r>
            <w:r>
              <w:rPr>
                <w:rFonts w:hint="eastAsia" w:cs="Times New Roman"/>
                <w:color w:val="auto"/>
                <w:sz w:val="24"/>
                <w:szCs w:val="24"/>
                <w:u w:val="none" w:color="auto"/>
                <w:lang w:val="en-US" w:eastAsia="zh-CN"/>
              </w:rPr>
              <w:t>小</w:t>
            </w:r>
            <w:r>
              <w:rPr>
                <w:rFonts w:hint="default" w:ascii="Times New Roman" w:hAnsi="Times New Roman" w:eastAsia="宋体" w:cs="Times New Roman"/>
                <w:color w:val="auto"/>
                <w:sz w:val="24"/>
                <w:szCs w:val="24"/>
                <w:u w:val="none" w:color="auto"/>
                <w:lang w:val="en-US" w:eastAsia="zh-CN"/>
              </w:rPr>
              <w:t>型</w:t>
            </w:r>
            <w:r>
              <w:rPr>
                <w:color w:val="auto"/>
                <w:kern w:val="0"/>
                <w:sz w:val="24"/>
                <w:szCs w:val="24"/>
                <w:lang w:bidi="ar"/>
              </w:rPr>
              <w:t>敏感</w:t>
            </w:r>
            <w:r>
              <w:rPr>
                <w:rFonts w:ascii="Times New Roman" w:hAnsi="Times New Roman"/>
                <w:color w:val="auto"/>
                <w:kern w:val="0"/>
                <w:sz w:val="24"/>
                <w:szCs w:val="24"/>
                <w:u w:val="none"/>
              </w:rPr>
              <w:t>项目可不开展土壤环境影响评价</w:t>
            </w:r>
            <w:r>
              <w:rPr>
                <w:rFonts w:hint="eastAsia" w:ascii="Times New Roman" w:hAnsi="Times New Roman"/>
                <w:color w:val="auto"/>
                <w:kern w:val="0"/>
                <w:sz w:val="24"/>
                <w:szCs w:val="24"/>
                <w:u w:val="none"/>
                <w:lang w:eastAsia="zh-CN"/>
              </w:rPr>
              <w:t>”</w:t>
            </w:r>
            <w:r>
              <w:rPr>
                <w:rFonts w:ascii="Times New Roman" w:hAnsi="Times New Roman"/>
                <w:color w:val="auto"/>
                <w:kern w:val="0"/>
                <w:sz w:val="24"/>
                <w:szCs w:val="24"/>
                <w:u w:val="none"/>
              </w:rPr>
              <w:t>，故本项目可不开展土壤环境影响评价。</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0" w:firstLineChars="200"/>
              <w:rPr>
                <w:rFonts w:ascii="Times New Roman" w:hAnsi="Times New Roman"/>
                <w:color w:val="auto"/>
                <w:kern w:val="0"/>
                <w:sz w:val="24"/>
                <w:szCs w:val="24"/>
                <w:u w:val="none"/>
              </w:rPr>
            </w:pPr>
            <w:r>
              <w:rPr>
                <w:rFonts w:ascii="Times New Roman" w:hAnsi="Times New Roman"/>
                <w:color w:val="auto"/>
                <w:kern w:val="0"/>
                <w:sz w:val="24"/>
                <w:szCs w:val="24"/>
                <w:u w:val="none"/>
              </w:rPr>
              <w:t>本项目运行过程中</w:t>
            </w:r>
            <w:r>
              <w:rPr>
                <w:rFonts w:hint="eastAsia" w:ascii="Times New Roman" w:hAnsi="Times New Roman"/>
                <w:color w:val="auto"/>
                <w:kern w:val="0"/>
                <w:sz w:val="24"/>
                <w:szCs w:val="24"/>
                <w:u w:val="none"/>
                <w:lang w:eastAsia="zh-CN"/>
              </w:rPr>
              <w:t>无废气外排</w:t>
            </w:r>
            <w:r>
              <w:rPr>
                <w:rFonts w:ascii="Times New Roman" w:hAnsi="Times New Roman"/>
                <w:color w:val="auto"/>
                <w:kern w:val="0"/>
                <w:sz w:val="24"/>
                <w:szCs w:val="24"/>
                <w:u w:val="none"/>
              </w:rPr>
              <w:t>，对周边土壤环境影响不大。项目周边为</w:t>
            </w:r>
            <w:r>
              <w:rPr>
                <w:rFonts w:hint="eastAsia" w:ascii="Times New Roman" w:hAnsi="Times New Roman"/>
                <w:color w:val="auto"/>
                <w:kern w:val="0"/>
                <w:sz w:val="24"/>
                <w:szCs w:val="24"/>
                <w:u w:val="none"/>
                <w:lang w:val="en-US" w:eastAsia="zh-CN"/>
              </w:rPr>
              <w:t>建设用地</w:t>
            </w:r>
            <w:r>
              <w:rPr>
                <w:rFonts w:ascii="Times New Roman" w:hAnsi="Times New Roman"/>
                <w:color w:val="auto"/>
                <w:kern w:val="0"/>
                <w:sz w:val="24"/>
                <w:szCs w:val="24"/>
                <w:u w:val="none"/>
              </w:rPr>
              <w:t>，项目需做好厂界四周围挡及地面硬化，防止厂区污染物随周边雨水下渗，影响周边土壤环境。</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2" w:firstLineChars="200"/>
              <w:rPr>
                <w:rFonts w:ascii="Times New Roman" w:hAnsi="Times New Roman"/>
                <w:b/>
                <w:bCs/>
                <w:color w:val="auto"/>
                <w:kern w:val="0"/>
                <w:sz w:val="24"/>
                <w:szCs w:val="24"/>
                <w:u w:val="none"/>
              </w:rPr>
            </w:pPr>
            <w:r>
              <w:rPr>
                <w:rFonts w:hint="eastAsia" w:ascii="Times New Roman" w:hAnsi="Times New Roman"/>
                <w:b/>
                <w:bCs/>
                <w:color w:val="auto"/>
                <w:kern w:val="0"/>
                <w:sz w:val="24"/>
                <w:szCs w:val="24"/>
                <w:u w:val="none"/>
                <w:lang w:val="en-US" w:eastAsia="zh-CN"/>
              </w:rPr>
              <w:t>（1）</w:t>
            </w:r>
            <w:r>
              <w:rPr>
                <w:rFonts w:ascii="Times New Roman" w:hAnsi="Times New Roman"/>
                <w:b/>
                <w:bCs/>
                <w:color w:val="auto"/>
                <w:kern w:val="0"/>
                <w:sz w:val="24"/>
                <w:szCs w:val="24"/>
                <w:u w:val="none"/>
              </w:rPr>
              <w:t>大气污染物对土壤影响分析</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0" w:firstLineChars="200"/>
              <w:rPr>
                <w:rFonts w:ascii="Times New Roman" w:hAnsi="Times New Roman"/>
                <w:color w:val="auto"/>
                <w:kern w:val="0"/>
                <w:sz w:val="24"/>
                <w:szCs w:val="24"/>
                <w:u w:val="none"/>
              </w:rPr>
            </w:pPr>
            <w:r>
              <w:rPr>
                <w:rFonts w:ascii="Times New Roman" w:hAnsi="Times New Roman"/>
                <w:color w:val="auto"/>
                <w:kern w:val="0"/>
                <w:sz w:val="24"/>
                <w:szCs w:val="24"/>
                <w:u w:val="none"/>
              </w:rPr>
              <w:t>污染物进入土壤的途径是多样的，</w:t>
            </w:r>
            <w:r>
              <w:rPr>
                <w:rFonts w:hint="eastAsia" w:ascii="Times New Roman" w:hAnsi="Times New Roman"/>
                <w:color w:val="auto"/>
                <w:kern w:val="0"/>
                <w:sz w:val="24"/>
                <w:szCs w:val="24"/>
                <w:u w:val="none"/>
                <w:lang w:eastAsia="zh-CN"/>
              </w:rPr>
              <w:t>本项目</w:t>
            </w:r>
            <w:r>
              <w:rPr>
                <w:rFonts w:hint="eastAsia" w:ascii="Times New Roman" w:hAnsi="Times New Roman"/>
                <w:color w:val="auto"/>
                <w:kern w:val="0"/>
                <w:sz w:val="24"/>
                <w:szCs w:val="24"/>
                <w:u w:val="none"/>
                <w:lang w:val="en-US" w:eastAsia="zh-CN"/>
              </w:rPr>
              <w:t>有少量挥发性有机物</w:t>
            </w:r>
            <w:r>
              <w:rPr>
                <w:rFonts w:hint="eastAsia"/>
                <w:color w:val="auto"/>
                <w:kern w:val="0"/>
                <w:sz w:val="24"/>
                <w:szCs w:val="24"/>
                <w:u w:val="none"/>
                <w:lang w:val="en-US" w:eastAsia="zh-CN"/>
              </w:rPr>
              <w:t>外排</w:t>
            </w:r>
            <w:r>
              <w:rPr>
                <w:rFonts w:ascii="Times New Roman" w:hAnsi="Times New Roman"/>
                <w:color w:val="auto"/>
                <w:kern w:val="0"/>
                <w:sz w:val="24"/>
                <w:szCs w:val="24"/>
                <w:u w:val="none"/>
              </w:rPr>
              <w:t>，对土壤环境影响不大。</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2" w:firstLineChars="200"/>
              <w:rPr>
                <w:rFonts w:ascii="Times New Roman" w:hAnsi="Times New Roman"/>
                <w:b/>
                <w:bCs/>
                <w:color w:val="auto"/>
                <w:kern w:val="0"/>
                <w:sz w:val="24"/>
                <w:szCs w:val="24"/>
                <w:u w:val="none"/>
              </w:rPr>
            </w:pPr>
            <w:r>
              <w:rPr>
                <w:rFonts w:hint="eastAsia" w:ascii="Times New Roman" w:hAnsi="Times New Roman"/>
                <w:b/>
                <w:bCs/>
                <w:color w:val="auto"/>
                <w:kern w:val="0"/>
                <w:sz w:val="24"/>
                <w:szCs w:val="24"/>
                <w:u w:val="none"/>
                <w:lang w:val="en-US" w:eastAsia="zh-CN"/>
              </w:rPr>
              <w:t>（2）</w:t>
            </w:r>
            <w:r>
              <w:rPr>
                <w:rFonts w:ascii="Times New Roman" w:hAnsi="Times New Roman"/>
                <w:b/>
                <w:bCs/>
                <w:color w:val="auto"/>
                <w:kern w:val="0"/>
                <w:sz w:val="24"/>
                <w:szCs w:val="24"/>
                <w:u w:val="none"/>
              </w:rPr>
              <w:t>废水污染物对土壤影响分析</w:t>
            </w:r>
          </w:p>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ascii="Times New Roman" w:hAnsi="Times New Roman"/>
                <w:color w:val="auto"/>
                <w:spacing w:val="-1"/>
                <w:sz w:val="24"/>
                <w:szCs w:val="24"/>
                <w:u w:val="none"/>
              </w:rPr>
            </w:pPr>
            <w:r>
              <w:rPr>
                <w:rFonts w:ascii="Times New Roman" w:hAnsi="Times New Roman"/>
                <w:color w:val="auto"/>
                <w:kern w:val="0"/>
                <w:sz w:val="24"/>
                <w:szCs w:val="24"/>
                <w:u w:val="none"/>
              </w:rPr>
              <w:t>项目运营期废水主要为</w:t>
            </w:r>
            <w:r>
              <w:rPr>
                <w:rFonts w:hint="eastAsia" w:ascii="Times New Roman" w:hAnsi="Times New Roman" w:cs="Times New Roman"/>
                <w:color w:val="auto"/>
                <w:sz w:val="24"/>
                <w:szCs w:val="32"/>
                <w:vertAlign w:val="baseline"/>
                <w:lang w:eastAsia="zh-CN"/>
              </w:rPr>
              <w:t>生活污水</w:t>
            </w:r>
            <w:r>
              <w:rPr>
                <w:rFonts w:ascii="Times New Roman" w:hAnsi="Times New Roman"/>
                <w:color w:val="auto"/>
                <w:kern w:val="0"/>
                <w:sz w:val="24"/>
                <w:szCs w:val="24"/>
                <w:u w:val="none"/>
              </w:rPr>
              <w:t>。废水处理产生的活性污泥排入土壤，污泥与土壤的相互作用，会使土壤的性质及元素分布和分配发生变化，进而影响植物的生长和周围的环境。</w:t>
            </w:r>
            <w:r>
              <w:rPr>
                <w:rFonts w:hint="eastAsia" w:ascii="Times New Roman" w:hAnsi="Times New Roman" w:eastAsia="宋体" w:cs="Times New Roman"/>
                <w:b w:val="0"/>
                <w:bCs/>
                <w:color w:val="auto"/>
                <w:sz w:val="24"/>
                <w:szCs w:val="24"/>
                <w:u w:val="none"/>
                <w:lang w:val="en-US" w:eastAsia="zh-CN"/>
              </w:rPr>
              <w:t>生活污水经化粪池处理符合《污水综合排放标准》（GB8978-1996）三级标准后排入园区污水管网，进入园区污水处理厂处理</w:t>
            </w:r>
            <w:r>
              <w:rPr>
                <w:rFonts w:hint="eastAsia" w:ascii="Times New Roman" w:hAnsi="Times New Roman" w:eastAsia="宋体" w:cs="Times New Roman"/>
                <w:color w:val="auto"/>
                <w:sz w:val="24"/>
                <w:szCs w:val="24"/>
                <w:lang w:val="en-US" w:eastAsia="zh-CN"/>
              </w:rPr>
              <w:t>，</w:t>
            </w:r>
            <w:r>
              <w:rPr>
                <w:rFonts w:ascii="Times New Roman" w:hAnsi="Times New Roman"/>
                <w:color w:val="auto"/>
                <w:spacing w:val="-1"/>
                <w:sz w:val="24"/>
                <w:szCs w:val="24"/>
                <w:u w:val="none"/>
              </w:rPr>
              <w:t>不会对项目区域内的土壤环境</w:t>
            </w:r>
            <w:r>
              <w:rPr>
                <w:rFonts w:hint="eastAsia"/>
                <w:color w:val="auto"/>
                <w:spacing w:val="-1"/>
                <w:sz w:val="24"/>
                <w:szCs w:val="24"/>
                <w:u w:val="none"/>
                <w:lang w:eastAsia="zh-CN"/>
              </w:rPr>
              <w:t>造成</w:t>
            </w:r>
            <w:r>
              <w:rPr>
                <w:rFonts w:ascii="Times New Roman" w:hAnsi="Times New Roman"/>
                <w:color w:val="auto"/>
                <w:spacing w:val="-1"/>
                <w:sz w:val="24"/>
                <w:szCs w:val="24"/>
                <w:u w:val="none"/>
              </w:rPr>
              <w:t>影响。</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2" w:firstLineChars="200"/>
              <w:rPr>
                <w:rFonts w:ascii="Times New Roman" w:hAnsi="Times New Roman"/>
                <w:b/>
                <w:bCs/>
                <w:color w:val="auto"/>
                <w:kern w:val="0"/>
                <w:sz w:val="24"/>
                <w:szCs w:val="24"/>
                <w:u w:val="none"/>
              </w:rPr>
            </w:pPr>
            <w:r>
              <w:rPr>
                <w:rFonts w:hint="eastAsia" w:ascii="Times New Roman" w:hAnsi="Times New Roman"/>
                <w:b/>
                <w:bCs/>
                <w:color w:val="auto"/>
                <w:kern w:val="0"/>
                <w:sz w:val="24"/>
                <w:szCs w:val="24"/>
                <w:u w:val="none"/>
                <w:lang w:val="en-US" w:eastAsia="zh-CN"/>
              </w:rPr>
              <w:t>（3）</w:t>
            </w:r>
            <w:r>
              <w:rPr>
                <w:rFonts w:ascii="Times New Roman" w:hAnsi="Times New Roman"/>
                <w:b/>
                <w:bCs/>
                <w:color w:val="auto"/>
                <w:kern w:val="0"/>
                <w:sz w:val="24"/>
                <w:szCs w:val="24"/>
                <w:u w:val="none"/>
              </w:rPr>
              <w:t>固体废物对土壤影响分析</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0" w:firstLineChars="200"/>
              <w:rPr>
                <w:rFonts w:ascii="Times New Roman" w:hAnsi="Times New Roman"/>
                <w:color w:val="auto"/>
                <w:kern w:val="0"/>
                <w:sz w:val="24"/>
                <w:szCs w:val="24"/>
                <w:u w:val="none"/>
              </w:rPr>
            </w:pPr>
            <w:r>
              <w:rPr>
                <w:rFonts w:ascii="Times New Roman" w:hAnsi="Times New Roman"/>
                <w:color w:val="auto"/>
                <w:kern w:val="0"/>
                <w:sz w:val="24"/>
                <w:szCs w:val="24"/>
                <w:u w:val="none"/>
              </w:rPr>
              <w:t>固体废物在堆放过程中产生的</w:t>
            </w:r>
            <w:r>
              <w:rPr>
                <w:rFonts w:hint="eastAsia" w:ascii="Times New Roman" w:hAnsi="Times New Roman"/>
                <w:color w:val="auto"/>
                <w:kern w:val="0"/>
                <w:sz w:val="24"/>
                <w:szCs w:val="24"/>
                <w:u w:val="none"/>
                <w:lang w:eastAsia="zh-CN"/>
              </w:rPr>
              <w:t>渗出</w:t>
            </w:r>
            <w:r>
              <w:rPr>
                <w:rFonts w:ascii="Times New Roman" w:hAnsi="Times New Roman"/>
                <w:color w:val="auto"/>
                <w:kern w:val="0"/>
                <w:sz w:val="24"/>
                <w:szCs w:val="24"/>
                <w:u w:val="none"/>
              </w:rPr>
              <w:t>液、滤沥液进入土壤，能改变土质和土壤结构，影响土壤微生物的活动，危害土壤环境。</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0" w:firstLineChars="200"/>
              <w:rPr>
                <w:rFonts w:ascii="Times New Roman" w:hAnsi="Times New Roman"/>
                <w:color w:val="auto"/>
                <w:kern w:val="0"/>
                <w:sz w:val="24"/>
                <w:szCs w:val="24"/>
                <w:u w:val="none"/>
              </w:rPr>
            </w:pPr>
            <w:r>
              <w:rPr>
                <w:rFonts w:ascii="Times New Roman" w:hAnsi="Times New Roman"/>
                <w:color w:val="auto"/>
                <w:kern w:val="0"/>
                <w:sz w:val="24"/>
                <w:szCs w:val="24"/>
                <w:u w:val="none"/>
              </w:rPr>
              <w:t>本项目产生的固体废物中</w:t>
            </w:r>
            <w:r>
              <w:rPr>
                <w:rFonts w:hint="default" w:ascii="Times New Roman" w:hAnsi="Times New Roman" w:cs="Times New Roman"/>
                <w:color w:val="auto"/>
                <w:sz w:val="24"/>
                <w:szCs w:val="24"/>
                <w:lang w:eastAsia="zh-CN"/>
              </w:rPr>
              <w:t>生活垃圾</w:t>
            </w:r>
            <w:r>
              <w:rPr>
                <w:rFonts w:hint="default" w:ascii="Times New Roman" w:hAnsi="Times New Roman" w:cs="Times New Roman"/>
                <w:color w:val="auto"/>
                <w:sz w:val="24"/>
                <w:szCs w:val="24"/>
              </w:rPr>
              <w:t>委托环卫部门统一清运</w:t>
            </w:r>
            <w:r>
              <w:rPr>
                <w:rFonts w:hint="eastAsia" w:ascii="Times New Roman" w:hAnsi="Times New Roman" w:cs="Times New Roman"/>
                <w:color w:val="auto"/>
                <w:sz w:val="24"/>
                <w:szCs w:val="24"/>
                <w:lang w:eastAsia="zh-CN"/>
              </w:rPr>
              <w:t>；废</w:t>
            </w:r>
            <w:r>
              <w:rPr>
                <w:rFonts w:hint="eastAsia" w:ascii="Times New Roman" w:hAnsi="Times New Roman" w:cs="Times New Roman"/>
                <w:color w:val="auto"/>
                <w:sz w:val="24"/>
                <w:szCs w:val="24"/>
                <w:vertAlign w:val="baseline"/>
                <w:lang w:eastAsia="zh-CN"/>
              </w:rPr>
              <w:t>含油手套和抹布、</w:t>
            </w:r>
            <w:r>
              <w:rPr>
                <w:rFonts w:hint="default" w:ascii="Times New Roman" w:hAnsi="Times New Roman" w:cs="Times New Roman"/>
                <w:color w:val="auto"/>
                <w:sz w:val="24"/>
                <w:szCs w:val="24"/>
                <w:vertAlign w:val="baseline"/>
                <w:lang w:eastAsia="zh-CN"/>
              </w:rPr>
              <w:t>废拉丝油</w:t>
            </w:r>
            <w:r>
              <w:rPr>
                <w:rFonts w:hint="default" w:ascii="Times New Roman" w:hAnsi="Times New Roman" w:cs="Times New Roman"/>
                <w:color w:val="auto"/>
                <w:kern w:val="2"/>
                <w:sz w:val="24"/>
                <w:szCs w:val="24"/>
              </w:rPr>
              <w:t>暂存于</w:t>
            </w:r>
            <w:r>
              <w:rPr>
                <w:rFonts w:hint="eastAsia" w:ascii="Times New Roman" w:hAnsi="Times New Roman" w:cs="Times New Roman"/>
                <w:color w:val="auto"/>
                <w:kern w:val="2"/>
                <w:sz w:val="24"/>
                <w:szCs w:val="24"/>
                <w:lang w:val="en-US" w:eastAsia="zh-CN"/>
              </w:rPr>
              <w:t>50m²的</w:t>
            </w:r>
            <w:r>
              <w:rPr>
                <w:rFonts w:hint="default" w:ascii="Times New Roman" w:hAnsi="Times New Roman" w:cs="Times New Roman"/>
                <w:color w:val="auto"/>
                <w:kern w:val="2"/>
                <w:sz w:val="24"/>
                <w:szCs w:val="24"/>
              </w:rPr>
              <w:t>危废</w:t>
            </w:r>
            <w:r>
              <w:rPr>
                <w:rFonts w:hint="default" w:ascii="Times New Roman" w:hAnsi="Times New Roman" w:cs="Times New Roman"/>
                <w:color w:val="auto"/>
                <w:kern w:val="2"/>
                <w:sz w:val="24"/>
                <w:szCs w:val="24"/>
                <w:lang w:val="en-US" w:eastAsia="zh-CN"/>
              </w:rPr>
              <w:t>暂存</w:t>
            </w:r>
            <w:r>
              <w:rPr>
                <w:rFonts w:hint="default" w:ascii="Times New Roman" w:hAnsi="Times New Roman" w:cs="Times New Roman"/>
                <w:color w:val="auto"/>
                <w:kern w:val="2"/>
                <w:sz w:val="24"/>
                <w:szCs w:val="24"/>
              </w:rPr>
              <w:t>间</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定期</w:t>
            </w:r>
            <w:r>
              <w:rPr>
                <w:rFonts w:hint="default" w:ascii="Times New Roman" w:hAnsi="Times New Roman" w:cs="Times New Roman"/>
                <w:color w:val="auto"/>
                <w:kern w:val="2"/>
                <w:sz w:val="24"/>
                <w:szCs w:val="24"/>
                <w:lang w:val="en-US" w:eastAsia="zh-CN"/>
              </w:rPr>
              <w:t>委托具有相关</w:t>
            </w:r>
            <w:r>
              <w:rPr>
                <w:rFonts w:hint="default" w:ascii="Times New Roman" w:hAnsi="Times New Roman" w:cs="Times New Roman"/>
                <w:color w:val="auto"/>
                <w:kern w:val="2"/>
                <w:sz w:val="24"/>
                <w:szCs w:val="24"/>
              </w:rPr>
              <w:t>资质单位处置</w:t>
            </w:r>
            <w:r>
              <w:rPr>
                <w:rFonts w:hint="eastAsia" w:ascii="Times New Roman" w:hAnsi="Times New Roman" w:cs="Times New Roman"/>
                <w:color w:val="auto"/>
                <w:kern w:val="2"/>
                <w:sz w:val="24"/>
                <w:szCs w:val="24"/>
                <w:lang w:eastAsia="zh-CN"/>
              </w:rPr>
              <w:t>。</w:t>
            </w:r>
            <w:r>
              <w:rPr>
                <w:rFonts w:ascii="Times New Roman" w:hAnsi="Times New Roman"/>
                <w:color w:val="auto"/>
                <w:kern w:val="0"/>
                <w:sz w:val="24"/>
                <w:szCs w:val="24"/>
                <w:u w:val="none"/>
              </w:rPr>
              <w:t>项目固体废物均得到综合利用或有效处置，不会对区域土壤环境造成影响。</w:t>
            </w:r>
          </w:p>
          <w:p>
            <w:pPr>
              <w:keepNext w:val="0"/>
              <w:keepLines w:val="0"/>
              <w:pageBreakBefore w:val="0"/>
              <w:suppressLineNumbers w:val="0"/>
              <w:overflowPunct/>
              <w:topLinePunct w:val="0"/>
              <w:autoSpaceDE w:val="0"/>
              <w:autoSpaceDN w:val="0"/>
              <w:bidi w:val="0"/>
              <w:adjustRightInd/>
              <w:snapToGrid/>
              <w:spacing w:before="0" w:beforeAutospacing="0" w:after="0" w:afterAutospacing="0" w:line="360" w:lineRule="auto"/>
              <w:ind w:left="0" w:leftChars="0" w:right="0" w:firstLine="480" w:firstLineChars="200"/>
              <w:rPr>
                <w:rFonts w:hint="default" w:ascii="Times New Roman" w:hAnsi="Times New Roman" w:eastAsia="宋体" w:cs="Times New Roman"/>
                <w:b/>
                <w:bCs/>
                <w:color w:val="auto"/>
                <w:sz w:val="24"/>
                <w:szCs w:val="24"/>
                <w:lang w:val="en-US" w:eastAsia="zh-CN"/>
              </w:rPr>
            </w:pPr>
            <w:r>
              <w:rPr>
                <w:rFonts w:ascii="Times New Roman" w:hAnsi="Times New Roman"/>
                <w:color w:val="auto"/>
                <w:kern w:val="0"/>
                <w:sz w:val="24"/>
                <w:szCs w:val="24"/>
                <w:u w:val="none"/>
              </w:rPr>
              <w:t>综上，在建设单位严格按照环评提出的保护措施后，项目周边的土壤环境可以得到有效保护，项目运营期对区域土壤环境影响不大。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sz w:val="24"/>
                <w:highlight w:val="none"/>
                <w:lang w:val="en-US" w:eastAsia="zh-CN" w:bidi="ar"/>
              </w:rPr>
            </w:pPr>
            <w:r>
              <w:rPr>
                <w:rFonts w:hint="eastAsia" w:ascii="Times New Roman" w:hAnsi="Times New Roman" w:eastAsia="宋体" w:cs="Times New Roman"/>
                <w:b/>
                <w:color w:val="000000"/>
                <w:sz w:val="24"/>
                <w:highlight w:val="none"/>
                <w:lang w:val="en-US" w:eastAsia="zh-CN" w:bidi="ar"/>
              </w:rPr>
              <w:t>7、</w:t>
            </w:r>
            <w:r>
              <w:rPr>
                <w:rFonts w:hint="default" w:ascii="Times New Roman" w:hAnsi="Times New Roman" w:eastAsia="宋体" w:cs="Times New Roman"/>
                <w:b/>
                <w:color w:val="000000"/>
                <w:sz w:val="24"/>
                <w:highlight w:val="none"/>
                <w:lang w:val="en-US" w:eastAsia="zh-CN" w:bidi="ar"/>
              </w:rPr>
              <w:t>环境风险影响及保护措施</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color w:val="000000"/>
                <w:sz w:val="24"/>
                <w:szCs w:val="24"/>
                <w:highlight w:val="none"/>
                <w:lang w:val="en-US" w:eastAsia="zh-CN"/>
              </w:rPr>
            </w:pPr>
            <w:r>
              <w:rPr>
                <w:rFonts w:hint="default" w:ascii="Times New Roman" w:hAnsi="Times New Roman" w:cs="Times New Roman"/>
                <w:b w:val="0"/>
                <w:color w:val="000000"/>
                <w:sz w:val="24"/>
                <w:szCs w:val="24"/>
                <w:highlight w:val="none"/>
                <w:lang w:eastAsia="zh-CN"/>
              </w:rPr>
              <w:t>（</w:t>
            </w:r>
            <w:r>
              <w:rPr>
                <w:rFonts w:hint="default" w:ascii="Times New Roman" w:hAnsi="Times New Roman" w:cs="Times New Roman"/>
                <w:b w:val="0"/>
                <w:color w:val="000000"/>
                <w:sz w:val="24"/>
                <w:szCs w:val="24"/>
                <w:highlight w:val="none"/>
                <w:lang w:val="en-US" w:eastAsia="zh-CN"/>
              </w:rPr>
              <w:t>1</w:t>
            </w:r>
            <w:r>
              <w:rPr>
                <w:rFonts w:hint="default" w:ascii="Times New Roman" w:hAnsi="Times New Roman" w:cs="Times New Roman"/>
                <w:b w:val="0"/>
                <w:color w:val="000000"/>
                <w:sz w:val="24"/>
                <w:szCs w:val="24"/>
                <w:highlight w:val="none"/>
                <w:lang w:eastAsia="zh-CN"/>
              </w:rPr>
              <w:t>）</w:t>
            </w:r>
            <w:r>
              <w:rPr>
                <w:rFonts w:hint="default" w:ascii="Times New Roman" w:hAnsi="Times New Roman" w:cs="Times New Roman"/>
                <w:b w:val="0"/>
                <w:color w:val="000000"/>
                <w:sz w:val="24"/>
                <w:szCs w:val="24"/>
                <w:highlight w:val="none"/>
                <w:lang w:val="en-US" w:eastAsia="zh-CN"/>
              </w:rPr>
              <w:t>风险源分布情况</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cs="Times New Roman"/>
                <w:b w:val="0"/>
                <w:bCs w:val="0"/>
                <w:color w:val="000000"/>
                <w:sz w:val="24"/>
                <w:highlight w:val="none"/>
                <w:lang w:val="en-US" w:eastAsia="zh-CN"/>
              </w:rPr>
              <w:t>①</w:t>
            </w:r>
            <w:r>
              <w:rPr>
                <w:rFonts w:hint="default" w:ascii="Times New Roman" w:hAnsi="Times New Roman" w:cs="Times New Roman"/>
                <w:b w:val="0"/>
                <w:color w:val="000000"/>
                <w:sz w:val="24"/>
                <w:szCs w:val="24"/>
                <w:highlight w:val="none"/>
                <w:lang w:val="en-US" w:eastAsia="zh-CN"/>
              </w:rPr>
              <w:t>风险源调查</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val="0"/>
                <w:bCs/>
                <w:color w:val="000000"/>
                <w:sz w:val="24"/>
                <w:szCs w:val="24"/>
                <w:highlight w:val="none"/>
              </w:rPr>
            </w:pPr>
            <w:r>
              <w:rPr>
                <w:rFonts w:hint="default" w:ascii="Times New Roman" w:hAnsi="Times New Roman" w:eastAsia="宋体" w:cs="Times New Roman"/>
                <w:b w:val="0"/>
                <w:bCs/>
                <w:color w:val="000000"/>
                <w:sz w:val="24"/>
                <w:szCs w:val="24"/>
                <w:highlight w:val="none"/>
              </w:rPr>
              <w:t>本项目涉及的风险物质为</w:t>
            </w:r>
            <w:r>
              <w:rPr>
                <w:rFonts w:hint="eastAsia" w:ascii="Times New Roman" w:hAnsi="Times New Roman" w:eastAsia="宋体" w:cs="Times New Roman"/>
                <w:b w:val="0"/>
                <w:bCs/>
                <w:color w:val="000000"/>
                <w:sz w:val="24"/>
                <w:szCs w:val="24"/>
                <w:highlight w:val="none"/>
                <w:lang w:val="en-US" w:eastAsia="zh-CN"/>
              </w:rPr>
              <w:t>拉丝油及废拉丝油、机油及</w:t>
            </w:r>
            <w:r>
              <w:rPr>
                <w:rFonts w:hint="default" w:ascii="Times New Roman" w:hAnsi="Times New Roman" w:eastAsia="宋体" w:cs="Times New Roman"/>
                <w:b w:val="0"/>
                <w:bCs/>
                <w:color w:val="000000"/>
                <w:sz w:val="24"/>
                <w:szCs w:val="24"/>
                <w:highlight w:val="none"/>
                <w:lang w:eastAsia="zh-CN"/>
              </w:rPr>
              <w:t>废机油</w:t>
            </w:r>
            <w:r>
              <w:rPr>
                <w:rFonts w:hint="default" w:ascii="Times New Roman" w:hAnsi="Times New Roman" w:eastAsia="宋体" w:cs="Times New Roman"/>
                <w:b w:val="0"/>
                <w:bCs/>
                <w:color w:val="000000"/>
                <w:sz w:val="24"/>
                <w:szCs w:val="24"/>
                <w:highlight w:val="none"/>
              </w:rPr>
              <w:t>，</w:t>
            </w:r>
            <w:r>
              <w:rPr>
                <w:rFonts w:hint="default" w:ascii="Times New Roman" w:hAnsi="Times New Roman" w:eastAsia="宋体" w:cs="Times New Roman"/>
                <w:b w:val="0"/>
                <w:bCs/>
                <w:color w:val="000000"/>
                <w:sz w:val="24"/>
                <w:szCs w:val="24"/>
                <w:highlight w:val="none"/>
                <w:lang w:eastAsia="zh-CN"/>
              </w:rPr>
              <w:t>具有毒性、腐蚀性</w:t>
            </w:r>
            <w:r>
              <w:rPr>
                <w:rFonts w:hint="default" w:ascii="Times New Roman" w:hAnsi="Times New Roman" w:eastAsia="宋体" w:cs="Times New Roman"/>
                <w:b w:val="0"/>
                <w:bCs/>
                <w:color w:val="000000"/>
                <w:sz w:val="24"/>
                <w:szCs w:val="24"/>
                <w:highlight w:val="none"/>
              </w:rPr>
              <w:t>物质。贮存不当存在发生泄漏和</w:t>
            </w:r>
            <w:r>
              <w:rPr>
                <w:rFonts w:hint="default" w:ascii="Times New Roman" w:hAnsi="Times New Roman" w:eastAsia="宋体" w:cs="Times New Roman"/>
                <w:b w:val="0"/>
                <w:bCs/>
                <w:color w:val="000000"/>
                <w:sz w:val="24"/>
                <w:szCs w:val="24"/>
                <w:highlight w:val="none"/>
                <w:lang w:eastAsia="zh-CN"/>
              </w:rPr>
              <w:t>中毒</w:t>
            </w:r>
            <w:r>
              <w:rPr>
                <w:rFonts w:hint="default" w:ascii="Times New Roman" w:hAnsi="Times New Roman" w:eastAsia="宋体" w:cs="Times New Roman"/>
                <w:b w:val="0"/>
                <w:bCs/>
                <w:color w:val="000000"/>
                <w:sz w:val="24"/>
                <w:szCs w:val="24"/>
                <w:highlight w:val="none"/>
              </w:rPr>
              <w:t>的风险。</w:t>
            </w:r>
          </w:p>
          <w:p>
            <w:pPr>
              <w:pStyle w:val="17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val="en-US" w:eastAsia="zh-CN"/>
              </w:rPr>
              <w:t>②</w:t>
            </w:r>
            <w:r>
              <w:rPr>
                <w:rFonts w:hint="default" w:ascii="Times New Roman" w:hAnsi="Times New Roman" w:cs="Times New Roman"/>
                <w:b w:val="0"/>
                <w:color w:val="000000"/>
                <w:sz w:val="24"/>
                <w:szCs w:val="24"/>
                <w:highlight w:val="none"/>
              </w:rPr>
              <w:t>风险潜势判断</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b w:val="0"/>
                <w:color w:val="000000"/>
                <w:sz w:val="24"/>
                <w:szCs w:val="24"/>
                <w:highlight w:val="none"/>
              </w:rPr>
            </w:pPr>
            <w:r>
              <w:rPr>
                <w:rFonts w:hint="default" w:ascii="Times New Roman" w:hAnsi="Times New Roman" w:cs="Times New Roman"/>
                <w:b w:val="0"/>
                <w:color w:val="000000"/>
                <w:sz w:val="24"/>
                <w:szCs w:val="24"/>
                <w:highlight w:val="none"/>
              </w:rPr>
              <w:t>根据《建设项目环境风险评价技术导则》（HJ169-2018）附录B中突发环境事件风险物质及临界量表，对项目涉及的危险化学品进行识别。根据附录C，当只涉及一种危险化物质时，计算该物质的总量与其临界量比值，即为Q：</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b w:val="0"/>
                <w:color w:val="000000"/>
                <w:sz w:val="24"/>
                <w:szCs w:val="24"/>
                <w:highlight w:val="none"/>
              </w:rPr>
            </w:pPr>
            <w:r>
              <w:rPr>
                <w:rFonts w:hint="default" w:ascii="Times New Roman" w:hAnsi="Times New Roman" w:cs="Times New Roman"/>
                <w:b w:val="0"/>
                <w:color w:val="000000"/>
                <w:sz w:val="24"/>
                <w:szCs w:val="24"/>
                <w:highlight w:val="none"/>
              </w:rPr>
              <w:t>当Q＜1时，该项目环境风险潜势为I。</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b w:val="0"/>
                <w:color w:val="000000"/>
                <w:sz w:val="24"/>
                <w:szCs w:val="24"/>
                <w:highlight w:val="none"/>
              </w:rPr>
            </w:pPr>
            <w:r>
              <w:rPr>
                <w:rFonts w:hint="default" w:ascii="Times New Roman" w:hAnsi="Times New Roman" w:cs="Times New Roman"/>
                <w:b w:val="0"/>
                <w:color w:val="000000"/>
                <w:sz w:val="24"/>
                <w:szCs w:val="24"/>
                <w:highlight w:val="none"/>
              </w:rPr>
              <w:t>当Q≥1时，将Q值划分为：（1）1≤Q＜10；（2）10≤Q＜100；（3）Q≥100。</w:t>
            </w:r>
          </w:p>
          <w:p>
            <w:pPr>
              <w:pStyle w:val="178"/>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b w:val="0"/>
                <w:color w:val="000000"/>
                <w:sz w:val="24"/>
                <w:szCs w:val="24"/>
                <w:highlight w:val="none"/>
              </w:rPr>
            </w:pPr>
            <w:r>
              <w:rPr>
                <w:rFonts w:hint="default" w:ascii="Times New Roman" w:hAnsi="Times New Roman" w:cs="Times New Roman"/>
                <w:b w:val="0"/>
                <w:color w:val="000000"/>
                <w:sz w:val="24"/>
                <w:szCs w:val="24"/>
                <w:highlight w:val="none"/>
              </w:rPr>
              <w:t>根据《建设项目环境风险评价技术导则》（HJ169-2018）附录B，本项目涉及的风险源为</w:t>
            </w:r>
            <w:r>
              <w:rPr>
                <w:rFonts w:hint="eastAsia" w:ascii="Times New Roman" w:hAnsi="Times New Roman" w:eastAsia="宋体" w:cs="Times New Roman"/>
                <w:b w:val="0"/>
                <w:bCs/>
                <w:color w:val="000000"/>
                <w:sz w:val="24"/>
                <w:szCs w:val="24"/>
                <w:highlight w:val="none"/>
                <w:lang w:val="en-US" w:eastAsia="zh-CN"/>
              </w:rPr>
              <w:t>拉丝油及废拉丝油、机油及</w:t>
            </w:r>
            <w:r>
              <w:rPr>
                <w:rFonts w:hint="default" w:ascii="Times New Roman" w:hAnsi="Times New Roman" w:eastAsia="宋体" w:cs="Times New Roman"/>
                <w:b w:val="0"/>
                <w:bCs/>
                <w:color w:val="000000"/>
                <w:sz w:val="24"/>
                <w:szCs w:val="24"/>
                <w:highlight w:val="none"/>
                <w:lang w:eastAsia="zh-CN"/>
              </w:rPr>
              <w:t>废机油</w:t>
            </w:r>
            <w:r>
              <w:rPr>
                <w:rFonts w:hint="default" w:ascii="Times New Roman" w:hAnsi="Times New Roman" w:cs="Times New Roman"/>
                <w:b w:val="0"/>
                <w:color w:val="000000"/>
                <w:sz w:val="24"/>
                <w:szCs w:val="24"/>
                <w:highlight w:val="none"/>
              </w:rPr>
              <w:t>。</w:t>
            </w:r>
            <w:r>
              <w:rPr>
                <w:rFonts w:hint="default" w:ascii="Times New Roman" w:hAnsi="Times New Roman" w:cs="Times New Roman"/>
                <w:b w:val="0"/>
                <w:color w:val="000000"/>
                <w:sz w:val="24"/>
                <w:szCs w:val="24"/>
                <w:highlight w:val="none"/>
                <w:lang w:val="en-US" w:eastAsia="zh-CN"/>
              </w:rPr>
              <w:t>本</w:t>
            </w:r>
            <w:r>
              <w:rPr>
                <w:rFonts w:hint="default" w:ascii="Times New Roman" w:hAnsi="Times New Roman" w:cs="Times New Roman"/>
                <w:b w:val="0"/>
                <w:color w:val="000000"/>
                <w:sz w:val="24"/>
                <w:szCs w:val="24"/>
                <w:highlight w:val="none"/>
              </w:rPr>
              <w:t>项目危险物质数量与临界量比值判定结果见表</w:t>
            </w:r>
            <w:r>
              <w:rPr>
                <w:rFonts w:hint="eastAsia" w:ascii="Times New Roman" w:hAnsi="Times New Roman" w:cs="Times New Roman"/>
                <w:b w:val="0"/>
                <w:color w:val="000000"/>
                <w:sz w:val="24"/>
                <w:szCs w:val="24"/>
                <w:highlight w:val="none"/>
                <w:lang w:val="en-US" w:eastAsia="zh-CN"/>
              </w:rPr>
              <w:t>4-9</w:t>
            </w:r>
            <w:r>
              <w:rPr>
                <w:rFonts w:hint="default" w:ascii="Times New Roman" w:hAnsi="Times New Roman" w:cs="Times New Roman"/>
                <w:b w:val="0"/>
                <w:color w:val="00000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w:t>
            </w:r>
            <w:r>
              <w:rPr>
                <w:rFonts w:hint="eastAsia" w:ascii="Times New Roman" w:hAnsi="Times New Roman" w:eastAsia="宋体" w:cs="Times New Roman"/>
                <w:b/>
                <w:bCs/>
                <w:color w:val="000000"/>
                <w:sz w:val="21"/>
                <w:szCs w:val="21"/>
                <w:highlight w:val="none"/>
                <w:lang w:val="en-US" w:eastAsia="zh-CN"/>
              </w:rPr>
              <w:t>4-</w:t>
            </w:r>
            <w:r>
              <w:rPr>
                <w:rFonts w:hint="eastAsia" w:cs="Times New Roman"/>
                <w:b/>
                <w:bCs/>
                <w:color w:val="000000"/>
                <w:sz w:val="21"/>
                <w:szCs w:val="21"/>
                <w:highlight w:val="none"/>
                <w:lang w:val="en-US" w:eastAsia="zh-CN"/>
              </w:rPr>
              <w:t>9</w:t>
            </w:r>
            <w:r>
              <w:rPr>
                <w:rFonts w:hint="eastAsia"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t xml:space="preserve">  本项目危险物质临界量一览表</w:t>
            </w:r>
          </w:p>
          <w:tbl>
            <w:tblPr>
              <w:tblStyle w:val="30"/>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45"/>
              <w:gridCol w:w="1380"/>
              <w:gridCol w:w="1499"/>
              <w:gridCol w:w="282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445" w:type="dxa"/>
                  <w:tcBorders>
                    <w:tl2br w:val="nil"/>
                    <w:tr2bl w:val="nil"/>
                  </w:tcBorders>
                  <w:noWrap w:val="0"/>
                  <w:vAlign w:val="center"/>
                </w:tcPr>
                <w:p>
                  <w:pPr>
                    <w:pStyle w:val="18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名称</w:t>
                  </w:r>
                </w:p>
              </w:tc>
              <w:tc>
                <w:tcPr>
                  <w:tcW w:w="1380" w:type="dxa"/>
                  <w:tcBorders>
                    <w:tl2br w:val="nil"/>
                    <w:tr2bl w:val="nil"/>
                  </w:tcBorders>
                  <w:noWrap w:val="0"/>
                  <w:vAlign w:val="center"/>
                </w:tcPr>
                <w:p>
                  <w:pPr>
                    <w:pStyle w:val="18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最大贮存量（t）</w:t>
                  </w:r>
                </w:p>
              </w:tc>
              <w:tc>
                <w:tcPr>
                  <w:tcW w:w="1499" w:type="dxa"/>
                  <w:tcBorders>
                    <w:tl2br w:val="nil"/>
                    <w:tr2bl w:val="nil"/>
                  </w:tcBorders>
                  <w:noWrap w:val="0"/>
                  <w:vAlign w:val="center"/>
                </w:tcPr>
                <w:p>
                  <w:pPr>
                    <w:pStyle w:val="18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临界量（t）</w:t>
                  </w:r>
                </w:p>
              </w:tc>
              <w:tc>
                <w:tcPr>
                  <w:tcW w:w="2824" w:type="dxa"/>
                  <w:tcBorders>
                    <w:tl2br w:val="nil"/>
                    <w:tr2bl w:val="nil"/>
                  </w:tcBorders>
                  <w:noWrap w:val="0"/>
                  <w:vAlign w:val="center"/>
                </w:tcPr>
                <w:p>
                  <w:pPr>
                    <w:pStyle w:val="18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危险物质数量与临界量比值Q</w:t>
                  </w:r>
                </w:p>
              </w:tc>
              <w:tc>
                <w:tcPr>
                  <w:tcW w:w="1190" w:type="dxa"/>
                  <w:tcBorders>
                    <w:tl2br w:val="nil"/>
                    <w:tr2bl w:val="nil"/>
                  </w:tcBorders>
                  <w:noWrap w:val="0"/>
                  <w:vAlign w:val="center"/>
                </w:tcPr>
                <w:p>
                  <w:pPr>
                    <w:pStyle w:val="18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445" w:type="dxa"/>
                  <w:tcBorders>
                    <w:tl2br w:val="nil"/>
                    <w:tr2bl w:val="nil"/>
                  </w:tcBorders>
                  <w:noWrap w:val="0"/>
                  <w:vAlign w:val="center"/>
                </w:tcPr>
                <w:p>
                  <w:pPr>
                    <w:pStyle w:val="180"/>
                    <w:rPr>
                      <w:rFonts w:hint="default" w:ascii="Times New Roman" w:hAnsi="Times New Roman" w:cs="Times New Roman"/>
                      <w:b w:val="0"/>
                      <w:bCs w:val="0"/>
                      <w:color w:val="000000"/>
                      <w:sz w:val="21"/>
                      <w:szCs w:val="21"/>
                      <w:highlight w:val="none"/>
                      <w:lang w:eastAsia="zh-CN"/>
                    </w:rPr>
                  </w:pPr>
                  <w:r>
                    <w:rPr>
                      <w:rFonts w:hint="eastAsia" w:ascii="Times New Roman" w:hAnsi="Times New Roman" w:cs="Times New Roman"/>
                      <w:b w:val="0"/>
                      <w:bCs w:val="0"/>
                      <w:color w:val="000000"/>
                      <w:sz w:val="21"/>
                      <w:szCs w:val="21"/>
                      <w:highlight w:val="none"/>
                      <w:lang w:val="en-US" w:eastAsia="zh-CN"/>
                    </w:rPr>
                    <w:t>机油及</w:t>
                  </w:r>
                  <w:r>
                    <w:rPr>
                      <w:rFonts w:hint="default" w:ascii="Times New Roman" w:hAnsi="Times New Roman" w:cs="Times New Roman"/>
                      <w:b w:val="0"/>
                      <w:bCs w:val="0"/>
                      <w:color w:val="000000"/>
                      <w:sz w:val="21"/>
                      <w:szCs w:val="21"/>
                      <w:highlight w:val="none"/>
                      <w:lang w:eastAsia="zh-CN"/>
                    </w:rPr>
                    <w:t>废机油</w:t>
                  </w:r>
                </w:p>
              </w:tc>
              <w:tc>
                <w:tcPr>
                  <w:tcW w:w="1380"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0.3</w:t>
                  </w:r>
                </w:p>
              </w:tc>
              <w:tc>
                <w:tcPr>
                  <w:tcW w:w="1499"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2500</w:t>
                  </w:r>
                </w:p>
              </w:tc>
              <w:tc>
                <w:tcPr>
                  <w:tcW w:w="2824"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0.0002</w:t>
                  </w:r>
                </w:p>
              </w:tc>
              <w:tc>
                <w:tcPr>
                  <w:tcW w:w="1190" w:type="dxa"/>
                  <w:tcBorders>
                    <w:tl2br w:val="nil"/>
                    <w:tr2bl w:val="nil"/>
                  </w:tcBorders>
                  <w:noWrap w:val="0"/>
                  <w:vAlign w:val="center"/>
                </w:tcPr>
                <w:p>
                  <w:pPr>
                    <w:pStyle w:val="18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445" w:type="dxa"/>
                  <w:tcBorders>
                    <w:tl2br w:val="nil"/>
                    <w:tr2bl w:val="nil"/>
                  </w:tcBorders>
                  <w:noWrap w:val="0"/>
                  <w:vAlign w:val="center"/>
                </w:tcPr>
                <w:p>
                  <w:pPr>
                    <w:pStyle w:val="180"/>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拉丝油及废拉丝油</w:t>
                  </w:r>
                </w:p>
              </w:tc>
              <w:tc>
                <w:tcPr>
                  <w:tcW w:w="1380"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8</w:t>
                  </w:r>
                </w:p>
              </w:tc>
              <w:tc>
                <w:tcPr>
                  <w:tcW w:w="1499"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2500</w:t>
                  </w:r>
                </w:p>
              </w:tc>
              <w:tc>
                <w:tcPr>
                  <w:tcW w:w="2824" w:type="dxa"/>
                  <w:tcBorders>
                    <w:tl2br w:val="nil"/>
                    <w:tr2bl w:val="nil"/>
                  </w:tcBorders>
                  <w:noWrap w:val="0"/>
                  <w:vAlign w:val="center"/>
                </w:tcPr>
                <w:p>
                  <w:pPr>
                    <w:pStyle w:val="18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w:t>
                  </w:r>
                  <w:r>
                    <w:rPr>
                      <w:rFonts w:hint="eastAsia" w:cs="Times New Roman"/>
                      <w:color w:val="000000"/>
                      <w:sz w:val="21"/>
                      <w:szCs w:val="21"/>
                      <w:highlight w:val="none"/>
                      <w:lang w:val="en-US" w:eastAsia="zh-CN"/>
                    </w:rPr>
                    <w:t>032</w:t>
                  </w:r>
                </w:p>
              </w:tc>
              <w:tc>
                <w:tcPr>
                  <w:tcW w:w="1190" w:type="dxa"/>
                  <w:tcBorders>
                    <w:tl2br w:val="nil"/>
                    <w:tr2bl w:val="nil"/>
                  </w:tcBorders>
                  <w:noWrap w:val="0"/>
                  <w:vAlign w:val="center"/>
                </w:tcPr>
                <w:p>
                  <w:pPr>
                    <w:pStyle w:val="18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Q＜1</w:t>
                  </w:r>
                </w:p>
              </w:tc>
            </w:tr>
          </w:tbl>
          <w:p>
            <w:pPr>
              <w:spacing w:after="119" w:line="1" w:lineRule="exact"/>
              <w:rPr>
                <w:rFonts w:hint="default" w:ascii="Times New Roman" w:hAnsi="Times New Roman" w:cs="Times New Roman"/>
                <w:color w:val="000000"/>
                <w:highlight w:val="none"/>
              </w:rPr>
            </w:pPr>
          </w:p>
          <w:p>
            <w:pPr>
              <w:pStyle w:val="17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highlight w:val="none"/>
              </w:rPr>
            </w:pPr>
            <w:r>
              <w:rPr>
                <w:rFonts w:hint="eastAsia" w:ascii="Times New Roman" w:hAnsi="Times New Roman" w:cs="Times New Roman"/>
                <w:color w:val="000000"/>
                <w:highlight w:val="none"/>
                <w:lang w:val="en-US" w:eastAsia="zh-CN"/>
              </w:rPr>
              <w:t>经统计，</w:t>
            </w:r>
            <w:r>
              <w:rPr>
                <w:rFonts w:hint="default" w:ascii="Times New Roman" w:hAnsi="Times New Roman" w:cs="Times New Roman"/>
                <w:color w:val="000000"/>
                <w:highlight w:val="none"/>
              </w:rPr>
              <w:t>项目危险物质数量与临界量比值Q＜1，该项目环境风险潜势为Ⅰ。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w:t>
            </w:r>
            <w:r>
              <w:rPr>
                <w:rFonts w:hint="eastAsia" w:ascii="Times New Roman" w:hAnsi="Times New Roman" w:eastAsia="宋体" w:cs="Times New Roman"/>
                <w:b/>
                <w:bCs/>
                <w:color w:val="000000"/>
                <w:sz w:val="21"/>
                <w:szCs w:val="21"/>
                <w:highlight w:val="none"/>
                <w:lang w:val="en-US" w:eastAsia="zh-CN"/>
              </w:rPr>
              <w:t xml:space="preserve">4-10 </w:t>
            </w:r>
            <w:r>
              <w:rPr>
                <w:rFonts w:hint="default" w:ascii="Times New Roman" w:hAnsi="Times New Roman" w:eastAsia="宋体" w:cs="Times New Roman"/>
                <w:b/>
                <w:bCs/>
                <w:color w:val="000000"/>
                <w:sz w:val="21"/>
                <w:szCs w:val="21"/>
                <w:highlight w:val="none"/>
                <w:lang w:val="en-US" w:eastAsia="zh-CN"/>
              </w:rPr>
              <w:t xml:space="preserve">  环境风险评价工作级别判据</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1"/>
              <w:gridCol w:w="1652"/>
              <w:gridCol w:w="1652"/>
              <w:gridCol w:w="1653"/>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pct"/>
                  <w:tcBorders>
                    <w:tl2br w:val="nil"/>
                    <w:tr2bl w:val="nil"/>
                  </w:tcBorders>
                  <w:noWrap w:val="0"/>
                  <w:vAlign w:val="center"/>
                </w:tcPr>
                <w:p>
                  <w:pPr>
                    <w:pStyle w:val="112"/>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环境风险潜势</w:t>
                  </w:r>
                </w:p>
              </w:tc>
              <w:tc>
                <w:tcPr>
                  <w:tcW w:w="980"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Ⅳ、Ⅵ</w:t>
                  </w:r>
                </w:p>
              </w:tc>
              <w:tc>
                <w:tcPr>
                  <w:tcW w:w="980"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Ⅲ</w:t>
                  </w:r>
                </w:p>
              </w:tc>
              <w:tc>
                <w:tcPr>
                  <w:tcW w:w="981"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Ⅱ</w:t>
                  </w:r>
                </w:p>
              </w:tc>
              <w:tc>
                <w:tcPr>
                  <w:tcW w:w="1077"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0" w:type="pct"/>
                  <w:tcBorders>
                    <w:tl2br w:val="nil"/>
                    <w:tr2bl w:val="nil"/>
                  </w:tcBorders>
                  <w:noWrap w:val="0"/>
                  <w:vAlign w:val="center"/>
                </w:tcPr>
                <w:p>
                  <w:pPr>
                    <w:pStyle w:val="112"/>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评价工作等级</w:t>
                  </w:r>
                </w:p>
              </w:tc>
              <w:tc>
                <w:tcPr>
                  <w:tcW w:w="980"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一</w:t>
                  </w:r>
                </w:p>
              </w:tc>
              <w:tc>
                <w:tcPr>
                  <w:tcW w:w="980"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二</w:t>
                  </w:r>
                </w:p>
              </w:tc>
              <w:tc>
                <w:tcPr>
                  <w:tcW w:w="981" w:type="pct"/>
                  <w:tcBorders>
                    <w:tl2br w:val="nil"/>
                    <w:tr2bl w:val="nil"/>
                  </w:tcBorders>
                  <w:noWrap w:val="0"/>
                  <w:vAlign w:val="center"/>
                </w:tcPr>
                <w:p>
                  <w:pPr>
                    <w:pStyle w:val="112"/>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三</w:t>
                  </w:r>
                </w:p>
              </w:tc>
              <w:tc>
                <w:tcPr>
                  <w:tcW w:w="1077" w:type="pct"/>
                  <w:tcBorders>
                    <w:tl2br w:val="nil"/>
                    <w:tr2bl w:val="nil"/>
                  </w:tcBorders>
                  <w:noWrap w:val="0"/>
                  <w:vAlign w:val="center"/>
                </w:tcPr>
                <w:p>
                  <w:pPr>
                    <w:pStyle w:val="112"/>
                    <w:jc w:val="center"/>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简单分析 </w:t>
                  </w:r>
                  <w:r>
                    <w:rPr>
                      <w:rFonts w:hint="default" w:ascii="Times New Roman" w:hAnsi="Times New Roman" w:eastAsia="Times New Roman" w:cs="Times New Roman"/>
                      <w:color w:val="000000"/>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5"/>
                  <w:tcBorders>
                    <w:tl2br w:val="nil"/>
                    <w:tr2bl w:val="nil"/>
                  </w:tcBorders>
                  <w:noWrap w:val="0"/>
                  <w:vAlign w:val="center"/>
                </w:tcPr>
                <w:p>
                  <w:pPr>
                    <w:pStyle w:val="112"/>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 xml:space="preserve">a </w:t>
                  </w:r>
                  <w:r>
                    <w:rPr>
                      <w:rFonts w:hint="default" w:ascii="Times New Roman" w:hAnsi="Times New Roman" w:cs="Times New Roman"/>
                      <w:color w:val="000000"/>
                      <w:sz w:val="21"/>
                      <w:szCs w:val="21"/>
                      <w:highlight w:val="none"/>
                    </w:rPr>
                    <w:t xml:space="preserve">是相对于详细评价工作而言，在描述危险物质、环境影响途径、环境危害后果、风险防范措施等方面给出定性的说明。见附录 </w:t>
                  </w:r>
                  <w:r>
                    <w:rPr>
                      <w:rFonts w:hint="default" w:ascii="Times New Roman" w:hAnsi="Times New Roman" w:eastAsia="Times New Roman" w:cs="Times New Roman"/>
                      <w:color w:val="000000"/>
                      <w:sz w:val="21"/>
                      <w:szCs w:val="21"/>
                      <w:highlight w:val="none"/>
                    </w:rPr>
                    <w:t>A</w:t>
                  </w:r>
                  <w:r>
                    <w:rPr>
                      <w:rFonts w:hint="default" w:ascii="Times New Roman" w:hAnsi="Times New Roman" w:cs="Times New Roman"/>
                      <w:color w:val="000000"/>
                      <w:sz w:val="21"/>
                      <w:szCs w:val="21"/>
                      <w:highlight w:val="none"/>
                    </w:rPr>
                    <w:t>。</w:t>
                  </w:r>
                </w:p>
              </w:tc>
            </w:tr>
          </w:tbl>
          <w:p>
            <w:pPr>
              <w:pStyle w:val="17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000000"/>
                <w:highlight w:val="none"/>
                <w:lang w:eastAsia="zh-CN"/>
              </w:rPr>
            </w:pPr>
            <w:r>
              <w:rPr>
                <w:rFonts w:hint="eastAsia" w:ascii="Times New Roman" w:hAnsi="Times New Roman" w:cs="Times New Roman"/>
                <w:color w:val="000000"/>
                <w:sz w:val="24"/>
                <w:szCs w:val="24"/>
                <w:highlight w:val="none"/>
                <w:lang w:val="en-US" w:eastAsia="zh-CN"/>
              </w:rPr>
              <w:t>根据</w:t>
            </w:r>
            <w:r>
              <w:rPr>
                <w:rFonts w:hint="default" w:ascii="Times New Roman" w:hAnsi="Times New Roman" w:cs="Times New Roman"/>
                <w:color w:val="000000"/>
                <w:sz w:val="24"/>
                <w:szCs w:val="24"/>
                <w:highlight w:val="none"/>
              </w:rPr>
              <w:t>《建设项目环境风险评价技术导则》（</w:t>
            </w:r>
            <w:r>
              <w:rPr>
                <w:rFonts w:hint="default" w:ascii="Times New Roman" w:hAnsi="Times New Roman" w:eastAsia="Times New Roman" w:cs="Times New Roman"/>
                <w:color w:val="000000"/>
                <w:sz w:val="24"/>
                <w:szCs w:val="24"/>
                <w:highlight w:val="none"/>
              </w:rPr>
              <w:t>HJ169-2018</w:t>
            </w:r>
            <w:r>
              <w:rPr>
                <w:rFonts w:hint="default" w:ascii="Times New Roman" w:hAnsi="Times New Roman" w:cs="Times New Roman"/>
                <w:color w:val="000000"/>
                <w:sz w:val="24"/>
                <w:szCs w:val="24"/>
                <w:highlight w:val="none"/>
              </w:rPr>
              <w:t>），本项目环境风险评价</w:t>
            </w:r>
            <w:r>
              <w:rPr>
                <w:rFonts w:hint="eastAsia" w:ascii="Times New Roman" w:hAnsi="Times New Roman" w:cs="Times New Roman"/>
                <w:color w:val="000000"/>
                <w:sz w:val="24"/>
                <w:szCs w:val="24"/>
                <w:highlight w:val="none"/>
                <w:lang w:val="en-US" w:eastAsia="zh-CN"/>
              </w:rPr>
              <w:t>为</w:t>
            </w:r>
            <w:r>
              <w:rPr>
                <w:rFonts w:hint="default" w:ascii="Times New Roman" w:hAnsi="Times New Roman" w:cs="Times New Roman"/>
                <w:color w:val="000000"/>
                <w:sz w:val="24"/>
                <w:szCs w:val="24"/>
                <w:highlight w:val="none"/>
              </w:rPr>
              <w:t>简单分析。</w:t>
            </w:r>
          </w:p>
          <w:p>
            <w:pPr>
              <w:pStyle w:val="179"/>
              <w:keepNext w:val="0"/>
              <w:keepLines w:val="0"/>
              <w:pageBreakBefore w:val="0"/>
              <w:numPr>
                <w:ilvl w:val="0"/>
                <w:numId w:val="0"/>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2</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环境风险</w:t>
            </w:r>
            <w:r>
              <w:rPr>
                <w:rFonts w:hint="default" w:ascii="Times New Roman" w:hAnsi="Times New Roman" w:cs="Times New Roman"/>
                <w:color w:val="000000"/>
                <w:highlight w:val="none"/>
                <w:lang w:val="en-US" w:eastAsia="zh-CN"/>
              </w:rPr>
              <w:t>可能影响途径</w:t>
            </w:r>
          </w:p>
          <w:p>
            <w:pPr>
              <w:pStyle w:val="179"/>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本项目环境风险</w:t>
            </w:r>
            <w:r>
              <w:rPr>
                <w:rFonts w:hint="default" w:ascii="Times New Roman" w:hAnsi="Times New Roman" w:cs="Times New Roman"/>
                <w:color w:val="000000"/>
                <w:highlight w:val="none"/>
                <w:lang w:val="en-US" w:eastAsia="zh-CN"/>
              </w:rPr>
              <w:t>可能影响途径</w:t>
            </w:r>
            <w:r>
              <w:rPr>
                <w:rFonts w:hint="default" w:ascii="Times New Roman" w:hAnsi="Times New Roman" w:cs="Times New Roman"/>
                <w:color w:val="000000"/>
                <w:highlight w:val="none"/>
              </w:rPr>
              <w:t>主要来自</w:t>
            </w:r>
            <w:r>
              <w:rPr>
                <w:rFonts w:hint="default" w:ascii="Times New Roman" w:hAnsi="Times New Roman" w:cs="Times New Roman"/>
                <w:color w:val="000000"/>
                <w:highlight w:val="none"/>
                <w:lang w:eastAsia="zh-CN"/>
              </w:rPr>
              <w:t>危险废物</w:t>
            </w:r>
            <w:r>
              <w:rPr>
                <w:rFonts w:hint="default" w:ascii="Times New Roman" w:hAnsi="Times New Roman" w:cs="Times New Roman"/>
                <w:color w:val="000000"/>
                <w:highlight w:val="none"/>
              </w:rPr>
              <w:t>储存设备、装卸设备、运输容器等发生故障</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均有可能导致物质的释放与泄漏。</w:t>
            </w:r>
          </w:p>
          <w:p>
            <w:pPr>
              <w:pStyle w:val="180"/>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环境</w:t>
            </w:r>
            <w:r>
              <w:rPr>
                <w:rFonts w:hint="default" w:ascii="Times New Roman" w:hAnsi="Times New Roman" w:cs="Times New Roman"/>
                <w:color w:val="000000"/>
                <w:sz w:val="24"/>
                <w:szCs w:val="24"/>
                <w:highlight w:val="none"/>
              </w:rPr>
              <w:t>风险防范措施</w:t>
            </w:r>
          </w:p>
          <w:p>
            <w:pPr>
              <w:pStyle w:val="180"/>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①</w:t>
            </w:r>
            <w:r>
              <w:rPr>
                <w:rFonts w:hint="default" w:ascii="Times New Roman" w:hAnsi="Times New Roman" w:cs="Times New Roman"/>
                <w:color w:val="000000"/>
                <w:sz w:val="24"/>
                <w:szCs w:val="24"/>
                <w:highlight w:val="none"/>
                <w:lang w:val="en-US" w:eastAsia="zh-CN"/>
              </w:rPr>
              <w:t>泄漏</w:t>
            </w:r>
            <w:r>
              <w:rPr>
                <w:rFonts w:hint="default" w:ascii="Times New Roman" w:hAnsi="Times New Roman" w:cs="Times New Roman"/>
                <w:color w:val="000000"/>
                <w:sz w:val="24"/>
                <w:szCs w:val="24"/>
                <w:highlight w:val="none"/>
              </w:rPr>
              <w:t>风险防范措施</w:t>
            </w:r>
          </w:p>
          <w:p>
            <w:pPr>
              <w:pStyle w:val="180"/>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ⅰ、</w:t>
            </w:r>
            <w:r>
              <w:rPr>
                <w:rFonts w:hint="default" w:ascii="Times New Roman" w:hAnsi="Times New Roman" w:cs="Times New Roman"/>
                <w:color w:val="000000"/>
                <w:sz w:val="24"/>
                <w:szCs w:val="24"/>
                <w:highlight w:val="none"/>
                <w:lang w:eastAsia="zh-CN"/>
              </w:rPr>
              <w:t>泄漏</w:t>
            </w:r>
            <w:r>
              <w:rPr>
                <w:rFonts w:hint="default" w:ascii="Times New Roman" w:hAnsi="Times New Roman" w:cs="Times New Roman"/>
                <w:color w:val="000000"/>
                <w:sz w:val="24"/>
                <w:szCs w:val="24"/>
                <w:highlight w:val="none"/>
              </w:rPr>
              <w:t>防范及应急设施设置</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危险废物暂存间内四周设置裙脚防渗，设导流槽和</w:t>
            </w:r>
            <w:r>
              <w:rPr>
                <w:rFonts w:hint="default" w:ascii="Times New Roman" w:hAnsi="Times New Roman" w:eastAsia="宋体" w:cs="Times New Roman"/>
                <w:color w:val="000000"/>
                <w:sz w:val="24"/>
                <w:szCs w:val="24"/>
                <w:highlight w:val="none"/>
                <w:lang w:val="en-US" w:eastAsia="zh-CN"/>
              </w:rPr>
              <w:t>废油收集池</w:t>
            </w:r>
            <w:r>
              <w:rPr>
                <w:rFonts w:hint="default" w:ascii="Times New Roman" w:hAnsi="Times New Roman" w:cs="Times New Roman"/>
                <w:color w:val="000000"/>
                <w:sz w:val="24"/>
                <w:highlight w:val="none"/>
              </w:rPr>
              <w:t>，便于事故情况下</w:t>
            </w:r>
            <w:r>
              <w:rPr>
                <w:rFonts w:hint="default" w:ascii="Times New Roman" w:hAnsi="Times New Roman" w:cs="Times New Roman"/>
                <w:color w:val="000000"/>
                <w:sz w:val="24"/>
                <w:highlight w:val="none"/>
                <w:lang w:eastAsia="zh-CN"/>
              </w:rPr>
              <w:t>泄漏</w:t>
            </w:r>
            <w:r>
              <w:rPr>
                <w:rFonts w:hint="default" w:ascii="Times New Roman" w:hAnsi="Times New Roman" w:cs="Times New Roman"/>
                <w:color w:val="000000"/>
                <w:sz w:val="24"/>
                <w:highlight w:val="none"/>
              </w:rPr>
              <w:t>的</w:t>
            </w:r>
            <w:r>
              <w:rPr>
                <w:rFonts w:hint="default" w:ascii="Times New Roman" w:hAnsi="Times New Roman" w:cs="Times New Roman"/>
                <w:color w:val="000000"/>
                <w:sz w:val="24"/>
                <w:highlight w:val="none"/>
                <w:lang w:eastAsia="zh-CN"/>
              </w:rPr>
              <w:t>废液</w:t>
            </w:r>
            <w:r>
              <w:rPr>
                <w:rFonts w:hint="default" w:ascii="Times New Roman" w:hAnsi="Times New Roman" w:cs="Times New Roman"/>
                <w:color w:val="000000"/>
                <w:sz w:val="24"/>
                <w:highlight w:val="none"/>
              </w:rPr>
              <w:t>进入其中。项目运营过程中，如果发现储存容器破损，其</w:t>
            </w:r>
            <w:r>
              <w:rPr>
                <w:rFonts w:hint="default" w:ascii="Times New Roman" w:hAnsi="Times New Roman" w:cs="Times New Roman"/>
                <w:color w:val="000000"/>
                <w:sz w:val="24"/>
                <w:highlight w:val="none"/>
                <w:lang w:eastAsia="zh-CN"/>
              </w:rPr>
              <w:t>泄漏</w:t>
            </w:r>
            <w:r>
              <w:rPr>
                <w:rFonts w:hint="default" w:ascii="Times New Roman" w:hAnsi="Times New Roman" w:cs="Times New Roman"/>
                <w:color w:val="000000"/>
                <w:sz w:val="24"/>
                <w:highlight w:val="none"/>
              </w:rPr>
              <w:t>出来的液体受到裙脚的阻隔，进而流向导流槽，最终进入</w:t>
            </w:r>
            <w:r>
              <w:rPr>
                <w:rFonts w:hint="default" w:ascii="Times New Roman" w:hAnsi="Times New Roman" w:cs="Times New Roman"/>
                <w:color w:val="000000"/>
                <w:sz w:val="24"/>
                <w:highlight w:val="none"/>
                <w:lang w:eastAsia="zh-CN"/>
              </w:rPr>
              <w:t>废液</w:t>
            </w:r>
            <w:r>
              <w:rPr>
                <w:rFonts w:hint="default" w:ascii="Times New Roman" w:hAnsi="Times New Roman" w:eastAsia="宋体" w:cs="Times New Roman"/>
                <w:color w:val="000000"/>
                <w:sz w:val="24"/>
                <w:szCs w:val="24"/>
                <w:highlight w:val="none"/>
                <w:lang w:val="en-US" w:eastAsia="zh-CN"/>
              </w:rPr>
              <w:t>收集池</w:t>
            </w:r>
            <w:r>
              <w:rPr>
                <w:rFonts w:hint="default" w:ascii="Times New Roman" w:hAnsi="Times New Roman" w:cs="Times New Roman"/>
                <w:color w:val="000000"/>
                <w:sz w:val="24"/>
                <w:highlight w:val="none"/>
              </w:rPr>
              <w:t>中。日常运行过程中应加强储存容器的检查管理，降低发生风险事故的概率。</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ⅱ、防渗措施</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储存区、装卸区、裙脚、导流槽、</w:t>
            </w:r>
            <w:r>
              <w:rPr>
                <w:rFonts w:hint="default" w:ascii="Times New Roman" w:hAnsi="Times New Roman" w:eastAsia="宋体" w:cs="Times New Roman"/>
                <w:color w:val="000000"/>
                <w:sz w:val="24"/>
                <w:highlight w:val="none"/>
                <w:lang w:eastAsia="zh-CN"/>
              </w:rPr>
              <w:t>废液</w:t>
            </w:r>
            <w:r>
              <w:rPr>
                <w:rFonts w:hint="default" w:ascii="Times New Roman" w:hAnsi="Times New Roman" w:eastAsia="宋体" w:cs="Times New Roman"/>
                <w:color w:val="000000"/>
                <w:sz w:val="24"/>
                <w:highlight w:val="none"/>
                <w:lang w:val="en-US" w:eastAsia="zh-CN"/>
              </w:rPr>
              <w:t>收集池</w:t>
            </w:r>
            <w:r>
              <w:rPr>
                <w:rFonts w:hint="default" w:ascii="Times New Roman" w:hAnsi="Times New Roman" w:eastAsia="宋体" w:cs="Times New Roman"/>
                <w:color w:val="000000"/>
                <w:sz w:val="24"/>
                <w:highlight w:val="none"/>
              </w:rPr>
              <w:t>采取防渗措施，</w:t>
            </w:r>
            <w:r>
              <w:rPr>
                <w:rFonts w:hint="default" w:ascii="Times New Roman" w:hAnsi="Times New Roman" w:eastAsia="宋体" w:cs="Times New Roman"/>
                <w:color w:val="000000"/>
                <w:sz w:val="24"/>
                <w:highlight w:val="none"/>
                <w:lang w:val="en-US" w:eastAsia="zh-CN"/>
              </w:rPr>
              <w:t>防渗措施：现有库房地面基础上采用丙纶防渗材料进行2层防渗漏处理</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敷设并涂刷环氧树脂，</w:t>
            </w:r>
            <w:r>
              <w:rPr>
                <w:rFonts w:hint="default" w:ascii="Times New Roman" w:hAnsi="Times New Roman" w:eastAsia="宋体" w:cs="Times New Roman"/>
                <w:color w:val="000000"/>
                <w:sz w:val="24"/>
                <w:highlight w:val="none"/>
                <w:lang w:eastAsia="zh-CN"/>
              </w:rPr>
              <w:t>做</w:t>
            </w:r>
            <w:r>
              <w:rPr>
                <w:rFonts w:hint="default" w:ascii="Times New Roman" w:hAnsi="Times New Roman" w:eastAsia="宋体" w:cs="Times New Roman"/>
                <w:color w:val="000000"/>
                <w:sz w:val="24"/>
                <w:highlight w:val="none"/>
                <w:lang w:val="en-US" w:eastAsia="zh-CN"/>
              </w:rPr>
              <w:t>50cm高的防渗裙</w:t>
            </w:r>
            <w:r>
              <w:rPr>
                <w:rFonts w:hint="eastAsia" w:cs="Times New Roman"/>
                <w:color w:val="000000"/>
                <w:sz w:val="24"/>
                <w:highlight w:val="none"/>
                <w:lang w:val="en-US" w:eastAsia="zh-CN"/>
              </w:rPr>
              <w:t>脚</w:t>
            </w:r>
            <w:r>
              <w:rPr>
                <w:rFonts w:hint="default" w:ascii="Times New Roman" w:hAnsi="Times New Roman"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rPr>
              <w:t>渗透系数K≤1×10</w:t>
            </w:r>
            <w:r>
              <w:rPr>
                <w:rFonts w:hint="default" w:ascii="Times New Roman" w:hAnsi="Times New Roman" w:eastAsia="宋体" w:cs="Times New Roman"/>
                <w:color w:val="000000"/>
                <w:sz w:val="24"/>
                <w:highlight w:val="none"/>
                <w:vertAlign w:val="superscript"/>
              </w:rPr>
              <w:t>-10</w:t>
            </w:r>
            <w:r>
              <w:rPr>
                <w:rFonts w:hint="default" w:ascii="Times New Roman" w:hAnsi="Times New Roman" w:eastAsia="宋体" w:cs="Times New Roman"/>
                <w:color w:val="000000"/>
                <w:sz w:val="24"/>
                <w:highlight w:val="none"/>
              </w:rPr>
              <w:t>cm/s</w:t>
            </w:r>
            <w:r>
              <w:rPr>
                <w:rFonts w:hint="default" w:ascii="Times New Roman" w:hAnsi="Times New Roman"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rPr>
              <w:t>地面设置</w:t>
            </w:r>
            <w:r>
              <w:rPr>
                <w:rFonts w:hint="default" w:ascii="Times New Roman" w:hAnsi="Times New Roman" w:eastAsia="宋体" w:cs="Times New Roman"/>
                <w:color w:val="000000"/>
                <w:sz w:val="24"/>
                <w:highlight w:val="none"/>
                <w:lang w:eastAsia="zh-CN"/>
              </w:rPr>
              <w:t>导流槽</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eastAsia="zh-CN"/>
              </w:rPr>
              <w:t>危废暂存间</w:t>
            </w:r>
            <w:r>
              <w:rPr>
                <w:rFonts w:hint="eastAsia" w:ascii="Times New Roman" w:hAnsi="Times New Roman" w:eastAsia="宋体" w:cs="Times New Roman"/>
                <w:color w:val="000000"/>
                <w:sz w:val="24"/>
                <w:highlight w:val="none"/>
                <w:lang w:eastAsia="zh-CN"/>
              </w:rPr>
              <w:t>西侧</w:t>
            </w:r>
            <w:r>
              <w:rPr>
                <w:rFonts w:hint="default" w:ascii="Times New Roman" w:hAnsi="Times New Roman" w:eastAsia="宋体" w:cs="Times New Roman"/>
                <w:color w:val="000000"/>
                <w:sz w:val="24"/>
                <w:highlight w:val="none"/>
                <w:lang w:eastAsia="zh-CN"/>
              </w:rPr>
              <w:t>设置废液收集池1个，容积为</w:t>
            </w:r>
            <w:r>
              <w:rPr>
                <w:rFonts w:hint="eastAsia" w:ascii="Times New Roman" w:hAnsi="Times New Roman" w:eastAsia="宋体" w:cs="Times New Roman"/>
                <w:color w:val="000000"/>
                <w:sz w:val="24"/>
                <w:highlight w:val="none"/>
                <w:lang w:val="en-US" w:eastAsia="zh-CN"/>
              </w:rPr>
              <w:t>1.2</w:t>
            </w:r>
            <w:r>
              <w:rPr>
                <w:rFonts w:hint="default" w:ascii="Times New Roman" w:hAnsi="Times New Roman" w:eastAsia="宋体" w:cs="Times New Roman"/>
                <w:color w:val="000000"/>
                <w:sz w:val="24"/>
                <w:highlight w:val="none"/>
                <w:lang w:eastAsia="zh-CN"/>
              </w:rPr>
              <w:t>立方米（</w:t>
            </w:r>
            <w:r>
              <w:rPr>
                <w:rFonts w:hint="eastAsia" w:ascii="Times New Roman" w:hAnsi="Times New Roman" w:eastAsia="宋体" w:cs="Times New Roman"/>
                <w:color w:val="000000"/>
                <w:sz w:val="24"/>
                <w:highlight w:val="none"/>
                <w:lang w:val="en-US" w:eastAsia="zh-CN"/>
              </w:rPr>
              <w:t>1.2</w:t>
            </w:r>
            <w:r>
              <w:rPr>
                <w:rFonts w:hint="default" w:ascii="Times New Roman" w:hAnsi="Times New Roman" w:eastAsia="宋体" w:cs="Times New Roman"/>
                <w:color w:val="000000"/>
                <w:sz w:val="24"/>
                <w:highlight w:val="none"/>
                <w:lang w:eastAsia="zh-CN"/>
              </w:rPr>
              <w:t>m×</w:t>
            </w:r>
            <w:r>
              <w:rPr>
                <w:rFonts w:hint="eastAsia" w:ascii="Times New Roman" w:hAnsi="Times New Roman" w:eastAsia="宋体" w:cs="Times New Roman"/>
                <w:color w:val="000000"/>
                <w:sz w:val="24"/>
                <w:highlight w:val="none"/>
                <w:lang w:val="en-US" w:eastAsia="zh-CN"/>
              </w:rPr>
              <w:t>1</w:t>
            </w:r>
            <w:r>
              <w:rPr>
                <w:rFonts w:hint="default" w:ascii="Times New Roman" w:hAnsi="Times New Roman" w:eastAsia="宋体" w:cs="Times New Roman"/>
                <w:color w:val="000000"/>
                <w:sz w:val="24"/>
                <w:highlight w:val="none"/>
                <w:lang w:eastAsia="zh-CN"/>
              </w:rPr>
              <w:t>m×</w:t>
            </w:r>
            <w:r>
              <w:rPr>
                <w:rFonts w:hint="eastAsia" w:ascii="Times New Roman" w:hAnsi="Times New Roman" w:eastAsia="宋体" w:cs="Times New Roman"/>
                <w:color w:val="000000"/>
                <w:sz w:val="24"/>
                <w:highlight w:val="none"/>
                <w:lang w:val="en-US" w:eastAsia="zh-CN"/>
              </w:rPr>
              <w:t>1</w:t>
            </w:r>
            <w:r>
              <w:rPr>
                <w:rFonts w:hint="default" w:ascii="Times New Roman" w:hAnsi="Times New Roman" w:eastAsia="宋体" w:cs="Times New Roman"/>
                <w:color w:val="000000"/>
                <w:sz w:val="24"/>
                <w:highlight w:val="none"/>
                <w:lang w:eastAsia="zh-CN"/>
              </w:rPr>
              <w:t>m），</w:t>
            </w:r>
            <w:r>
              <w:rPr>
                <w:rFonts w:hint="default" w:ascii="Times New Roman" w:hAnsi="Times New Roman" w:eastAsia="宋体" w:cs="Times New Roman"/>
                <w:color w:val="000000"/>
                <w:sz w:val="24"/>
                <w:highlight w:val="none"/>
              </w:rPr>
              <w:t>渗透系数K≤1×10</w:t>
            </w:r>
            <w:r>
              <w:rPr>
                <w:rFonts w:hint="default" w:ascii="Times New Roman" w:hAnsi="Times New Roman" w:eastAsia="宋体" w:cs="Times New Roman"/>
                <w:color w:val="000000"/>
                <w:sz w:val="24"/>
                <w:highlight w:val="none"/>
                <w:vertAlign w:val="superscript"/>
              </w:rPr>
              <w:t>-10</w:t>
            </w:r>
            <w:r>
              <w:rPr>
                <w:rFonts w:hint="default" w:ascii="Times New Roman" w:hAnsi="Times New Roman" w:eastAsia="宋体" w:cs="Times New Roman"/>
                <w:color w:val="000000"/>
                <w:sz w:val="24"/>
                <w:highlight w:val="none"/>
              </w:rPr>
              <w:t>cm/s</w:t>
            </w:r>
            <w:r>
              <w:rPr>
                <w:rFonts w:hint="default" w:ascii="Times New Roman" w:hAnsi="Times New Roman" w:eastAsia="宋体" w:cs="Times New Roman"/>
                <w:color w:val="000000"/>
                <w:sz w:val="24"/>
                <w:highlight w:val="none"/>
                <w:lang w:eastAsia="zh-CN"/>
              </w:rPr>
              <w:t>。</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ⅲ、管理措施</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按要求落实安全管理手续；定期检测维修，及时更换腐蚀受损设备，岗位责任明确，定期培训职工，提高安全生产和管理能力。</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ⅳ、装卸过程风险防范措施</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装卸过程发现溢泄或漏液时，一切装卸作业都应立即停止，所有卸液或装液时开启的阀门都应关闭，溢泄出来的</w:t>
            </w:r>
            <w:r>
              <w:rPr>
                <w:rFonts w:hint="default" w:ascii="Times New Roman" w:hAnsi="Times New Roman" w:cs="Times New Roman"/>
                <w:color w:val="000000"/>
                <w:sz w:val="24"/>
                <w:highlight w:val="none"/>
                <w:lang w:eastAsia="zh-CN"/>
              </w:rPr>
              <w:t>废液</w:t>
            </w:r>
            <w:r>
              <w:rPr>
                <w:rFonts w:hint="default" w:ascii="Times New Roman" w:hAnsi="Times New Roman" w:cs="Times New Roman"/>
                <w:color w:val="000000"/>
                <w:sz w:val="24"/>
                <w:highlight w:val="none"/>
              </w:rPr>
              <w:t>清除干净以前，不得恢复装卸。</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②火灾、爆炸风险防范措施</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ⅰ、危险废物暂存间配备</w:t>
            </w:r>
            <w:r>
              <w:rPr>
                <w:rFonts w:hint="default" w:ascii="Times New Roman" w:hAnsi="Times New Roman" w:cs="Times New Roman"/>
                <w:color w:val="000000"/>
                <w:sz w:val="24"/>
                <w:highlight w:val="none"/>
                <w:lang w:eastAsia="zh-CN"/>
              </w:rPr>
              <w:t>消防设施</w:t>
            </w:r>
            <w:r>
              <w:rPr>
                <w:rFonts w:hint="default" w:ascii="Times New Roman" w:hAnsi="Times New Roman" w:cs="Times New Roman"/>
                <w:color w:val="000000"/>
                <w:sz w:val="24"/>
                <w:highlight w:val="none"/>
              </w:rPr>
              <w:t>。建设单位应定期检查灭火器等设施设备是否完好。各类作业人员还应按规定配备必要的劳动防护用品。</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ⅱ、严格火源管理</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严禁明火进入</w:t>
            </w:r>
            <w:r>
              <w:rPr>
                <w:rFonts w:hint="default" w:ascii="Times New Roman" w:hAnsi="Times New Roman" w:cs="Times New Roman"/>
                <w:color w:val="000000"/>
                <w:sz w:val="24"/>
                <w:highlight w:val="none"/>
                <w:lang w:val="en-US" w:eastAsia="zh-CN"/>
              </w:rPr>
              <w:t>库</w:t>
            </w:r>
            <w:r>
              <w:rPr>
                <w:rFonts w:hint="default" w:ascii="Times New Roman" w:hAnsi="Times New Roman" w:cs="Times New Roman"/>
                <w:color w:val="000000"/>
                <w:sz w:val="24"/>
                <w:highlight w:val="none"/>
              </w:rPr>
              <w:t>区，对火柴、打火机等火源严格控制。定期对</w:t>
            </w:r>
            <w:r>
              <w:rPr>
                <w:rFonts w:hint="default" w:ascii="Times New Roman" w:hAnsi="Times New Roman" w:cs="Times New Roman"/>
                <w:color w:val="000000"/>
                <w:sz w:val="24"/>
                <w:highlight w:val="none"/>
                <w:lang w:val="en-US" w:eastAsia="zh-CN"/>
              </w:rPr>
              <w:t>暂存库</w:t>
            </w:r>
            <w:r>
              <w:rPr>
                <w:rFonts w:hint="default" w:ascii="Times New Roman" w:hAnsi="Times New Roman" w:cs="Times New Roman"/>
                <w:color w:val="000000"/>
                <w:sz w:val="24"/>
                <w:highlight w:val="none"/>
              </w:rPr>
              <w:t>进行</w:t>
            </w:r>
            <w:r>
              <w:rPr>
                <w:rFonts w:hint="default" w:ascii="Times New Roman" w:hAnsi="Times New Roman" w:cs="Times New Roman"/>
                <w:color w:val="000000"/>
                <w:sz w:val="24"/>
                <w:highlight w:val="none"/>
                <w:lang w:val="en-US" w:eastAsia="zh-CN"/>
              </w:rPr>
              <w:t>维护。</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ⅲ、装卸、搬运时应轻装轻卸，注意自我防护。定期对储存容器进行检查，发现破损，及时采取措施清理更换。</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ⅳ、厂区内配备必需的消防设施（灭火设施）、通风、防潮、防雷等安全装置，防雷设施需符合《建筑物防雷设计规范》</w:t>
            </w:r>
            <w:r>
              <w:rPr>
                <w:rFonts w:hint="default" w:ascii="Times New Roman" w:hAnsi="Times New Roman" w:eastAsia="宋体" w:cs="Times New Roman"/>
                <w:color w:val="000000"/>
                <w:sz w:val="24"/>
                <w:highlight w:val="none"/>
              </w:rPr>
              <w:t>(</w:t>
            </w:r>
            <w:r>
              <w:rPr>
                <w:rFonts w:hint="default" w:ascii="Times New Roman" w:hAnsi="Times New Roman" w:cs="Times New Roman"/>
                <w:color w:val="000000"/>
                <w:sz w:val="24"/>
                <w:highlight w:val="none"/>
              </w:rPr>
              <w:t>GB50057－94</w:t>
            </w:r>
            <w:r>
              <w:rPr>
                <w:rFonts w:hint="eastAsia" w:cs="Times New Roman"/>
                <w:color w:val="000000"/>
                <w:sz w:val="24"/>
                <w:highlight w:val="none"/>
                <w:lang w:eastAsia="zh-CN"/>
              </w:rPr>
              <w:t>）</w:t>
            </w:r>
            <w:r>
              <w:rPr>
                <w:rFonts w:hint="default" w:ascii="Times New Roman" w:hAnsi="Times New Roman" w:cs="Times New Roman"/>
                <w:color w:val="000000"/>
                <w:sz w:val="24"/>
                <w:highlight w:val="none"/>
              </w:rPr>
              <w:t>的有关规定。</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ⅴ、</w:t>
            </w:r>
            <w:r>
              <w:rPr>
                <w:rFonts w:hint="default" w:ascii="Times New Roman" w:hAnsi="Times New Roman" w:eastAsia="宋体" w:cs="Times New Roman"/>
                <w:color w:val="000000"/>
                <w:sz w:val="24"/>
                <w:highlight w:val="none"/>
                <w:lang w:eastAsia="zh-CN"/>
              </w:rPr>
              <w:t>制定突发环境事件应急预案，建立应急小组，负责应急突发性事件的组织、指挥、抢修、控制、协调等应急响应行动；配备消防器材、救生器、防护面罩、胶皮手套、急救用品、沙袋、吸收棉、收集桶等应急物资或设备；发生泄漏时，用砂土或其它材料吸附或吸收，然后铲入桶内收集。</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lang w:eastAsia="zh-CN"/>
              </w:rPr>
              <w:t>③应急预案</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建设单位应</w:t>
            </w:r>
            <w:r>
              <w:rPr>
                <w:rFonts w:hint="default" w:ascii="Times New Roman" w:hAnsi="Times New Roman" w:eastAsia="宋体" w:cs="Times New Roman"/>
                <w:color w:val="000000"/>
                <w:sz w:val="24"/>
                <w:highlight w:val="none"/>
                <w:lang w:val="en-US" w:eastAsia="zh-CN"/>
              </w:rPr>
              <w:t>对突发环境事件应急预案进行修编</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补充完善危废暂存间突发环境事件相关内容</w:t>
            </w:r>
            <w:r>
              <w:rPr>
                <w:rFonts w:hint="default" w:ascii="Times New Roman" w:hAnsi="Times New Roman" w:eastAsia="宋体" w:cs="Times New Roman"/>
                <w:color w:val="000000"/>
                <w:sz w:val="24"/>
                <w:highlight w:val="none"/>
              </w:rPr>
              <w:t>。可参照《危险废物经营单位编制应急预案指南》，运营期一旦发生意外事故，建设单位应根据风险程度采取如下措施：</w:t>
            </w:r>
          </w:p>
          <w:p>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设立事故警戒线，启动应急预案，并按《环境保护行政主管部门突发环境事件信息报告办法（</w:t>
            </w:r>
            <w:r>
              <w:rPr>
                <w:rFonts w:hint="eastAsia" w:cs="Times New Roman"/>
                <w:color w:val="000000"/>
                <w:sz w:val="24"/>
                <w:highlight w:val="none"/>
                <w:lang w:eastAsia="zh-CN"/>
              </w:rPr>
              <w:t>试</w:t>
            </w:r>
            <w:r>
              <w:rPr>
                <w:rFonts w:hint="default" w:ascii="Times New Roman" w:hAnsi="Times New Roman" w:eastAsia="宋体" w:cs="Times New Roman"/>
                <w:color w:val="000000"/>
                <w:sz w:val="24"/>
                <w:highlight w:val="none"/>
              </w:rPr>
              <w:t>行）》（环发</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2006</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50号）要求进行报告；若造成事故的危险废物具有剧毒性、易燃性、爆炸性或高传染性，应立即疏散人群，并请求环境保护、消防、医疗、公安等相关部门支援；对事故现场</w:t>
            </w:r>
            <w:r>
              <w:rPr>
                <w:rFonts w:hint="eastAsia" w:cs="Times New Roman"/>
                <w:color w:val="000000"/>
                <w:sz w:val="24"/>
                <w:highlight w:val="none"/>
                <w:lang w:eastAsia="zh-CN"/>
              </w:rPr>
              <w:t>受到污染</w:t>
            </w:r>
            <w:r>
              <w:rPr>
                <w:rFonts w:hint="default" w:ascii="Times New Roman" w:hAnsi="Times New Roman" w:eastAsia="宋体" w:cs="Times New Roman"/>
                <w:color w:val="000000"/>
                <w:sz w:val="24"/>
                <w:highlight w:val="none"/>
              </w:rPr>
              <w:t>的土壤和水体等环境介质应进行相应的清理和修复；清理过程中的所有废物均应按危险废物进行管理和处置；进入现场清理和包装危险废物的人员应</w:t>
            </w:r>
            <w:r>
              <w:rPr>
                <w:rFonts w:hint="eastAsia" w:cs="Times New Roman"/>
                <w:color w:val="000000"/>
                <w:sz w:val="24"/>
                <w:highlight w:val="none"/>
                <w:lang w:eastAsia="zh-CN"/>
              </w:rPr>
              <w:t>受到</w:t>
            </w:r>
            <w:r>
              <w:rPr>
                <w:rFonts w:hint="default" w:ascii="Times New Roman" w:hAnsi="Times New Roman" w:eastAsia="宋体" w:cs="Times New Roman"/>
                <w:color w:val="000000"/>
                <w:sz w:val="24"/>
                <w:highlight w:val="none"/>
              </w:rPr>
              <w:t>专业培训，穿着防护服，并佩戴相应的防护用具。</w:t>
            </w:r>
          </w:p>
          <w:p>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color w:val="000000"/>
                <w:kern w:val="0"/>
                <w:sz w:val="24"/>
                <w:lang w:bidi="ar"/>
              </w:rPr>
            </w:pPr>
            <w:r>
              <w:rPr>
                <w:rFonts w:hint="default" w:ascii="Times New Roman" w:hAnsi="Times New Roman" w:eastAsia="宋体" w:cs="Times New Roman"/>
                <w:color w:val="000000"/>
                <w:sz w:val="24"/>
                <w:highlight w:val="none"/>
              </w:rPr>
              <w:t>通过采取上述方式，项目暂存的危险废物可得到有效处理处置，不产生二次污染，对周围环境影响较小</w:t>
            </w:r>
            <w:r>
              <w:rPr>
                <w:rFonts w:hint="eastAsia" w:cs="Times New Roman"/>
                <w:color w:val="00000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000000"/>
                <w:sz w:val="24"/>
                <w:highlight w:val="none"/>
                <w:lang w:val="en-US" w:eastAsia="zh-CN" w:bidi="ar"/>
              </w:rPr>
            </w:pPr>
            <w:r>
              <w:rPr>
                <w:rFonts w:hint="eastAsia" w:ascii="Times New Roman" w:hAnsi="Times New Roman" w:eastAsia="宋体" w:cs="Times New Roman"/>
                <w:b/>
                <w:color w:val="000000"/>
                <w:sz w:val="24"/>
                <w:highlight w:val="none"/>
                <w:lang w:val="en-US" w:eastAsia="zh-CN" w:bidi="ar"/>
              </w:rPr>
              <w:t>8、环境管理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为了贯彻执行有关环境保护法规，及时了解项目及其周围环境质量变化情况，掌握环境保护措施实施的效果，保证该区域良好的环境质量， 建设单位进行相应的环境管理。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①贯彻落实国家相关法律法规及政策，以国家相关法律法规为依据，落实防治环境污染和生态破坏的措施以及环境保护设施投资概算，及</w:t>
            </w:r>
            <w:r>
              <w:rPr>
                <w:rFonts w:hint="eastAsia" w:cs="Times New Roman"/>
                <w:color w:val="auto"/>
                <w:sz w:val="24"/>
                <w:highlight w:val="none"/>
                <w:lang w:val="en-US" w:eastAsia="zh-CN"/>
              </w:rPr>
              <w:t>时向</w:t>
            </w:r>
            <w:r>
              <w:rPr>
                <w:rFonts w:hint="default" w:ascii="Times New Roman" w:hAnsi="Times New Roman" w:eastAsia="宋体" w:cs="Times New Roman"/>
                <w:color w:val="auto"/>
                <w:sz w:val="24"/>
                <w:highlight w:val="none"/>
                <w:lang w:val="en-US" w:eastAsia="zh-CN"/>
              </w:rPr>
              <w:t>当地环境保护部门汇报各阶段的情况。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②项目的建设遵循“三同时”制度，即项目环保措施与主体工程同时设计、同时施工、同时投产使用。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③排污许可制度衔接。建设单位应按照《排污许可管理条例》、《固定污染源排污许可分类管理名录（2019年版）》等排污许可证相关管理要求，办理排污许可手续。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④建设项目竣工后，建设单位或者其委托的技术机构应当依照国家有关法律法规。建设</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验收报告编制完成后，建设单位应组织成立验收工作组。建设单位应当对验收工作组提出的问题进行整改，合格后方可出具验收合格的意见。建设项目配套建设的环境保护设施经验收合格后，其主体工程才可以投入运营或者使用，并纳入环境保护管理部门的管理，对项目各阶段工作进行监督、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建设单位按照《环境保护信息公开办法》 进行相关信息的公开。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（2）排污口规范化管理</w:t>
            </w:r>
          </w:p>
          <w:p>
            <w:pPr>
              <w:pStyle w:val="66"/>
              <w:keepNext w:val="0"/>
              <w:keepLines w:val="0"/>
              <w:pageBreakBefore w:val="0"/>
              <w:widowControl w:val="0"/>
              <w:kinsoku/>
              <w:wordWrap/>
              <w:overflowPunct/>
              <w:topLinePunct w:val="0"/>
              <w:bidi w:val="0"/>
              <w:ind w:firstLine="46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排放口规范化整治的统一要求做到：首先排污口要设立标示管理，按照国家标准规定设立标志牌，根据排放口污染物的排放特点，设置提示性或警告性环境保护图形标志牌。一般污染源设置提示性标志牌。建设项目的污染源需设立提示性标志牌。其次废气排放口应按照国家有关规定，规范排气筒数量、高度。</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sz w:val="24"/>
                <w:highlight w:val="none"/>
                <w:lang w:val="en-US" w:eastAsia="zh-CN" w:bidi="ar"/>
              </w:rPr>
            </w:pPr>
            <w:r>
              <w:rPr>
                <w:rFonts w:hint="eastAsia" w:ascii="Times New Roman" w:hAnsi="Times New Roman" w:eastAsia="宋体" w:cs="Times New Roman"/>
                <w:b/>
                <w:color w:val="000000"/>
                <w:sz w:val="24"/>
                <w:highlight w:val="none"/>
                <w:lang w:val="en-US" w:eastAsia="zh-CN" w:bidi="ar"/>
              </w:rPr>
              <w:t>9</w:t>
            </w:r>
            <w:r>
              <w:rPr>
                <w:rFonts w:hint="default" w:ascii="Times New Roman" w:hAnsi="Times New Roman" w:eastAsia="宋体" w:cs="Times New Roman"/>
                <w:b/>
                <w:color w:val="000000"/>
                <w:sz w:val="24"/>
                <w:highlight w:val="none"/>
                <w:lang w:val="en-US" w:eastAsia="zh-CN" w:bidi="ar"/>
              </w:rPr>
              <w:t>、环保投资估算和“三同时”验收</w:t>
            </w:r>
          </w:p>
          <w:p>
            <w:pPr>
              <w:pStyle w:val="66"/>
              <w:ind w:firstLine="48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该项目总投资</w:t>
            </w:r>
            <w:r>
              <w:rPr>
                <w:rFonts w:hint="eastAsia" w:cs="Times New Roman"/>
                <w:highlight w:val="none"/>
                <w:lang w:eastAsia="zh-CN"/>
              </w:rPr>
              <w:t>5000</w:t>
            </w:r>
            <w:r>
              <w:rPr>
                <w:rFonts w:hint="default" w:ascii="Times New Roman" w:hAnsi="Times New Roman" w:eastAsia="宋体" w:cs="Times New Roman"/>
                <w:highlight w:val="none"/>
              </w:rPr>
              <w:t>万元，其中环保投资</w:t>
            </w:r>
            <w:r>
              <w:rPr>
                <w:rFonts w:hint="eastAsia" w:cs="Times New Roman"/>
                <w:highlight w:val="none"/>
                <w:lang w:val="en-US" w:eastAsia="zh-CN"/>
              </w:rPr>
              <w:t>64</w:t>
            </w:r>
            <w:r>
              <w:rPr>
                <w:rFonts w:hint="default" w:ascii="Times New Roman" w:hAnsi="Times New Roman" w:eastAsia="宋体" w:cs="Times New Roman"/>
                <w:highlight w:val="none"/>
              </w:rPr>
              <w:t>万元，占总体投资的</w:t>
            </w:r>
            <w:r>
              <w:rPr>
                <w:rFonts w:hint="eastAsia" w:cs="Times New Roman"/>
                <w:highlight w:val="none"/>
                <w:lang w:val="en-US" w:eastAsia="zh-CN"/>
              </w:rPr>
              <w:t>1.28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w:t>
            </w:r>
            <w:r>
              <w:rPr>
                <w:rFonts w:hint="eastAsia" w:ascii="Times New Roman" w:hAnsi="Times New Roman" w:eastAsia="宋体" w:cs="Times New Roman"/>
                <w:b/>
                <w:bCs/>
                <w:color w:val="000000"/>
                <w:sz w:val="21"/>
                <w:szCs w:val="21"/>
                <w:highlight w:val="none"/>
                <w:lang w:val="en-US" w:eastAsia="zh-CN"/>
              </w:rPr>
              <w:t>4</w:t>
            </w:r>
            <w:r>
              <w:rPr>
                <w:rFonts w:hint="default" w:ascii="Times New Roman" w:hAnsi="Times New Roman" w:eastAsia="宋体" w:cs="Times New Roman"/>
                <w:b/>
                <w:bCs/>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lang w:val="en-US" w:eastAsia="zh-CN"/>
              </w:rPr>
              <w:t xml:space="preserve">1  </w:t>
            </w:r>
            <w:r>
              <w:rPr>
                <w:rFonts w:hint="default" w:ascii="Times New Roman" w:hAnsi="Times New Roman" w:eastAsia="宋体" w:cs="Times New Roman"/>
                <w:b/>
                <w:bCs/>
                <w:color w:val="000000"/>
                <w:sz w:val="21"/>
                <w:szCs w:val="21"/>
                <w:highlight w:val="none"/>
                <w:lang w:val="en-US" w:eastAsia="zh-CN"/>
              </w:rPr>
              <w:t>环保投资估算一览表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551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1" w:type="pct"/>
                  <w:tcBorders>
                    <w:tl2br w:val="nil"/>
                    <w:tr2bl w:val="nil"/>
                  </w:tcBorders>
                  <w:vAlign w:val="center"/>
                </w:tcPr>
                <w:p>
                  <w:pPr>
                    <w:adjustRightInd/>
                    <w:snapToGrid/>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w:t>
                  </w:r>
                </w:p>
              </w:tc>
              <w:tc>
                <w:tcPr>
                  <w:tcW w:w="3272" w:type="pct"/>
                  <w:tcBorders>
                    <w:tl2br w:val="nil"/>
                    <w:tr2bl w:val="nil"/>
                  </w:tcBorders>
                  <w:vAlign w:val="center"/>
                </w:tcPr>
                <w:p>
                  <w:pPr>
                    <w:adjustRightInd/>
                    <w:snapToGrid/>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处理措施及设施</w:t>
                  </w:r>
                </w:p>
              </w:tc>
              <w:tc>
                <w:tcPr>
                  <w:tcW w:w="815" w:type="pct"/>
                  <w:tcBorders>
                    <w:tl2br w:val="nil"/>
                    <w:tr2bl w:val="nil"/>
                  </w:tcBorders>
                  <w:vAlign w:val="center"/>
                </w:tcPr>
                <w:p>
                  <w:pPr>
                    <w:adjustRightInd/>
                    <w:snapToGrid/>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1" w:type="pct"/>
                  <w:tcBorders>
                    <w:tl2br w:val="nil"/>
                    <w:tr2bl w:val="nil"/>
                  </w:tcBorders>
                  <w:vAlign w:val="center"/>
                </w:tcPr>
                <w:p>
                  <w:pPr>
                    <w:adjustRightInd/>
                    <w:snapToGrid/>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废气</w:t>
                  </w:r>
                </w:p>
              </w:tc>
              <w:tc>
                <w:tcPr>
                  <w:tcW w:w="3272" w:type="pct"/>
                  <w:tcBorders>
                    <w:tl2br w:val="nil"/>
                    <w:tr2bl w:val="nil"/>
                  </w:tcBorders>
                  <w:vAlign w:val="center"/>
                </w:tcPr>
                <w:p>
                  <w:pPr>
                    <w:pStyle w:val="76"/>
                    <w:jc w:val="center"/>
                    <w:rPr>
                      <w:rFonts w:hint="default" w:cs="Times New Roman"/>
                      <w:color w:val="auto"/>
                      <w:highlight w:val="none"/>
                      <w:lang w:val="en-US" w:eastAsia="zh-CN"/>
                    </w:rPr>
                  </w:pPr>
                  <w:r>
                    <w:rPr>
                      <w:rFonts w:hint="eastAsia" w:cs="Times New Roman"/>
                      <w:color w:val="auto"/>
                      <w:highlight w:val="none"/>
                      <w:lang w:val="en-US" w:eastAsia="zh-CN"/>
                    </w:rPr>
                    <w:t>车间设置排风扇</w:t>
                  </w:r>
                </w:p>
              </w:tc>
              <w:tc>
                <w:tcPr>
                  <w:tcW w:w="815"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1" w:type="pct"/>
                  <w:vMerge w:val="restart"/>
                  <w:tcBorders>
                    <w:tl2br w:val="nil"/>
                    <w:tr2bl w:val="nil"/>
                  </w:tcBorders>
                  <w:vAlign w:val="center"/>
                </w:tcPr>
                <w:p>
                  <w:pPr>
                    <w:adjustRightInd/>
                    <w:snapToGrid/>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固体废物</w:t>
                  </w:r>
                </w:p>
              </w:tc>
              <w:tc>
                <w:tcPr>
                  <w:tcW w:w="3272" w:type="pct"/>
                  <w:tcBorders>
                    <w:tl2br w:val="nil"/>
                    <w:tr2bl w:val="nil"/>
                  </w:tcBorders>
                  <w:vAlign w:val="center"/>
                </w:tcPr>
                <w:p>
                  <w:pPr>
                    <w:pStyle w:val="76"/>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新建一座固废暂存间</w:t>
                  </w:r>
                  <w:r>
                    <w:rPr>
                      <w:rFonts w:hint="eastAsia" w:cs="Times New Roman"/>
                      <w:color w:val="auto"/>
                      <w:highlight w:val="none"/>
                      <w:lang w:val="en-US" w:eastAsia="zh-CN"/>
                    </w:rPr>
                    <w:t>50m</w:t>
                  </w:r>
                  <w:r>
                    <w:rPr>
                      <w:rFonts w:hint="eastAsia" w:cs="Times New Roman"/>
                      <w:color w:val="auto"/>
                      <w:highlight w:val="none"/>
                      <w:vertAlign w:val="superscript"/>
                      <w:lang w:val="en-US" w:eastAsia="zh-CN"/>
                    </w:rPr>
                    <w:t>2</w:t>
                  </w:r>
                </w:p>
              </w:tc>
              <w:tc>
                <w:tcPr>
                  <w:tcW w:w="815" w:type="pct"/>
                  <w:tcBorders>
                    <w:tl2br w:val="nil"/>
                    <w:tr2bl w:val="nil"/>
                  </w:tcBorders>
                  <w:vAlign w:val="center"/>
                </w:tcPr>
                <w:p>
                  <w:pPr>
                    <w:widowControl/>
                    <w:jc w:val="center"/>
                    <w:textAlignment w:val="center"/>
                    <w:rPr>
                      <w:rFonts w:hint="eastAsia" w:ascii="Times New Roman" w:hAnsi="Times New Roman" w:eastAsia="宋体" w:cs="Times New Roman"/>
                      <w:szCs w:val="21"/>
                      <w:highlight w:val="none"/>
                      <w:lang w:eastAsia="zh-CN"/>
                    </w:rPr>
                  </w:pPr>
                  <w:r>
                    <w:rPr>
                      <w:rFonts w:hint="eastAsia" w:cs="Times New Roman"/>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1" w:type="pct"/>
                  <w:vMerge w:val="continue"/>
                  <w:tcBorders>
                    <w:tl2br w:val="nil"/>
                    <w:tr2bl w:val="nil"/>
                  </w:tcBorders>
                  <w:vAlign w:val="center"/>
                </w:tcPr>
                <w:p>
                  <w:pPr>
                    <w:adjustRightInd/>
                    <w:snapToGrid/>
                    <w:jc w:val="center"/>
                    <w:rPr>
                      <w:rFonts w:hint="default" w:ascii="Times New Roman" w:hAnsi="Times New Roman" w:eastAsia="宋体" w:cs="Times New Roman"/>
                      <w:szCs w:val="21"/>
                      <w:highlight w:val="none"/>
                    </w:rPr>
                  </w:pPr>
                </w:p>
              </w:tc>
              <w:tc>
                <w:tcPr>
                  <w:tcW w:w="3272" w:type="pct"/>
                  <w:tcBorders>
                    <w:tl2br w:val="nil"/>
                    <w:tr2bl w:val="nil"/>
                  </w:tcBorders>
                  <w:vAlign w:val="center"/>
                </w:tcPr>
                <w:p>
                  <w:pPr>
                    <w:pStyle w:val="76"/>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新建一座危废暂存间</w:t>
                  </w:r>
                  <w:r>
                    <w:rPr>
                      <w:rFonts w:hint="eastAsia" w:cs="Times New Roman"/>
                      <w:color w:val="auto"/>
                      <w:highlight w:val="none"/>
                      <w:lang w:val="en-US" w:eastAsia="zh-CN"/>
                    </w:rPr>
                    <w:t>50m</w:t>
                  </w:r>
                  <w:r>
                    <w:rPr>
                      <w:rFonts w:hint="eastAsia" w:cs="Times New Roman"/>
                      <w:color w:val="auto"/>
                      <w:highlight w:val="none"/>
                      <w:vertAlign w:val="superscript"/>
                      <w:lang w:val="en-US" w:eastAsia="zh-CN"/>
                    </w:rPr>
                    <w:t>2</w:t>
                  </w:r>
                </w:p>
              </w:tc>
              <w:tc>
                <w:tcPr>
                  <w:tcW w:w="8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1" w:type="pct"/>
                  <w:tcBorders>
                    <w:tl2br w:val="nil"/>
                    <w:tr2bl w:val="nil"/>
                  </w:tcBorders>
                  <w:vAlign w:val="center"/>
                </w:tcPr>
                <w:p>
                  <w:pPr>
                    <w:adjustRightInd/>
                    <w:snapToGrid/>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噪声</w:t>
                  </w:r>
                </w:p>
              </w:tc>
              <w:tc>
                <w:tcPr>
                  <w:tcW w:w="3272" w:type="pct"/>
                  <w:tcBorders>
                    <w:tl2br w:val="nil"/>
                    <w:tr2bl w:val="nil"/>
                  </w:tcBorders>
                  <w:vAlign w:val="center"/>
                </w:tcPr>
                <w:p>
                  <w:pPr>
                    <w:pStyle w:val="76"/>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lang w:val="zh-CN"/>
                    </w:rPr>
                    <w:t>基础减震</w:t>
                  </w:r>
                  <w:r>
                    <w:rPr>
                      <w:rFonts w:hint="eastAsia" w:cs="Times New Roman"/>
                      <w:bCs/>
                      <w:color w:val="auto"/>
                      <w:highlight w:val="none"/>
                      <w:lang w:val="zh-CN"/>
                    </w:rPr>
                    <w:t>、</w:t>
                  </w:r>
                  <w:r>
                    <w:rPr>
                      <w:rFonts w:hint="default" w:ascii="Times New Roman" w:hAnsi="Times New Roman" w:eastAsia="宋体" w:cs="Times New Roman"/>
                      <w:bCs/>
                      <w:color w:val="auto"/>
                      <w:highlight w:val="none"/>
                      <w:lang w:val="zh-CN"/>
                    </w:rPr>
                    <w:t>厂房隔声</w:t>
                  </w:r>
                </w:p>
              </w:tc>
              <w:tc>
                <w:tcPr>
                  <w:tcW w:w="815" w:type="pct"/>
                  <w:tcBorders>
                    <w:tl2br w:val="nil"/>
                    <w:tr2bl w:val="nil"/>
                  </w:tcBorders>
                  <w:vAlign w:val="center"/>
                </w:tcPr>
                <w:p>
                  <w:pPr>
                    <w:widowControl/>
                    <w:jc w:val="center"/>
                    <w:textAlignment w:val="center"/>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1" w:type="pct"/>
                  <w:tcBorders>
                    <w:tl2br w:val="nil"/>
                    <w:tr2bl w:val="nil"/>
                  </w:tcBorders>
                  <w:vAlign w:val="center"/>
                </w:tcPr>
                <w:p>
                  <w:pPr>
                    <w:adjustRightInd/>
                    <w:snapToGrid/>
                    <w:jc w:val="center"/>
                    <w:rPr>
                      <w:rFonts w:hint="default" w:cs="Times New Roman"/>
                      <w:szCs w:val="21"/>
                      <w:highlight w:val="none"/>
                      <w:lang w:val="en-US" w:eastAsia="zh-CN"/>
                    </w:rPr>
                  </w:pPr>
                  <w:r>
                    <w:rPr>
                      <w:rFonts w:hint="eastAsia" w:cs="Times New Roman"/>
                      <w:szCs w:val="21"/>
                      <w:highlight w:val="none"/>
                      <w:lang w:val="en-US" w:eastAsia="zh-CN"/>
                    </w:rPr>
                    <w:t>防渗措施</w:t>
                  </w:r>
                </w:p>
              </w:tc>
              <w:tc>
                <w:tcPr>
                  <w:tcW w:w="3272" w:type="pct"/>
                  <w:tcBorders>
                    <w:tl2br w:val="nil"/>
                    <w:tr2bl w:val="nil"/>
                  </w:tcBorders>
                  <w:vAlign w:val="center"/>
                </w:tcPr>
                <w:p>
                  <w:pPr>
                    <w:pStyle w:val="76"/>
                    <w:jc w:val="center"/>
                    <w:rPr>
                      <w:rFonts w:hint="default" w:cs="Times New Roman"/>
                      <w:bCs/>
                      <w:color w:val="auto"/>
                      <w:highlight w:val="none"/>
                      <w:lang w:val="en-US" w:eastAsia="zh-CN"/>
                    </w:rPr>
                  </w:pPr>
                  <w:r>
                    <w:rPr>
                      <w:rFonts w:hint="eastAsia" w:cs="Times New Roman"/>
                      <w:bCs/>
                      <w:color w:val="auto"/>
                      <w:highlight w:val="none"/>
                      <w:lang w:val="en-US" w:eastAsia="zh-CN"/>
                    </w:rPr>
                    <w:t>危废暂存间防渗措施已计入危废暂存间环保投资中。</w:t>
                  </w:r>
                  <w:r>
                    <w:rPr>
                      <w:rFonts w:hint="default" w:ascii="Times New Roman" w:hAnsi="Times New Roman" w:cs="Times New Roman"/>
                      <w:color w:val="000000"/>
                      <w:sz w:val="21"/>
                      <w:szCs w:val="21"/>
                      <w:highlight w:val="none"/>
                      <w:lang w:val="en-US" w:eastAsia="zh-CN"/>
                    </w:rPr>
                    <w:t>拉丝生产区地面、拉丝油池</w:t>
                  </w:r>
                  <w:r>
                    <w:rPr>
                      <w:rFonts w:hint="default" w:ascii="Times New Roman" w:hAnsi="Times New Roman" w:cs="Times New Roman"/>
                      <w:color w:val="000000"/>
                      <w:sz w:val="21"/>
                      <w:szCs w:val="21"/>
                      <w:highlight w:val="none"/>
                    </w:rPr>
                    <w:t>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p>
              </w:tc>
              <w:tc>
                <w:tcPr>
                  <w:tcW w:w="815"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4" w:type="pct"/>
                  <w:gridSpan w:val="2"/>
                  <w:tcBorders>
                    <w:tl2br w:val="nil"/>
                    <w:tr2bl w:val="nil"/>
                  </w:tcBorders>
                  <w:vAlign w:val="center"/>
                </w:tcPr>
                <w:p>
                  <w:pPr>
                    <w:adjustRightInd/>
                    <w:snapToGrid/>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合计</w:t>
                  </w:r>
                </w:p>
              </w:tc>
              <w:tc>
                <w:tcPr>
                  <w:tcW w:w="815" w:type="pct"/>
                  <w:tcBorders>
                    <w:tl2br w:val="nil"/>
                    <w:tr2bl w:val="nil"/>
                  </w:tcBorders>
                  <w:vAlign w:val="center"/>
                </w:tcPr>
                <w:p>
                  <w:pPr>
                    <w:adjustRightInd/>
                    <w:snapToGrid/>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64</w:t>
                  </w:r>
                </w:p>
              </w:tc>
            </w:tr>
          </w:tbl>
          <w:p>
            <w:pPr>
              <w:pStyle w:val="66"/>
              <w:spacing w:before="120" w:beforeLines="50"/>
              <w:ind w:firstLine="460"/>
              <w:jc w:val="left"/>
              <w:rPr>
                <w:rFonts w:hint="default" w:ascii="Times New Roman" w:hAnsi="Times New Roman" w:eastAsia="宋体" w:cs="宋体"/>
                <w:color w:val="auto"/>
                <w:sz w:val="24"/>
                <w:highlight w:val="none"/>
                <w:lang w:val="en-US" w:eastAsia="zh-CN"/>
              </w:rPr>
            </w:pPr>
          </w:p>
        </w:tc>
      </w:tr>
    </w:tbl>
    <w:p>
      <w:pPr>
        <w:spacing w:line="360" w:lineRule="auto"/>
        <w:rPr>
          <w:rFonts w:hint="default" w:ascii="Times New Roman" w:hAnsi="Times New Roman" w:eastAsia="宋体" w:cs="Times New Roman"/>
          <w:b/>
          <w:kern w:val="0"/>
          <w:sz w:val="28"/>
          <w:szCs w:val="28"/>
          <w:highlight w:val="none"/>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spacing w:after="120"/>
        <w:jc w:val="both"/>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五、</w:t>
      </w:r>
      <w:bookmarkStart w:id="26" w:name="_Hlk54167917"/>
      <w:r>
        <w:rPr>
          <w:rFonts w:hint="default" w:ascii="Times New Roman" w:hAnsi="Times New Roman" w:eastAsia="宋体" w:cs="Times New Roman"/>
          <w:snapToGrid w:val="0"/>
          <w:color w:val="auto"/>
          <w:sz w:val="30"/>
          <w:szCs w:val="30"/>
          <w:highlight w:val="none"/>
        </w:rPr>
        <w:t>环境保护措施监督检查清单</w:t>
      </w:r>
      <w:bookmarkEnd w:id="26"/>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120"/>
        <w:gridCol w:w="958"/>
        <w:gridCol w:w="331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tcBorders>
              <w:tl2br w:val="single" w:color="auto" w:sz="4" w:space="0"/>
            </w:tcBorders>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内容</w:t>
            </w:r>
          </w:p>
          <w:p>
            <w:pPr>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要素</w:t>
            </w:r>
          </w:p>
        </w:tc>
        <w:tc>
          <w:tcPr>
            <w:tcW w:w="657"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排放口（编号、名称）/污染源</w:t>
            </w:r>
          </w:p>
        </w:tc>
        <w:tc>
          <w:tcPr>
            <w:tcW w:w="56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污染物项目</w:t>
            </w:r>
          </w:p>
        </w:tc>
        <w:tc>
          <w:tcPr>
            <w:tcW w:w="194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环境保护措施</w:t>
            </w:r>
          </w:p>
        </w:tc>
        <w:tc>
          <w:tcPr>
            <w:tcW w:w="1175"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大气环境</w:t>
            </w:r>
          </w:p>
        </w:tc>
        <w:tc>
          <w:tcPr>
            <w:tcW w:w="657" w:type="pct"/>
            <w:vAlign w:val="center"/>
          </w:tcPr>
          <w:p>
            <w:pPr>
              <w:adjustRightInd w:val="0"/>
              <w:snapToGrid w:val="0"/>
              <w:jc w:val="center"/>
              <w:rPr>
                <w:rFonts w:hint="default" w:ascii="Times New Roman" w:hAnsi="Times New Roman" w:eastAsia="宋体" w:cs="Times New Roman"/>
                <w:kern w:val="0"/>
                <w:szCs w:val="21"/>
                <w:highlight w:val="none"/>
              </w:rPr>
            </w:pPr>
            <w:r>
              <w:rPr>
                <w:rFonts w:hint="eastAsia" w:ascii="Times New Roman" w:hAnsi="Times New Roman"/>
                <w:color w:val="auto"/>
                <w:sz w:val="21"/>
                <w:szCs w:val="21"/>
                <w:highlight w:val="none"/>
                <w:vertAlign w:val="baseline"/>
                <w:lang w:val="en-US" w:eastAsia="zh-CN"/>
              </w:rPr>
              <w:t>厂界无组织</w:t>
            </w:r>
          </w:p>
        </w:tc>
        <w:tc>
          <w:tcPr>
            <w:tcW w:w="562" w:type="pct"/>
            <w:vAlign w:val="center"/>
          </w:tcPr>
          <w:p>
            <w:pPr>
              <w:adjustRightInd w:val="0"/>
              <w:snapToGrid w:val="0"/>
              <w:jc w:val="center"/>
              <w:rPr>
                <w:rFonts w:hint="default" w:ascii="Times New Roman" w:hAnsi="Times New Roman" w:eastAsia="宋体" w:cs="Times New Roman"/>
                <w:kern w:val="0"/>
                <w:szCs w:val="21"/>
                <w:highlight w:val="none"/>
              </w:rPr>
            </w:pPr>
            <w:r>
              <w:rPr>
                <w:rFonts w:hint="eastAsia" w:ascii="Times New Roman" w:hAnsi="Times New Roman" w:cs="宋体"/>
                <w:color w:val="auto"/>
                <w:szCs w:val="21"/>
                <w:highlight w:val="none"/>
                <w:lang w:val="en-US" w:eastAsia="zh-CN"/>
              </w:rPr>
              <w:t>非甲烷总烃</w:t>
            </w:r>
          </w:p>
        </w:tc>
        <w:tc>
          <w:tcPr>
            <w:tcW w:w="1942" w:type="pct"/>
            <w:vAlign w:val="center"/>
          </w:tcPr>
          <w:p>
            <w:pPr>
              <w:adjustRightInd w:val="0"/>
              <w:snapToGrid w:val="0"/>
              <w:jc w:val="center"/>
              <w:rPr>
                <w:rFonts w:hint="default" w:ascii="Times New Roman" w:hAnsi="Times New Roman" w:eastAsia="宋体" w:cs="Times New Roman"/>
                <w:szCs w:val="21"/>
                <w:highlight w:val="none"/>
                <w:lang w:val="en-US"/>
              </w:rPr>
            </w:pPr>
            <w:r>
              <w:rPr>
                <w:rFonts w:hint="eastAsia" w:cs="宋体"/>
                <w:color w:val="auto"/>
                <w:szCs w:val="21"/>
                <w:highlight w:val="none"/>
                <w:lang w:val="en-US" w:eastAsia="zh-CN"/>
              </w:rPr>
              <w:t>车间内设置排风扇</w:t>
            </w:r>
          </w:p>
        </w:tc>
        <w:tc>
          <w:tcPr>
            <w:tcW w:w="1175" w:type="pct"/>
            <w:vAlign w:val="center"/>
          </w:tcPr>
          <w:p>
            <w:pPr>
              <w:adjustRightInd w:val="0"/>
              <w:snapToGrid w:val="0"/>
              <w:jc w:val="center"/>
              <w:rPr>
                <w:rFonts w:hint="default" w:ascii="Times New Roman" w:hAnsi="Times New Roman" w:eastAsia="宋体" w:cs="Times New Roman"/>
                <w:szCs w:val="21"/>
                <w:highlight w:val="none"/>
              </w:rPr>
            </w:pPr>
            <w:r>
              <w:rPr>
                <w:rFonts w:hint="eastAsia" w:ascii="Times New Roman" w:hAnsi="Times New Roman" w:cs="宋体"/>
                <w:color w:val="auto"/>
                <w:szCs w:val="21"/>
                <w:highlight w:val="none"/>
                <w:lang w:val="zh-CN" w:eastAsia="zh-CN"/>
              </w:rPr>
              <w:t>《大气污染物综合排放标准》（GB16297-1996）表2无组织排放浓度限值要求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地表水环境</w:t>
            </w:r>
          </w:p>
        </w:tc>
        <w:tc>
          <w:tcPr>
            <w:tcW w:w="657" w:type="pct"/>
            <w:vAlign w:val="center"/>
          </w:tcPr>
          <w:p>
            <w:pPr>
              <w:widowControl/>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生活污水</w:t>
            </w:r>
          </w:p>
        </w:tc>
        <w:tc>
          <w:tcPr>
            <w:tcW w:w="562" w:type="pct"/>
            <w:vAlign w:val="center"/>
          </w:tcPr>
          <w:p>
            <w:pPr>
              <w:pStyle w:val="12"/>
              <w:spacing w:after="0" w:line="240" w:lineRule="auto"/>
              <w:ind w:left="0" w:leftChars="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COD、BOD</w:t>
            </w:r>
            <w:r>
              <w:rPr>
                <w:rFonts w:hint="default" w:ascii="Times New Roman" w:hAnsi="Times New Roman" w:eastAsia="宋体" w:cs="Times New Roman"/>
                <w:kern w:val="0"/>
                <w:sz w:val="21"/>
                <w:szCs w:val="21"/>
                <w:highlight w:val="none"/>
                <w:vertAlign w:val="subscript"/>
              </w:rPr>
              <w:t>5</w:t>
            </w:r>
            <w:r>
              <w:rPr>
                <w:rFonts w:hint="default" w:ascii="Times New Roman" w:hAnsi="Times New Roman" w:eastAsia="宋体" w:cs="Times New Roman"/>
                <w:kern w:val="0"/>
                <w:sz w:val="21"/>
                <w:szCs w:val="21"/>
                <w:highlight w:val="none"/>
              </w:rPr>
              <w:t>、SS、</w:t>
            </w: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w:t>
            </w:r>
          </w:p>
        </w:tc>
        <w:tc>
          <w:tcPr>
            <w:tcW w:w="1942" w:type="pct"/>
            <w:vAlign w:val="center"/>
          </w:tcPr>
          <w:p>
            <w:pPr>
              <w:rPr>
                <w:rFonts w:hint="eastAsia" w:ascii="Times New Roman" w:hAnsi="Times New Roman" w:eastAsia="宋体" w:cs="Times New Roman"/>
                <w:szCs w:val="21"/>
                <w:highlight w:val="none"/>
                <w:lang w:eastAsia="zh-CN"/>
              </w:rPr>
            </w:pPr>
            <w:r>
              <w:rPr>
                <w:rFonts w:hint="eastAsia"/>
                <w:color w:val="auto"/>
                <w:sz w:val="21"/>
                <w:szCs w:val="21"/>
                <w:highlight w:val="none"/>
                <w:lang w:eastAsia="zh-CN"/>
              </w:rPr>
              <w:t>生活污水依托内蒙古璟程电缆有限公司化粪池收集后排入园区污水管网，最终纳入园区污水处理厂进行进一步处理。</w:t>
            </w:r>
          </w:p>
        </w:tc>
        <w:tc>
          <w:tcPr>
            <w:tcW w:w="1175"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声环境</w:t>
            </w:r>
          </w:p>
        </w:tc>
        <w:tc>
          <w:tcPr>
            <w:tcW w:w="657"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主要来自设备等运行时产生的噪声</w:t>
            </w:r>
          </w:p>
        </w:tc>
        <w:tc>
          <w:tcPr>
            <w:tcW w:w="562" w:type="pct"/>
            <w:vAlign w:val="center"/>
          </w:tcPr>
          <w:p>
            <w:pPr>
              <w:pStyle w:val="76"/>
              <w:autoSpaceDE/>
              <w:autoSpaceDN/>
              <w:rPr>
                <w:rFonts w:hint="default" w:ascii="Times New Roman" w:hAnsi="Times New Roman" w:eastAsia="宋体" w:cs="Times New Roman"/>
                <w:color w:val="auto"/>
                <w:spacing w:val="4"/>
                <w:highlight w:val="none"/>
              </w:rPr>
            </w:pPr>
            <w:r>
              <w:rPr>
                <w:rFonts w:hint="default" w:ascii="Times New Roman" w:hAnsi="Times New Roman" w:eastAsia="宋体" w:cs="Times New Roman"/>
                <w:color w:val="auto"/>
                <w:spacing w:val="4"/>
                <w:highlight w:val="none"/>
              </w:rPr>
              <w:t>噪声</w:t>
            </w:r>
          </w:p>
        </w:tc>
        <w:tc>
          <w:tcPr>
            <w:tcW w:w="1942" w:type="pct"/>
            <w:vAlign w:val="center"/>
          </w:tcPr>
          <w:p>
            <w:pPr>
              <w:pStyle w:val="76"/>
              <w:autoSpaceDE/>
              <w:autoSpaceDN/>
              <w:jc w:val="both"/>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lang w:val="zh-CN"/>
              </w:rPr>
              <w:t>选用低噪声设备，</w:t>
            </w:r>
            <w:r>
              <w:rPr>
                <w:rFonts w:hint="eastAsia" w:cs="Times New Roman"/>
                <w:bCs/>
                <w:color w:val="auto"/>
                <w:highlight w:val="none"/>
                <w:lang w:val="zh-CN"/>
              </w:rPr>
              <w:t>进行</w:t>
            </w:r>
            <w:r>
              <w:rPr>
                <w:rFonts w:hint="default" w:ascii="Times New Roman" w:hAnsi="Times New Roman" w:eastAsia="宋体" w:cs="Times New Roman"/>
                <w:bCs/>
                <w:color w:val="auto"/>
                <w:highlight w:val="none"/>
                <w:lang w:val="zh-CN"/>
              </w:rPr>
              <w:t>基础减震</w:t>
            </w:r>
            <w:r>
              <w:rPr>
                <w:rFonts w:hint="eastAsia" w:cs="Times New Roman"/>
                <w:bCs/>
                <w:color w:val="auto"/>
                <w:highlight w:val="none"/>
                <w:lang w:val="zh-CN"/>
              </w:rPr>
              <w:t>、</w:t>
            </w:r>
            <w:r>
              <w:rPr>
                <w:rFonts w:hint="default" w:ascii="Times New Roman" w:hAnsi="Times New Roman" w:eastAsia="宋体" w:cs="Times New Roman"/>
                <w:bCs/>
                <w:color w:val="auto"/>
                <w:highlight w:val="none"/>
                <w:lang w:val="zh-CN"/>
              </w:rPr>
              <w:t>厂房隔声，合理布局</w:t>
            </w:r>
            <w:r>
              <w:rPr>
                <w:spacing w:val="3"/>
              </w:rPr>
              <w:t>噪声源</w:t>
            </w:r>
            <w:r>
              <w:rPr>
                <w:rFonts w:hint="default" w:ascii="Times New Roman" w:hAnsi="Times New Roman" w:eastAsia="宋体" w:cs="Times New Roman"/>
                <w:bCs/>
                <w:color w:val="auto"/>
                <w:highlight w:val="none"/>
                <w:lang w:val="zh-CN"/>
              </w:rPr>
              <w:t>。</w:t>
            </w:r>
          </w:p>
        </w:tc>
        <w:tc>
          <w:tcPr>
            <w:tcW w:w="1175" w:type="pct"/>
            <w:vAlign w:val="center"/>
          </w:tcPr>
          <w:p>
            <w:pPr>
              <w:pStyle w:val="76"/>
              <w:autoSpaceDE/>
              <w:autoSpaceDN/>
              <w:rPr>
                <w:rFonts w:hint="default" w:ascii="Times New Roman" w:hAnsi="Times New Roman" w:eastAsia="宋体" w:cs="Times New Roman"/>
                <w:color w:val="auto"/>
                <w:highlight w:val="none"/>
              </w:rPr>
            </w:pPr>
            <w:r>
              <w:rPr>
                <w:highlight w:val="none"/>
              </w:rPr>
              <w:t>《工业企业厂界环境噪声排放标准》（GB12348-2008）3类声功能区标准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固体废物</w:t>
            </w:r>
          </w:p>
        </w:tc>
        <w:tc>
          <w:tcPr>
            <w:tcW w:w="657" w:type="pct"/>
            <w:vAlign w:val="center"/>
          </w:tcPr>
          <w:p>
            <w:pPr>
              <w:jc w:val="left"/>
              <w:rPr>
                <w:rFonts w:hint="default" w:ascii="Times New Roman" w:hAnsi="Times New Roman" w:eastAsia="宋体" w:cs="Times New Roman"/>
                <w:kern w:val="0"/>
                <w:szCs w:val="21"/>
                <w:highlight w:val="none"/>
              </w:rPr>
            </w:pPr>
            <w:r>
              <w:rPr>
                <w:rFonts w:hint="default" w:ascii="Times New Roman" w:hAnsi="Times New Roman" w:eastAsia="宋体" w:cs="Times New Roman"/>
                <w:szCs w:val="21"/>
                <w:highlight w:val="none"/>
              </w:rPr>
              <w:t>生活垃圾</w:t>
            </w:r>
          </w:p>
        </w:tc>
        <w:tc>
          <w:tcPr>
            <w:tcW w:w="3679" w:type="pct"/>
            <w:gridSpan w:val="3"/>
            <w:vAlign w:val="center"/>
          </w:tcPr>
          <w:p>
            <w:pPr>
              <w:widowControl/>
              <w:jc w:val="left"/>
              <w:rPr>
                <w:rFonts w:hint="default" w:ascii="Times New Roman" w:hAnsi="Times New Roman" w:eastAsia="宋体" w:cs="Times New Roman"/>
                <w:szCs w:val="21"/>
                <w:highlight w:val="none"/>
              </w:rPr>
            </w:pPr>
            <w:r>
              <w:rPr>
                <w:rStyle w:val="36"/>
                <w:rFonts w:hint="default" w:ascii="Times New Roman" w:hAnsi="Times New Roman" w:eastAsia="宋体" w:cs="Times New Roman"/>
                <w:kern w:val="0"/>
                <w:szCs w:val="21"/>
                <w:highlight w:val="none"/>
              </w:rPr>
              <w:t>项目设有垃圾收集箱，生活垃圾统一收集后由环卫部门清运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Merge w:val="continue"/>
            <w:vAlign w:val="center"/>
          </w:tcPr>
          <w:p>
            <w:pPr>
              <w:jc w:val="center"/>
              <w:rPr>
                <w:rFonts w:hint="default" w:ascii="Times New Roman" w:hAnsi="Times New Roman" w:eastAsia="宋体" w:cs="Times New Roman"/>
                <w:szCs w:val="21"/>
                <w:highlight w:val="none"/>
              </w:rPr>
            </w:pPr>
          </w:p>
        </w:tc>
        <w:tc>
          <w:tcPr>
            <w:tcW w:w="657" w:type="pct"/>
            <w:vAlign w:val="center"/>
          </w:tcPr>
          <w:p>
            <w:pPr>
              <w:jc w:val="left"/>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固废</w:t>
            </w:r>
          </w:p>
        </w:tc>
        <w:tc>
          <w:tcPr>
            <w:tcW w:w="3679" w:type="pct"/>
            <w:gridSpan w:val="3"/>
            <w:vAlign w:val="center"/>
          </w:tcPr>
          <w:p>
            <w:pPr>
              <w:pStyle w:val="15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一般固废主要包括废铝绞线边角料和不合格品。其中废铝绞线边角料和不合格品8t/a，收集后交由资源回收公司处理</w:t>
            </w:r>
            <w:r>
              <w:rPr>
                <w:rFonts w:hint="default" w:ascii="Times New Roman" w:hAnsi="Times New Roman" w:eastAsia="宋体" w:cs="Times New Roman"/>
                <w:color w:val="auto"/>
                <w:sz w:val="21"/>
                <w:szCs w:val="21"/>
                <w:highlight w:val="none"/>
                <w:lang w:val="en-US" w:eastAsia="zh-CN"/>
              </w:rPr>
              <w:t>。</w:t>
            </w:r>
          </w:p>
          <w:p>
            <w:pPr>
              <w:pStyle w:val="15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Style w:val="36"/>
                <w:rFonts w:hint="default" w:ascii="Times New Roman" w:hAnsi="Times New Roman" w:eastAsia="宋体" w:cs="Times New Roman"/>
                <w:kern w:val="0"/>
                <w:szCs w:val="21"/>
                <w:highlight w:val="none"/>
              </w:rPr>
            </w:pPr>
            <w:r>
              <w:rPr>
                <w:rFonts w:hint="default" w:ascii="Times New Roman" w:hAnsi="Times New Roman" w:eastAsia="宋体" w:cs="Times New Roman"/>
                <w:color w:val="000000"/>
                <w:kern w:val="0"/>
                <w:sz w:val="21"/>
                <w:szCs w:val="21"/>
                <w:highlight w:val="none"/>
                <w:lang w:val="en-US" w:eastAsia="zh-CN" w:bidi="ar"/>
              </w:rPr>
              <w:t>危险废物主要为废拉丝油及油泥、废机油、废包装桶（废机油桶、废拉丝油桶）、废含油抹布，暂存危废暂存间，定期交由有相应危险废物处理资质单位进行处理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其中废拉丝油及油泥2t/a、废机油0.1t/a、废包装桶（废机油桶、废拉丝油桶）0.4t/a、废</w:t>
            </w:r>
            <w:r>
              <w:rPr>
                <w:rFonts w:hint="eastAsia" w:cs="Times New Roman"/>
                <w:color w:val="auto"/>
                <w:sz w:val="21"/>
                <w:szCs w:val="21"/>
                <w:highlight w:val="none"/>
                <w:lang w:val="en-US" w:eastAsia="zh-CN"/>
              </w:rPr>
              <w:t>含油</w:t>
            </w:r>
            <w:r>
              <w:rPr>
                <w:rFonts w:hint="default" w:ascii="Times New Roman" w:hAnsi="Times New Roman" w:eastAsia="宋体" w:cs="Times New Roman"/>
                <w:color w:val="auto"/>
                <w:sz w:val="21"/>
                <w:szCs w:val="21"/>
                <w:highlight w:val="none"/>
                <w:lang w:val="en-US" w:eastAsia="zh-CN"/>
              </w:rPr>
              <w:t>抹布0.01t/a</w:t>
            </w:r>
            <w:r>
              <w:rPr>
                <w:rFonts w:hint="eastAsia" w:cs="Times New Roman"/>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bCs/>
                <w:kern w:val="44"/>
                <w:szCs w:val="21"/>
                <w:highlight w:val="none"/>
              </w:rPr>
              <w:t>土壤及地下水污染防治措施</w:t>
            </w:r>
          </w:p>
        </w:tc>
        <w:tc>
          <w:tcPr>
            <w:tcW w:w="4336" w:type="pct"/>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rPr>
              <w:t>①</w:t>
            </w:r>
            <w:r>
              <w:rPr>
                <w:rFonts w:hint="eastAsia" w:ascii="Times New Roman" w:hAnsi="Times New Roman" w:cs="Times New Roman"/>
                <w:color w:val="000000"/>
                <w:sz w:val="21"/>
                <w:szCs w:val="21"/>
                <w:highlight w:val="none"/>
                <w:lang w:val="en-US" w:eastAsia="zh-CN"/>
              </w:rPr>
              <w:t>危废暂存间</w:t>
            </w:r>
            <w:r>
              <w:rPr>
                <w:rFonts w:hint="default" w:ascii="Times New Roman" w:hAnsi="Times New Roman" w:cs="Times New Roman"/>
                <w:color w:val="000000"/>
                <w:sz w:val="21"/>
                <w:szCs w:val="21"/>
                <w:highlight w:val="none"/>
              </w:rPr>
              <w:t>按</w:t>
            </w:r>
            <w:r>
              <w:rPr>
                <w:rFonts w:hint="default" w:ascii="Times New Roman" w:hAnsi="Times New Roman" w:cs="Times New Roman"/>
                <w:color w:val="000000"/>
                <w:sz w:val="21"/>
                <w:szCs w:val="21"/>
                <w:highlight w:val="none"/>
                <w:lang w:eastAsia="zh-CN"/>
              </w:rPr>
              <w:t>《危险废物贮存污染控制标准》（GB 18597-2023）</w:t>
            </w:r>
            <w:r>
              <w:rPr>
                <w:rFonts w:hint="default" w:ascii="Times New Roman" w:hAnsi="Times New Roman" w:cs="Times New Roman"/>
                <w:color w:val="000000"/>
                <w:sz w:val="21"/>
                <w:szCs w:val="21"/>
                <w:highlight w:val="none"/>
              </w:rPr>
              <w:t>进行设计：</w:t>
            </w:r>
            <w:r>
              <w:rPr>
                <w:rFonts w:hint="default" w:ascii="Times New Roman" w:hAnsi="Times New Roman" w:cs="Times New Roman"/>
                <w:color w:val="000000"/>
                <w:sz w:val="21"/>
                <w:szCs w:val="21"/>
                <w:highlight w:val="none"/>
                <w:shd w:val="clear" w:color="auto" w:fill="auto"/>
                <w:lang w:val="en-US" w:eastAsia="zh-CN"/>
              </w:rPr>
              <w:t>防渗层由下到上分别为</w:t>
            </w:r>
            <w:r>
              <w:rPr>
                <w:rFonts w:hint="default" w:ascii="Times New Roman" w:hAnsi="Times New Roman" w:eastAsia="宋体" w:cs="Times New Roman"/>
                <w:color w:val="000000"/>
                <w:sz w:val="21"/>
                <w:szCs w:val="21"/>
                <w:highlight w:val="none"/>
                <w:shd w:val="clear" w:color="auto" w:fill="auto"/>
                <w:lang w:val="en-US" w:eastAsia="zh-CN"/>
              </w:rPr>
              <w:t>2层丙纶防渗材料</w:t>
            </w:r>
            <w:r>
              <w:rPr>
                <w:rFonts w:hint="default" w:ascii="Times New Roman" w:hAnsi="Times New Roman" w:cs="Times New Roman"/>
                <w:color w:val="000000"/>
                <w:sz w:val="21"/>
                <w:szCs w:val="21"/>
                <w:highlight w:val="none"/>
                <w:shd w:val="clear" w:color="auto" w:fill="auto"/>
                <w:lang w:val="en-US" w:eastAsia="zh-CN"/>
              </w:rPr>
              <w:t>、上</w:t>
            </w:r>
            <w:r>
              <w:rPr>
                <w:rFonts w:hint="default" w:ascii="Times New Roman" w:hAnsi="Times New Roman" w:eastAsia="宋体" w:cs="Times New Roman"/>
                <w:color w:val="000000"/>
                <w:sz w:val="21"/>
                <w:szCs w:val="21"/>
                <w:highlight w:val="none"/>
                <w:shd w:val="clear" w:color="auto" w:fill="auto"/>
                <w:lang w:val="en-US" w:eastAsia="zh-CN"/>
              </w:rPr>
              <w:t>敷环氧树脂</w:t>
            </w:r>
            <w:r>
              <w:rPr>
                <w:rFonts w:hint="default" w:ascii="Times New Roman" w:hAnsi="Times New Roman" w:eastAsia="宋体" w:cs="Times New Roman"/>
                <w:color w:val="000000"/>
                <w:sz w:val="21"/>
                <w:szCs w:val="21"/>
                <w:highlight w:val="none"/>
                <w:lang w:val="en-US" w:eastAsia="zh-CN"/>
              </w:rPr>
              <w:t>。裙角为50cm高的防渗裙角，</w:t>
            </w:r>
            <w:r>
              <w:rPr>
                <w:rFonts w:hint="default" w:ascii="Times New Roman" w:hAnsi="Times New Roman" w:eastAsia="宋体" w:cs="Times New Roman"/>
                <w:color w:val="000000"/>
                <w:sz w:val="21"/>
                <w:szCs w:val="21"/>
                <w:highlight w:val="none"/>
                <w:lang w:eastAsia="zh-CN"/>
              </w:rPr>
              <w:t>危废暂存间内墙边四周</w:t>
            </w:r>
            <w:r>
              <w:rPr>
                <w:rFonts w:hint="default" w:ascii="Times New Roman" w:hAnsi="Times New Roman" w:cs="Times New Roman"/>
                <w:color w:val="000000"/>
                <w:sz w:val="21"/>
                <w:szCs w:val="21"/>
                <w:highlight w:val="none"/>
              </w:rPr>
              <w:t>设置</w:t>
            </w:r>
            <w:r>
              <w:rPr>
                <w:rFonts w:hint="default" w:ascii="Times New Roman" w:hAnsi="Times New Roman" w:cs="Times New Roman"/>
                <w:color w:val="000000"/>
                <w:sz w:val="21"/>
                <w:szCs w:val="21"/>
                <w:highlight w:val="none"/>
                <w:lang w:eastAsia="zh-CN"/>
              </w:rPr>
              <w:t>导流槽</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eastAsia="zh-CN"/>
              </w:rPr>
              <w:t>危废暂存间西侧设置废液收集池1个，容积为</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lang w:eastAsia="zh-CN"/>
              </w:rPr>
              <w:t>立方米，</w:t>
            </w:r>
            <w:r>
              <w:rPr>
                <w:rFonts w:hint="default" w:ascii="Times New Roman" w:hAnsi="Times New Roman" w:cs="Times New Roman"/>
                <w:color w:val="000000"/>
                <w:sz w:val="21"/>
                <w:szCs w:val="21"/>
                <w:highlight w:val="none"/>
              </w:rPr>
              <w:t>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r>
              <w:rPr>
                <w:rFonts w:hint="default" w:ascii="Times New Roman" w:hAnsi="Times New Roman" w:cs="Times New Roman"/>
                <w:color w:val="000000"/>
                <w:sz w:val="21"/>
                <w:szCs w:val="21"/>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②</w:t>
            </w:r>
            <w:r>
              <w:rPr>
                <w:rFonts w:hint="eastAsia" w:ascii="Times New Roman" w:hAnsi="Times New Roman" w:cs="Times New Roman"/>
                <w:color w:val="000000"/>
                <w:sz w:val="21"/>
                <w:szCs w:val="21"/>
                <w:highlight w:val="none"/>
                <w:lang w:val="en-US" w:eastAsia="zh-CN"/>
              </w:rPr>
              <w:t>拉丝</w:t>
            </w:r>
            <w:r>
              <w:rPr>
                <w:rFonts w:hint="default" w:ascii="Times New Roman" w:hAnsi="Times New Roman" w:cs="Times New Roman"/>
                <w:color w:val="000000"/>
                <w:sz w:val="21"/>
                <w:szCs w:val="21"/>
                <w:highlight w:val="none"/>
                <w:lang w:val="en-US" w:eastAsia="zh-CN"/>
              </w:rPr>
              <w:t>生产区</w:t>
            </w:r>
            <w:r>
              <w:rPr>
                <w:rFonts w:hint="default" w:ascii="Times New Roman" w:hAnsi="Times New Roman" w:cs="Times New Roman"/>
                <w:color w:val="000000"/>
                <w:sz w:val="21"/>
                <w:szCs w:val="21"/>
                <w:highlight w:val="none"/>
                <w:shd w:val="clear" w:color="auto" w:fill="auto"/>
                <w:lang w:val="en-US" w:eastAsia="zh-CN"/>
              </w:rPr>
              <w:t>防渗层由下到上分别为</w:t>
            </w:r>
            <w:r>
              <w:rPr>
                <w:rFonts w:hint="default" w:ascii="Times New Roman" w:hAnsi="Times New Roman" w:eastAsia="宋体" w:cs="Times New Roman"/>
                <w:color w:val="000000"/>
                <w:sz w:val="21"/>
                <w:szCs w:val="21"/>
                <w:highlight w:val="none"/>
                <w:shd w:val="clear" w:color="auto" w:fill="auto"/>
                <w:lang w:val="en-US" w:eastAsia="zh-CN"/>
              </w:rPr>
              <w:t>2层丙纶防渗材料</w:t>
            </w:r>
            <w:r>
              <w:rPr>
                <w:rFonts w:hint="default" w:ascii="Times New Roman" w:hAnsi="Times New Roman" w:cs="Times New Roman"/>
                <w:color w:val="000000"/>
                <w:sz w:val="21"/>
                <w:szCs w:val="21"/>
                <w:highlight w:val="none"/>
                <w:shd w:val="clear" w:color="auto" w:fill="auto"/>
                <w:lang w:val="en-US" w:eastAsia="zh-CN"/>
              </w:rPr>
              <w:t>、上</w:t>
            </w:r>
            <w:r>
              <w:rPr>
                <w:rFonts w:hint="default" w:ascii="Times New Roman" w:hAnsi="Times New Roman" w:eastAsia="宋体" w:cs="Times New Roman"/>
                <w:color w:val="000000"/>
                <w:sz w:val="21"/>
                <w:szCs w:val="21"/>
                <w:highlight w:val="none"/>
                <w:shd w:val="clear" w:color="auto" w:fill="auto"/>
                <w:lang w:val="en-US" w:eastAsia="zh-CN"/>
              </w:rPr>
              <w:t>敷环氧树脂</w:t>
            </w:r>
            <w:r>
              <w:rPr>
                <w:rFonts w:hint="default" w:ascii="Times New Roman" w:hAnsi="Times New Roman" w:eastAsia="宋体" w:cs="Times New Roman"/>
                <w:color w:val="000000"/>
                <w:sz w:val="21"/>
                <w:szCs w:val="21"/>
                <w:highlight w:val="none"/>
                <w:lang w:val="en-US" w:eastAsia="zh-CN"/>
              </w:rPr>
              <w:t>，</w:t>
            </w:r>
            <w:r>
              <w:rPr>
                <w:rFonts w:hint="default" w:ascii="Times New Roman" w:hAnsi="Times New Roman" w:cs="Times New Roman"/>
                <w:color w:val="000000"/>
                <w:sz w:val="21"/>
                <w:szCs w:val="21"/>
                <w:highlight w:val="none"/>
              </w:rPr>
              <w:t>渗透系数K≤1×10</w:t>
            </w:r>
            <w:r>
              <w:rPr>
                <w:rFonts w:hint="default" w:ascii="Times New Roman" w:hAnsi="Times New Roman" w:cs="Times New Roman"/>
                <w:color w:val="000000"/>
                <w:sz w:val="21"/>
                <w:szCs w:val="21"/>
                <w:highlight w:val="none"/>
                <w:vertAlign w:val="superscript"/>
              </w:rPr>
              <w:t>-10</w:t>
            </w:r>
            <w:r>
              <w:rPr>
                <w:rFonts w:hint="default" w:ascii="Times New Roman" w:hAnsi="Times New Roman" w:cs="Times New Roman"/>
                <w:color w:val="000000"/>
                <w:sz w:val="21"/>
                <w:szCs w:val="21"/>
                <w:highlight w:val="none"/>
              </w:rPr>
              <w:t>cm/s</w:t>
            </w:r>
            <w:r>
              <w:rPr>
                <w:rFonts w:hint="default" w:ascii="Times New Roman" w:hAnsi="Times New Roman" w:cs="Times New Roman"/>
                <w:color w:val="000000"/>
                <w:sz w:val="21"/>
                <w:szCs w:val="21"/>
                <w:highlight w:val="none"/>
                <w:lang w:eastAsia="zh-CN"/>
              </w:rPr>
              <w:t>。</w:t>
            </w:r>
          </w:p>
          <w:p>
            <w:pPr>
              <w:rPr>
                <w:rFonts w:hint="eastAsia" w:ascii="Times New Roman" w:hAnsi="Times New Roman" w:eastAsia="宋体" w:cs="Times New Roman"/>
                <w:szCs w:val="21"/>
                <w:highlight w:val="none"/>
                <w:lang w:eastAsia="zh-CN"/>
              </w:rPr>
            </w:pPr>
            <w:r>
              <w:rPr>
                <w:rFonts w:hint="default" w:ascii="Times New Roman" w:hAnsi="Times New Roman" w:cs="Times New Roman"/>
                <w:color w:val="000000"/>
                <w:sz w:val="21"/>
                <w:szCs w:val="21"/>
                <w:highlight w:val="none"/>
                <w:lang w:val="en-US" w:eastAsia="zh-CN"/>
              </w:rPr>
              <w:t>③</w:t>
            </w:r>
            <w:r>
              <w:rPr>
                <w:rFonts w:hint="eastAsia" w:ascii="Times New Roman" w:hAnsi="Times New Roman" w:cs="Times New Roman"/>
                <w:color w:val="000000"/>
                <w:sz w:val="21"/>
                <w:szCs w:val="21"/>
                <w:highlight w:val="none"/>
                <w:lang w:val="en-US" w:eastAsia="zh-CN"/>
              </w:rPr>
              <w:t>拉丝</w:t>
            </w:r>
            <w:r>
              <w:rPr>
                <w:rFonts w:hint="default" w:ascii="Times New Roman" w:hAnsi="Times New Roman" w:cs="Times New Roman"/>
                <w:color w:val="000000"/>
                <w:sz w:val="21"/>
                <w:szCs w:val="21"/>
                <w:highlight w:val="none"/>
                <w:lang w:val="en-US" w:eastAsia="zh-CN"/>
              </w:rPr>
              <w:t>油池</w:t>
            </w:r>
            <w:r>
              <w:rPr>
                <w:rFonts w:hint="eastAsia" w:cs="Times New Roman"/>
                <w:color w:val="000000"/>
                <w:sz w:val="21"/>
                <w:szCs w:val="21"/>
                <w:highlight w:val="none"/>
                <w:lang w:val="en-US" w:eastAsia="zh-CN"/>
              </w:rPr>
              <w:t>防渗措施</w:t>
            </w:r>
            <w:r>
              <w:rPr>
                <w:rFonts w:hint="default" w:ascii="Times New Roman" w:hAnsi="Times New Roman" w:cs="Times New Roman"/>
                <w:color w:val="000000"/>
                <w:sz w:val="21"/>
                <w:szCs w:val="21"/>
                <w:highlight w:val="none"/>
                <w:lang w:val="en-US" w:eastAsia="zh-CN"/>
              </w:rPr>
              <w:t>为</w:t>
            </w:r>
            <w:r>
              <w:rPr>
                <w:rFonts w:hint="default" w:ascii="Times New Roman" w:hAnsi="Times New Roman" w:cs="Times New Roman"/>
                <w:color w:val="auto"/>
                <w:sz w:val="21"/>
                <w:szCs w:val="21"/>
                <w:u w:val="none"/>
                <w:lang w:val="en-US" w:eastAsia="zh-CN"/>
              </w:rPr>
              <w:t>抗渗混凝土（厚度不宜小于150mm）+HDPE防渗涂层（厚度不小于2mm）结构形式，防渗结构层渗透系数不应大于1.0×10</w:t>
            </w:r>
            <w:r>
              <w:rPr>
                <w:rFonts w:hint="default" w:ascii="Times New Roman" w:hAnsi="Times New Roman" w:cs="Times New Roman"/>
                <w:color w:val="auto"/>
                <w:sz w:val="21"/>
                <w:szCs w:val="21"/>
                <w:u w:val="none"/>
                <w:vertAlign w:val="superscript"/>
                <w:lang w:val="en-US" w:eastAsia="zh-CN"/>
              </w:rPr>
              <w:t>-10</w:t>
            </w:r>
            <w:r>
              <w:rPr>
                <w:rFonts w:hint="default" w:ascii="Times New Roman" w:hAnsi="Times New Roman" w:cs="Times New Roman"/>
                <w:color w:val="auto"/>
                <w:sz w:val="21"/>
                <w:szCs w:val="21"/>
                <w:u w:val="none"/>
                <w:vertAlign w:val="baseline"/>
                <w:lang w:val="en-US" w:eastAsia="zh-CN"/>
              </w:rPr>
              <w:t>cm/s</w:t>
            </w:r>
            <w:r>
              <w:rPr>
                <w:rFonts w:hint="default" w:ascii="Times New Roman" w:hAnsi="Times New Roman" w:cs="Times New Roman"/>
                <w:color w:val="auto"/>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bCs/>
                <w:kern w:val="44"/>
                <w:szCs w:val="21"/>
                <w:highlight w:val="none"/>
              </w:rPr>
            </w:pPr>
            <w:r>
              <w:rPr>
                <w:rFonts w:hint="default" w:ascii="Times New Roman" w:hAnsi="Times New Roman" w:eastAsia="宋体" w:cs="Times New Roman"/>
                <w:bCs/>
                <w:kern w:val="44"/>
                <w:szCs w:val="21"/>
                <w:highlight w:val="none"/>
              </w:rPr>
              <w:t>生态保护措施</w:t>
            </w:r>
          </w:p>
        </w:tc>
        <w:tc>
          <w:tcPr>
            <w:tcW w:w="4336" w:type="pct"/>
            <w:gridSpan w:val="4"/>
            <w:vAlign w:val="center"/>
          </w:tcPr>
          <w:p>
            <w:pPr>
              <w:jc w:val="left"/>
              <w:rPr>
                <w:rFonts w:hint="default" w:ascii="Times New Roman" w:hAnsi="Times New Roman" w:eastAsia="宋体" w:cs="Times New Roman"/>
                <w:bCs/>
                <w:kern w:val="44"/>
                <w:szCs w:val="21"/>
                <w:highlight w:val="none"/>
              </w:rPr>
            </w:pPr>
            <w:r>
              <w:rPr>
                <w:rFonts w:hint="eastAsia" w:cs="Times New Roman"/>
                <w:bCs/>
                <w:kern w:val="44"/>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bCs/>
                <w:kern w:val="44"/>
                <w:szCs w:val="21"/>
                <w:highlight w:val="none"/>
              </w:rPr>
            </w:pPr>
            <w:r>
              <w:rPr>
                <w:rFonts w:hint="default" w:ascii="Times New Roman" w:hAnsi="Times New Roman" w:eastAsia="宋体" w:cs="Times New Roman"/>
                <w:bCs/>
                <w:kern w:val="44"/>
                <w:szCs w:val="21"/>
                <w:highlight w:val="none"/>
              </w:rPr>
              <w:t>环境风险防范措施</w:t>
            </w:r>
          </w:p>
        </w:tc>
        <w:tc>
          <w:tcPr>
            <w:tcW w:w="4336" w:type="pct"/>
            <w:gridSpan w:val="4"/>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应按照相关要求规范对原辅材料的使用、贮存及管理过程，加强对员工的教育培训。危废暂存区应做好防腐防渗措施。在厂内存储地点必须远离动火点，且保证储存地点通风良好，现场设置明显、醒目的安全标志、禁令、警语和告示牌；生产区应划分禁火区和固定动火区，并设置明显的标识。</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Times New Roman" w:hAnsi="Times New Roman" w:eastAsia="宋体" w:cs="Times New Roman"/>
                <w:bCs/>
                <w:kern w:val="44"/>
                <w:szCs w:val="21"/>
                <w:highlight w:val="none"/>
                <w:lang w:eastAsia="zh-CN"/>
              </w:rPr>
            </w:pPr>
            <w:r>
              <w:rPr>
                <w:rFonts w:hint="default" w:ascii="Times New Roman" w:hAnsi="Times New Roman" w:eastAsia="宋体" w:cs="Times New Roman"/>
                <w:color w:val="000000"/>
                <w:sz w:val="21"/>
                <w:szCs w:val="21"/>
                <w:highlight w:val="none"/>
                <w:lang w:eastAsia="zh-CN"/>
              </w:rPr>
              <w:t>拉丝油</w:t>
            </w:r>
            <w:r>
              <w:rPr>
                <w:rFonts w:hint="default" w:ascii="Times New Roman" w:hAnsi="Times New Roman" w:eastAsia="宋体" w:cs="Times New Roman"/>
                <w:color w:val="000000"/>
                <w:sz w:val="21"/>
                <w:szCs w:val="21"/>
                <w:highlight w:val="none"/>
                <w:lang w:val="en-US" w:eastAsia="zh-CN"/>
              </w:rPr>
              <w:t>发生小量泄漏时，应采取措施修补容器，或转移破损桶内的物料、用沙土吸附，吸附后物料作为危险废物处理</w:t>
            </w:r>
            <w:r>
              <w:rPr>
                <w:rFonts w:hint="eastAsia" w:ascii="Times New Roman" w:hAnsi="Times New Roman"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pct"/>
            <w:vAlign w:val="center"/>
          </w:tcPr>
          <w:p>
            <w:pPr>
              <w:jc w:val="center"/>
              <w:rPr>
                <w:rFonts w:hint="default" w:ascii="Times New Roman" w:hAnsi="Times New Roman" w:eastAsia="宋体" w:cs="Times New Roman"/>
                <w:spacing w:val="-8"/>
                <w:szCs w:val="21"/>
                <w:highlight w:val="none"/>
              </w:rPr>
            </w:pPr>
            <w:r>
              <w:rPr>
                <w:rFonts w:hint="default" w:ascii="Times New Roman" w:hAnsi="Times New Roman" w:eastAsia="宋体" w:cs="Times New Roman"/>
                <w:spacing w:val="-8"/>
                <w:szCs w:val="21"/>
                <w:highlight w:val="none"/>
              </w:rPr>
              <w:t>其他环境</w:t>
            </w:r>
          </w:p>
          <w:p>
            <w:pPr>
              <w:jc w:val="center"/>
              <w:rPr>
                <w:rFonts w:hint="default" w:ascii="Times New Roman" w:hAnsi="Times New Roman" w:eastAsia="宋体" w:cs="Times New Roman"/>
                <w:spacing w:val="-8"/>
                <w:szCs w:val="21"/>
                <w:highlight w:val="none"/>
              </w:rPr>
            </w:pPr>
            <w:r>
              <w:rPr>
                <w:rFonts w:hint="default" w:ascii="Times New Roman" w:hAnsi="Times New Roman" w:eastAsia="宋体" w:cs="Times New Roman"/>
                <w:spacing w:val="-8"/>
                <w:szCs w:val="21"/>
                <w:highlight w:val="none"/>
              </w:rPr>
              <w:t>管理要求</w:t>
            </w:r>
          </w:p>
        </w:tc>
        <w:tc>
          <w:tcPr>
            <w:tcW w:w="4336" w:type="pct"/>
            <w:gridSpan w:val="4"/>
            <w:vAlign w:val="center"/>
          </w:tcPr>
          <w:p>
            <w:pPr>
              <w:jc w:val="left"/>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w:t>
            </w:r>
          </w:p>
        </w:tc>
      </w:tr>
    </w:tbl>
    <w:p>
      <w:pPr>
        <w:pStyle w:val="26"/>
        <w:spacing w:after="120"/>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highlight w:val="none"/>
        </w:rPr>
        <w:br w:type="page"/>
      </w:r>
      <w:r>
        <w:rPr>
          <w:rFonts w:hint="default" w:ascii="Times New Roman" w:hAnsi="Times New Roman" w:eastAsia="宋体" w:cs="Times New Roman"/>
          <w:snapToGrid w:val="0"/>
          <w:color w:val="auto"/>
          <w:sz w:val="30"/>
          <w:szCs w:val="30"/>
          <w:highlight w:val="none"/>
        </w:rPr>
        <w:t>六、结论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spacing w:line="360" w:lineRule="auto"/>
              <w:ind w:firstLine="480" w:firstLineChars="200"/>
              <w:rPr>
                <w:rFonts w:hint="default" w:ascii="Times New Roman" w:hAnsi="Times New Roman" w:eastAsia="宋体" w:cs="Times New Roman"/>
                <w:color w:val="auto"/>
                <w:sz w:val="24"/>
                <w:highlight w:val="none"/>
                <w:lang w:bidi="mn-Mong-CN"/>
              </w:rPr>
            </w:pPr>
            <w:r>
              <w:rPr>
                <w:rFonts w:hint="default" w:ascii="Times New Roman" w:hAnsi="Times New Roman" w:eastAsia="宋体" w:cs="Times New Roman"/>
                <w:color w:val="auto"/>
                <w:sz w:val="24"/>
                <w:highlight w:val="none"/>
                <w:lang w:bidi="mn-Mong-CN"/>
              </w:rPr>
              <w:t>项目符合国家产业政策及“三线一单”要求，选址合理。运营期不可避免</w:t>
            </w:r>
            <w:r>
              <w:rPr>
                <w:rFonts w:hint="eastAsia" w:cs="Times New Roman"/>
                <w:color w:val="auto"/>
                <w:sz w:val="24"/>
                <w:highlight w:val="none"/>
                <w:lang w:eastAsia="zh-CN" w:bidi="mn-Mong-CN"/>
              </w:rPr>
              <w:t>地</w:t>
            </w:r>
            <w:r>
              <w:rPr>
                <w:rFonts w:hint="default" w:ascii="Times New Roman" w:hAnsi="Times New Roman" w:eastAsia="宋体" w:cs="Times New Roman"/>
                <w:color w:val="auto"/>
                <w:sz w:val="24"/>
                <w:highlight w:val="none"/>
                <w:lang w:bidi="mn-Mong-CN"/>
              </w:rPr>
              <w:t>对周围环境产生影响，在认真落实本报告中提出的各项污染防治措施及建议、确保各项污染物达标排放的前提下，加强环境管理。废水、废气、噪声、固废等污染物对周围环境的影响控制在可接受范围内，从环境保护角度分析，该建设项目可行。</w:t>
            </w:r>
          </w:p>
          <w:p>
            <w:pPr>
              <w:pStyle w:val="29"/>
              <w:rPr>
                <w:rFonts w:hint="default" w:ascii="Times New Roman" w:hAnsi="Times New Roman" w:eastAsia="宋体" w:cs="Times New Roman"/>
                <w:color w:val="auto"/>
                <w:sz w:val="24"/>
                <w:highlight w:val="none"/>
                <w:lang w:bidi="mn-Mong-CN"/>
              </w:rPr>
            </w:pPr>
          </w:p>
          <w:p>
            <w:pPr>
              <w:pStyle w:val="12"/>
              <w:rPr>
                <w:rFonts w:hint="default" w:ascii="Times New Roman" w:hAnsi="Times New Roman" w:eastAsia="宋体" w:cs="Times New Roman"/>
                <w:color w:val="auto"/>
                <w:sz w:val="24"/>
                <w:highlight w:val="none"/>
                <w:lang w:bidi="mn-Mong-CN"/>
              </w:rPr>
            </w:pPr>
          </w:p>
          <w:p>
            <w:pPr>
              <w:rPr>
                <w:rFonts w:hint="default" w:ascii="Times New Roman" w:hAnsi="Times New Roman" w:eastAsia="宋体" w:cs="Times New Roman"/>
                <w:color w:val="auto"/>
                <w:sz w:val="24"/>
                <w:highlight w:val="none"/>
                <w:lang w:bidi="mn-Mong-CN"/>
              </w:rPr>
            </w:pPr>
          </w:p>
          <w:p>
            <w:pPr>
              <w:pStyle w:val="29"/>
              <w:rPr>
                <w:rFonts w:hint="default" w:ascii="Times New Roman" w:hAnsi="Times New Roman" w:eastAsia="宋体" w:cs="Times New Roman"/>
                <w:color w:val="auto"/>
                <w:sz w:val="24"/>
                <w:highlight w:val="none"/>
                <w:lang w:bidi="mn-Mong-CN"/>
              </w:rPr>
            </w:pPr>
          </w:p>
          <w:p>
            <w:pPr>
              <w:pStyle w:val="12"/>
              <w:rPr>
                <w:rFonts w:hint="default" w:ascii="Times New Roman" w:hAnsi="Times New Roman" w:eastAsia="宋体" w:cs="Times New Roman"/>
                <w:color w:val="auto"/>
                <w:sz w:val="24"/>
                <w:highlight w:val="none"/>
                <w:lang w:bidi="mn-Mong-CN"/>
              </w:rPr>
            </w:pPr>
          </w:p>
          <w:p>
            <w:pPr>
              <w:rPr>
                <w:rFonts w:hint="default" w:ascii="Times New Roman" w:hAnsi="Times New Roman" w:eastAsia="宋体" w:cs="Times New Roman"/>
                <w:color w:val="auto"/>
                <w:sz w:val="24"/>
                <w:highlight w:val="none"/>
                <w:lang w:bidi="mn-Mong-CN"/>
              </w:rPr>
            </w:pPr>
          </w:p>
          <w:p>
            <w:pPr>
              <w:pStyle w:val="29"/>
              <w:rPr>
                <w:rFonts w:hint="default" w:ascii="Times New Roman" w:hAnsi="Times New Roman" w:eastAsia="宋体" w:cs="Times New Roman"/>
                <w:color w:val="auto"/>
                <w:sz w:val="24"/>
                <w:highlight w:val="none"/>
                <w:lang w:bidi="mn-Mong-CN"/>
              </w:rPr>
            </w:pPr>
          </w:p>
          <w:p>
            <w:pPr>
              <w:pStyle w:val="12"/>
              <w:rPr>
                <w:rFonts w:hint="default" w:ascii="Times New Roman" w:hAnsi="Times New Roman" w:eastAsia="宋体" w:cs="Times New Roman"/>
                <w:color w:val="auto"/>
                <w:sz w:val="24"/>
                <w:highlight w:val="none"/>
                <w:lang w:bidi="mn-Mong-CN"/>
              </w:rPr>
            </w:pPr>
          </w:p>
          <w:p>
            <w:pPr>
              <w:rPr>
                <w:rFonts w:hint="default" w:ascii="Times New Roman" w:hAnsi="Times New Roman" w:eastAsia="宋体" w:cs="Times New Roman"/>
                <w:color w:val="auto"/>
                <w:sz w:val="24"/>
                <w:highlight w:val="none"/>
                <w:lang w:bidi="mn-Mong-CN"/>
              </w:rPr>
            </w:pPr>
          </w:p>
          <w:p>
            <w:pPr>
              <w:pStyle w:val="29"/>
              <w:rPr>
                <w:rFonts w:hint="default" w:ascii="Times New Roman" w:hAnsi="Times New Roman" w:eastAsia="宋体" w:cs="Times New Roman"/>
                <w:color w:val="auto"/>
                <w:sz w:val="24"/>
                <w:highlight w:val="none"/>
                <w:lang w:bidi="mn-Mong-CN"/>
              </w:rPr>
            </w:pPr>
          </w:p>
          <w:p>
            <w:pPr>
              <w:pStyle w:val="12"/>
              <w:rPr>
                <w:rFonts w:hint="default" w:ascii="Times New Roman" w:hAnsi="Times New Roman" w:eastAsia="宋体" w:cs="Times New Roman"/>
                <w:color w:val="auto"/>
                <w:sz w:val="24"/>
                <w:highlight w:val="none"/>
                <w:lang w:bidi="mn-Mong-CN"/>
              </w:rPr>
            </w:pPr>
          </w:p>
          <w:p>
            <w:pPr>
              <w:rPr>
                <w:rFonts w:hint="default" w:ascii="Times New Roman" w:hAnsi="Times New Roman" w:eastAsia="宋体" w:cs="Times New Roman"/>
                <w:color w:val="auto"/>
                <w:sz w:val="24"/>
                <w:highlight w:val="none"/>
                <w:lang w:bidi="mn-Mong-CN"/>
              </w:rPr>
            </w:pPr>
          </w:p>
          <w:p>
            <w:pPr>
              <w:pStyle w:val="29"/>
              <w:rPr>
                <w:rFonts w:hint="default" w:ascii="Times New Roman" w:hAnsi="Times New Roman" w:eastAsia="宋体" w:cs="Times New Roman"/>
                <w:color w:val="auto"/>
                <w:sz w:val="24"/>
                <w:highlight w:val="none"/>
                <w:lang w:bidi="mn-Mong-CN"/>
              </w:rPr>
            </w:pPr>
          </w:p>
          <w:p>
            <w:pPr>
              <w:pStyle w:val="12"/>
              <w:rPr>
                <w:rFonts w:hint="default" w:ascii="Times New Roman" w:hAnsi="Times New Roman" w:eastAsia="宋体" w:cs="Times New Roman"/>
                <w:color w:val="auto"/>
                <w:sz w:val="24"/>
                <w:highlight w:val="none"/>
                <w:lang w:bidi="mn-Mong-CN"/>
              </w:rPr>
            </w:pPr>
          </w:p>
          <w:p>
            <w:pPr>
              <w:rPr>
                <w:rFonts w:hint="default" w:ascii="Times New Roman" w:hAnsi="Times New Roman" w:eastAsia="宋体" w:cs="Times New Roman"/>
                <w:color w:val="auto"/>
                <w:sz w:val="24"/>
                <w:highlight w:val="none"/>
                <w:lang w:bidi="mn-Mong-CN"/>
              </w:rPr>
            </w:pPr>
          </w:p>
          <w:p>
            <w:pPr>
              <w:pStyle w:val="29"/>
              <w:rPr>
                <w:rFonts w:hint="default" w:ascii="Times New Roman" w:hAnsi="Times New Roman" w:eastAsia="宋体" w:cs="Times New Roman"/>
                <w:color w:val="auto"/>
                <w:sz w:val="24"/>
                <w:highlight w:val="none"/>
                <w:lang w:bidi="mn-Mong-CN"/>
              </w:rPr>
            </w:pPr>
          </w:p>
          <w:p>
            <w:pPr>
              <w:rPr>
                <w:rFonts w:hint="default"/>
              </w:rPr>
            </w:pPr>
          </w:p>
        </w:tc>
      </w:tr>
    </w:tbl>
    <w:p>
      <w:pPr>
        <w:rPr>
          <w:rFonts w:hint="default" w:ascii="Times New Roman" w:hAnsi="Times New Roman" w:eastAsia="宋体" w:cs="Times New Roman"/>
          <w:highlight w:val="none"/>
        </w:rPr>
      </w:pPr>
    </w:p>
    <w:p>
      <w:pPr>
        <w:rPr>
          <w:rFonts w:hint="default" w:ascii="Times New Roman" w:hAnsi="Times New Roman" w:eastAsia="宋体" w:cs="Times New Roman"/>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spacing w:after="120" w:line="240" w:lineRule="auto"/>
        <w:jc w:val="left"/>
        <w:outlineLvl w:val="0"/>
        <w:rPr>
          <w:rFonts w:hint="default" w:ascii="Times New Roman" w:hAnsi="Times New Roman" w:eastAsia="宋体" w:cs="Times New Roman"/>
          <w:snapToGrid w:val="0"/>
          <w:sz w:val="28"/>
          <w:szCs w:val="32"/>
          <w:highlight w:val="none"/>
        </w:rPr>
      </w:pPr>
      <w:r>
        <w:rPr>
          <w:rFonts w:hint="default" w:ascii="Times New Roman" w:hAnsi="Times New Roman" w:eastAsia="宋体" w:cs="Times New Roman"/>
          <w:snapToGrid w:val="0"/>
          <w:sz w:val="28"/>
          <w:szCs w:val="32"/>
          <w:highlight w:val="none"/>
        </w:rPr>
        <w:t>附表：</w:t>
      </w:r>
    </w:p>
    <w:p>
      <w:pPr>
        <w:pStyle w:val="26"/>
        <w:spacing w:after="0" w:afterLines="0"/>
        <w:rPr>
          <w:rFonts w:hint="default" w:ascii="Times New Roman" w:hAnsi="Times New Roman" w:eastAsia="宋体" w:cs="Times New Roman"/>
          <w:snapToGrid w:val="0"/>
          <w:sz w:val="28"/>
          <w:szCs w:val="28"/>
          <w:highlight w:val="none"/>
        </w:rPr>
      </w:pPr>
      <w:r>
        <w:rPr>
          <w:rFonts w:hint="default" w:ascii="Times New Roman" w:hAnsi="Times New Roman" w:eastAsia="宋体" w:cs="Times New Roman"/>
          <w:snapToGrid w:val="0"/>
          <w:sz w:val="28"/>
          <w:szCs w:val="28"/>
          <w:highlight w:val="none"/>
        </w:rPr>
        <w:t>建设项目污染物排放量汇总表</w:t>
      </w:r>
    </w:p>
    <w:tbl>
      <w:tblPr>
        <w:tblStyle w:val="1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573"/>
        <w:gridCol w:w="1471"/>
        <w:gridCol w:w="1309"/>
        <w:gridCol w:w="1608"/>
        <w:gridCol w:w="1708"/>
        <w:gridCol w:w="1622"/>
        <w:gridCol w:w="2077"/>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58"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项目</w:t>
            </w:r>
          </w:p>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分类</w:t>
            </w:r>
          </w:p>
        </w:tc>
        <w:tc>
          <w:tcPr>
            <w:tcW w:w="584"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污染物名称</w:t>
            </w:r>
          </w:p>
        </w:tc>
        <w:tc>
          <w:tcPr>
            <w:tcW w:w="546"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现有工程排放量（固体废物产生量）</w:t>
            </w:r>
            <w:r>
              <w:rPr>
                <w:rFonts w:hint="default" w:ascii="Times New Roman" w:hAnsi="Times New Roman" w:eastAsia="宋体" w:cs="Times New Roman"/>
                <w:snapToGrid w:val="0"/>
                <w:highlight w:val="none"/>
              </w:rPr>
              <w:fldChar w:fldCharType="begin"/>
            </w:r>
            <w:r>
              <w:rPr>
                <w:rFonts w:hint="default" w:ascii="Times New Roman" w:hAnsi="Times New Roman" w:eastAsia="宋体" w:cs="Times New Roman"/>
                <w:snapToGrid w:val="0"/>
                <w:highlight w:val="none"/>
              </w:rPr>
              <w:instrText xml:space="preserve"> = 1 \* GB3 \* MERGEFORMAT </w:instrText>
            </w:r>
            <w:r>
              <w:rPr>
                <w:rFonts w:hint="default" w:ascii="Times New Roman" w:hAnsi="Times New Roman" w:eastAsia="宋体" w:cs="Times New Roman"/>
                <w:snapToGrid w:val="0"/>
                <w:highlight w:val="none"/>
              </w:rPr>
              <w:fldChar w:fldCharType="separate"/>
            </w:r>
            <w:r>
              <w:rPr>
                <w:rFonts w:hint="default" w:ascii="Times New Roman" w:hAnsi="Times New Roman" w:eastAsia="宋体" w:cs="Times New Roman"/>
                <w:kern w:val="2"/>
                <w:highlight w:val="none"/>
              </w:rPr>
              <w:t>①</w:t>
            </w:r>
            <w:r>
              <w:rPr>
                <w:rFonts w:hint="default" w:ascii="Times New Roman" w:hAnsi="Times New Roman" w:eastAsia="宋体" w:cs="Times New Roman"/>
                <w:snapToGrid w:val="0"/>
                <w:highlight w:val="none"/>
              </w:rPr>
              <w:fldChar w:fldCharType="end"/>
            </w:r>
          </w:p>
        </w:tc>
        <w:tc>
          <w:tcPr>
            <w:tcW w:w="486"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现有工程许可排放量</w:t>
            </w:r>
            <w:r>
              <w:rPr>
                <w:rFonts w:hint="default" w:ascii="Times New Roman" w:hAnsi="Times New Roman" w:eastAsia="宋体" w:cs="Times New Roman"/>
                <w:snapToGrid w:val="0"/>
                <w:highlight w:val="none"/>
              </w:rPr>
              <w:fldChar w:fldCharType="begin"/>
            </w:r>
            <w:r>
              <w:rPr>
                <w:rFonts w:hint="default" w:ascii="Times New Roman" w:hAnsi="Times New Roman" w:eastAsia="宋体" w:cs="Times New Roman"/>
                <w:snapToGrid w:val="0"/>
                <w:highlight w:val="none"/>
              </w:rPr>
              <w:instrText xml:space="preserve"> = 2 \* GB3 \* MERGEFORMAT </w:instrText>
            </w:r>
            <w:r>
              <w:rPr>
                <w:rFonts w:hint="default" w:ascii="Times New Roman" w:hAnsi="Times New Roman" w:eastAsia="宋体" w:cs="Times New Roman"/>
                <w:snapToGrid w:val="0"/>
                <w:highlight w:val="none"/>
              </w:rPr>
              <w:fldChar w:fldCharType="separate"/>
            </w:r>
            <w:r>
              <w:rPr>
                <w:rFonts w:hint="default" w:ascii="Times New Roman" w:hAnsi="Times New Roman" w:eastAsia="宋体" w:cs="Times New Roman"/>
                <w:snapToGrid w:val="0"/>
                <w:highlight w:val="none"/>
              </w:rPr>
              <w:t>②</w:t>
            </w:r>
            <w:r>
              <w:rPr>
                <w:rFonts w:hint="default" w:ascii="Times New Roman" w:hAnsi="Times New Roman" w:eastAsia="宋体" w:cs="Times New Roman"/>
                <w:snapToGrid w:val="0"/>
                <w:highlight w:val="none"/>
              </w:rPr>
              <w:fldChar w:fldCharType="end"/>
            </w:r>
          </w:p>
        </w:tc>
        <w:tc>
          <w:tcPr>
            <w:tcW w:w="597"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在建工程排放量（固体废物产生量）</w:t>
            </w:r>
            <w:r>
              <w:rPr>
                <w:rFonts w:hint="default" w:ascii="Times New Roman" w:hAnsi="Times New Roman" w:eastAsia="宋体" w:cs="Times New Roman"/>
                <w:snapToGrid w:val="0"/>
                <w:highlight w:val="none"/>
              </w:rPr>
              <w:fldChar w:fldCharType="begin"/>
            </w:r>
            <w:r>
              <w:rPr>
                <w:rFonts w:hint="default" w:ascii="Times New Roman" w:hAnsi="Times New Roman" w:eastAsia="宋体" w:cs="Times New Roman"/>
                <w:snapToGrid w:val="0"/>
                <w:highlight w:val="none"/>
              </w:rPr>
              <w:instrText xml:space="preserve"> = 3 \* GB3 \* MERGEFORMAT </w:instrText>
            </w:r>
            <w:r>
              <w:rPr>
                <w:rFonts w:hint="default" w:ascii="Times New Roman" w:hAnsi="Times New Roman" w:eastAsia="宋体" w:cs="Times New Roman"/>
                <w:snapToGrid w:val="0"/>
                <w:highlight w:val="none"/>
              </w:rPr>
              <w:fldChar w:fldCharType="separate"/>
            </w:r>
            <w:r>
              <w:rPr>
                <w:rFonts w:hint="default" w:ascii="Times New Roman" w:hAnsi="Times New Roman" w:eastAsia="宋体" w:cs="Times New Roman"/>
                <w:kern w:val="2"/>
                <w:highlight w:val="none"/>
              </w:rPr>
              <w:t>③</w:t>
            </w:r>
            <w:r>
              <w:rPr>
                <w:rFonts w:hint="default" w:ascii="Times New Roman" w:hAnsi="Times New Roman" w:eastAsia="宋体" w:cs="Times New Roman"/>
                <w:snapToGrid w:val="0"/>
                <w:highlight w:val="none"/>
              </w:rPr>
              <w:fldChar w:fldCharType="end"/>
            </w:r>
          </w:p>
        </w:tc>
        <w:tc>
          <w:tcPr>
            <w:tcW w:w="634"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本项目排放量（固体废物产生量）</w:t>
            </w:r>
            <w:r>
              <w:rPr>
                <w:rFonts w:hint="default" w:ascii="Times New Roman" w:hAnsi="Times New Roman" w:eastAsia="宋体" w:cs="Times New Roman"/>
                <w:snapToGrid w:val="0"/>
                <w:highlight w:val="none"/>
              </w:rPr>
              <w:fldChar w:fldCharType="begin"/>
            </w:r>
            <w:r>
              <w:rPr>
                <w:rFonts w:hint="default" w:ascii="Times New Roman" w:hAnsi="Times New Roman" w:eastAsia="宋体" w:cs="Times New Roman"/>
                <w:snapToGrid w:val="0"/>
                <w:highlight w:val="none"/>
              </w:rPr>
              <w:instrText xml:space="preserve"> = 4 \* GB3 \* MERGEFORMAT </w:instrText>
            </w:r>
            <w:r>
              <w:rPr>
                <w:rFonts w:hint="default" w:ascii="Times New Roman" w:hAnsi="Times New Roman" w:eastAsia="宋体" w:cs="Times New Roman"/>
                <w:snapToGrid w:val="0"/>
                <w:highlight w:val="none"/>
              </w:rPr>
              <w:fldChar w:fldCharType="separate"/>
            </w:r>
            <w:r>
              <w:rPr>
                <w:rFonts w:hint="default" w:ascii="Times New Roman" w:hAnsi="Times New Roman" w:eastAsia="宋体" w:cs="Times New Roman"/>
                <w:kern w:val="2"/>
                <w:highlight w:val="none"/>
              </w:rPr>
              <w:t>④</w:t>
            </w:r>
            <w:r>
              <w:rPr>
                <w:rFonts w:hint="default" w:ascii="Times New Roman" w:hAnsi="Times New Roman" w:eastAsia="宋体" w:cs="Times New Roman"/>
                <w:snapToGrid w:val="0"/>
                <w:highlight w:val="none"/>
              </w:rPr>
              <w:fldChar w:fldCharType="end"/>
            </w:r>
          </w:p>
        </w:tc>
        <w:tc>
          <w:tcPr>
            <w:tcW w:w="602" w:type="pct"/>
            <w:tcBorders>
              <w:tl2br w:val="nil"/>
              <w:tr2bl w:val="nil"/>
            </w:tcBorders>
            <w:vAlign w:val="center"/>
          </w:tcPr>
          <w:p>
            <w:pPr>
              <w:pStyle w:val="67"/>
              <w:rPr>
                <w:rFonts w:hint="default" w:ascii="Times New Roman" w:hAnsi="Times New Roman" w:eastAsia="宋体" w:cs="Times New Roman"/>
                <w:snapToGrid w:val="0"/>
                <w:spacing w:val="-16"/>
                <w:highlight w:val="none"/>
              </w:rPr>
            </w:pPr>
            <w:r>
              <w:rPr>
                <w:rFonts w:hint="default" w:ascii="Times New Roman" w:hAnsi="Times New Roman" w:eastAsia="宋体" w:cs="Times New Roman"/>
                <w:snapToGrid w:val="0"/>
                <w:spacing w:val="-16"/>
                <w:highlight w:val="none"/>
              </w:rPr>
              <w:t>以新带老削减量</w:t>
            </w:r>
          </w:p>
          <w:p>
            <w:pPr>
              <w:pStyle w:val="67"/>
              <w:rPr>
                <w:rFonts w:hint="default" w:ascii="Times New Roman" w:hAnsi="Times New Roman" w:eastAsia="宋体" w:cs="Times New Roman"/>
                <w:snapToGrid w:val="0"/>
                <w:spacing w:val="-16"/>
                <w:highlight w:val="none"/>
              </w:rPr>
            </w:pPr>
            <w:r>
              <w:rPr>
                <w:rFonts w:hint="default" w:ascii="Times New Roman" w:hAnsi="Times New Roman" w:eastAsia="宋体" w:cs="Times New Roman"/>
                <w:snapToGrid w:val="0"/>
                <w:spacing w:val="-16"/>
                <w:highlight w:val="none"/>
              </w:rPr>
              <w:t>（新建项目不填）</w:t>
            </w:r>
            <w:r>
              <w:rPr>
                <w:rFonts w:hint="default" w:ascii="Times New Roman" w:hAnsi="Times New Roman" w:eastAsia="宋体" w:cs="Times New Roman"/>
                <w:snapToGrid w:val="0"/>
                <w:spacing w:val="-16"/>
                <w:highlight w:val="none"/>
              </w:rPr>
              <w:fldChar w:fldCharType="begin"/>
            </w:r>
            <w:r>
              <w:rPr>
                <w:rFonts w:hint="default" w:ascii="Times New Roman" w:hAnsi="Times New Roman" w:eastAsia="宋体" w:cs="Times New Roman"/>
                <w:snapToGrid w:val="0"/>
                <w:spacing w:val="-16"/>
                <w:highlight w:val="none"/>
              </w:rPr>
              <w:instrText xml:space="preserve"> = 5 \* GB3 \* MERGEFORMAT </w:instrText>
            </w:r>
            <w:r>
              <w:rPr>
                <w:rFonts w:hint="default" w:ascii="Times New Roman" w:hAnsi="Times New Roman" w:eastAsia="宋体" w:cs="Times New Roman"/>
                <w:snapToGrid w:val="0"/>
                <w:spacing w:val="-16"/>
                <w:highlight w:val="none"/>
              </w:rPr>
              <w:fldChar w:fldCharType="separate"/>
            </w:r>
            <w:r>
              <w:rPr>
                <w:rFonts w:hint="default" w:ascii="Times New Roman" w:hAnsi="Times New Roman" w:eastAsia="宋体" w:cs="Times New Roman"/>
                <w:kern w:val="2"/>
                <w:highlight w:val="none"/>
              </w:rPr>
              <w:t>⑤</w:t>
            </w:r>
            <w:r>
              <w:rPr>
                <w:rFonts w:hint="default" w:ascii="Times New Roman" w:hAnsi="Times New Roman" w:eastAsia="宋体" w:cs="Times New Roman"/>
                <w:snapToGrid w:val="0"/>
                <w:spacing w:val="-16"/>
                <w:highlight w:val="none"/>
              </w:rPr>
              <w:fldChar w:fldCharType="end"/>
            </w:r>
          </w:p>
        </w:tc>
        <w:tc>
          <w:tcPr>
            <w:tcW w:w="771" w:type="pct"/>
            <w:tcBorders>
              <w:tl2br w:val="nil"/>
              <w:tr2bl w:val="nil"/>
            </w:tcBorders>
            <w:vAlign w:val="center"/>
          </w:tcPr>
          <w:p>
            <w:pPr>
              <w:pStyle w:val="67"/>
              <w:rPr>
                <w:rFonts w:hint="default" w:ascii="Times New Roman" w:hAnsi="Times New Roman" w:eastAsia="宋体" w:cs="Times New Roman"/>
                <w:snapToGrid w:val="0"/>
                <w:spacing w:val="-16"/>
                <w:highlight w:val="none"/>
              </w:rPr>
            </w:pPr>
            <w:r>
              <w:rPr>
                <w:rFonts w:hint="default" w:ascii="Times New Roman" w:hAnsi="Times New Roman" w:eastAsia="宋体" w:cs="Times New Roman"/>
                <w:snapToGrid w:val="0"/>
                <w:spacing w:val="-16"/>
                <w:highlight w:val="none"/>
              </w:rPr>
              <w:t>本项目建成后</w:t>
            </w:r>
          </w:p>
          <w:p>
            <w:pPr>
              <w:pStyle w:val="67"/>
              <w:rPr>
                <w:rFonts w:hint="default" w:ascii="Times New Roman" w:hAnsi="Times New Roman" w:eastAsia="宋体" w:cs="Times New Roman"/>
                <w:snapToGrid w:val="0"/>
                <w:spacing w:val="-16"/>
                <w:highlight w:val="none"/>
              </w:rPr>
            </w:pPr>
            <w:r>
              <w:rPr>
                <w:rFonts w:hint="default" w:ascii="Times New Roman" w:hAnsi="Times New Roman" w:eastAsia="宋体" w:cs="Times New Roman"/>
                <w:snapToGrid w:val="0"/>
                <w:spacing w:val="-16"/>
                <w:highlight w:val="none"/>
              </w:rPr>
              <w:t>全厂排放量（固体废物产生量）</w:t>
            </w:r>
            <w:r>
              <w:rPr>
                <w:rFonts w:hint="default" w:ascii="Times New Roman" w:hAnsi="Times New Roman" w:eastAsia="宋体" w:cs="Times New Roman"/>
                <w:snapToGrid w:val="0"/>
                <w:spacing w:val="-16"/>
                <w:highlight w:val="none"/>
              </w:rPr>
              <w:fldChar w:fldCharType="begin"/>
            </w:r>
            <w:r>
              <w:rPr>
                <w:rFonts w:hint="default" w:ascii="Times New Roman" w:hAnsi="Times New Roman" w:eastAsia="宋体" w:cs="Times New Roman"/>
                <w:snapToGrid w:val="0"/>
                <w:spacing w:val="-16"/>
                <w:highlight w:val="none"/>
              </w:rPr>
              <w:instrText xml:space="preserve"> = 6 \* GB3 \* MERGEFORMAT </w:instrText>
            </w:r>
            <w:r>
              <w:rPr>
                <w:rFonts w:hint="default" w:ascii="Times New Roman" w:hAnsi="Times New Roman" w:eastAsia="宋体" w:cs="Times New Roman"/>
                <w:snapToGrid w:val="0"/>
                <w:spacing w:val="-16"/>
                <w:highlight w:val="none"/>
              </w:rPr>
              <w:fldChar w:fldCharType="separate"/>
            </w:r>
            <w:r>
              <w:rPr>
                <w:rFonts w:hint="default" w:ascii="Times New Roman" w:hAnsi="Times New Roman" w:eastAsia="宋体" w:cs="Times New Roman"/>
                <w:kern w:val="2"/>
                <w:highlight w:val="none"/>
              </w:rPr>
              <w:t>⑥</w:t>
            </w:r>
            <w:r>
              <w:rPr>
                <w:rFonts w:hint="default" w:ascii="Times New Roman" w:hAnsi="Times New Roman" w:eastAsia="宋体" w:cs="Times New Roman"/>
                <w:snapToGrid w:val="0"/>
                <w:spacing w:val="-16"/>
                <w:highlight w:val="none"/>
              </w:rPr>
              <w:fldChar w:fldCharType="end"/>
            </w:r>
          </w:p>
        </w:tc>
        <w:tc>
          <w:tcPr>
            <w:tcW w:w="516"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变化量</w:t>
            </w:r>
          </w:p>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fldChar w:fldCharType="begin"/>
            </w:r>
            <w:r>
              <w:rPr>
                <w:rFonts w:hint="default" w:ascii="Times New Roman" w:hAnsi="Times New Roman" w:eastAsia="宋体" w:cs="Times New Roman"/>
                <w:snapToGrid w:val="0"/>
                <w:highlight w:val="none"/>
              </w:rPr>
              <w:instrText xml:space="preserve"> = 7 \* GB3 \* MERGEFORMAT </w:instrText>
            </w:r>
            <w:r>
              <w:rPr>
                <w:rFonts w:hint="default" w:ascii="Times New Roman" w:hAnsi="Times New Roman" w:eastAsia="宋体" w:cs="Times New Roman"/>
                <w:snapToGrid w:val="0"/>
                <w:highlight w:val="none"/>
              </w:rPr>
              <w:fldChar w:fldCharType="separate"/>
            </w:r>
            <w:r>
              <w:rPr>
                <w:rFonts w:hint="default" w:ascii="Times New Roman" w:hAnsi="Times New Roman" w:eastAsia="宋体" w:cs="Times New Roman"/>
                <w:kern w:val="2"/>
                <w:highlight w:val="none"/>
              </w:rPr>
              <w:t>⑦</w:t>
            </w:r>
            <w:r>
              <w:rPr>
                <w:rFonts w:hint="default" w:ascii="Times New Roman" w:hAnsi="Times New Roman" w:eastAsia="宋体" w:cs="Times New Roman"/>
                <w:snapToGrid w:val="0"/>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废气</w:t>
            </w:r>
          </w:p>
        </w:tc>
        <w:tc>
          <w:tcPr>
            <w:tcW w:w="584" w:type="pct"/>
            <w:tcBorders>
              <w:tl2br w:val="nil"/>
              <w:tr2bl w:val="nil"/>
            </w:tcBorders>
            <w:vAlign w:val="center"/>
          </w:tcPr>
          <w:p>
            <w:pPr>
              <w:pStyle w:val="67"/>
              <w:rPr>
                <w:rFonts w:hint="eastAsia" w:ascii="Times New Roman" w:hAnsi="Times New Roman" w:eastAsia="宋体" w:cs="Times New Roman"/>
                <w:highlight w:val="none"/>
                <w:lang w:eastAsia="zh-CN"/>
              </w:rPr>
            </w:pPr>
            <w:r>
              <w:rPr>
                <w:rFonts w:hint="default" w:ascii="Times New Roman" w:hAnsi="Times New Roman" w:eastAsia="宋体" w:cs="Times New Roman"/>
                <w:highlight w:val="none"/>
              </w:rPr>
              <w:t>无组织</w:t>
            </w:r>
            <w:r>
              <w:rPr>
                <w:rFonts w:hint="eastAsia" w:cs="Times New Roman"/>
                <w:highlight w:val="none"/>
                <w:lang w:eastAsia="zh-CN"/>
              </w:rPr>
              <w:t>非甲烷总烃</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eastAsia" w:cs="Times New Roman"/>
                <w:color w:val="000000"/>
                <w:kern w:val="0"/>
                <w:szCs w:val="21"/>
                <w:highlight w:val="none"/>
                <w:lang w:val="en-US" w:eastAsia="zh-CN" w:bidi="ar"/>
              </w:rPr>
              <w:t>0.001128</w:t>
            </w:r>
            <w:r>
              <w:rPr>
                <w:rFonts w:hint="default" w:ascii="Times New Roman" w:hAnsi="Times New Roman" w:eastAsia="宋体" w:cs="Times New Roman"/>
                <w:color w:val="000000"/>
                <w:kern w:val="0"/>
                <w:szCs w:val="21"/>
                <w:highlight w:val="none"/>
                <w:lang w:bidi="ar"/>
              </w:rPr>
              <w:t>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eastAsia" w:cs="Times New Roman"/>
                <w:color w:val="000000"/>
                <w:kern w:val="0"/>
                <w:szCs w:val="21"/>
                <w:highlight w:val="none"/>
                <w:lang w:val="en-US" w:eastAsia="zh-CN" w:bidi="ar"/>
              </w:rPr>
              <w:t>0.001128</w:t>
            </w:r>
            <w:r>
              <w:rPr>
                <w:rFonts w:hint="default" w:ascii="Times New Roman" w:hAnsi="Times New Roman" w:eastAsia="宋体" w:cs="Times New Roman"/>
                <w:color w:val="000000"/>
                <w:kern w:val="0"/>
                <w:szCs w:val="21"/>
                <w:highlight w:val="none"/>
                <w:lang w:bidi="ar"/>
              </w:rPr>
              <w:t>t/a</w:t>
            </w:r>
          </w:p>
        </w:tc>
        <w:tc>
          <w:tcPr>
            <w:tcW w:w="51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eastAsia" w:cs="Times New Roman"/>
                <w:color w:val="000000"/>
                <w:kern w:val="0"/>
                <w:szCs w:val="21"/>
                <w:highlight w:val="none"/>
                <w:lang w:val="en-US" w:eastAsia="zh-CN" w:bidi="ar"/>
              </w:rPr>
              <w:t>0.001128</w:t>
            </w:r>
            <w:r>
              <w:rPr>
                <w:rFonts w:hint="default" w:ascii="Times New Roman" w:hAnsi="Times New Roman" w:eastAsia="宋体" w:cs="Times New Roman"/>
                <w:color w:val="000000"/>
                <w:kern w:val="0"/>
                <w:szCs w:val="21"/>
                <w:highlight w:val="none"/>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restar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废水</w:t>
            </w:r>
          </w:p>
        </w:tc>
        <w:tc>
          <w:tcPr>
            <w:tcW w:w="584" w:type="pct"/>
            <w:tcBorders>
              <w:tl2br w:val="nil"/>
              <w:tr2bl w:val="nil"/>
            </w:tcBorders>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COD</w:t>
            </w:r>
            <w:r>
              <w:rPr>
                <w:rFonts w:hint="default" w:ascii="Times New Roman" w:hAnsi="Times New Roman" w:eastAsia="宋体" w:cs="Times New Roman"/>
                <w:kern w:val="0"/>
                <w:szCs w:val="21"/>
                <w:highlight w:val="none"/>
                <w:vertAlign w:val="subscript"/>
              </w:rPr>
              <w:t>cr</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pStyle w:val="67"/>
              <w:rPr>
                <w:rFonts w:hint="default" w:ascii="Times New Roman" w:hAnsi="Times New Roman" w:eastAsia="宋体" w:cs="Times New Roman"/>
                <w:highlight w:val="none"/>
              </w:rPr>
            </w:pPr>
            <w:r>
              <w:rPr>
                <w:rFonts w:hint="eastAsia" w:cs="Times New Roman"/>
                <w:color w:val="auto"/>
                <w:highlight w:val="none"/>
                <w:lang w:val="en-US" w:eastAsia="zh-CN"/>
              </w:rPr>
              <w:t>0.37</w:t>
            </w:r>
            <w:r>
              <w:rPr>
                <w:rFonts w:hint="default" w:ascii="Times New Roman" w:hAnsi="Times New Roman" w:eastAsia="宋体" w:cs="Times New Roman"/>
                <w:color w:val="000000"/>
                <w:highlight w:val="none"/>
                <w:lang w:bidi="ar"/>
              </w:rPr>
              <w:t>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pStyle w:val="67"/>
              <w:rPr>
                <w:rFonts w:hint="default" w:ascii="Times New Roman" w:hAnsi="Times New Roman" w:eastAsia="宋体" w:cs="Times New Roman"/>
                <w:kern w:val="0"/>
                <w:sz w:val="21"/>
                <w:szCs w:val="21"/>
                <w:highlight w:val="none"/>
                <w:lang w:val="en-US" w:eastAsia="zh-CN" w:bidi="ar-SA"/>
              </w:rPr>
            </w:pPr>
            <w:r>
              <w:rPr>
                <w:rFonts w:hint="eastAsia" w:cs="Times New Roman"/>
                <w:color w:val="auto"/>
                <w:highlight w:val="none"/>
                <w:lang w:val="en-US" w:eastAsia="zh-CN"/>
              </w:rPr>
              <w:t>0.37</w:t>
            </w:r>
            <w:r>
              <w:rPr>
                <w:rFonts w:hint="default" w:ascii="Times New Roman" w:hAnsi="Times New Roman" w:eastAsia="宋体" w:cs="Times New Roman"/>
                <w:color w:val="000000"/>
                <w:highlight w:val="none"/>
                <w:lang w:bidi="ar"/>
              </w:rPr>
              <w:t>t/a</w:t>
            </w:r>
          </w:p>
        </w:tc>
        <w:tc>
          <w:tcPr>
            <w:tcW w:w="516" w:type="pct"/>
            <w:tcBorders>
              <w:tl2br w:val="nil"/>
              <w:tr2bl w:val="nil"/>
            </w:tcBorders>
            <w:vAlign w:val="center"/>
          </w:tcPr>
          <w:p>
            <w:pPr>
              <w:pStyle w:val="67"/>
              <w:rPr>
                <w:rFonts w:hint="default" w:ascii="Times New Roman" w:hAnsi="Times New Roman" w:eastAsia="宋体" w:cs="Times New Roman"/>
                <w:highlight w:val="none"/>
              </w:rPr>
            </w:pPr>
            <w:r>
              <w:rPr>
                <w:rFonts w:hint="eastAsia" w:cs="Times New Roman"/>
                <w:color w:val="auto"/>
                <w:highlight w:val="none"/>
                <w:lang w:val="en-US" w:eastAsia="zh-CN"/>
              </w:rPr>
              <w:t>0.37</w:t>
            </w:r>
            <w:r>
              <w:rPr>
                <w:rFonts w:hint="default" w:ascii="Times New Roman" w:hAnsi="Times New Roman" w:eastAsia="宋体" w:cs="Times New Roman"/>
                <w:color w:val="000000"/>
                <w:highlight w:val="none"/>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BOD</w:t>
            </w:r>
            <w:r>
              <w:rPr>
                <w:rFonts w:hint="default" w:ascii="Times New Roman" w:hAnsi="Times New Roman" w:eastAsia="宋体" w:cs="Times New Roman"/>
                <w:kern w:val="0"/>
                <w:szCs w:val="21"/>
                <w:highlight w:val="none"/>
                <w:vertAlign w:val="subscript"/>
              </w:rPr>
              <w:t>5</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pStyle w:val="67"/>
              <w:rPr>
                <w:rFonts w:hint="default" w:ascii="Times New Roman" w:hAnsi="Times New Roman" w:eastAsia="宋体" w:cs="Times New Roman"/>
                <w:highlight w:val="none"/>
              </w:rPr>
            </w:pPr>
            <w:r>
              <w:rPr>
                <w:rFonts w:hint="eastAsia" w:cs="Times New Roman"/>
                <w:color w:val="auto"/>
                <w:highlight w:val="none"/>
                <w:lang w:val="en-US" w:eastAsia="zh-CN"/>
              </w:rPr>
              <w:t>0.021</w:t>
            </w:r>
            <w:r>
              <w:rPr>
                <w:rFonts w:hint="default" w:ascii="Times New Roman" w:hAnsi="Times New Roman" w:eastAsia="宋体" w:cs="Times New Roman"/>
                <w:color w:val="000000"/>
                <w:highlight w:val="none"/>
                <w:lang w:bidi="ar"/>
              </w:rPr>
              <w: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pStyle w:val="67"/>
              <w:rPr>
                <w:rFonts w:hint="default" w:ascii="Times New Roman" w:hAnsi="Times New Roman" w:eastAsia="宋体" w:cs="Times New Roman"/>
                <w:kern w:val="0"/>
                <w:sz w:val="21"/>
                <w:szCs w:val="21"/>
                <w:highlight w:val="none"/>
                <w:lang w:val="en-US" w:eastAsia="zh-CN" w:bidi="ar-SA"/>
              </w:rPr>
            </w:pPr>
            <w:r>
              <w:rPr>
                <w:rFonts w:hint="eastAsia" w:cs="Times New Roman"/>
                <w:color w:val="auto"/>
                <w:highlight w:val="none"/>
                <w:lang w:val="en-US" w:eastAsia="zh-CN"/>
              </w:rPr>
              <w:t>0.021</w:t>
            </w:r>
            <w:r>
              <w:rPr>
                <w:rFonts w:hint="default" w:ascii="Times New Roman" w:hAnsi="Times New Roman" w:eastAsia="宋体" w:cs="Times New Roman"/>
                <w:color w:val="000000"/>
                <w:highlight w:val="none"/>
                <w:lang w:bidi="ar"/>
              </w:rPr>
              <w:t>/a</w:t>
            </w:r>
          </w:p>
        </w:tc>
        <w:tc>
          <w:tcPr>
            <w:tcW w:w="516" w:type="pct"/>
            <w:tcBorders>
              <w:tl2br w:val="nil"/>
              <w:tr2bl w:val="nil"/>
            </w:tcBorders>
            <w:vAlign w:val="center"/>
          </w:tcPr>
          <w:p>
            <w:pPr>
              <w:pStyle w:val="67"/>
              <w:rPr>
                <w:rFonts w:hint="default" w:ascii="Times New Roman" w:hAnsi="Times New Roman" w:eastAsia="宋体" w:cs="Times New Roman"/>
                <w:highlight w:val="none"/>
              </w:rPr>
            </w:pPr>
            <w:r>
              <w:rPr>
                <w:rFonts w:hint="eastAsia" w:cs="Times New Roman"/>
                <w:color w:val="auto"/>
                <w:highlight w:val="none"/>
                <w:lang w:val="en-US" w:eastAsia="zh-CN"/>
              </w:rPr>
              <w:t>0.021</w:t>
            </w:r>
            <w:r>
              <w:rPr>
                <w:rFonts w:hint="default" w:ascii="Times New Roman" w:hAnsi="Times New Roman" w:eastAsia="宋体" w:cs="Times New Roman"/>
                <w:color w:val="000000"/>
                <w:highlight w:val="none"/>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SS</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pStyle w:val="67"/>
              <w:rPr>
                <w:rFonts w:hint="default" w:ascii="Times New Roman" w:hAnsi="Times New Roman" w:eastAsia="宋体" w:cs="Times New Roman"/>
                <w:highlight w:val="none"/>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pStyle w:val="67"/>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c>
          <w:tcPr>
            <w:tcW w:w="516" w:type="pct"/>
            <w:tcBorders>
              <w:tl2br w:val="nil"/>
              <w:tr2bl w:val="nil"/>
            </w:tcBorders>
            <w:vAlign w:val="center"/>
          </w:tcPr>
          <w:p>
            <w:pPr>
              <w:pStyle w:val="67"/>
              <w:rPr>
                <w:rFonts w:hint="default" w:ascii="Times New Roman" w:hAnsi="Times New Roman" w:eastAsia="宋体" w:cs="Times New Roman"/>
                <w:highlight w:val="none"/>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NH</w:t>
            </w:r>
            <w:r>
              <w:rPr>
                <w:rFonts w:hint="default" w:ascii="Times New Roman" w:hAnsi="Times New Roman" w:eastAsia="宋体" w:cs="Times New Roman"/>
                <w:highlight w:val="none"/>
                <w:vertAlign w:val="subscript"/>
              </w:rPr>
              <w:t>3</w:t>
            </w:r>
            <w:r>
              <w:rPr>
                <w:rFonts w:hint="default" w:ascii="Times New Roman" w:hAnsi="Times New Roman" w:eastAsia="宋体" w:cs="Times New Roman"/>
                <w:highlight w:val="none"/>
              </w:rPr>
              <w:t>-N</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pStyle w:val="67"/>
              <w:rPr>
                <w:rFonts w:hint="default" w:ascii="Times New Roman" w:hAnsi="Times New Roman" w:eastAsia="宋体" w:cs="Times New Roman"/>
                <w:highlight w:val="none"/>
              </w:rPr>
            </w:pP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pStyle w:val="67"/>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c>
          <w:tcPr>
            <w:tcW w:w="516" w:type="pct"/>
            <w:tcBorders>
              <w:tl2br w:val="nil"/>
              <w:tr2bl w:val="nil"/>
            </w:tcBorders>
            <w:vAlign w:val="center"/>
          </w:tcPr>
          <w:p>
            <w:pPr>
              <w:pStyle w:val="67"/>
              <w:rPr>
                <w:rFonts w:hint="default" w:ascii="Times New Roman" w:hAnsi="Times New Roman" w:eastAsia="宋体" w:cs="Times New Roman"/>
                <w:highlight w:val="none"/>
              </w:rPr>
            </w:pP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3</w:t>
            </w:r>
            <w:r>
              <w:rPr>
                <w:rFonts w:hint="default" w:ascii="Times New Roman" w:hAnsi="Times New Roman" w:eastAsia="宋体" w:cs="Times New Roman"/>
                <w:color w:val="000000"/>
                <w:highlight w:val="none"/>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restart"/>
            <w:tcBorders>
              <w:tl2br w:val="nil"/>
              <w:tr2bl w:val="nil"/>
            </w:tcBorders>
            <w:vAlign w:val="center"/>
          </w:tcPr>
          <w:p>
            <w:pPr>
              <w:pStyle w:val="67"/>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固体废物</w:t>
            </w: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default" w:ascii="Times New Roman" w:hAnsi="Times New Roman" w:eastAsia="宋体" w:cs="Times New Roman"/>
                <w:bCs/>
                <w:szCs w:val="21"/>
                <w:highlight w:val="none"/>
              </w:rPr>
            </w:pPr>
            <w:r>
              <w:rPr>
                <w:rFonts w:hint="eastAsia" w:cs="Times New Roman"/>
                <w:szCs w:val="21"/>
                <w:highlight w:val="none"/>
                <w:lang w:eastAsia="zh-CN"/>
              </w:rPr>
              <w:t>1.36</w:t>
            </w:r>
            <w:r>
              <w:rPr>
                <w:rFonts w:hint="default" w:ascii="Times New Roman" w:hAnsi="Times New Roman" w:eastAsia="宋体" w:cs="Times New Roman"/>
                <w:color w:val="000000"/>
                <w:kern w:val="0"/>
                <w:szCs w:val="21"/>
                <w:highlight w:val="none"/>
                <w:lang w:bidi="ar"/>
              </w:rPr>
              <w:t>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default" w:ascii="Times New Roman" w:hAnsi="Times New Roman" w:eastAsia="宋体" w:cs="Times New Roman"/>
                <w:bCs/>
                <w:szCs w:val="21"/>
                <w:highlight w:val="none"/>
              </w:rPr>
            </w:pPr>
            <w:r>
              <w:rPr>
                <w:rFonts w:hint="eastAsia" w:cs="Times New Roman"/>
                <w:szCs w:val="21"/>
                <w:highlight w:val="none"/>
                <w:lang w:eastAsia="zh-CN"/>
              </w:rPr>
              <w:t>1.36</w:t>
            </w:r>
            <w:r>
              <w:rPr>
                <w:rFonts w:hint="default" w:ascii="Times New Roman" w:hAnsi="Times New Roman" w:eastAsia="宋体" w:cs="Times New Roman"/>
                <w:color w:val="000000"/>
                <w:kern w:val="0"/>
                <w:szCs w:val="21"/>
                <w:highlight w:val="none"/>
                <w:lang w:bidi="ar"/>
              </w:rPr>
              <w:t>t/a</w:t>
            </w:r>
          </w:p>
        </w:tc>
        <w:tc>
          <w:tcPr>
            <w:tcW w:w="516" w:type="pct"/>
            <w:tcBorders>
              <w:tl2br w:val="nil"/>
              <w:tr2bl w:val="nil"/>
            </w:tcBorders>
            <w:vAlign w:val="center"/>
          </w:tcPr>
          <w:p>
            <w:pPr>
              <w:widowControl/>
              <w:jc w:val="center"/>
              <w:textAlignment w:val="center"/>
              <w:rPr>
                <w:rFonts w:hint="default" w:ascii="Times New Roman" w:hAnsi="Times New Roman" w:eastAsia="宋体" w:cs="Times New Roman"/>
                <w:bCs/>
                <w:szCs w:val="21"/>
                <w:highlight w:val="none"/>
              </w:rPr>
            </w:pPr>
            <w:r>
              <w:rPr>
                <w:rFonts w:hint="eastAsia" w:cs="Times New Roman"/>
                <w:szCs w:val="21"/>
                <w:highlight w:val="none"/>
                <w:lang w:eastAsia="zh-CN"/>
              </w:rPr>
              <w:t>1.36</w:t>
            </w:r>
            <w:r>
              <w:rPr>
                <w:rFonts w:hint="default" w:ascii="Times New Roman" w:hAnsi="Times New Roman" w:eastAsia="宋体" w:cs="Times New Roman"/>
                <w:color w:val="000000"/>
                <w:kern w:val="0"/>
                <w:szCs w:val="21"/>
                <w:highlight w:val="none"/>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000000"/>
                <w:kern w:val="0"/>
                <w:sz w:val="21"/>
                <w:szCs w:val="21"/>
                <w:highlight w:val="none"/>
                <w:lang w:val="en-US" w:eastAsia="zh-CN" w:bidi="ar"/>
              </w:rPr>
              <w:t>废铝绞线边角料和不合格品</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8t/a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eastAsia" w:cs="Times New Roman"/>
                <w:szCs w:val="21"/>
                <w:highlight w:val="none"/>
                <w:lang w:val="en-US" w:eastAsia="zh-CN"/>
              </w:rPr>
              <w:t>8t/a</w:t>
            </w:r>
          </w:p>
        </w:tc>
        <w:tc>
          <w:tcPr>
            <w:tcW w:w="516"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000000"/>
                <w:kern w:val="0"/>
                <w:sz w:val="21"/>
                <w:szCs w:val="21"/>
                <w:highlight w:val="none"/>
                <w:lang w:val="en-US" w:eastAsia="zh-CN" w:bidi="ar"/>
              </w:rPr>
              <w:t>废拉丝油及油泥</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2t/a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eastAsia" w:cs="Times New Roman"/>
                <w:szCs w:val="21"/>
                <w:highlight w:val="none"/>
                <w:lang w:val="en-US" w:eastAsia="zh-CN"/>
              </w:rPr>
              <w:t>2t/a</w:t>
            </w:r>
          </w:p>
        </w:tc>
        <w:tc>
          <w:tcPr>
            <w:tcW w:w="516"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eastAsia" w:cs="Times New Roman"/>
                <w:szCs w:val="21"/>
                <w:highlight w:val="none"/>
                <w:lang w:val="en-US" w:eastAsia="zh-CN"/>
              </w:rPr>
              <w:t>+2t/a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废机油</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0.1t/a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0.1t/a</w:t>
            </w:r>
          </w:p>
        </w:tc>
        <w:tc>
          <w:tcPr>
            <w:tcW w:w="516"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废包装桶（废机油桶、废拉丝油桶）</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0.4t/a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0.4t/a</w:t>
            </w:r>
          </w:p>
        </w:tc>
        <w:tc>
          <w:tcPr>
            <w:tcW w:w="516"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tcBorders>
              <w:tl2br w:val="nil"/>
              <w:tr2bl w:val="nil"/>
            </w:tcBorders>
            <w:vAlign w:val="center"/>
          </w:tcPr>
          <w:p>
            <w:pPr>
              <w:pStyle w:val="67"/>
              <w:rPr>
                <w:rFonts w:hint="default" w:ascii="Times New Roman" w:hAnsi="Times New Roman" w:eastAsia="宋体" w:cs="Times New Roman"/>
                <w:snapToGrid w:val="0"/>
                <w:highlight w:val="none"/>
              </w:rPr>
            </w:pPr>
          </w:p>
        </w:tc>
        <w:tc>
          <w:tcPr>
            <w:tcW w:w="584" w:type="pct"/>
            <w:tcBorders>
              <w:tl2br w:val="nil"/>
              <w:tr2bl w:val="nil"/>
            </w:tcBorders>
            <w:vAlign w:val="center"/>
          </w:tcPr>
          <w:p>
            <w:pPr>
              <w:pStyle w:val="76"/>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含油</w:t>
            </w:r>
            <w:r>
              <w:rPr>
                <w:rFonts w:hint="default" w:ascii="Times New Roman" w:hAnsi="Times New Roman" w:eastAsia="宋体" w:cs="Times New Roman"/>
                <w:color w:val="auto"/>
                <w:sz w:val="21"/>
                <w:szCs w:val="21"/>
                <w:highlight w:val="none"/>
                <w:lang w:val="en-US" w:eastAsia="zh-CN"/>
              </w:rPr>
              <w:t>抹布</w:t>
            </w:r>
          </w:p>
        </w:tc>
        <w:tc>
          <w:tcPr>
            <w:tcW w:w="54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597"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634"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0.01t/a</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highlight w:val="none"/>
                <w:lang w:bidi="ar"/>
              </w:rPr>
            </w:pPr>
            <w:r>
              <w:rPr>
                <w:rFonts w:hint="default" w:ascii="Times New Roman" w:hAnsi="Times New Roman" w:eastAsia="宋体" w:cs="Times New Roman"/>
                <w:color w:val="000000"/>
                <w:kern w:val="0"/>
                <w:szCs w:val="21"/>
                <w:highlight w:val="none"/>
                <w:lang w:bidi="ar"/>
              </w:rPr>
              <w:t>/</w:t>
            </w:r>
          </w:p>
        </w:tc>
        <w:tc>
          <w:tcPr>
            <w:tcW w:w="771" w:type="pct"/>
            <w:tcBorders>
              <w:tl2br w:val="nil"/>
              <w:tr2bl w:val="nil"/>
            </w:tcBorders>
            <w:vAlign w:val="center"/>
          </w:tcPr>
          <w:p>
            <w:pPr>
              <w:widowControl/>
              <w:jc w:val="center"/>
              <w:textAlignment w:val="center"/>
              <w:rPr>
                <w:rFonts w:hint="eastAsia" w:cs="Times New Roman"/>
                <w:szCs w:val="21"/>
                <w:highlight w:val="none"/>
                <w:lang w:eastAsia="zh-CN"/>
              </w:rPr>
            </w:pPr>
            <w:r>
              <w:rPr>
                <w:rFonts w:hint="default" w:ascii="Times New Roman" w:hAnsi="Times New Roman" w:eastAsia="宋体" w:cs="Times New Roman"/>
                <w:color w:val="auto"/>
                <w:sz w:val="21"/>
                <w:szCs w:val="21"/>
                <w:highlight w:val="none"/>
                <w:lang w:val="en-US" w:eastAsia="zh-CN"/>
              </w:rPr>
              <w:t>0.01t/a</w:t>
            </w:r>
          </w:p>
        </w:tc>
        <w:tc>
          <w:tcPr>
            <w:tcW w:w="516" w:type="pct"/>
            <w:tcBorders>
              <w:tl2br w:val="nil"/>
              <w:tr2bl w:val="nil"/>
            </w:tcBorders>
            <w:vAlign w:val="center"/>
          </w:tcPr>
          <w:p>
            <w:pPr>
              <w:widowControl/>
              <w:jc w:val="center"/>
              <w:textAlignment w:val="center"/>
              <w:rPr>
                <w:rFonts w:hint="default" w:cs="Times New Roman"/>
                <w:szCs w:val="21"/>
                <w:highlight w:val="none"/>
                <w:lang w:val="en-US" w:eastAsia="zh-CN"/>
              </w:rPr>
            </w:pPr>
            <w:r>
              <w:rPr>
                <w:rFonts w:hint="eastAsia" w:cs="Times New Roman"/>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0.01t/a</w:t>
            </w:r>
          </w:p>
        </w:tc>
      </w:tr>
    </w:tbl>
    <w:p>
      <w:pPr>
        <w:pStyle w:val="56"/>
        <w:spacing w:before="192" w:beforeLines="80" w:after="24"/>
        <w:jc w:val="left"/>
        <w:rPr>
          <w:rFonts w:hint="default" w:ascii="Times New Roman" w:hAnsi="Times New Roman" w:eastAsia="宋体" w:cs="Times New Roman"/>
          <w:snapToGrid w:val="0"/>
          <w:spacing w:val="-6"/>
          <w:kern w:val="21"/>
          <w:szCs w:val="21"/>
          <w:highlight w:val="none"/>
        </w:rPr>
      </w:pPr>
      <w:r>
        <w:rPr>
          <w:rFonts w:hint="default" w:ascii="Times New Roman" w:hAnsi="Times New Roman" w:eastAsia="宋体" w:cs="Times New Roman"/>
          <w:snapToGrid w:val="0"/>
          <w:kern w:val="21"/>
          <w:szCs w:val="21"/>
          <w:highlight w:val="none"/>
        </w:rPr>
        <w:t>注：</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6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1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3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③</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4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④</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5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⑤</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7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⑦</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6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1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spacing w:val="-6"/>
          <w:kern w:val="21"/>
          <w:szCs w:val="21"/>
          <w:highlight w:val="none"/>
        </w:rPr>
        <w:fldChar w:fldCharType="end"/>
      </w:r>
    </w:p>
    <w:p>
      <w:pPr>
        <w:rPr>
          <w:rFonts w:hint="default" w:ascii="Times New Roman" w:hAnsi="Times New Roman" w:eastAsia="宋体" w:cs="Times New Roman"/>
          <w:highlight w:val="none"/>
        </w:rPr>
        <w:sectPr>
          <w:footerReference r:id="rId7"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spacing w:after="120" w:line="240" w:lineRule="auto"/>
        <w:jc w:val="left"/>
        <w:textAlignment w:val="auto"/>
        <w:outlineLvl w:val="1"/>
        <w:rPr>
          <w:rFonts w:hint="default" w:ascii="Times New Roman" w:hAnsi="Times New Roman" w:eastAsia="宋体" w:cs="Times New Roman"/>
          <w:snapToGrid w:val="0"/>
          <w:sz w:val="24"/>
          <w:szCs w:val="24"/>
          <w:highlight w:val="none"/>
        </w:rPr>
      </w:pPr>
      <w:r>
        <w:rPr>
          <w:rFonts w:hint="default" w:ascii="Times New Roman" w:hAnsi="Times New Roman" w:eastAsia="宋体" w:cs="Times New Roman"/>
          <w:snapToGrid w:val="0"/>
          <w:sz w:val="24"/>
          <w:szCs w:val="24"/>
          <w:highlight w:val="none"/>
        </w:rPr>
        <w:t>附图</w:t>
      </w:r>
      <w:r>
        <w:rPr>
          <w:rFonts w:hint="eastAsia" w:cs="Times New Roman"/>
          <w:snapToGrid w:val="0"/>
          <w:sz w:val="24"/>
          <w:szCs w:val="24"/>
          <w:highlight w:val="none"/>
          <w:lang w:val="en-US" w:eastAsia="zh-CN"/>
        </w:rPr>
        <w:t xml:space="preserve">1  </w:t>
      </w:r>
      <w:r>
        <w:rPr>
          <w:rFonts w:hint="default" w:ascii="Times New Roman" w:hAnsi="Times New Roman" w:eastAsia="宋体" w:cs="Times New Roman"/>
          <w:snapToGrid w:val="0"/>
          <w:sz w:val="24"/>
          <w:szCs w:val="24"/>
          <w:highlight w:val="none"/>
        </w:rPr>
        <w:t>项目地理位置图</w:t>
      </w:r>
    </w:p>
    <w:p>
      <w:pPr>
        <w:bidi w:val="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3941445</wp:posOffset>
                </wp:positionH>
                <wp:positionV relativeFrom="paragraph">
                  <wp:posOffset>1445260</wp:posOffset>
                </wp:positionV>
                <wp:extent cx="1056005" cy="245110"/>
                <wp:effectExtent l="12700" t="12700" r="17145" b="961390"/>
                <wp:wrapNone/>
                <wp:docPr id="24" name="圆角矩形标注 24"/>
                <wp:cNvGraphicFramePr/>
                <a:graphic xmlns:a="http://schemas.openxmlformats.org/drawingml/2006/main">
                  <a:graphicData uri="http://schemas.microsoft.com/office/word/2010/wordprocessingShape">
                    <wps:wsp>
                      <wps:cNvSpPr/>
                      <wps:spPr>
                        <a:xfrm>
                          <a:off x="0" y="0"/>
                          <a:ext cx="1056005" cy="245110"/>
                        </a:xfrm>
                        <a:prstGeom prst="wedgeRoundRectCallout">
                          <a:avLst>
                            <a:gd name="adj1" fmla="val 15880"/>
                            <a:gd name="adj2" fmla="val 43522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3"/>
                                <w:szCs w:val="13"/>
                              </w:rPr>
                            </w:pPr>
                            <w:r>
                              <w:rPr>
                                <w:rFonts w:hint="eastAsia"/>
                                <w:sz w:val="13"/>
                                <w:szCs w:val="13"/>
                              </w:rPr>
                              <w:t>本项目所在位置位置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0.35pt;margin-top:113.8pt;height:19.3pt;width:83.15pt;z-index:251659264;v-text-anchor:middle;mso-width-relative:page;mso-height-relative:page;" fillcolor="#FFFFFF [3201]" filled="t" stroked="t" coordsize="21600,21600" o:gfxdata="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lAT1tsAAAALAQAADwAAAAAA&#10;AAABACAAAAAiAAAAZHJzL2Rvd25yZXYueG1sUEsBAhQAFAAAAAgAh07iQCukcFi7AgAAfQUAAA4A&#10;AAAAAAAAAQAgAAAAKgEAAGRycy9lMm9Eb2MueG1sUEsFBgAAAAAGAAYAWQEAAFcGAAAAAA==&#10;" adj="14230,104808,14400">
                <v:fill on="t" focussize="0,0"/>
                <v:stroke weight="2pt" color="#000000 [3213]" joinstyle="round"/>
                <v:imagedata o:title=""/>
                <o:lock v:ext="edit" aspectratio="f"/>
                <v:textbox>
                  <w:txbxContent>
                    <w:p>
                      <w:pPr>
                        <w:jc w:val="center"/>
                        <w:rPr>
                          <w:sz w:val="13"/>
                          <w:szCs w:val="13"/>
                        </w:rPr>
                      </w:pPr>
                      <w:r>
                        <w:rPr>
                          <w:rFonts w:hint="eastAsia"/>
                          <w:sz w:val="13"/>
                          <w:szCs w:val="13"/>
                        </w:rPr>
                        <w:t>本项目所在位置位置</w:t>
                      </w:r>
                    </w:p>
                  </w:txbxContent>
                </v:textbox>
              </v:shape>
            </w:pict>
          </mc:Fallback>
        </mc:AlternateContent>
      </w:r>
      <w:r>
        <w:drawing>
          <wp:inline distT="0" distB="0" distL="0" distR="0">
            <wp:extent cx="6995160" cy="4888230"/>
            <wp:effectExtent l="0" t="0" r="15240" b="7620"/>
            <wp:docPr id="29" name="IM 46"/>
            <wp:cNvGraphicFramePr/>
            <a:graphic xmlns:a="http://schemas.openxmlformats.org/drawingml/2006/main">
              <a:graphicData uri="http://schemas.openxmlformats.org/drawingml/2006/picture">
                <pic:pic xmlns:pic="http://schemas.openxmlformats.org/drawingml/2006/picture">
                  <pic:nvPicPr>
                    <pic:cNvPr id="29" name="IM 46"/>
                    <pic:cNvPicPr/>
                  </pic:nvPicPr>
                  <pic:blipFill>
                    <a:blip r:embed="rId25"/>
                    <a:stretch>
                      <a:fillRect/>
                    </a:stretch>
                  </pic:blipFill>
                  <pic:spPr>
                    <a:xfrm>
                      <a:off x="0" y="0"/>
                      <a:ext cx="6995160" cy="4888230"/>
                    </a:xfrm>
                    <a:prstGeom prst="rect">
                      <a:avLst/>
                    </a:prstGeom>
                  </pic:spPr>
                </pic:pic>
              </a:graphicData>
            </a:graphic>
          </wp:inline>
        </w:drawing>
      </w:r>
    </w:p>
    <w:p>
      <w:pPr>
        <w:pStyle w:val="26"/>
        <w:spacing w:after="120" w:line="240" w:lineRule="auto"/>
        <w:jc w:val="left"/>
        <w:rPr>
          <w:rFonts w:hint="default" w:ascii="Times New Roman" w:hAnsi="Times New Roman" w:eastAsia="宋体" w:cs="Times New Roman"/>
          <w:snapToGrid w:val="0"/>
          <w:sz w:val="28"/>
          <w:szCs w:val="32"/>
          <w:highlight w:val="none"/>
        </w:rPr>
      </w:pPr>
    </w:p>
    <w:p>
      <w:pPr>
        <w:pStyle w:val="26"/>
        <w:spacing w:after="0" w:afterLines="0" w:line="240" w:lineRule="auto"/>
        <w:jc w:val="left"/>
        <w:rPr>
          <w:rFonts w:hint="default" w:ascii="Times New Roman" w:hAnsi="Times New Roman" w:eastAsia="宋体" w:cs="Times New Roman"/>
          <w:highlight w:val="none"/>
        </w:rPr>
        <w:sectPr>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spacing w:after="120" w:line="240" w:lineRule="auto"/>
        <w:jc w:val="left"/>
        <w:textAlignment w:val="auto"/>
        <w:outlineLvl w:val="1"/>
        <w:rPr>
          <w:rFonts w:hint="default" w:ascii="Times New Roman" w:hAnsi="Times New Roman" w:eastAsia="宋体" w:cs="Times New Roman"/>
          <w:snapToGrid w:val="0"/>
          <w:sz w:val="24"/>
          <w:szCs w:val="24"/>
          <w:highlight w:val="none"/>
        </w:rPr>
      </w:pPr>
      <w:r>
        <w:rPr>
          <w:rFonts w:hint="default" w:ascii="Times New Roman" w:hAnsi="Times New Roman" w:eastAsia="宋体" w:cs="Times New Roman"/>
          <w:snapToGrid w:val="0"/>
          <w:sz w:val="24"/>
          <w:szCs w:val="24"/>
          <w:highlight w:val="none"/>
        </w:rPr>
        <w:t>附图</w:t>
      </w:r>
      <w:r>
        <w:rPr>
          <w:rFonts w:hint="eastAsia" w:ascii="Times New Roman" w:hAnsi="Times New Roman" w:eastAsia="宋体" w:cs="Times New Roman"/>
          <w:snapToGrid w:val="0"/>
          <w:sz w:val="24"/>
          <w:szCs w:val="24"/>
          <w:highlight w:val="none"/>
          <w:lang w:val="en-US" w:eastAsia="zh-CN"/>
        </w:rPr>
        <w:t xml:space="preserve">2 </w:t>
      </w:r>
      <w:r>
        <w:rPr>
          <w:rFonts w:hint="default" w:ascii="Times New Roman" w:hAnsi="Times New Roman" w:eastAsia="宋体" w:cs="Times New Roman"/>
          <w:snapToGrid w:val="0"/>
          <w:sz w:val="24"/>
          <w:szCs w:val="24"/>
          <w:highlight w:val="none"/>
        </w:rPr>
        <w:t>四邻图</w:t>
      </w:r>
    </w:p>
    <w:p>
      <w:pPr>
        <w:pStyle w:val="67"/>
        <w:rPr>
          <w:rFonts w:hint="eastAsia" w:ascii="Times New Roman" w:hAnsi="Times New Roman" w:eastAsia="宋体" w:cs="Times New Roman"/>
          <w:snapToGrid w:val="0"/>
          <w:highlight w:val="none"/>
          <w:lang w:eastAsia="zh-CN"/>
        </w:rPr>
      </w:pPr>
      <w:r>
        <w:rPr>
          <w:rFonts w:hint="eastAsia" w:ascii="Times New Roman" w:hAnsi="Times New Roman" w:eastAsia="宋体" w:cs="Times New Roman"/>
          <w:snapToGrid w:val="0"/>
          <w:highlight w:val="none"/>
          <w:lang w:eastAsia="zh-CN"/>
        </w:rPr>
        <w:drawing>
          <wp:inline distT="0" distB="0" distL="114300" distR="114300">
            <wp:extent cx="7778750" cy="5089525"/>
            <wp:effectExtent l="0" t="0" r="12700" b="15875"/>
            <wp:docPr id="1" name="图片 1" descr="E:/桌面/四邻图.png四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桌面/四邻图.png四邻图"/>
                    <pic:cNvPicPr>
                      <a:picLocks noChangeAspect="1"/>
                    </pic:cNvPicPr>
                  </pic:nvPicPr>
                  <pic:blipFill>
                    <a:blip r:embed="rId26"/>
                    <a:srcRect t="196" b="196"/>
                    <a:stretch>
                      <a:fillRect/>
                    </a:stretch>
                  </pic:blipFill>
                  <pic:spPr>
                    <a:xfrm>
                      <a:off x="0" y="0"/>
                      <a:ext cx="7778750" cy="5089525"/>
                    </a:xfrm>
                    <a:prstGeom prst="rect">
                      <a:avLst/>
                    </a:prstGeom>
                  </pic:spPr>
                </pic:pic>
              </a:graphicData>
            </a:graphic>
          </wp:inline>
        </w:drawing>
      </w:r>
    </w:p>
    <w:p>
      <w:pPr>
        <w:rPr>
          <w:rFonts w:hint="default" w:ascii="Times New Roman" w:hAnsi="Times New Roman" w:eastAsia="宋体" w:cs="Times New Roman"/>
          <w:snapToGrid w:val="0"/>
          <w:sz w:val="28"/>
          <w:szCs w:val="32"/>
          <w:highlight w:val="none"/>
        </w:rPr>
      </w:pPr>
      <w:r>
        <w:rPr>
          <w:rFonts w:hint="default" w:ascii="Times New Roman" w:hAnsi="Times New Roman" w:eastAsia="宋体" w:cs="Times New Roman"/>
          <w:snapToGrid w:val="0"/>
          <w:sz w:val="28"/>
          <w:szCs w:val="32"/>
          <w:highlight w:val="none"/>
        </w:rPr>
        <w:br w:type="page"/>
      </w:r>
    </w:p>
    <w:p>
      <w:pPr>
        <w:pStyle w:val="26"/>
        <w:keepNext w:val="0"/>
        <w:keepLines w:val="0"/>
        <w:pageBreakBefore w:val="0"/>
        <w:widowControl/>
        <w:kinsoku/>
        <w:wordWrap/>
        <w:overflowPunct/>
        <w:topLinePunct w:val="0"/>
        <w:autoSpaceDE/>
        <w:autoSpaceDN/>
        <w:bidi w:val="0"/>
        <w:adjustRightInd w:val="0"/>
        <w:snapToGrid w:val="0"/>
        <w:spacing w:after="120" w:line="240" w:lineRule="auto"/>
        <w:jc w:val="left"/>
        <w:textAlignment w:val="auto"/>
        <w:outlineLvl w:val="1"/>
        <w:rPr>
          <w:rFonts w:hint="default" w:ascii="Times New Roman" w:hAnsi="Times New Roman" w:eastAsia="宋体" w:cs="Times New Roman"/>
          <w:snapToGrid w:val="0"/>
          <w:sz w:val="24"/>
          <w:szCs w:val="24"/>
          <w:highlight w:val="none"/>
        </w:rPr>
      </w:pPr>
      <w:r>
        <w:rPr>
          <w:rFonts w:hint="default" w:ascii="Times New Roman" w:hAnsi="Times New Roman" w:eastAsia="宋体" w:cs="Times New Roman"/>
          <w:snapToGrid w:val="0"/>
          <w:sz w:val="24"/>
          <w:szCs w:val="24"/>
          <w:highlight w:val="none"/>
        </w:rPr>
        <w:t>附图</w:t>
      </w:r>
      <w:r>
        <w:rPr>
          <w:rFonts w:hint="eastAsia" w:ascii="Times New Roman" w:hAnsi="Times New Roman" w:eastAsia="宋体" w:cs="Times New Roman"/>
          <w:snapToGrid w:val="0"/>
          <w:sz w:val="24"/>
          <w:szCs w:val="24"/>
          <w:highlight w:val="none"/>
          <w:lang w:val="en-US" w:eastAsia="zh-CN"/>
        </w:rPr>
        <w:t xml:space="preserve">3  </w:t>
      </w:r>
      <w:r>
        <w:rPr>
          <w:rFonts w:hint="default" w:ascii="Times New Roman" w:hAnsi="Times New Roman" w:eastAsia="宋体" w:cs="Times New Roman"/>
          <w:snapToGrid w:val="0"/>
          <w:sz w:val="24"/>
          <w:szCs w:val="24"/>
          <w:highlight w:val="none"/>
        </w:rPr>
        <w:t>环境保护目标图</w:t>
      </w:r>
    </w:p>
    <w:p>
      <w:pPr>
        <w:pStyle w:val="26"/>
        <w:spacing w:after="120" w:line="240" w:lineRule="auto"/>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object>
          <v:shape id="_x0000_i1026" o:spt="75" type="#_x0000_t75" style="height:412.5pt;width:591pt;" o:ole="t" filled="f" o:preferrelative="t" stroked="f" coordsize="21600,21600">
            <v:path/>
            <v:fill on="f" focussize="0,0"/>
            <v:stroke on="f"/>
            <v:imagedata r:id="rId28" o:title=""/>
            <o:lock v:ext="edit" aspectratio="f"/>
            <w10:wrap type="none"/>
            <w10:anchorlock/>
          </v:shape>
          <o:OLEObject Type="Embed" ProgID="Visio.Drawing.15" ShapeID="_x0000_i1026" DrawAspect="Content" ObjectID="_1468075726" r:id="rId27">
            <o:LockedField>false</o:LockedField>
          </o:OLEObject>
        </w:object>
      </w:r>
    </w:p>
    <w:p>
      <w:pPr>
        <w:pStyle w:val="67"/>
        <w:rPr>
          <w:rFonts w:hint="default" w:ascii="Times New Roman" w:hAnsi="Times New Roman" w:eastAsia="宋体" w:cs="Times New Roman"/>
          <w:highlight w:val="none"/>
        </w:rPr>
        <w:sectPr>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spacing w:after="120" w:line="240" w:lineRule="auto"/>
        <w:jc w:val="left"/>
        <w:textAlignment w:val="auto"/>
        <w:outlineLvl w:val="1"/>
        <w:rPr>
          <w:rFonts w:hint="default" w:ascii="Times New Roman" w:hAnsi="Times New Roman" w:eastAsia="宋体" w:cs="Times New Roman"/>
          <w:snapToGrid w:val="0"/>
          <w:sz w:val="24"/>
          <w:szCs w:val="24"/>
          <w:highlight w:val="none"/>
        </w:rPr>
      </w:pPr>
      <w:r>
        <w:rPr>
          <w:rFonts w:hint="default" w:ascii="Times New Roman" w:hAnsi="Times New Roman" w:eastAsia="宋体" w:cs="Times New Roman"/>
          <w:snapToGrid w:val="0"/>
          <w:sz w:val="24"/>
          <w:szCs w:val="24"/>
          <w:highlight w:val="none"/>
        </w:rPr>
        <w:t>附图</w:t>
      </w:r>
      <w:r>
        <w:rPr>
          <w:rFonts w:hint="eastAsia" w:ascii="Times New Roman" w:hAnsi="Times New Roman" w:eastAsia="宋体" w:cs="Times New Roman"/>
          <w:snapToGrid w:val="0"/>
          <w:sz w:val="24"/>
          <w:szCs w:val="24"/>
          <w:highlight w:val="none"/>
          <w:lang w:val="en-US" w:eastAsia="zh-CN"/>
        </w:rPr>
        <w:t xml:space="preserve">4  </w:t>
      </w:r>
      <w:r>
        <w:rPr>
          <w:rFonts w:hint="default" w:ascii="Times New Roman" w:hAnsi="Times New Roman" w:eastAsia="宋体" w:cs="Times New Roman"/>
          <w:snapToGrid w:val="0"/>
          <w:sz w:val="24"/>
          <w:szCs w:val="24"/>
          <w:highlight w:val="none"/>
        </w:rPr>
        <w:t>现场照片</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7"/>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7" w:type="dxa"/>
            <w:vAlign w:val="center"/>
          </w:tcPr>
          <w:p>
            <w:pPr>
              <w:pStyle w:val="26"/>
              <w:spacing w:after="0" w:afterLines="0" w:line="240" w:lineRule="auto"/>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drawing>
                <wp:inline distT="0" distB="0" distL="114300" distR="114300">
                  <wp:extent cx="4096385" cy="3072130"/>
                  <wp:effectExtent l="0" t="0" r="18415" b="13970"/>
                  <wp:docPr id="32" name="图片 32" descr="DJI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JI_0809"/>
                          <pic:cNvPicPr>
                            <a:picLocks noChangeAspect="1"/>
                          </pic:cNvPicPr>
                        </pic:nvPicPr>
                        <pic:blipFill>
                          <a:blip r:embed="rId29"/>
                          <a:stretch>
                            <a:fillRect/>
                          </a:stretch>
                        </pic:blipFill>
                        <pic:spPr>
                          <a:xfrm>
                            <a:off x="0" y="0"/>
                            <a:ext cx="4096385" cy="3072130"/>
                          </a:xfrm>
                          <a:prstGeom prst="rect">
                            <a:avLst/>
                          </a:prstGeom>
                        </pic:spPr>
                      </pic:pic>
                    </a:graphicData>
                  </a:graphic>
                </wp:inline>
              </w:drawing>
            </w:r>
          </w:p>
        </w:tc>
        <w:tc>
          <w:tcPr>
            <w:tcW w:w="6727" w:type="dxa"/>
            <w:vAlign w:val="center"/>
          </w:tcPr>
          <w:p>
            <w:pPr>
              <w:pStyle w:val="26"/>
              <w:spacing w:after="0" w:afterLines="0" w:line="240" w:lineRule="auto"/>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drawing>
                <wp:inline distT="0" distB="0" distL="114300" distR="114300">
                  <wp:extent cx="4029710" cy="3022600"/>
                  <wp:effectExtent l="0" t="0" r="8890" b="6350"/>
                  <wp:docPr id="39" name="图片 39" descr="DJI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810"/>
                          <pic:cNvPicPr>
                            <a:picLocks noChangeAspect="1"/>
                          </pic:cNvPicPr>
                        </pic:nvPicPr>
                        <pic:blipFill>
                          <a:blip r:embed="rId30"/>
                          <a:stretch>
                            <a:fillRect/>
                          </a:stretch>
                        </pic:blipFill>
                        <pic:spPr>
                          <a:xfrm>
                            <a:off x="0" y="0"/>
                            <a:ext cx="4029710" cy="3022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454" w:type="dxa"/>
            <w:gridSpan w:val="2"/>
            <w:vAlign w:val="center"/>
          </w:tcPr>
          <w:p>
            <w:pPr>
              <w:pStyle w:val="26"/>
              <w:spacing w:after="0" w:afterLines="0" w:line="240" w:lineRule="auto"/>
              <w:rPr>
                <w:rFonts w:hint="default" w:ascii="Times New Roman" w:hAnsi="Times New Roman" w:eastAsia="宋体" w:cs="Times New Roman"/>
                <w:highlight w:val="none"/>
              </w:rPr>
            </w:pPr>
            <w:r>
              <w:rPr>
                <w:rFonts w:hint="eastAsia" w:cs="Times New Roman"/>
                <w:highlight w:val="none"/>
                <w:lang w:eastAsia="zh-CN"/>
              </w:rPr>
              <w:t>厂房航拍图</w:t>
            </w:r>
          </w:p>
        </w:tc>
      </w:tr>
    </w:tbl>
    <w:p>
      <w:pPr>
        <w:jc w:val="left"/>
        <w:rPr>
          <w:rFonts w:hint="default" w:ascii="Times New Roman" w:hAnsi="Times New Roman" w:eastAsia="宋体" w:cs="Times New Roman"/>
          <w:b/>
          <w:bCs/>
          <w:snapToGrid w:val="0"/>
          <w:sz w:val="28"/>
          <w:szCs w:val="32"/>
          <w:highlight w:val="none"/>
        </w:rPr>
        <w:sectPr>
          <w:pgSz w:w="16838" w:h="11906" w:orient="landscape"/>
          <w:pgMar w:top="1440" w:right="1800" w:bottom="1440" w:left="1800" w:header="851" w:footer="850" w:gutter="0"/>
          <w:pgBorders>
            <w:top w:val="none" w:sz="0" w:space="0"/>
            <w:left w:val="none" w:sz="0" w:space="0"/>
            <w:bottom w:val="none" w:sz="0" w:space="0"/>
            <w:right w:val="none" w:sz="0" w:space="0"/>
          </w:pgBorders>
          <w:cols w:space="0" w:num="1"/>
          <w:docGrid w:linePitch="312" w:charSpace="0"/>
        </w:sectPr>
      </w:pPr>
    </w:p>
    <w:p>
      <w:pPr>
        <w:pStyle w:val="67"/>
        <w:jc w:val="left"/>
        <w:outlineLvl w:val="0"/>
        <w:rPr>
          <w:rFonts w:hint="default" w:ascii="Times New Roman" w:hAnsi="Times New Roman" w:eastAsia="宋体" w:cs="Times New Roman"/>
          <w:b/>
          <w:bCs/>
          <w:snapToGrid w:val="0"/>
          <w:sz w:val="24"/>
          <w:szCs w:val="24"/>
          <w:highlight w:val="none"/>
        </w:rPr>
      </w:pPr>
      <w:bookmarkStart w:id="27" w:name="_Toc88845348"/>
      <w:r>
        <w:rPr>
          <w:rFonts w:hint="default" w:ascii="Times New Roman" w:hAnsi="Times New Roman" w:eastAsia="宋体" w:cs="Times New Roman"/>
          <w:b/>
          <w:bCs/>
          <w:snapToGrid w:val="0"/>
          <w:sz w:val="24"/>
          <w:szCs w:val="24"/>
          <w:highlight w:val="none"/>
        </w:rPr>
        <w:t>附件</w:t>
      </w:r>
      <w:r>
        <w:rPr>
          <w:rFonts w:hint="eastAsia" w:cs="Times New Roman"/>
          <w:b/>
          <w:bCs/>
          <w:snapToGrid w:val="0"/>
          <w:sz w:val="24"/>
          <w:szCs w:val="24"/>
          <w:highlight w:val="none"/>
          <w:lang w:val="en-US" w:eastAsia="zh-CN"/>
        </w:rPr>
        <w:t xml:space="preserve">1  </w:t>
      </w:r>
      <w:r>
        <w:rPr>
          <w:rFonts w:hint="default" w:ascii="Times New Roman" w:hAnsi="Times New Roman" w:eastAsia="宋体" w:cs="Times New Roman"/>
          <w:b/>
          <w:bCs/>
          <w:snapToGrid w:val="0"/>
          <w:sz w:val="24"/>
          <w:szCs w:val="24"/>
          <w:highlight w:val="none"/>
        </w:rPr>
        <w:t>委托书</w:t>
      </w:r>
      <w:bookmarkEnd w:id="27"/>
    </w:p>
    <w:p>
      <w:pPr>
        <w:pStyle w:val="42"/>
        <w:ind w:firstLine="0"/>
        <w:rPr>
          <w:rFonts w:hint="default" w:ascii="Times New Roman" w:hAnsi="Times New Roman" w:eastAsia="宋体" w:cs="Times New Roman"/>
          <w:highlight w:val="none"/>
        </w:rPr>
      </w:pPr>
    </w:p>
    <w:p>
      <w:pPr>
        <w:pStyle w:val="42"/>
        <w:ind w:firstLine="0"/>
        <w:rPr>
          <w:rFonts w:hint="default" w:ascii="Times New Roman" w:hAnsi="Times New Roman" w:eastAsia="宋体" w:cs="Times New Roman"/>
          <w:highlight w:val="none"/>
        </w:rPr>
      </w:pPr>
    </w:p>
    <w:p>
      <w:pPr>
        <w:spacing w:before="156" w:after="156"/>
        <w:ind w:firstLine="480"/>
        <w:jc w:val="center"/>
        <w:rPr>
          <w:rFonts w:hint="default" w:ascii="Times New Roman" w:hAnsi="Times New Roman" w:eastAsia="宋体" w:cs="Times New Roman"/>
          <w:b/>
          <w:sz w:val="44"/>
          <w:szCs w:val="44"/>
          <w:highlight w:val="none"/>
        </w:rPr>
      </w:pPr>
      <w:r>
        <w:rPr>
          <w:rFonts w:hint="default" w:ascii="Times New Roman" w:hAnsi="Times New Roman" w:eastAsia="宋体" w:cs="Times New Roman"/>
          <w:b/>
          <w:sz w:val="44"/>
          <w:szCs w:val="44"/>
          <w:highlight w:val="none"/>
        </w:rPr>
        <w:t>委托书</w:t>
      </w:r>
    </w:p>
    <w:p>
      <w:pPr>
        <w:spacing w:line="360" w:lineRule="auto"/>
        <w:rPr>
          <w:rFonts w:hint="default" w:ascii="Times New Roman" w:hAnsi="Times New Roman" w:eastAsia="宋体" w:cs="Times New Roman"/>
          <w:sz w:val="28"/>
          <w:szCs w:val="28"/>
          <w:highlight w:val="none"/>
        </w:rPr>
      </w:pPr>
      <w:bookmarkStart w:id="28" w:name="_Toc110592538"/>
      <w:bookmarkStart w:id="29" w:name="_Toc165170522"/>
      <w:bookmarkStart w:id="30" w:name="_Toc110598124"/>
      <w:bookmarkStart w:id="31" w:name="_Toc110592254"/>
      <w:bookmarkStart w:id="32" w:name="_Toc132691035"/>
      <w:bookmarkStart w:id="33" w:name="_Toc110597797"/>
      <w:bookmarkStart w:id="34" w:name="_Toc132687353"/>
      <w:bookmarkStart w:id="35" w:name="_Toc137811233"/>
      <w:bookmarkStart w:id="36" w:name="_Toc137811435"/>
      <w:bookmarkStart w:id="37" w:name="_Toc162667113"/>
      <w:bookmarkStart w:id="38" w:name="_Toc132687546"/>
      <w:bookmarkStart w:id="39" w:name="_Toc130205339"/>
    </w:p>
    <w:bookmarkEnd w:id="28"/>
    <w:bookmarkEnd w:id="29"/>
    <w:bookmarkEnd w:id="30"/>
    <w:bookmarkEnd w:id="31"/>
    <w:bookmarkEnd w:id="32"/>
    <w:bookmarkEnd w:id="33"/>
    <w:bookmarkEnd w:id="34"/>
    <w:bookmarkEnd w:id="35"/>
    <w:bookmarkEnd w:id="36"/>
    <w:bookmarkEnd w:id="37"/>
    <w:bookmarkEnd w:id="38"/>
    <w:bookmarkEnd w:id="39"/>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Cs/>
          <w:sz w:val="28"/>
          <w:szCs w:val="28"/>
          <w:highlight w:val="none"/>
        </w:rPr>
      </w:pPr>
      <w:r>
        <w:rPr>
          <w:rFonts w:hint="default" w:ascii="Times New Roman" w:hAnsi="Times New Roman" w:eastAsia="仿宋" w:cs="Times New Roman"/>
          <w:bCs/>
          <w:sz w:val="28"/>
          <w:szCs w:val="28"/>
          <w:highlight w:val="none"/>
        </w:rPr>
        <w:t>锡林郭勒盟格林蓝环境科技有限公司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bCs/>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bCs/>
          <w:sz w:val="28"/>
          <w:szCs w:val="28"/>
          <w:highlight w:val="none"/>
        </w:rPr>
      </w:pPr>
      <w:r>
        <w:rPr>
          <w:rFonts w:hint="default" w:ascii="Times New Roman" w:hAnsi="Times New Roman" w:eastAsia="仿宋" w:cs="Times New Roman"/>
          <w:bCs/>
          <w:sz w:val="28"/>
          <w:szCs w:val="28"/>
          <w:highlight w:val="none"/>
        </w:rPr>
        <w:t>我单位拟在</w:t>
      </w:r>
      <w:r>
        <w:rPr>
          <w:rFonts w:hint="default" w:ascii="Times New Roman" w:hAnsi="Times New Roman" w:eastAsia="仿宋" w:cs="Times New Roman"/>
          <w:bCs/>
          <w:sz w:val="28"/>
          <w:szCs w:val="28"/>
          <w:highlight w:val="none"/>
          <w:lang w:eastAsia="zh-CN"/>
        </w:rPr>
        <w:t>锡林郭勒盟太仆寺旗宝昌镇市场中路与腾飞路交叉口东北方向140米3号</w:t>
      </w:r>
      <w:r>
        <w:rPr>
          <w:rFonts w:hint="default" w:ascii="Times New Roman" w:hAnsi="Times New Roman" w:eastAsia="仿宋" w:cs="Times New Roman"/>
          <w:bCs/>
          <w:sz w:val="28"/>
          <w:szCs w:val="28"/>
          <w:highlight w:val="none"/>
        </w:rPr>
        <w:t>处建设</w:t>
      </w:r>
      <w:r>
        <w:rPr>
          <w:rFonts w:hint="eastAsia" w:eastAsia="仿宋" w:cs="Times New Roman"/>
          <w:bCs/>
          <w:sz w:val="28"/>
          <w:szCs w:val="28"/>
          <w:highlight w:val="none"/>
          <w:lang w:eastAsia="zh-CN"/>
        </w:rPr>
        <w:t>金属拉丝生产项目</w:t>
      </w:r>
      <w:r>
        <w:rPr>
          <w:rFonts w:hint="default" w:ascii="Times New Roman" w:hAnsi="Times New Roman" w:eastAsia="仿宋" w:cs="Times New Roman"/>
          <w:bCs/>
          <w:sz w:val="28"/>
          <w:szCs w:val="28"/>
          <w:highlight w:val="none"/>
          <w:lang w:eastAsia="zh-CN"/>
        </w:rPr>
        <w:t>。</w:t>
      </w:r>
      <w:r>
        <w:rPr>
          <w:rFonts w:hint="default" w:ascii="Times New Roman" w:hAnsi="Times New Roman" w:eastAsia="仿宋" w:cs="Times New Roman"/>
          <w:bCs/>
          <w:sz w:val="28"/>
          <w:szCs w:val="28"/>
          <w:highlight w:val="none"/>
        </w:rPr>
        <w:t>根据《中华人民共和国环境影响评价法》和中华人民共和国国务院第682号令《建设项目环境保护管理条例》的有关规定，特委托贵单位进行该项目的环境影响评价工作。</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Cs/>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bCs/>
          <w:sz w:val="28"/>
          <w:szCs w:val="28"/>
          <w:highlight w:val="none"/>
        </w:rPr>
      </w:pPr>
      <w:r>
        <w:rPr>
          <w:rFonts w:hint="default" w:ascii="Times New Roman" w:hAnsi="Times New Roman" w:eastAsia="仿宋" w:cs="Times New Roman"/>
          <w:bCs/>
          <w:sz w:val="28"/>
          <w:szCs w:val="28"/>
          <w:highlight w:val="none"/>
        </w:rPr>
        <w:t>特此委托</w:t>
      </w:r>
    </w:p>
    <w:p>
      <w:pPr>
        <w:spacing w:before="156" w:after="156" w:line="360" w:lineRule="auto"/>
        <w:ind w:firstLine="480"/>
        <w:rPr>
          <w:rFonts w:hint="default" w:ascii="Times New Roman" w:hAnsi="Times New Roman" w:eastAsia="仿宋" w:cs="Times New Roman"/>
          <w:sz w:val="28"/>
          <w:szCs w:val="28"/>
          <w:highlight w:val="none"/>
        </w:rPr>
      </w:pPr>
    </w:p>
    <w:p>
      <w:pPr>
        <w:spacing w:line="360" w:lineRule="auto"/>
        <w:jc w:val="right"/>
        <w:rPr>
          <w:rFonts w:hint="default" w:ascii="Times New Roman" w:hAnsi="Times New Roman" w:eastAsia="仿宋" w:cs="Times New Roman"/>
          <w:sz w:val="28"/>
          <w:szCs w:val="28"/>
          <w:highlight w:val="none"/>
        </w:rPr>
      </w:pPr>
    </w:p>
    <w:p>
      <w:pPr>
        <w:pStyle w:val="67"/>
        <w:spacing w:line="360" w:lineRule="auto"/>
        <w:jc w:val="right"/>
        <w:rPr>
          <w:rFonts w:hint="default" w:ascii="Times New Roman" w:hAnsi="Times New Roman" w:eastAsia="仿宋" w:cs="Times New Roman"/>
          <w:bCs/>
          <w:sz w:val="28"/>
          <w:szCs w:val="28"/>
          <w:highlight w:val="none"/>
          <w:lang w:eastAsia="zh-CN"/>
        </w:rPr>
      </w:pPr>
      <w:r>
        <w:rPr>
          <w:rFonts w:hint="default" w:ascii="Times New Roman" w:hAnsi="Times New Roman" w:eastAsia="仿宋" w:cs="Times New Roman"/>
          <w:bCs/>
          <w:sz w:val="28"/>
          <w:szCs w:val="28"/>
          <w:highlight w:val="none"/>
          <w:lang w:eastAsia="zh-CN"/>
        </w:rPr>
        <w:t>内蒙古翰鑫金属制造有限公司</w:t>
      </w:r>
    </w:p>
    <w:p>
      <w:pPr>
        <w:pStyle w:val="67"/>
        <w:spacing w:line="360" w:lineRule="auto"/>
        <w:jc w:val="right"/>
        <w:rPr>
          <w:rFonts w:hint="default" w:ascii="Times New Roman" w:hAnsi="Times New Roman" w:eastAsia="仿宋" w:cs="Times New Roman"/>
          <w:bCs/>
          <w:sz w:val="28"/>
          <w:szCs w:val="28"/>
          <w:highlight w:val="none"/>
        </w:rPr>
      </w:pPr>
      <w:r>
        <w:rPr>
          <w:rFonts w:hint="default" w:ascii="Times New Roman" w:hAnsi="Times New Roman" w:eastAsia="仿宋" w:cs="Times New Roman"/>
          <w:bCs/>
          <w:sz w:val="28"/>
          <w:szCs w:val="28"/>
          <w:highlight w:val="none"/>
        </w:rPr>
        <w:t>202</w:t>
      </w:r>
      <w:r>
        <w:rPr>
          <w:rFonts w:hint="default" w:ascii="Times New Roman" w:hAnsi="Times New Roman" w:eastAsia="仿宋" w:cs="Times New Roman"/>
          <w:bCs/>
          <w:sz w:val="28"/>
          <w:szCs w:val="28"/>
          <w:highlight w:val="none"/>
          <w:lang w:val="en-US" w:eastAsia="zh-CN"/>
        </w:rPr>
        <w:t>4</w:t>
      </w:r>
      <w:r>
        <w:rPr>
          <w:rFonts w:hint="default" w:ascii="Times New Roman" w:hAnsi="Times New Roman" w:eastAsia="仿宋" w:cs="Times New Roman"/>
          <w:bCs/>
          <w:sz w:val="28"/>
          <w:szCs w:val="28"/>
          <w:highlight w:val="none"/>
        </w:rPr>
        <w:t>年</w:t>
      </w:r>
      <w:r>
        <w:rPr>
          <w:rFonts w:hint="default" w:ascii="Times New Roman" w:hAnsi="Times New Roman" w:eastAsia="仿宋" w:cs="Times New Roman"/>
          <w:bCs/>
          <w:sz w:val="28"/>
          <w:szCs w:val="28"/>
          <w:highlight w:val="none"/>
          <w:lang w:val="en-US" w:eastAsia="zh-CN"/>
        </w:rPr>
        <w:t>7</w:t>
      </w:r>
      <w:r>
        <w:rPr>
          <w:rFonts w:hint="default" w:ascii="Times New Roman" w:hAnsi="Times New Roman" w:eastAsia="仿宋" w:cs="Times New Roman"/>
          <w:bCs/>
          <w:sz w:val="28"/>
          <w:szCs w:val="28"/>
          <w:highlight w:val="none"/>
        </w:rPr>
        <w:t>月</w:t>
      </w:r>
      <w:r>
        <w:rPr>
          <w:rFonts w:hint="default" w:ascii="Times New Roman" w:hAnsi="Times New Roman" w:eastAsia="仿宋" w:cs="Times New Roman"/>
          <w:bCs/>
          <w:sz w:val="28"/>
          <w:szCs w:val="28"/>
          <w:highlight w:val="none"/>
          <w:lang w:val="en-US" w:eastAsia="zh-CN"/>
        </w:rPr>
        <w:t>27</w:t>
      </w:r>
      <w:r>
        <w:rPr>
          <w:rFonts w:hint="default" w:ascii="Times New Roman" w:hAnsi="Times New Roman" w:eastAsia="仿宋" w:cs="Times New Roman"/>
          <w:bCs/>
          <w:sz w:val="28"/>
          <w:szCs w:val="28"/>
          <w:highlight w:val="none"/>
        </w:rPr>
        <w:t>日</w:t>
      </w:r>
    </w:p>
    <w:p>
      <w:pPr>
        <w:rPr>
          <w:rFonts w:hint="default" w:ascii="Times New Roman" w:hAnsi="Times New Roman" w:eastAsia="宋体" w:cs="Times New Roman"/>
          <w:bCs/>
          <w:sz w:val="30"/>
          <w:szCs w:val="30"/>
          <w:highlight w:val="none"/>
        </w:rPr>
      </w:pPr>
      <w:r>
        <w:rPr>
          <w:rFonts w:hint="default" w:ascii="Times New Roman" w:hAnsi="Times New Roman" w:eastAsia="宋体" w:cs="Times New Roman"/>
          <w:bCs/>
          <w:sz w:val="30"/>
          <w:szCs w:val="30"/>
          <w:highlight w:val="none"/>
        </w:rPr>
        <w:br w:type="page"/>
      </w:r>
    </w:p>
    <w:p>
      <w:pPr>
        <w:pStyle w:val="67"/>
        <w:keepNext w:val="0"/>
        <w:keepLines w:val="0"/>
        <w:pageBreakBefore w:val="0"/>
        <w:widowControl w:val="0"/>
        <w:kinsoku/>
        <w:wordWrap/>
        <w:overflowPunct w:val="0"/>
        <w:topLinePunct w:val="0"/>
        <w:autoSpaceDE w:val="0"/>
        <w:autoSpaceDN w:val="0"/>
        <w:bidi w:val="0"/>
        <w:adjustRightInd w:val="0"/>
        <w:snapToGrid w:val="0"/>
        <w:spacing w:line="360" w:lineRule="auto"/>
        <w:jc w:val="left"/>
        <w:textAlignment w:val="auto"/>
        <w:outlineLvl w:val="0"/>
        <w:rPr>
          <w:rFonts w:hint="default" w:ascii="Times New Roman" w:hAnsi="Times New Roman" w:eastAsia="宋体" w:cs="Times New Roman"/>
          <w:b/>
          <w:bCs/>
          <w:snapToGrid w:val="0"/>
          <w:sz w:val="24"/>
          <w:szCs w:val="24"/>
          <w:highlight w:val="none"/>
          <w:lang w:val="en-US" w:eastAsia="zh-CN"/>
        </w:rPr>
      </w:pPr>
      <w:r>
        <w:rPr>
          <w:rFonts w:hint="default" w:ascii="Times New Roman" w:hAnsi="Times New Roman" w:eastAsia="宋体" w:cs="Times New Roman"/>
          <w:b/>
          <w:bCs/>
          <w:snapToGrid w:val="0"/>
          <w:sz w:val="24"/>
          <w:szCs w:val="24"/>
          <w:highlight w:val="none"/>
        </w:rPr>
        <w:t>附件</w:t>
      </w:r>
      <w:r>
        <w:rPr>
          <w:rFonts w:hint="eastAsia" w:ascii="Times New Roman" w:hAnsi="Times New Roman" w:eastAsia="宋体" w:cs="Times New Roman"/>
          <w:b/>
          <w:bCs/>
          <w:snapToGrid w:val="0"/>
          <w:sz w:val="24"/>
          <w:szCs w:val="24"/>
          <w:highlight w:val="none"/>
          <w:lang w:val="en-US" w:eastAsia="zh-CN"/>
        </w:rPr>
        <w:t>2  立项文件</w:t>
      </w:r>
    </w:p>
    <w:p>
      <w:pPr>
        <w:pStyle w:val="67"/>
        <w:spacing w:line="360" w:lineRule="auto"/>
        <w:jc w:val="center"/>
        <w:rPr>
          <w:rFonts w:hint="default" w:ascii="Times New Roman" w:hAnsi="Times New Roman" w:eastAsia="宋体" w:cs="Times New Roman"/>
          <w:bCs/>
          <w:sz w:val="30"/>
          <w:szCs w:val="30"/>
          <w:highlight w:val="none"/>
          <w:lang w:eastAsia="zh-CN"/>
        </w:rPr>
      </w:pPr>
      <w:r>
        <w:rPr>
          <w:rFonts w:hint="default" w:ascii="Times New Roman" w:hAnsi="Times New Roman" w:eastAsia="宋体" w:cs="Times New Roman"/>
          <w:bCs/>
          <w:sz w:val="30"/>
          <w:szCs w:val="30"/>
          <w:highlight w:val="none"/>
          <w:lang w:eastAsia="zh-CN"/>
        </w:rPr>
        <w:drawing>
          <wp:inline distT="0" distB="0" distL="114300" distR="114300">
            <wp:extent cx="4922520" cy="7484110"/>
            <wp:effectExtent l="0" t="0" r="11430" b="2540"/>
            <wp:docPr id="13" name="图片 13" descr="C:\Users\Administrator\Desktop\太旗报告\收集资料\环评\立项批复.jpg立项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太旗报告\收集资料\环评\立项批复.jpg立项批复"/>
                    <pic:cNvPicPr>
                      <a:picLocks noChangeAspect="1"/>
                    </pic:cNvPicPr>
                  </pic:nvPicPr>
                  <pic:blipFill>
                    <a:blip r:embed="rId31"/>
                    <a:srcRect/>
                    <a:stretch>
                      <a:fillRect/>
                    </a:stretch>
                  </pic:blipFill>
                  <pic:spPr>
                    <a:xfrm>
                      <a:off x="0" y="0"/>
                      <a:ext cx="4922520" cy="7484110"/>
                    </a:xfrm>
                    <a:prstGeom prst="rect">
                      <a:avLst/>
                    </a:prstGeom>
                  </pic:spPr>
                </pic:pic>
              </a:graphicData>
            </a:graphic>
          </wp:inline>
        </w:drawing>
      </w:r>
    </w:p>
    <w:p>
      <w:pPr>
        <w:rPr>
          <w:rFonts w:hint="default"/>
          <w:lang w:val="en-US" w:eastAsia="zh-CN"/>
        </w:rPr>
      </w:pPr>
    </w:p>
    <w:sectPr>
      <w:pgSz w:w="11906" w:h="16838"/>
      <w:pgMar w:top="1440" w:right="1800" w:bottom="1440" w:left="1800" w:header="851" w:footer="850"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E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78130FF-658B-49DD-A322-E138D018BD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embedRegular r:id="rId2" w:fontKey="{0AB62FD5-0653-411E-896B-2E5BBC38A016}"/>
  </w:font>
  <w:font w:name="仿宋">
    <w:panose1 w:val="02010609060101010101"/>
    <w:charset w:val="86"/>
    <w:family w:val="auto"/>
    <w:pitch w:val="default"/>
    <w:sig w:usb0="800002BF" w:usb1="38CF7CFA" w:usb2="00000016" w:usb3="00000000" w:csb0="00040001" w:csb1="00000000"/>
    <w:embedRegular r:id="rId3" w:fontKey="{C8275321-079C-44FF-B932-7C220A7120D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4"/>
      </w:rPr>
    </w:pPr>
    <w:r>
      <w:fldChar w:fldCharType="begin"/>
    </w:r>
    <w:r>
      <w:rPr>
        <w:rStyle w:val="34"/>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704159"/>
    </w:sdtPr>
    <w:sdtContent>
      <w:p>
        <w:pPr>
          <w:pStyle w:val="17"/>
          <w:jc w:val="center"/>
        </w:pPr>
        <w:r>
          <w:rPr>
            <w:rFonts w:hint="eastAsia"/>
          </w:rPr>
          <w:t>第</w:t>
        </w:r>
        <w:r>
          <w:fldChar w:fldCharType="begin"/>
        </w:r>
        <w:r>
          <w:instrText xml:space="preserve">PAGE   \* MERGEFORMAT</w:instrText>
        </w:r>
        <w:r>
          <w:fldChar w:fldCharType="separate"/>
        </w:r>
        <w:r>
          <w:rPr>
            <w:lang w:val="zh-CN"/>
          </w:rPr>
          <w:t>5</w:t>
        </w:r>
        <w:r>
          <w:fldChar w:fldCharType="end"/>
        </w:r>
        <w:r>
          <w:rPr>
            <w:rFonts w:hint="eastAsia"/>
          </w:rPr>
          <w:t>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8001221"/>
    </w:sdtPr>
    <w:sdtContent>
      <w:p>
        <w:pPr>
          <w:pStyle w:val="17"/>
          <w:jc w:val="center"/>
        </w:pPr>
        <w:r>
          <w:rPr>
            <w:rFonts w:hint="eastAsia"/>
          </w:rPr>
          <w:t>第</w:t>
        </w:r>
        <w:r>
          <w:fldChar w:fldCharType="begin"/>
        </w:r>
        <w:r>
          <w:instrText xml:space="preserve">PAGE   \* MERGEFORMAT</w:instrText>
        </w:r>
        <w:r>
          <w:fldChar w:fldCharType="separate"/>
        </w:r>
        <w:r>
          <w:rPr>
            <w:lang w:val="zh-CN"/>
          </w:rPr>
          <w:t>72</w:t>
        </w:r>
        <w:r>
          <w:fldChar w:fldCharType="end"/>
        </w:r>
        <w:r>
          <w:rPr>
            <w:rFonts w:hint="eastAsia"/>
          </w:rPr>
          <w:t>页</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7F9B4"/>
    <w:multiLevelType w:val="singleLevel"/>
    <w:tmpl w:val="9457F9B4"/>
    <w:lvl w:ilvl="0" w:tentative="0">
      <w:start w:val="1"/>
      <w:numFmt w:val="chineseCounting"/>
      <w:suff w:val="nothing"/>
      <w:lvlText w:val="%1、"/>
      <w:lvlJc w:val="left"/>
      <w:rPr>
        <w:rFonts w:hint="eastAsia"/>
      </w:rPr>
    </w:lvl>
  </w:abstractNum>
  <w:abstractNum w:abstractNumId="1">
    <w:nsid w:val="F9BF67EC"/>
    <w:multiLevelType w:val="singleLevel"/>
    <w:tmpl w:val="F9BF67EC"/>
    <w:lvl w:ilvl="0" w:tentative="0">
      <w:start w:val="1"/>
      <w:numFmt w:val="decimal"/>
      <w:suff w:val="nothing"/>
      <w:lvlText w:val="（%1）"/>
      <w:lvlJc w:val="left"/>
      <w:pPr>
        <w:ind w:left="-60"/>
      </w:pPr>
    </w:lvl>
  </w:abstractNum>
  <w:abstractNum w:abstractNumId="2">
    <w:nsid w:val="FEA6F37C"/>
    <w:multiLevelType w:val="singleLevel"/>
    <w:tmpl w:val="FEA6F37C"/>
    <w:lvl w:ilvl="0" w:tentative="0">
      <w:start w:val="1"/>
      <w:numFmt w:val="chineseCounting"/>
      <w:suff w:val="nothing"/>
      <w:lvlText w:val="（%1）"/>
      <w:lvlJc w:val="left"/>
      <w:pPr>
        <w:ind w:left="-60"/>
      </w:pPr>
      <w:rPr>
        <w:rFonts w:hint="eastAsia"/>
      </w:rPr>
    </w:lvl>
  </w:abstractNum>
  <w:abstractNum w:abstractNumId="3">
    <w:nsid w:val="7E7842D5"/>
    <w:multiLevelType w:val="singleLevel"/>
    <w:tmpl w:val="7E7842D5"/>
    <w:lvl w:ilvl="0" w:tentative="0">
      <w:start w:val="3"/>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wOWIwMTZhZjdiOWIyMTljMTBlMTNiMjRkNTNkMjEifQ=="/>
    <w:docVar w:name="KSO_WPS_MARK_KEY" w:val="bf8e3a92-90d8-472e-8dc3-2961a63a4ecc"/>
  </w:docVars>
  <w:rsids>
    <w:rsidRoot w:val="00A14947"/>
    <w:rsid w:val="000006B5"/>
    <w:rsid w:val="000019B3"/>
    <w:rsid w:val="000022EB"/>
    <w:rsid w:val="000060B3"/>
    <w:rsid w:val="00011D2B"/>
    <w:rsid w:val="00014436"/>
    <w:rsid w:val="00016875"/>
    <w:rsid w:val="000169EB"/>
    <w:rsid w:val="00021C71"/>
    <w:rsid w:val="00021C75"/>
    <w:rsid w:val="00022B5E"/>
    <w:rsid w:val="00023A17"/>
    <w:rsid w:val="00025294"/>
    <w:rsid w:val="000338DE"/>
    <w:rsid w:val="00034E36"/>
    <w:rsid w:val="00035C66"/>
    <w:rsid w:val="0004364B"/>
    <w:rsid w:val="00047DFE"/>
    <w:rsid w:val="00061B1F"/>
    <w:rsid w:val="0006330A"/>
    <w:rsid w:val="00065AA5"/>
    <w:rsid w:val="00065EA5"/>
    <w:rsid w:val="00066B42"/>
    <w:rsid w:val="000733C4"/>
    <w:rsid w:val="00074783"/>
    <w:rsid w:val="00075083"/>
    <w:rsid w:val="000773CC"/>
    <w:rsid w:val="0008070B"/>
    <w:rsid w:val="000810AC"/>
    <w:rsid w:val="00081A02"/>
    <w:rsid w:val="00082231"/>
    <w:rsid w:val="000876D7"/>
    <w:rsid w:val="00092D38"/>
    <w:rsid w:val="0009377B"/>
    <w:rsid w:val="00095025"/>
    <w:rsid w:val="000960AD"/>
    <w:rsid w:val="00097DD0"/>
    <w:rsid w:val="000A20C9"/>
    <w:rsid w:val="000A311D"/>
    <w:rsid w:val="000B058F"/>
    <w:rsid w:val="000B4467"/>
    <w:rsid w:val="000B4DB9"/>
    <w:rsid w:val="000C09AC"/>
    <w:rsid w:val="000C3B3A"/>
    <w:rsid w:val="000C767F"/>
    <w:rsid w:val="000D0D7C"/>
    <w:rsid w:val="000D147C"/>
    <w:rsid w:val="000D30BF"/>
    <w:rsid w:val="000D5A44"/>
    <w:rsid w:val="000D6C85"/>
    <w:rsid w:val="000D7884"/>
    <w:rsid w:val="000E0975"/>
    <w:rsid w:val="000E0F2D"/>
    <w:rsid w:val="000E17BD"/>
    <w:rsid w:val="000E3A8E"/>
    <w:rsid w:val="000E3ED2"/>
    <w:rsid w:val="000E58AE"/>
    <w:rsid w:val="000E750C"/>
    <w:rsid w:val="000E7688"/>
    <w:rsid w:val="000E7934"/>
    <w:rsid w:val="000F0AF3"/>
    <w:rsid w:val="000F671D"/>
    <w:rsid w:val="00100D6D"/>
    <w:rsid w:val="00100EFC"/>
    <w:rsid w:val="00102FBB"/>
    <w:rsid w:val="001052A8"/>
    <w:rsid w:val="001060D1"/>
    <w:rsid w:val="00110B0A"/>
    <w:rsid w:val="00114CC7"/>
    <w:rsid w:val="00126674"/>
    <w:rsid w:val="00127F3A"/>
    <w:rsid w:val="00131F42"/>
    <w:rsid w:val="001357F1"/>
    <w:rsid w:val="00140FA8"/>
    <w:rsid w:val="00142FEB"/>
    <w:rsid w:val="00143A2D"/>
    <w:rsid w:val="00145A41"/>
    <w:rsid w:val="00150F76"/>
    <w:rsid w:val="00151675"/>
    <w:rsid w:val="00151BD4"/>
    <w:rsid w:val="0015452A"/>
    <w:rsid w:val="00155F43"/>
    <w:rsid w:val="00157435"/>
    <w:rsid w:val="00160D8C"/>
    <w:rsid w:val="0016268A"/>
    <w:rsid w:val="001627C5"/>
    <w:rsid w:val="001636A7"/>
    <w:rsid w:val="00165DF1"/>
    <w:rsid w:val="00167286"/>
    <w:rsid w:val="001714FE"/>
    <w:rsid w:val="0017339C"/>
    <w:rsid w:val="0017504D"/>
    <w:rsid w:val="0017671A"/>
    <w:rsid w:val="001770BB"/>
    <w:rsid w:val="00177422"/>
    <w:rsid w:val="0018419A"/>
    <w:rsid w:val="00184590"/>
    <w:rsid w:val="001870D1"/>
    <w:rsid w:val="0018781E"/>
    <w:rsid w:val="00191848"/>
    <w:rsid w:val="0019262D"/>
    <w:rsid w:val="00192B00"/>
    <w:rsid w:val="00195F0F"/>
    <w:rsid w:val="001A1B35"/>
    <w:rsid w:val="001A1EC3"/>
    <w:rsid w:val="001A48A2"/>
    <w:rsid w:val="001A6F61"/>
    <w:rsid w:val="001A7F39"/>
    <w:rsid w:val="001B2038"/>
    <w:rsid w:val="001B72B8"/>
    <w:rsid w:val="001C4998"/>
    <w:rsid w:val="001C5553"/>
    <w:rsid w:val="001C69B3"/>
    <w:rsid w:val="001D1529"/>
    <w:rsid w:val="001D1AF3"/>
    <w:rsid w:val="001D2AC8"/>
    <w:rsid w:val="001D5595"/>
    <w:rsid w:val="001D7874"/>
    <w:rsid w:val="001D7F22"/>
    <w:rsid w:val="001E37C2"/>
    <w:rsid w:val="001F0B9D"/>
    <w:rsid w:val="001F0F17"/>
    <w:rsid w:val="001F3347"/>
    <w:rsid w:val="001F4923"/>
    <w:rsid w:val="001F6138"/>
    <w:rsid w:val="001F69E4"/>
    <w:rsid w:val="00201B57"/>
    <w:rsid w:val="00204BFD"/>
    <w:rsid w:val="002050A6"/>
    <w:rsid w:val="002059A7"/>
    <w:rsid w:val="002125B4"/>
    <w:rsid w:val="002155B8"/>
    <w:rsid w:val="00217BFD"/>
    <w:rsid w:val="0022104F"/>
    <w:rsid w:val="002223EE"/>
    <w:rsid w:val="002236EB"/>
    <w:rsid w:val="00224839"/>
    <w:rsid w:val="002249B2"/>
    <w:rsid w:val="00226574"/>
    <w:rsid w:val="00227771"/>
    <w:rsid w:val="002278EC"/>
    <w:rsid w:val="0023280E"/>
    <w:rsid w:val="0023554D"/>
    <w:rsid w:val="002377D1"/>
    <w:rsid w:val="002402DB"/>
    <w:rsid w:val="00246A6C"/>
    <w:rsid w:val="002506BC"/>
    <w:rsid w:val="00251E3A"/>
    <w:rsid w:val="00254345"/>
    <w:rsid w:val="002619F0"/>
    <w:rsid w:val="00264557"/>
    <w:rsid w:val="00264C0D"/>
    <w:rsid w:val="00275B90"/>
    <w:rsid w:val="00277E7B"/>
    <w:rsid w:val="002805AB"/>
    <w:rsid w:val="002805EF"/>
    <w:rsid w:val="00284204"/>
    <w:rsid w:val="0028749D"/>
    <w:rsid w:val="002904C4"/>
    <w:rsid w:val="00291773"/>
    <w:rsid w:val="00291786"/>
    <w:rsid w:val="00293A08"/>
    <w:rsid w:val="00296512"/>
    <w:rsid w:val="002A13B2"/>
    <w:rsid w:val="002A168C"/>
    <w:rsid w:val="002A3DC7"/>
    <w:rsid w:val="002A76C4"/>
    <w:rsid w:val="002B0C07"/>
    <w:rsid w:val="002B3B36"/>
    <w:rsid w:val="002B49E2"/>
    <w:rsid w:val="002B5AA4"/>
    <w:rsid w:val="002B7B00"/>
    <w:rsid w:val="002B7C44"/>
    <w:rsid w:val="002C0F98"/>
    <w:rsid w:val="002C2B17"/>
    <w:rsid w:val="002C2F9D"/>
    <w:rsid w:val="002C5D3C"/>
    <w:rsid w:val="002C7870"/>
    <w:rsid w:val="002C78E2"/>
    <w:rsid w:val="002D2034"/>
    <w:rsid w:val="002D3DD0"/>
    <w:rsid w:val="002E1F3A"/>
    <w:rsid w:val="002E20B1"/>
    <w:rsid w:val="002E298A"/>
    <w:rsid w:val="002F10DE"/>
    <w:rsid w:val="002F3094"/>
    <w:rsid w:val="00301978"/>
    <w:rsid w:val="00301F21"/>
    <w:rsid w:val="0030332C"/>
    <w:rsid w:val="003051C2"/>
    <w:rsid w:val="00305B65"/>
    <w:rsid w:val="00312296"/>
    <w:rsid w:val="00312B4E"/>
    <w:rsid w:val="00314102"/>
    <w:rsid w:val="00314F0E"/>
    <w:rsid w:val="00321D8E"/>
    <w:rsid w:val="00325928"/>
    <w:rsid w:val="00330C31"/>
    <w:rsid w:val="00331681"/>
    <w:rsid w:val="00331C57"/>
    <w:rsid w:val="00332863"/>
    <w:rsid w:val="00332C1E"/>
    <w:rsid w:val="00335E57"/>
    <w:rsid w:val="0033684D"/>
    <w:rsid w:val="00337B42"/>
    <w:rsid w:val="00341B42"/>
    <w:rsid w:val="0034348F"/>
    <w:rsid w:val="00344F15"/>
    <w:rsid w:val="00345418"/>
    <w:rsid w:val="00356653"/>
    <w:rsid w:val="0035743F"/>
    <w:rsid w:val="00357BE2"/>
    <w:rsid w:val="00360029"/>
    <w:rsid w:val="0036170C"/>
    <w:rsid w:val="00361890"/>
    <w:rsid w:val="00361C70"/>
    <w:rsid w:val="003627C8"/>
    <w:rsid w:val="00366E0F"/>
    <w:rsid w:val="00371DC1"/>
    <w:rsid w:val="00374250"/>
    <w:rsid w:val="00381A72"/>
    <w:rsid w:val="00384676"/>
    <w:rsid w:val="00390857"/>
    <w:rsid w:val="00392602"/>
    <w:rsid w:val="00394BD5"/>
    <w:rsid w:val="00394D30"/>
    <w:rsid w:val="00395A08"/>
    <w:rsid w:val="00395EFF"/>
    <w:rsid w:val="003A0317"/>
    <w:rsid w:val="003A4BF3"/>
    <w:rsid w:val="003A599D"/>
    <w:rsid w:val="003B298A"/>
    <w:rsid w:val="003B420D"/>
    <w:rsid w:val="003B63BD"/>
    <w:rsid w:val="003C0DF1"/>
    <w:rsid w:val="003C6C16"/>
    <w:rsid w:val="003D794D"/>
    <w:rsid w:val="003E1F13"/>
    <w:rsid w:val="003E3058"/>
    <w:rsid w:val="003E5832"/>
    <w:rsid w:val="003E76A9"/>
    <w:rsid w:val="003F0809"/>
    <w:rsid w:val="003F4813"/>
    <w:rsid w:val="003F6A8C"/>
    <w:rsid w:val="003F755C"/>
    <w:rsid w:val="00401563"/>
    <w:rsid w:val="00406F01"/>
    <w:rsid w:val="00407C42"/>
    <w:rsid w:val="00411DD9"/>
    <w:rsid w:val="0041389D"/>
    <w:rsid w:val="00416D50"/>
    <w:rsid w:val="00416E82"/>
    <w:rsid w:val="00416FD5"/>
    <w:rsid w:val="00417756"/>
    <w:rsid w:val="00417772"/>
    <w:rsid w:val="00420E6A"/>
    <w:rsid w:val="00425A9E"/>
    <w:rsid w:val="00426644"/>
    <w:rsid w:val="00426D6B"/>
    <w:rsid w:val="004271E2"/>
    <w:rsid w:val="00431E6C"/>
    <w:rsid w:val="00432982"/>
    <w:rsid w:val="00433CE7"/>
    <w:rsid w:val="004368F4"/>
    <w:rsid w:val="0044067B"/>
    <w:rsid w:val="00440847"/>
    <w:rsid w:val="004416A2"/>
    <w:rsid w:val="0044183F"/>
    <w:rsid w:val="0044453A"/>
    <w:rsid w:val="004447F4"/>
    <w:rsid w:val="00445E22"/>
    <w:rsid w:val="0045120B"/>
    <w:rsid w:val="00452738"/>
    <w:rsid w:val="00453C1D"/>
    <w:rsid w:val="00456091"/>
    <w:rsid w:val="0046462A"/>
    <w:rsid w:val="00466321"/>
    <w:rsid w:val="004668FD"/>
    <w:rsid w:val="004704B3"/>
    <w:rsid w:val="004828F8"/>
    <w:rsid w:val="00484B9B"/>
    <w:rsid w:val="004853A0"/>
    <w:rsid w:val="004855F6"/>
    <w:rsid w:val="0048661E"/>
    <w:rsid w:val="0049147E"/>
    <w:rsid w:val="0049223B"/>
    <w:rsid w:val="004928F7"/>
    <w:rsid w:val="004931CB"/>
    <w:rsid w:val="00494670"/>
    <w:rsid w:val="00497C7B"/>
    <w:rsid w:val="004A0808"/>
    <w:rsid w:val="004A2A36"/>
    <w:rsid w:val="004A3823"/>
    <w:rsid w:val="004A5BD9"/>
    <w:rsid w:val="004B2C62"/>
    <w:rsid w:val="004B30D9"/>
    <w:rsid w:val="004C08C8"/>
    <w:rsid w:val="004C1EF6"/>
    <w:rsid w:val="004D676D"/>
    <w:rsid w:val="004D7F71"/>
    <w:rsid w:val="004E6946"/>
    <w:rsid w:val="004F14CB"/>
    <w:rsid w:val="004F1AD8"/>
    <w:rsid w:val="004F1E05"/>
    <w:rsid w:val="0050333B"/>
    <w:rsid w:val="005039CB"/>
    <w:rsid w:val="0050558F"/>
    <w:rsid w:val="00505B37"/>
    <w:rsid w:val="00506286"/>
    <w:rsid w:val="00510813"/>
    <w:rsid w:val="00511990"/>
    <w:rsid w:val="00511DE0"/>
    <w:rsid w:val="00513271"/>
    <w:rsid w:val="00514152"/>
    <w:rsid w:val="00514870"/>
    <w:rsid w:val="00514B9B"/>
    <w:rsid w:val="00514F06"/>
    <w:rsid w:val="00517A28"/>
    <w:rsid w:val="00517F02"/>
    <w:rsid w:val="00524303"/>
    <w:rsid w:val="005258A2"/>
    <w:rsid w:val="005271CA"/>
    <w:rsid w:val="005274EF"/>
    <w:rsid w:val="005276A4"/>
    <w:rsid w:val="005357AB"/>
    <w:rsid w:val="005401AE"/>
    <w:rsid w:val="00542E07"/>
    <w:rsid w:val="00543679"/>
    <w:rsid w:val="00545424"/>
    <w:rsid w:val="005514B2"/>
    <w:rsid w:val="00552E02"/>
    <w:rsid w:val="005547D7"/>
    <w:rsid w:val="00554A7B"/>
    <w:rsid w:val="0055572C"/>
    <w:rsid w:val="005569B5"/>
    <w:rsid w:val="0056106A"/>
    <w:rsid w:val="005632B8"/>
    <w:rsid w:val="005720AE"/>
    <w:rsid w:val="00577CE3"/>
    <w:rsid w:val="00580DCD"/>
    <w:rsid w:val="00585E33"/>
    <w:rsid w:val="00594D77"/>
    <w:rsid w:val="00594E03"/>
    <w:rsid w:val="005969E4"/>
    <w:rsid w:val="00597FAF"/>
    <w:rsid w:val="005A06B7"/>
    <w:rsid w:val="005A1741"/>
    <w:rsid w:val="005A1759"/>
    <w:rsid w:val="005A64C3"/>
    <w:rsid w:val="005A68A7"/>
    <w:rsid w:val="005A6CF2"/>
    <w:rsid w:val="005B0728"/>
    <w:rsid w:val="005B20FB"/>
    <w:rsid w:val="005B6407"/>
    <w:rsid w:val="005D03F9"/>
    <w:rsid w:val="005D0B6D"/>
    <w:rsid w:val="005D36AB"/>
    <w:rsid w:val="005D6CEE"/>
    <w:rsid w:val="005E613D"/>
    <w:rsid w:val="005F20A8"/>
    <w:rsid w:val="005F77A6"/>
    <w:rsid w:val="00600310"/>
    <w:rsid w:val="0060280A"/>
    <w:rsid w:val="00602DF7"/>
    <w:rsid w:val="006100AD"/>
    <w:rsid w:val="006169EA"/>
    <w:rsid w:val="00617CC3"/>
    <w:rsid w:val="006310BE"/>
    <w:rsid w:val="00636BDF"/>
    <w:rsid w:val="006377A6"/>
    <w:rsid w:val="00637A3D"/>
    <w:rsid w:val="006411EF"/>
    <w:rsid w:val="00660B7A"/>
    <w:rsid w:val="006616DA"/>
    <w:rsid w:val="00665728"/>
    <w:rsid w:val="00667472"/>
    <w:rsid w:val="00670D02"/>
    <w:rsid w:val="0067130F"/>
    <w:rsid w:val="006748B8"/>
    <w:rsid w:val="006775C3"/>
    <w:rsid w:val="006847B7"/>
    <w:rsid w:val="0068626A"/>
    <w:rsid w:val="0069231F"/>
    <w:rsid w:val="0069290A"/>
    <w:rsid w:val="0069578A"/>
    <w:rsid w:val="0069775A"/>
    <w:rsid w:val="00697813"/>
    <w:rsid w:val="006A0DBB"/>
    <w:rsid w:val="006A3EE8"/>
    <w:rsid w:val="006A72BF"/>
    <w:rsid w:val="006B03F2"/>
    <w:rsid w:val="006B2A31"/>
    <w:rsid w:val="006B37DC"/>
    <w:rsid w:val="006B4AE7"/>
    <w:rsid w:val="006B4F68"/>
    <w:rsid w:val="006B4F89"/>
    <w:rsid w:val="006B5BCC"/>
    <w:rsid w:val="006B67C0"/>
    <w:rsid w:val="006B769B"/>
    <w:rsid w:val="006C0592"/>
    <w:rsid w:val="006C1466"/>
    <w:rsid w:val="006C272E"/>
    <w:rsid w:val="006C3ABC"/>
    <w:rsid w:val="006C5479"/>
    <w:rsid w:val="006D13B5"/>
    <w:rsid w:val="006E12FF"/>
    <w:rsid w:val="006E41F6"/>
    <w:rsid w:val="006E607E"/>
    <w:rsid w:val="006F14D3"/>
    <w:rsid w:val="006F773B"/>
    <w:rsid w:val="007006F1"/>
    <w:rsid w:val="00702DC9"/>
    <w:rsid w:val="00704D7A"/>
    <w:rsid w:val="00705DC7"/>
    <w:rsid w:val="00706C5D"/>
    <w:rsid w:val="00710278"/>
    <w:rsid w:val="00711339"/>
    <w:rsid w:val="00714655"/>
    <w:rsid w:val="00717726"/>
    <w:rsid w:val="0072034E"/>
    <w:rsid w:val="007270F2"/>
    <w:rsid w:val="00731222"/>
    <w:rsid w:val="007315D9"/>
    <w:rsid w:val="00732922"/>
    <w:rsid w:val="00733A75"/>
    <w:rsid w:val="007347B0"/>
    <w:rsid w:val="00735C82"/>
    <w:rsid w:val="00741ECF"/>
    <w:rsid w:val="007444AB"/>
    <w:rsid w:val="0075162E"/>
    <w:rsid w:val="00752B81"/>
    <w:rsid w:val="00754034"/>
    <w:rsid w:val="007558B7"/>
    <w:rsid w:val="007560D3"/>
    <w:rsid w:val="00756556"/>
    <w:rsid w:val="00757006"/>
    <w:rsid w:val="00757A97"/>
    <w:rsid w:val="007618C4"/>
    <w:rsid w:val="0076244E"/>
    <w:rsid w:val="0076249B"/>
    <w:rsid w:val="00765F08"/>
    <w:rsid w:val="00767658"/>
    <w:rsid w:val="00767863"/>
    <w:rsid w:val="00767980"/>
    <w:rsid w:val="007702C3"/>
    <w:rsid w:val="007707BD"/>
    <w:rsid w:val="00770B19"/>
    <w:rsid w:val="0077463F"/>
    <w:rsid w:val="00774D25"/>
    <w:rsid w:val="00781EF2"/>
    <w:rsid w:val="007836EA"/>
    <w:rsid w:val="00784CDA"/>
    <w:rsid w:val="007906C4"/>
    <w:rsid w:val="007930E3"/>
    <w:rsid w:val="007931D3"/>
    <w:rsid w:val="007940EA"/>
    <w:rsid w:val="007960EA"/>
    <w:rsid w:val="007967E8"/>
    <w:rsid w:val="007968F9"/>
    <w:rsid w:val="007A0023"/>
    <w:rsid w:val="007A2170"/>
    <w:rsid w:val="007A22BF"/>
    <w:rsid w:val="007A3323"/>
    <w:rsid w:val="007A40A6"/>
    <w:rsid w:val="007B417F"/>
    <w:rsid w:val="007B4F64"/>
    <w:rsid w:val="007B72B8"/>
    <w:rsid w:val="007B7A58"/>
    <w:rsid w:val="007C0424"/>
    <w:rsid w:val="007C21B5"/>
    <w:rsid w:val="007C2EB1"/>
    <w:rsid w:val="007C5C18"/>
    <w:rsid w:val="007C6D6A"/>
    <w:rsid w:val="007D78F1"/>
    <w:rsid w:val="007E4BD2"/>
    <w:rsid w:val="007F0EB4"/>
    <w:rsid w:val="007F1619"/>
    <w:rsid w:val="00801393"/>
    <w:rsid w:val="00802F88"/>
    <w:rsid w:val="0081293E"/>
    <w:rsid w:val="00813613"/>
    <w:rsid w:val="00814549"/>
    <w:rsid w:val="00815465"/>
    <w:rsid w:val="00816A7D"/>
    <w:rsid w:val="0081775B"/>
    <w:rsid w:val="00817E9A"/>
    <w:rsid w:val="00820455"/>
    <w:rsid w:val="00820AA7"/>
    <w:rsid w:val="008214C0"/>
    <w:rsid w:val="00826EAA"/>
    <w:rsid w:val="008306BD"/>
    <w:rsid w:val="00831A80"/>
    <w:rsid w:val="0083258A"/>
    <w:rsid w:val="00833743"/>
    <w:rsid w:val="0083390B"/>
    <w:rsid w:val="008340A4"/>
    <w:rsid w:val="008409F8"/>
    <w:rsid w:val="008415E0"/>
    <w:rsid w:val="00841884"/>
    <w:rsid w:val="00855231"/>
    <w:rsid w:val="0086451F"/>
    <w:rsid w:val="0087135F"/>
    <w:rsid w:val="00872B2C"/>
    <w:rsid w:val="00872D94"/>
    <w:rsid w:val="00873198"/>
    <w:rsid w:val="00876246"/>
    <w:rsid w:val="00880364"/>
    <w:rsid w:val="00885AE2"/>
    <w:rsid w:val="00890207"/>
    <w:rsid w:val="00891592"/>
    <w:rsid w:val="00891E9E"/>
    <w:rsid w:val="00892484"/>
    <w:rsid w:val="008A03FB"/>
    <w:rsid w:val="008A2F68"/>
    <w:rsid w:val="008A34E0"/>
    <w:rsid w:val="008A3AB4"/>
    <w:rsid w:val="008A70BE"/>
    <w:rsid w:val="008B4874"/>
    <w:rsid w:val="008B4FA6"/>
    <w:rsid w:val="008B5282"/>
    <w:rsid w:val="008B5AF3"/>
    <w:rsid w:val="008B7425"/>
    <w:rsid w:val="008B7B9A"/>
    <w:rsid w:val="008B7C17"/>
    <w:rsid w:val="008C018F"/>
    <w:rsid w:val="008C2879"/>
    <w:rsid w:val="008C2D01"/>
    <w:rsid w:val="008C40E6"/>
    <w:rsid w:val="008C4705"/>
    <w:rsid w:val="008C6CE0"/>
    <w:rsid w:val="008D0C6E"/>
    <w:rsid w:val="008D0F7A"/>
    <w:rsid w:val="008D68E4"/>
    <w:rsid w:val="008D7DA9"/>
    <w:rsid w:val="008E0506"/>
    <w:rsid w:val="008E0CFF"/>
    <w:rsid w:val="008E42E2"/>
    <w:rsid w:val="008E5D6B"/>
    <w:rsid w:val="008E76F0"/>
    <w:rsid w:val="008E7F23"/>
    <w:rsid w:val="008F15FE"/>
    <w:rsid w:val="008F2D29"/>
    <w:rsid w:val="008F33D9"/>
    <w:rsid w:val="008F4965"/>
    <w:rsid w:val="008F5175"/>
    <w:rsid w:val="008F5187"/>
    <w:rsid w:val="008F558D"/>
    <w:rsid w:val="008F60D8"/>
    <w:rsid w:val="008F7A7C"/>
    <w:rsid w:val="009024EE"/>
    <w:rsid w:val="00902727"/>
    <w:rsid w:val="0090312B"/>
    <w:rsid w:val="009043CD"/>
    <w:rsid w:val="00905DEA"/>
    <w:rsid w:val="00915A10"/>
    <w:rsid w:val="00916E1D"/>
    <w:rsid w:val="0091736D"/>
    <w:rsid w:val="00921796"/>
    <w:rsid w:val="0093037A"/>
    <w:rsid w:val="0093230A"/>
    <w:rsid w:val="00933E5F"/>
    <w:rsid w:val="009357B0"/>
    <w:rsid w:val="00940E4A"/>
    <w:rsid w:val="0094154D"/>
    <w:rsid w:val="0094319D"/>
    <w:rsid w:val="00945271"/>
    <w:rsid w:val="0094713B"/>
    <w:rsid w:val="00947D4D"/>
    <w:rsid w:val="0095155F"/>
    <w:rsid w:val="009542F5"/>
    <w:rsid w:val="00954429"/>
    <w:rsid w:val="009563CE"/>
    <w:rsid w:val="00960853"/>
    <w:rsid w:val="009634EC"/>
    <w:rsid w:val="00971F54"/>
    <w:rsid w:val="00976328"/>
    <w:rsid w:val="009766F1"/>
    <w:rsid w:val="0097680D"/>
    <w:rsid w:val="00982438"/>
    <w:rsid w:val="0098404C"/>
    <w:rsid w:val="00985283"/>
    <w:rsid w:val="00986014"/>
    <w:rsid w:val="009909CE"/>
    <w:rsid w:val="00990E99"/>
    <w:rsid w:val="00992CED"/>
    <w:rsid w:val="00995046"/>
    <w:rsid w:val="00995992"/>
    <w:rsid w:val="00997E56"/>
    <w:rsid w:val="009A03E5"/>
    <w:rsid w:val="009A0F3B"/>
    <w:rsid w:val="009A1BB4"/>
    <w:rsid w:val="009A2628"/>
    <w:rsid w:val="009A27B0"/>
    <w:rsid w:val="009A3200"/>
    <w:rsid w:val="009B0897"/>
    <w:rsid w:val="009B0C6C"/>
    <w:rsid w:val="009B1F02"/>
    <w:rsid w:val="009B7BD9"/>
    <w:rsid w:val="009C077E"/>
    <w:rsid w:val="009C18FA"/>
    <w:rsid w:val="009C292B"/>
    <w:rsid w:val="009C7DD5"/>
    <w:rsid w:val="009D235A"/>
    <w:rsid w:val="009D7AC6"/>
    <w:rsid w:val="009E227D"/>
    <w:rsid w:val="009E5019"/>
    <w:rsid w:val="009F0C99"/>
    <w:rsid w:val="009F26CF"/>
    <w:rsid w:val="009F427B"/>
    <w:rsid w:val="009F4577"/>
    <w:rsid w:val="009F5121"/>
    <w:rsid w:val="00A04241"/>
    <w:rsid w:val="00A04F1B"/>
    <w:rsid w:val="00A0501B"/>
    <w:rsid w:val="00A11160"/>
    <w:rsid w:val="00A12C72"/>
    <w:rsid w:val="00A13A6C"/>
    <w:rsid w:val="00A143EC"/>
    <w:rsid w:val="00A14947"/>
    <w:rsid w:val="00A14F74"/>
    <w:rsid w:val="00A237CD"/>
    <w:rsid w:val="00A23F1F"/>
    <w:rsid w:val="00A242FE"/>
    <w:rsid w:val="00A25165"/>
    <w:rsid w:val="00A2636A"/>
    <w:rsid w:val="00A32A83"/>
    <w:rsid w:val="00A35AE7"/>
    <w:rsid w:val="00A368DB"/>
    <w:rsid w:val="00A423AA"/>
    <w:rsid w:val="00A44F76"/>
    <w:rsid w:val="00A46081"/>
    <w:rsid w:val="00A462A8"/>
    <w:rsid w:val="00A474EF"/>
    <w:rsid w:val="00A47B13"/>
    <w:rsid w:val="00A52427"/>
    <w:rsid w:val="00A53EC6"/>
    <w:rsid w:val="00A54E11"/>
    <w:rsid w:val="00A55C0F"/>
    <w:rsid w:val="00A63E8B"/>
    <w:rsid w:val="00A7028A"/>
    <w:rsid w:val="00A765F5"/>
    <w:rsid w:val="00A77ECB"/>
    <w:rsid w:val="00A8386F"/>
    <w:rsid w:val="00A8713F"/>
    <w:rsid w:val="00A90BA1"/>
    <w:rsid w:val="00A97195"/>
    <w:rsid w:val="00A97A9A"/>
    <w:rsid w:val="00AA0209"/>
    <w:rsid w:val="00AA0671"/>
    <w:rsid w:val="00AA2531"/>
    <w:rsid w:val="00AA28C5"/>
    <w:rsid w:val="00AA6E4F"/>
    <w:rsid w:val="00AB07A6"/>
    <w:rsid w:val="00AB1E09"/>
    <w:rsid w:val="00AB5330"/>
    <w:rsid w:val="00AB54A7"/>
    <w:rsid w:val="00AB7747"/>
    <w:rsid w:val="00AB7DBC"/>
    <w:rsid w:val="00AC14CE"/>
    <w:rsid w:val="00AC2A56"/>
    <w:rsid w:val="00AC32EA"/>
    <w:rsid w:val="00AC3FFA"/>
    <w:rsid w:val="00AD055E"/>
    <w:rsid w:val="00AD47A7"/>
    <w:rsid w:val="00AE2282"/>
    <w:rsid w:val="00AE3812"/>
    <w:rsid w:val="00AF0CBF"/>
    <w:rsid w:val="00AF257F"/>
    <w:rsid w:val="00AF33CF"/>
    <w:rsid w:val="00AF33DB"/>
    <w:rsid w:val="00AF4D50"/>
    <w:rsid w:val="00AF6179"/>
    <w:rsid w:val="00AF67E3"/>
    <w:rsid w:val="00B074C0"/>
    <w:rsid w:val="00B128DF"/>
    <w:rsid w:val="00B12938"/>
    <w:rsid w:val="00B1295A"/>
    <w:rsid w:val="00B17061"/>
    <w:rsid w:val="00B20A45"/>
    <w:rsid w:val="00B2266A"/>
    <w:rsid w:val="00B22C5C"/>
    <w:rsid w:val="00B24F30"/>
    <w:rsid w:val="00B31ABF"/>
    <w:rsid w:val="00B33BE3"/>
    <w:rsid w:val="00B3662C"/>
    <w:rsid w:val="00B37FEB"/>
    <w:rsid w:val="00B404FF"/>
    <w:rsid w:val="00B42E48"/>
    <w:rsid w:val="00B43908"/>
    <w:rsid w:val="00B45C6C"/>
    <w:rsid w:val="00B50D36"/>
    <w:rsid w:val="00B53B5D"/>
    <w:rsid w:val="00B5534D"/>
    <w:rsid w:val="00B57A6F"/>
    <w:rsid w:val="00B6055E"/>
    <w:rsid w:val="00B60730"/>
    <w:rsid w:val="00B62650"/>
    <w:rsid w:val="00B6317D"/>
    <w:rsid w:val="00B635F4"/>
    <w:rsid w:val="00B64B97"/>
    <w:rsid w:val="00B70AA6"/>
    <w:rsid w:val="00B7124E"/>
    <w:rsid w:val="00B71A12"/>
    <w:rsid w:val="00B7723F"/>
    <w:rsid w:val="00B80534"/>
    <w:rsid w:val="00B8433C"/>
    <w:rsid w:val="00B86ABB"/>
    <w:rsid w:val="00B87491"/>
    <w:rsid w:val="00B921A6"/>
    <w:rsid w:val="00B929E9"/>
    <w:rsid w:val="00BA1522"/>
    <w:rsid w:val="00BA285C"/>
    <w:rsid w:val="00BA29E9"/>
    <w:rsid w:val="00BA6A93"/>
    <w:rsid w:val="00BA7142"/>
    <w:rsid w:val="00BB1151"/>
    <w:rsid w:val="00BB237C"/>
    <w:rsid w:val="00BB41A3"/>
    <w:rsid w:val="00BB7219"/>
    <w:rsid w:val="00BC32DC"/>
    <w:rsid w:val="00BC35B6"/>
    <w:rsid w:val="00BC4D6D"/>
    <w:rsid w:val="00BC5D15"/>
    <w:rsid w:val="00BD1B51"/>
    <w:rsid w:val="00BD2146"/>
    <w:rsid w:val="00BD4389"/>
    <w:rsid w:val="00BD4596"/>
    <w:rsid w:val="00BD5A65"/>
    <w:rsid w:val="00BD6B24"/>
    <w:rsid w:val="00BD74B9"/>
    <w:rsid w:val="00BE1376"/>
    <w:rsid w:val="00BE1405"/>
    <w:rsid w:val="00BE312D"/>
    <w:rsid w:val="00BE7899"/>
    <w:rsid w:val="00BF02C2"/>
    <w:rsid w:val="00BF0950"/>
    <w:rsid w:val="00BF1C20"/>
    <w:rsid w:val="00BF2DF6"/>
    <w:rsid w:val="00BF5766"/>
    <w:rsid w:val="00C000B4"/>
    <w:rsid w:val="00C02349"/>
    <w:rsid w:val="00C02942"/>
    <w:rsid w:val="00C10578"/>
    <w:rsid w:val="00C10DB1"/>
    <w:rsid w:val="00C124B2"/>
    <w:rsid w:val="00C135BC"/>
    <w:rsid w:val="00C15C95"/>
    <w:rsid w:val="00C2596A"/>
    <w:rsid w:val="00C27537"/>
    <w:rsid w:val="00C305FC"/>
    <w:rsid w:val="00C328FE"/>
    <w:rsid w:val="00C32DE2"/>
    <w:rsid w:val="00C33507"/>
    <w:rsid w:val="00C37F24"/>
    <w:rsid w:val="00C40819"/>
    <w:rsid w:val="00C4409D"/>
    <w:rsid w:val="00C44E72"/>
    <w:rsid w:val="00C45A06"/>
    <w:rsid w:val="00C47E5B"/>
    <w:rsid w:val="00C57D66"/>
    <w:rsid w:val="00C600BB"/>
    <w:rsid w:val="00C61E4B"/>
    <w:rsid w:val="00C61F6C"/>
    <w:rsid w:val="00C6408E"/>
    <w:rsid w:val="00C6471C"/>
    <w:rsid w:val="00C64BFF"/>
    <w:rsid w:val="00C670C2"/>
    <w:rsid w:val="00C704E9"/>
    <w:rsid w:val="00C763C9"/>
    <w:rsid w:val="00C77A83"/>
    <w:rsid w:val="00C80057"/>
    <w:rsid w:val="00C82232"/>
    <w:rsid w:val="00C82913"/>
    <w:rsid w:val="00C972B1"/>
    <w:rsid w:val="00CA17E9"/>
    <w:rsid w:val="00CA2CCE"/>
    <w:rsid w:val="00CA4133"/>
    <w:rsid w:val="00CA43FD"/>
    <w:rsid w:val="00CA7EF8"/>
    <w:rsid w:val="00CC489B"/>
    <w:rsid w:val="00CD2BCD"/>
    <w:rsid w:val="00CD3A4C"/>
    <w:rsid w:val="00CD68EF"/>
    <w:rsid w:val="00CE0943"/>
    <w:rsid w:val="00CE10E9"/>
    <w:rsid w:val="00CE2177"/>
    <w:rsid w:val="00CE2910"/>
    <w:rsid w:val="00CE51E1"/>
    <w:rsid w:val="00CE5393"/>
    <w:rsid w:val="00CF26C8"/>
    <w:rsid w:val="00CF278D"/>
    <w:rsid w:val="00CF3333"/>
    <w:rsid w:val="00CF36BE"/>
    <w:rsid w:val="00CF6000"/>
    <w:rsid w:val="00CF60C4"/>
    <w:rsid w:val="00D003F3"/>
    <w:rsid w:val="00D0364F"/>
    <w:rsid w:val="00D06834"/>
    <w:rsid w:val="00D071B9"/>
    <w:rsid w:val="00D079DD"/>
    <w:rsid w:val="00D10391"/>
    <w:rsid w:val="00D11A20"/>
    <w:rsid w:val="00D13F1B"/>
    <w:rsid w:val="00D14EBC"/>
    <w:rsid w:val="00D15401"/>
    <w:rsid w:val="00D224A9"/>
    <w:rsid w:val="00D308ED"/>
    <w:rsid w:val="00D331AB"/>
    <w:rsid w:val="00D34B3E"/>
    <w:rsid w:val="00D36D86"/>
    <w:rsid w:val="00D40822"/>
    <w:rsid w:val="00D428AA"/>
    <w:rsid w:val="00D50A34"/>
    <w:rsid w:val="00D53EFA"/>
    <w:rsid w:val="00D60A19"/>
    <w:rsid w:val="00D63290"/>
    <w:rsid w:val="00D63CE4"/>
    <w:rsid w:val="00D64177"/>
    <w:rsid w:val="00D678D7"/>
    <w:rsid w:val="00D71231"/>
    <w:rsid w:val="00D7130F"/>
    <w:rsid w:val="00D769A6"/>
    <w:rsid w:val="00D77133"/>
    <w:rsid w:val="00D81434"/>
    <w:rsid w:val="00D92CC5"/>
    <w:rsid w:val="00D93BFE"/>
    <w:rsid w:val="00D94A7C"/>
    <w:rsid w:val="00D95896"/>
    <w:rsid w:val="00D97A78"/>
    <w:rsid w:val="00DA2962"/>
    <w:rsid w:val="00DB2983"/>
    <w:rsid w:val="00DB3AF6"/>
    <w:rsid w:val="00DC1257"/>
    <w:rsid w:val="00DC3C7B"/>
    <w:rsid w:val="00DC3DC0"/>
    <w:rsid w:val="00DC5B2B"/>
    <w:rsid w:val="00DC7211"/>
    <w:rsid w:val="00DD05FA"/>
    <w:rsid w:val="00DD318D"/>
    <w:rsid w:val="00DD4040"/>
    <w:rsid w:val="00DD5621"/>
    <w:rsid w:val="00DD612C"/>
    <w:rsid w:val="00DD6713"/>
    <w:rsid w:val="00DD6793"/>
    <w:rsid w:val="00DD7214"/>
    <w:rsid w:val="00DD739B"/>
    <w:rsid w:val="00DE4A5A"/>
    <w:rsid w:val="00DE59C0"/>
    <w:rsid w:val="00DF2112"/>
    <w:rsid w:val="00DF2E12"/>
    <w:rsid w:val="00DF514A"/>
    <w:rsid w:val="00DF6690"/>
    <w:rsid w:val="00DF6804"/>
    <w:rsid w:val="00DF68B0"/>
    <w:rsid w:val="00E01795"/>
    <w:rsid w:val="00E0358D"/>
    <w:rsid w:val="00E04323"/>
    <w:rsid w:val="00E04B4A"/>
    <w:rsid w:val="00E070A2"/>
    <w:rsid w:val="00E10D7B"/>
    <w:rsid w:val="00E14E4F"/>
    <w:rsid w:val="00E15D5B"/>
    <w:rsid w:val="00E20BE3"/>
    <w:rsid w:val="00E23145"/>
    <w:rsid w:val="00E2656A"/>
    <w:rsid w:val="00E34240"/>
    <w:rsid w:val="00E35DBE"/>
    <w:rsid w:val="00E37027"/>
    <w:rsid w:val="00E412D0"/>
    <w:rsid w:val="00E424B4"/>
    <w:rsid w:val="00E43815"/>
    <w:rsid w:val="00E43F73"/>
    <w:rsid w:val="00E45F43"/>
    <w:rsid w:val="00E50BB5"/>
    <w:rsid w:val="00E56322"/>
    <w:rsid w:val="00E577B8"/>
    <w:rsid w:val="00E60982"/>
    <w:rsid w:val="00E6245E"/>
    <w:rsid w:val="00E62C62"/>
    <w:rsid w:val="00E63954"/>
    <w:rsid w:val="00E654C1"/>
    <w:rsid w:val="00E65D97"/>
    <w:rsid w:val="00E67B18"/>
    <w:rsid w:val="00E70FD0"/>
    <w:rsid w:val="00E72A5A"/>
    <w:rsid w:val="00E72EA0"/>
    <w:rsid w:val="00E73354"/>
    <w:rsid w:val="00E7748A"/>
    <w:rsid w:val="00E83D39"/>
    <w:rsid w:val="00E86FA6"/>
    <w:rsid w:val="00E9242D"/>
    <w:rsid w:val="00E95922"/>
    <w:rsid w:val="00E97D15"/>
    <w:rsid w:val="00EA60AA"/>
    <w:rsid w:val="00EB3845"/>
    <w:rsid w:val="00EB4CE6"/>
    <w:rsid w:val="00EB5255"/>
    <w:rsid w:val="00EB5C47"/>
    <w:rsid w:val="00EC0C85"/>
    <w:rsid w:val="00EC5DEC"/>
    <w:rsid w:val="00EC6660"/>
    <w:rsid w:val="00EC70C7"/>
    <w:rsid w:val="00ED05F2"/>
    <w:rsid w:val="00ED0639"/>
    <w:rsid w:val="00ED203B"/>
    <w:rsid w:val="00ED3F64"/>
    <w:rsid w:val="00ED5EA4"/>
    <w:rsid w:val="00ED6678"/>
    <w:rsid w:val="00ED7A2C"/>
    <w:rsid w:val="00EE0F7A"/>
    <w:rsid w:val="00EE11DB"/>
    <w:rsid w:val="00EE5D75"/>
    <w:rsid w:val="00EE66D8"/>
    <w:rsid w:val="00EF0C19"/>
    <w:rsid w:val="00EF2652"/>
    <w:rsid w:val="00EF414B"/>
    <w:rsid w:val="00EF4755"/>
    <w:rsid w:val="00EF7135"/>
    <w:rsid w:val="00F027DB"/>
    <w:rsid w:val="00F14A7A"/>
    <w:rsid w:val="00F15B43"/>
    <w:rsid w:val="00F16975"/>
    <w:rsid w:val="00F16FCE"/>
    <w:rsid w:val="00F212E2"/>
    <w:rsid w:val="00F22985"/>
    <w:rsid w:val="00F22D65"/>
    <w:rsid w:val="00F24501"/>
    <w:rsid w:val="00F27A2F"/>
    <w:rsid w:val="00F27AA8"/>
    <w:rsid w:val="00F306A7"/>
    <w:rsid w:val="00F31C7D"/>
    <w:rsid w:val="00F32A68"/>
    <w:rsid w:val="00F3383E"/>
    <w:rsid w:val="00F36B38"/>
    <w:rsid w:val="00F377E0"/>
    <w:rsid w:val="00F44DBF"/>
    <w:rsid w:val="00F465A7"/>
    <w:rsid w:val="00F46ACA"/>
    <w:rsid w:val="00F50B7C"/>
    <w:rsid w:val="00F52C7A"/>
    <w:rsid w:val="00F533D5"/>
    <w:rsid w:val="00F550E6"/>
    <w:rsid w:val="00F562E0"/>
    <w:rsid w:val="00F655EE"/>
    <w:rsid w:val="00F737A7"/>
    <w:rsid w:val="00F74345"/>
    <w:rsid w:val="00F74399"/>
    <w:rsid w:val="00F80A0A"/>
    <w:rsid w:val="00F82B19"/>
    <w:rsid w:val="00F83D15"/>
    <w:rsid w:val="00F844F4"/>
    <w:rsid w:val="00F90067"/>
    <w:rsid w:val="00F91BB0"/>
    <w:rsid w:val="00F9212D"/>
    <w:rsid w:val="00F9355D"/>
    <w:rsid w:val="00F965DA"/>
    <w:rsid w:val="00FA406A"/>
    <w:rsid w:val="00FA40A1"/>
    <w:rsid w:val="00FA424B"/>
    <w:rsid w:val="00FA4895"/>
    <w:rsid w:val="00FA4A9D"/>
    <w:rsid w:val="00FB1B4A"/>
    <w:rsid w:val="00FB503A"/>
    <w:rsid w:val="00FB516C"/>
    <w:rsid w:val="00FB5F55"/>
    <w:rsid w:val="00FD0236"/>
    <w:rsid w:val="00FD10E3"/>
    <w:rsid w:val="00FD18F4"/>
    <w:rsid w:val="00FD2AED"/>
    <w:rsid w:val="00FD54DB"/>
    <w:rsid w:val="00FD5732"/>
    <w:rsid w:val="00FD5940"/>
    <w:rsid w:val="00FD5EC3"/>
    <w:rsid w:val="00FD619F"/>
    <w:rsid w:val="00FE053D"/>
    <w:rsid w:val="00FE2F05"/>
    <w:rsid w:val="00FE365B"/>
    <w:rsid w:val="00FE68D7"/>
    <w:rsid w:val="00FF21E1"/>
    <w:rsid w:val="00FF2CCF"/>
    <w:rsid w:val="00FF528E"/>
    <w:rsid w:val="0120770F"/>
    <w:rsid w:val="01290F7E"/>
    <w:rsid w:val="01524368"/>
    <w:rsid w:val="015D1E09"/>
    <w:rsid w:val="01987C24"/>
    <w:rsid w:val="01F50E56"/>
    <w:rsid w:val="02697903"/>
    <w:rsid w:val="02EB1C21"/>
    <w:rsid w:val="02F96569"/>
    <w:rsid w:val="034759E4"/>
    <w:rsid w:val="036E1D5B"/>
    <w:rsid w:val="0387230C"/>
    <w:rsid w:val="03957B59"/>
    <w:rsid w:val="0397517E"/>
    <w:rsid w:val="03EA7B21"/>
    <w:rsid w:val="04293801"/>
    <w:rsid w:val="04DA6D5C"/>
    <w:rsid w:val="051949B2"/>
    <w:rsid w:val="05830F8B"/>
    <w:rsid w:val="058330C0"/>
    <w:rsid w:val="058E66B3"/>
    <w:rsid w:val="05AA78F6"/>
    <w:rsid w:val="05C87FDC"/>
    <w:rsid w:val="05F83EAE"/>
    <w:rsid w:val="063E7D85"/>
    <w:rsid w:val="06BD2494"/>
    <w:rsid w:val="07293586"/>
    <w:rsid w:val="07295285"/>
    <w:rsid w:val="0743132C"/>
    <w:rsid w:val="07636392"/>
    <w:rsid w:val="07770C56"/>
    <w:rsid w:val="07AA40C2"/>
    <w:rsid w:val="07C65B36"/>
    <w:rsid w:val="083F3F3A"/>
    <w:rsid w:val="085F6179"/>
    <w:rsid w:val="08B907AE"/>
    <w:rsid w:val="08C0169B"/>
    <w:rsid w:val="08DB1887"/>
    <w:rsid w:val="08E15EE8"/>
    <w:rsid w:val="08E53B03"/>
    <w:rsid w:val="08EF0550"/>
    <w:rsid w:val="08F624F0"/>
    <w:rsid w:val="092203F6"/>
    <w:rsid w:val="092217DD"/>
    <w:rsid w:val="093A7294"/>
    <w:rsid w:val="096009EF"/>
    <w:rsid w:val="09725232"/>
    <w:rsid w:val="099A20B0"/>
    <w:rsid w:val="09F45FD8"/>
    <w:rsid w:val="0A143CC5"/>
    <w:rsid w:val="0A263993"/>
    <w:rsid w:val="0A2D3AC2"/>
    <w:rsid w:val="0A8D3D36"/>
    <w:rsid w:val="0AA755DF"/>
    <w:rsid w:val="0AB03401"/>
    <w:rsid w:val="0B120D44"/>
    <w:rsid w:val="0B3D3250"/>
    <w:rsid w:val="0B585767"/>
    <w:rsid w:val="0B651FA6"/>
    <w:rsid w:val="0BB35109"/>
    <w:rsid w:val="0BD27BF6"/>
    <w:rsid w:val="0C3B3C7D"/>
    <w:rsid w:val="0CAB2EAE"/>
    <w:rsid w:val="0CC71353"/>
    <w:rsid w:val="0CE92310"/>
    <w:rsid w:val="0CF37224"/>
    <w:rsid w:val="0D5D3A06"/>
    <w:rsid w:val="0D621C7D"/>
    <w:rsid w:val="0D753CB1"/>
    <w:rsid w:val="0DE30F92"/>
    <w:rsid w:val="0E525EA2"/>
    <w:rsid w:val="0E6E44A4"/>
    <w:rsid w:val="0E73034D"/>
    <w:rsid w:val="0E797F36"/>
    <w:rsid w:val="0E9C5936"/>
    <w:rsid w:val="0F13775A"/>
    <w:rsid w:val="0F3F07F5"/>
    <w:rsid w:val="0F5F45FE"/>
    <w:rsid w:val="0F8B4153"/>
    <w:rsid w:val="0F9A112B"/>
    <w:rsid w:val="0FD61F4C"/>
    <w:rsid w:val="100771EA"/>
    <w:rsid w:val="106D2F64"/>
    <w:rsid w:val="10804148"/>
    <w:rsid w:val="1080431F"/>
    <w:rsid w:val="108D4D82"/>
    <w:rsid w:val="10B63710"/>
    <w:rsid w:val="10F10820"/>
    <w:rsid w:val="111C2F7A"/>
    <w:rsid w:val="114737DC"/>
    <w:rsid w:val="11665CA1"/>
    <w:rsid w:val="117D4087"/>
    <w:rsid w:val="11D2670F"/>
    <w:rsid w:val="11EF4F37"/>
    <w:rsid w:val="12BB7F99"/>
    <w:rsid w:val="13383B06"/>
    <w:rsid w:val="138B68F6"/>
    <w:rsid w:val="13951726"/>
    <w:rsid w:val="13FC4382"/>
    <w:rsid w:val="14396509"/>
    <w:rsid w:val="1482213D"/>
    <w:rsid w:val="14DD2C3C"/>
    <w:rsid w:val="156E726C"/>
    <w:rsid w:val="15C1759D"/>
    <w:rsid w:val="16087E1D"/>
    <w:rsid w:val="16B93EFB"/>
    <w:rsid w:val="17701D14"/>
    <w:rsid w:val="17735226"/>
    <w:rsid w:val="18597D6F"/>
    <w:rsid w:val="189F624C"/>
    <w:rsid w:val="19211B49"/>
    <w:rsid w:val="19C023E3"/>
    <w:rsid w:val="19CF4AB6"/>
    <w:rsid w:val="1A1C66C0"/>
    <w:rsid w:val="1A42393B"/>
    <w:rsid w:val="1AA81363"/>
    <w:rsid w:val="1AAD45DE"/>
    <w:rsid w:val="1B046F80"/>
    <w:rsid w:val="1B3267B5"/>
    <w:rsid w:val="1B40161D"/>
    <w:rsid w:val="1B441859"/>
    <w:rsid w:val="1B4639EC"/>
    <w:rsid w:val="1B6606B1"/>
    <w:rsid w:val="1B6A12F3"/>
    <w:rsid w:val="1B9A0DC1"/>
    <w:rsid w:val="1C5E7925"/>
    <w:rsid w:val="1CD546E9"/>
    <w:rsid w:val="1CFD070F"/>
    <w:rsid w:val="1D22699A"/>
    <w:rsid w:val="1D3F49FC"/>
    <w:rsid w:val="1D5F6196"/>
    <w:rsid w:val="1D6132A5"/>
    <w:rsid w:val="1D653A46"/>
    <w:rsid w:val="1D8E56D5"/>
    <w:rsid w:val="1E442E08"/>
    <w:rsid w:val="1E500592"/>
    <w:rsid w:val="1E7A43DA"/>
    <w:rsid w:val="1EC2450F"/>
    <w:rsid w:val="1EF34888"/>
    <w:rsid w:val="1F531BB9"/>
    <w:rsid w:val="1F8B1B50"/>
    <w:rsid w:val="1FB265DC"/>
    <w:rsid w:val="1FE7539E"/>
    <w:rsid w:val="20671BE0"/>
    <w:rsid w:val="207F45CD"/>
    <w:rsid w:val="20963CB8"/>
    <w:rsid w:val="209E4427"/>
    <w:rsid w:val="20A81A1B"/>
    <w:rsid w:val="20B07FB6"/>
    <w:rsid w:val="20B646FB"/>
    <w:rsid w:val="20C84DDD"/>
    <w:rsid w:val="213B74B1"/>
    <w:rsid w:val="215A2310"/>
    <w:rsid w:val="218706EC"/>
    <w:rsid w:val="218915B7"/>
    <w:rsid w:val="21BE5AE6"/>
    <w:rsid w:val="21C106E6"/>
    <w:rsid w:val="21DC478A"/>
    <w:rsid w:val="21DE318A"/>
    <w:rsid w:val="21EF5B80"/>
    <w:rsid w:val="22576990"/>
    <w:rsid w:val="22F47480"/>
    <w:rsid w:val="23DE1C48"/>
    <w:rsid w:val="23FF6756"/>
    <w:rsid w:val="240210CD"/>
    <w:rsid w:val="2406061C"/>
    <w:rsid w:val="24472D57"/>
    <w:rsid w:val="245E1D64"/>
    <w:rsid w:val="24681CF9"/>
    <w:rsid w:val="24BF09F7"/>
    <w:rsid w:val="24D84597"/>
    <w:rsid w:val="252030B6"/>
    <w:rsid w:val="2528626C"/>
    <w:rsid w:val="252D53FE"/>
    <w:rsid w:val="25EC2D81"/>
    <w:rsid w:val="26200C1C"/>
    <w:rsid w:val="26EC6F34"/>
    <w:rsid w:val="277057A2"/>
    <w:rsid w:val="27AE7143"/>
    <w:rsid w:val="2826784C"/>
    <w:rsid w:val="284949FB"/>
    <w:rsid w:val="287542D1"/>
    <w:rsid w:val="29206EB8"/>
    <w:rsid w:val="292E2C8F"/>
    <w:rsid w:val="29595666"/>
    <w:rsid w:val="29874881"/>
    <w:rsid w:val="29E325E0"/>
    <w:rsid w:val="2A452503"/>
    <w:rsid w:val="2AF251CF"/>
    <w:rsid w:val="2B5658EB"/>
    <w:rsid w:val="2BA936A8"/>
    <w:rsid w:val="2C007BC9"/>
    <w:rsid w:val="2C315A5A"/>
    <w:rsid w:val="2C3C1C06"/>
    <w:rsid w:val="2C4B1C25"/>
    <w:rsid w:val="2CD373D1"/>
    <w:rsid w:val="2D031401"/>
    <w:rsid w:val="2D1F6F98"/>
    <w:rsid w:val="2D48750D"/>
    <w:rsid w:val="2D9E56F5"/>
    <w:rsid w:val="2DAC5FE4"/>
    <w:rsid w:val="2E667F96"/>
    <w:rsid w:val="2E8226AB"/>
    <w:rsid w:val="2E9239D6"/>
    <w:rsid w:val="2F550C45"/>
    <w:rsid w:val="2FD065E6"/>
    <w:rsid w:val="2FD96870"/>
    <w:rsid w:val="2FDE44D1"/>
    <w:rsid w:val="30052006"/>
    <w:rsid w:val="304A273E"/>
    <w:rsid w:val="30554A9D"/>
    <w:rsid w:val="30580BC9"/>
    <w:rsid w:val="30D41687"/>
    <w:rsid w:val="30F7146C"/>
    <w:rsid w:val="311253E8"/>
    <w:rsid w:val="311E2ED7"/>
    <w:rsid w:val="31321ACF"/>
    <w:rsid w:val="315619EE"/>
    <w:rsid w:val="315C449C"/>
    <w:rsid w:val="319C60F2"/>
    <w:rsid w:val="31B82709"/>
    <w:rsid w:val="31BD3D26"/>
    <w:rsid w:val="31D05482"/>
    <w:rsid w:val="31D95FF5"/>
    <w:rsid w:val="32400B34"/>
    <w:rsid w:val="329E6876"/>
    <w:rsid w:val="333015F2"/>
    <w:rsid w:val="334B6320"/>
    <w:rsid w:val="339F5A3D"/>
    <w:rsid w:val="33D934D4"/>
    <w:rsid w:val="33E42ED2"/>
    <w:rsid w:val="33F01E0B"/>
    <w:rsid w:val="33FE2F6A"/>
    <w:rsid w:val="340365A3"/>
    <w:rsid w:val="340E07E5"/>
    <w:rsid w:val="34235BF7"/>
    <w:rsid w:val="34C615B6"/>
    <w:rsid w:val="34D64F62"/>
    <w:rsid w:val="35341922"/>
    <w:rsid w:val="355C15A5"/>
    <w:rsid w:val="35702700"/>
    <w:rsid w:val="358C5FA8"/>
    <w:rsid w:val="35C15DF1"/>
    <w:rsid w:val="36074A7F"/>
    <w:rsid w:val="36493630"/>
    <w:rsid w:val="365913A4"/>
    <w:rsid w:val="36923549"/>
    <w:rsid w:val="36B75FBF"/>
    <w:rsid w:val="36BD0C45"/>
    <w:rsid w:val="37125B5D"/>
    <w:rsid w:val="37181AD8"/>
    <w:rsid w:val="37B7711F"/>
    <w:rsid w:val="37E00298"/>
    <w:rsid w:val="38143B97"/>
    <w:rsid w:val="38771585"/>
    <w:rsid w:val="38B302F9"/>
    <w:rsid w:val="38F12CD3"/>
    <w:rsid w:val="38F94775"/>
    <w:rsid w:val="392971ED"/>
    <w:rsid w:val="39325651"/>
    <w:rsid w:val="39404602"/>
    <w:rsid w:val="39675BB3"/>
    <w:rsid w:val="39AA074E"/>
    <w:rsid w:val="39EC4A20"/>
    <w:rsid w:val="3A331558"/>
    <w:rsid w:val="3A4D0DFD"/>
    <w:rsid w:val="3A872856"/>
    <w:rsid w:val="3AA575A8"/>
    <w:rsid w:val="3B3763D1"/>
    <w:rsid w:val="3B62296C"/>
    <w:rsid w:val="3BD462B3"/>
    <w:rsid w:val="3C103A96"/>
    <w:rsid w:val="3C1C407C"/>
    <w:rsid w:val="3C2F6E1E"/>
    <w:rsid w:val="3C4F64BA"/>
    <w:rsid w:val="3C74603E"/>
    <w:rsid w:val="3CDA245A"/>
    <w:rsid w:val="3CF138A2"/>
    <w:rsid w:val="3D1E06B7"/>
    <w:rsid w:val="3D2B1FEC"/>
    <w:rsid w:val="3D513672"/>
    <w:rsid w:val="3D966C5A"/>
    <w:rsid w:val="3E4A24D8"/>
    <w:rsid w:val="3E806C1B"/>
    <w:rsid w:val="3EB075EF"/>
    <w:rsid w:val="3EC55C9F"/>
    <w:rsid w:val="3EDA0523"/>
    <w:rsid w:val="3F3855C7"/>
    <w:rsid w:val="3F9248D9"/>
    <w:rsid w:val="3FA87B55"/>
    <w:rsid w:val="407A6407"/>
    <w:rsid w:val="40825598"/>
    <w:rsid w:val="40BC0DFF"/>
    <w:rsid w:val="41114C76"/>
    <w:rsid w:val="41E963EE"/>
    <w:rsid w:val="4200449D"/>
    <w:rsid w:val="4203015A"/>
    <w:rsid w:val="421A6784"/>
    <w:rsid w:val="423A3BCC"/>
    <w:rsid w:val="424E57D2"/>
    <w:rsid w:val="42B26C49"/>
    <w:rsid w:val="42D00689"/>
    <w:rsid w:val="430A2A3B"/>
    <w:rsid w:val="433A6FE6"/>
    <w:rsid w:val="43480868"/>
    <w:rsid w:val="434B0BD9"/>
    <w:rsid w:val="4350713C"/>
    <w:rsid w:val="43654F54"/>
    <w:rsid w:val="436653E0"/>
    <w:rsid w:val="43C4431A"/>
    <w:rsid w:val="43FD391F"/>
    <w:rsid w:val="44B951CC"/>
    <w:rsid w:val="44CD14E0"/>
    <w:rsid w:val="44D620C5"/>
    <w:rsid w:val="44F20B0B"/>
    <w:rsid w:val="452E5F4C"/>
    <w:rsid w:val="454C1CD1"/>
    <w:rsid w:val="45612018"/>
    <w:rsid w:val="45672114"/>
    <w:rsid w:val="45742C2C"/>
    <w:rsid w:val="458946E9"/>
    <w:rsid w:val="459E5A0D"/>
    <w:rsid w:val="45A47C0E"/>
    <w:rsid w:val="45AB6D4F"/>
    <w:rsid w:val="45FC1D30"/>
    <w:rsid w:val="463D7880"/>
    <w:rsid w:val="46577FD6"/>
    <w:rsid w:val="46695516"/>
    <w:rsid w:val="46702E6F"/>
    <w:rsid w:val="469A39A2"/>
    <w:rsid w:val="46D955A7"/>
    <w:rsid w:val="47133957"/>
    <w:rsid w:val="479530A5"/>
    <w:rsid w:val="47A07E0C"/>
    <w:rsid w:val="47FC0CFA"/>
    <w:rsid w:val="48414F44"/>
    <w:rsid w:val="4870272E"/>
    <w:rsid w:val="488A7E06"/>
    <w:rsid w:val="48C32083"/>
    <w:rsid w:val="48D00720"/>
    <w:rsid w:val="494405DD"/>
    <w:rsid w:val="49DC7715"/>
    <w:rsid w:val="49F679C7"/>
    <w:rsid w:val="4A023139"/>
    <w:rsid w:val="4A0F5456"/>
    <w:rsid w:val="4A6D3162"/>
    <w:rsid w:val="4A7B576F"/>
    <w:rsid w:val="4AD86FD6"/>
    <w:rsid w:val="4AF561A9"/>
    <w:rsid w:val="4B0D3661"/>
    <w:rsid w:val="4BC14203"/>
    <w:rsid w:val="4C252D04"/>
    <w:rsid w:val="4C42721C"/>
    <w:rsid w:val="4C4A0649"/>
    <w:rsid w:val="4C59698F"/>
    <w:rsid w:val="4C7E5ECA"/>
    <w:rsid w:val="4C81068A"/>
    <w:rsid w:val="4C876AA5"/>
    <w:rsid w:val="4CE21D8A"/>
    <w:rsid w:val="4CE74E5D"/>
    <w:rsid w:val="4D0E00FB"/>
    <w:rsid w:val="4D176606"/>
    <w:rsid w:val="4D184A41"/>
    <w:rsid w:val="4D22533F"/>
    <w:rsid w:val="4D505309"/>
    <w:rsid w:val="4DD07780"/>
    <w:rsid w:val="4DEC4FB0"/>
    <w:rsid w:val="4E075D8A"/>
    <w:rsid w:val="4E1D23DC"/>
    <w:rsid w:val="4EC00FAD"/>
    <w:rsid w:val="4F0838DF"/>
    <w:rsid w:val="4F0A1DAA"/>
    <w:rsid w:val="4F40618C"/>
    <w:rsid w:val="4F8C69B7"/>
    <w:rsid w:val="4F9843DC"/>
    <w:rsid w:val="4FC62A8C"/>
    <w:rsid w:val="4FD01CC8"/>
    <w:rsid w:val="4FD06AC1"/>
    <w:rsid w:val="4FE20F0D"/>
    <w:rsid w:val="4FE51552"/>
    <w:rsid w:val="50144B62"/>
    <w:rsid w:val="50504C4B"/>
    <w:rsid w:val="509077A2"/>
    <w:rsid w:val="509C6E7C"/>
    <w:rsid w:val="50B8620F"/>
    <w:rsid w:val="50EC143A"/>
    <w:rsid w:val="512C1C7F"/>
    <w:rsid w:val="5162104E"/>
    <w:rsid w:val="51706CBA"/>
    <w:rsid w:val="51AF2767"/>
    <w:rsid w:val="51F80FD7"/>
    <w:rsid w:val="528C3EFA"/>
    <w:rsid w:val="52996AF1"/>
    <w:rsid w:val="52C21B2E"/>
    <w:rsid w:val="52F14B27"/>
    <w:rsid w:val="53643C5B"/>
    <w:rsid w:val="53A039CC"/>
    <w:rsid w:val="53A1505A"/>
    <w:rsid w:val="53F021CF"/>
    <w:rsid w:val="54063E08"/>
    <w:rsid w:val="543437E8"/>
    <w:rsid w:val="54A46E20"/>
    <w:rsid w:val="54F73313"/>
    <w:rsid w:val="54F80955"/>
    <w:rsid w:val="555170A7"/>
    <w:rsid w:val="5587536D"/>
    <w:rsid w:val="55960BE5"/>
    <w:rsid w:val="559B174B"/>
    <w:rsid w:val="55CE0CF4"/>
    <w:rsid w:val="5638226F"/>
    <w:rsid w:val="56511206"/>
    <w:rsid w:val="5686102D"/>
    <w:rsid w:val="56B22A9C"/>
    <w:rsid w:val="56D14F27"/>
    <w:rsid w:val="56D6047E"/>
    <w:rsid w:val="56D9645A"/>
    <w:rsid w:val="56DE6BCA"/>
    <w:rsid w:val="56FD6023"/>
    <w:rsid w:val="575663BC"/>
    <w:rsid w:val="57B72A76"/>
    <w:rsid w:val="57C3426C"/>
    <w:rsid w:val="57CE1F93"/>
    <w:rsid w:val="588743D1"/>
    <w:rsid w:val="5887701A"/>
    <w:rsid w:val="58F73E85"/>
    <w:rsid w:val="59443799"/>
    <w:rsid w:val="598E49C1"/>
    <w:rsid w:val="59A61E49"/>
    <w:rsid w:val="59C0439F"/>
    <w:rsid w:val="5A0377E4"/>
    <w:rsid w:val="5A6B5A38"/>
    <w:rsid w:val="5A7F37AB"/>
    <w:rsid w:val="5ABE2233"/>
    <w:rsid w:val="5AF668FE"/>
    <w:rsid w:val="5B8641CC"/>
    <w:rsid w:val="5BDF5D95"/>
    <w:rsid w:val="5BFE7528"/>
    <w:rsid w:val="5C2F67ED"/>
    <w:rsid w:val="5C3E620B"/>
    <w:rsid w:val="5C444EBD"/>
    <w:rsid w:val="5C80242B"/>
    <w:rsid w:val="5CAA0DD4"/>
    <w:rsid w:val="5CD07710"/>
    <w:rsid w:val="5CD71AFE"/>
    <w:rsid w:val="5CFD6F06"/>
    <w:rsid w:val="5D695CD0"/>
    <w:rsid w:val="5E2467F1"/>
    <w:rsid w:val="5EF35425"/>
    <w:rsid w:val="5F1A2B43"/>
    <w:rsid w:val="5F2A13BF"/>
    <w:rsid w:val="5F2B4E8C"/>
    <w:rsid w:val="5F725760"/>
    <w:rsid w:val="5FB837BB"/>
    <w:rsid w:val="5FC529B3"/>
    <w:rsid w:val="600635DB"/>
    <w:rsid w:val="608F5084"/>
    <w:rsid w:val="60956576"/>
    <w:rsid w:val="60CC405A"/>
    <w:rsid w:val="60D22C83"/>
    <w:rsid w:val="60D32D2E"/>
    <w:rsid w:val="611376F6"/>
    <w:rsid w:val="613607C7"/>
    <w:rsid w:val="6190775E"/>
    <w:rsid w:val="61E215D8"/>
    <w:rsid w:val="621B3775"/>
    <w:rsid w:val="62364782"/>
    <w:rsid w:val="62D843E2"/>
    <w:rsid w:val="62F34C34"/>
    <w:rsid w:val="6316519C"/>
    <w:rsid w:val="634B0990"/>
    <w:rsid w:val="636150E7"/>
    <w:rsid w:val="63644F37"/>
    <w:rsid w:val="6394356A"/>
    <w:rsid w:val="63C61B2C"/>
    <w:rsid w:val="63D40BE9"/>
    <w:rsid w:val="64102431"/>
    <w:rsid w:val="64A5243A"/>
    <w:rsid w:val="64F531DE"/>
    <w:rsid w:val="65373578"/>
    <w:rsid w:val="65447420"/>
    <w:rsid w:val="6663682A"/>
    <w:rsid w:val="66B91848"/>
    <w:rsid w:val="671F124A"/>
    <w:rsid w:val="677A33C6"/>
    <w:rsid w:val="67F74DDB"/>
    <w:rsid w:val="68156029"/>
    <w:rsid w:val="681F6961"/>
    <w:rsid w:val="683C720D"/>
    <w:rsid w:val="68610A2F"/>
    <w:rsid w:val="68805514"/>
    <w:rsid w:val="68BB1E56"/>
    <w:rsid w:val="68EE5CF9"/>
    <w:rsid w:val="69197A15"/>
    <w:rsid w:val="69316E2F"/>
    <w:rsid w:val="694E2071"/>
    <w:rsid w:val="69707E8B"/>
    <w:rsid w:val="69766163"/>
    <w:rsid w:val="697A3B33"/>
    <w:rsid w:val="69C71B8D"/>
    <w:rsid w:val="69D44760"/>
    <w:rsid w:val="69F10D61"/>
    <w:rsid w:val="6A153D32"/>
    <w:rsid w:val="6A520EC7"/>
    <w:rsid w:val="6A9C1A8B"/>
    <w:rsid w:val="6AF87E20"/>
    <w:rsid w:val="6B000899"/>
    <w:rsid w:val="6B322639"/>
    <w:rsid w:val="6BD255F9"/>
    <w:rsid w:val="6BF812EE"/>
    <w:rsid w:val="6BFA214F"/>
    <w:rsid w:val="6C154AF4"/>
    <w:rsid w:val="6C370132"/>
    <w:rsid w:val="6C521962"/>
    <w:rsid w:val="6C636C38"/>
    <w:rsid w:val="6CA67F72"/>
    <w:rsid w:val="6CB22A29"/>
    <w:rsid w:val="6CE334FC"/>
    <w:rsid w:val="6D344536"/>
    <w:rsid w:val="6DA11190"/>
    <w:rsid w:val="6DB34098"/>
    <w:rsid w:val="6DB545B6"/>
    <w:rsid w:val="6DB92326"/>
    <w:rsid w:val="6DE02FB4"/>
    <w:rsid w:val="6E22035D"/>
    <w:rsid w:val="6E514CED"/>
    <w:rsid w:val="6E6D78C5"/>
    <w:rsid w:val="6E9E2C69"/>
    <w:rsid w:val="6EB563D5"/>
    <w:rsid w:val="6EB73174"/>
    <w:rsid w:val="6ED92677"/>
    <w:rsid w:val="6EE32018"/>
    <w:rsid w:val="6F1170A3"/>
    <w:rsid w:val="6F225983"/>
    <w:rsid w:val="6F3E2BEB"/>
    <w:rsid w:val="6FA14A5D"/>
    <w:rsid w:val="6FB7056B"/>
    <w:rsid w:val="6FC96B2D"/>
    <w:rsid w:val="6FF02664"/>
    <w:rsid w:val="6FFC5590"/>
    <w:rsid w:val="7023738E"/>
    <w:rsid w:val="70484CFA"/>
    <w:rsid w:val="706D1DD0"/>
    <w:rsid w:val="70856B87"/>
    <w:rsid w:val="70D527EE"/>
    <w:rsid w:val="715B5300"/>
    <w:rsid w:val="718F346A"/>
    <w:rsid w:val="71D27F8A"/>
    <w:rsid w:val="72553024"/>
    <w:rsid w:val="72DE072E"/>
    <w:rsid w:val="73122968"/>
    <w:rsid w:val="731F5D5E"/>
    <w:rsid w:val="736B1326"/>
    <w:rsid w:val="73C51AD5"/>
    <w:rsid w:val="73EC7AF8"/>
    <w:rsid w:val="741E793C"/>
    <w:rsid w:val="74254FE6"/>
    <w:rsid w:val="745E3944"/>
    <w:rsid w:val="75480A32"/>
    <w:rsid w:val="756C4AB2"/>
    <w:rsid w:val="75CC31A5"/>
    <w:rsid w:val="75D60E5A"/>
    <w:rsid w:val="75E32ED7"/>
    <w:rsid w:val="7635099D"/>
    <w:rsid w:val="769F743F"/>
    <w:rsid w:val="76E85832"/>
    <w:rsid w:val="7761020F"/>
    <w:rsid w:val="77762421"/>
    <w:rsid w:val="77A36FD6"/>
    <w:rsid w:val="77B56B1F"/>
    <w:rsid w:val="780D59F5"/>
    <w:rsid w:val="780F09F4"/>
    <w:rsid w:val="78A90480"/>
    <w:rsid w:val="78FD61C3"/>
    <w:rsid w:val="79615EA0"/>
    <w:rsid w:val="798E28DD"/>
    <w:rsid w:val="79906FF5"/>
    <w:rsid w:val="799F3B81"/>
    <w:rsid w:val="7A364017"/>
    <w:rsid w:val="7A52242B"/>
    <w:rsid w:val="7A8265E1"/>
    <w:rsid w:val="7A951A85"/>
    <w:rsid w:val="7B4C3F6D"/>
    <w:rsid w:val="7B5D193D"/>
    <w:rsid w:val="7B686D42"/>
    <w:rsid w:val="7B841746"/>
    <w:rsid w:val="7BE15D2E"/>
    <w:rsid w:val="7C1939AF"/>
    <w:rsid w:val="7C6C5AC7"/>
    <w:rsid w:val="7CC6544B"/>
    <w:rsid w:val="7D0239FF"/>
    <w:rsid w:val="7D251BFE"/>
    <w:rsid w:val="7D3F7CE2"/>
    <w:rsid w:val="7D410EA9"/>
    <w:rsid w:val="7D5E40CD"/>
    <w:rsid w:val="7D6C2781"/>
    <w:rsid w:val="7D6F5DD2"/>
    <w:rsid w:val="7D70384B"/>
    <w:rsid w:val="7DCD56F2"/>
    <w:rsid w:val="7DD24E89"/>
    <w:rsid w:val="7DF52AB2"/>
    <w:rsid w:val="7E5B14C1"/>
    <w:rsid w:val="7E917605"/>
    <w:rsid w:val="7ED52208"/>
    <w:rsid w:val="7F001CE7"/>
    <w:rsid w:val="7F816DE7"/>
    <w:rsid w:val="7FB36C2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iPriority="99"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nhideWhenUsed="0" w:uiPriority="0" w:semiHidden="0" w:name="Note Heading" w:locked="1"/>
    <w:lsdException w:qFormat="1" w:uiPriority="0" w:semiHidden="0" w:name="Body Text 2" w:locked="1"/>
    <w:lsdException w:unhideWhenUsed="0" w:uiPriority="0" w:semiHidden="0" w:name="Body Text 3" w:locked="1"/>
    <w:lsdException w:qFormat="1" w:uiPriority="99"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unhideWhenUsed="0" w:uiPriority="0" w:semiHidden="0" w:name="Emphasis" w:locked="1"/>
    <w:lsdException w:qFormat="1" w:uiPriority="99"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iPriority="0" w:name="HTML Typewriter" w:locked="1"/>
    <w:lsdException w:unhideWhenUsed="0" w:uiPriority="0" w:semiHidden="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59"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pacing w:before="120" w:after="160" w:line="259" w:lineRule="auto"/>
      <w:ind w:left="432" w:hanging="432"/>
      <w:outlineLvl w:val="0"/>
    </w:pPr>
    <w:rPr>
      <w:rFonts w:ascii="Times New Roman" w:hAnsi="Times New Roman" w:eastAsia="宋体"/>
      <w:b/>
      <w:bCs/>
      <w:color w:val="000000"/>
      <w:kern w:val="44"/>
      <w:sz w:val="30"/>
      <w:szCs w:val="30"/>
    </w:rPr>
  </w:style>
  <w:style w:type="paragraph" w:styleId="4">
    <w:name w:val="heading 2"/>
    <w:basedOn w:val="1"/>
    <w:next w:val="1"/>
    <w:link w:val="45"/>
    <w:qFormat/>
    <w:locked/>
    <w:uiPriority w:val="0"/>
    <w:pPr>
      <w:keepNext/>
      <w:keepLines/>
      <w:adjustRightInd/>
      <w:snapToGrid/>
      <w:spacing w:before="260" w:after="260" w:line="416" w:lineRule="auto"/>
      <w:outlineLvl w:val="1"/>
    </w:pPr>
    <w:rPr>
      <w:rFonts w:ascii="Arial" w:hAnsi="Arial" w:eastAsia="黑体"/>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3"/>
    <w:qFormat/>
    <w:uiPriority w:val="99"/>
    <w:pPr>
      <w:widowControl/>
      <w:spacing w:before="60" w:after="160" w:line="259" w:lineRule="auto"/>
      <w:ind w:right="113"/>
    </w:pPr>
    <w:rPr>
      <w:kern w:val="0"/>
      <w:sz w:val="18"/>
      <w:szCs w:val="20"/>
    </w:rPr>
  </w:style>
  <w:style w:type="paragraph" w:styleId="6">
    <w:name w:val="Normal Indent"/>
    <w:basedOn w:val="1"/>
    <w:next w:val="1"/>
    <w:link w:val="84"/>
    <w:unhideWhenUsed/>
    <w:qFormat/>
    <w:locked/>
    <w:uiPriority w:val="99"/>
    <w:pPr>
      <w:adjustRightInd/>
      <w:snapToGrid/>
      <w:spacing w:line="360" w:lineRule="auto"/>
      <w:ind w:firstLine="420" w:firstLineChars="200"/>
    </w:pPr>
    <w:rPr>
      <w:rFonts w:ascii="Calibri" w:hAnsi="Calibri"/>
      <w:sz w:val="24"/>
      <w:szCs w:val="22"/>
    </w:rPr>
  </w:style>
  <w:style w:type="paragraph" w:styleId="7">
    <w:name w:val="index 5"/>
    <w:basedOn w:val="1"/>
    <w:next w:val="1"/>
    <w:unhideWhenUsed/>
    <w:qFormat/>
    <w:locked/>
    <w:uiPriority w:val="99"/>
    <w:pPr>
      <w:spacing w:line="360" w:lineRule="auto"/>
      <w:jc w:val="center"/>
    </w:pPr>
    <w:rPr>
      <w:rFonts w:ascii="宋体" w:hAnsi="宋体" w:cs="宋体"/>
      <w:b/>
      <w:bCs/>
      <w:kern w:val="0"/>
      <w:szCs w:val="21"/>
    </w:rPr>
  </w:style>
  <w:style w:type="paragraph" w:styleId="8">
    <w:name w:val="Document Map"/>
    <w:basedOn w:val="1"/>
    <w:link w:val="80"/>
    <w:unhideWhenUsed/>
    <w:qFormat/>
    <w:locked/>
    <w:uiPriority w:val="99"/>
    <w:pPr>
      <w:adjustRightInd/>
      <w:snapToGrid/>
      <w:spacing w:line="360" w:lineRule="auto"/>
      <w:ind w:firstLine="200" w:firstLineChars="200"/>
    </w:pPr>
    <w:rPr>
      <w:rFonts w:ascii="宋体"/>
      <w:sz w:val="18"/>
      <w:szCs w:val="18"/>
    </w:rPr>
  </w:style>
  <w:style w:type="paragraph" w:styleId="9">
    <w:name w:val="annotation text"/>
    <w:basedOn w:val="1"/>
    <w:link w:val="54"/>
    <w:semiHidden/>
    <w:qFormat/>
    <w:uiPriority w:val="99"/>
    <w:pPr>
      <w:jc w:val="left"/>
    </w:pPr>
    <w:rPr>
      <w:kern w:val="0"/>
      <w:sz w:val="24"/>
      <w:szCs w:val="20"/>
    </w:rPr>
  </w:style>
  <w:style w:type="paragraph" w:styleId="10">
    <w:name w:val="Body Text Indent"/>
    <w:basedOn w:val="1"/>
    <w:next w:val="11"/>
    <w:link w:val="62"/>
    <w:qFormat/>
    <w:uiPriority w:val="0"/>
    <w:pPr>
      <w:spacing w:after="120"/>
      <w:ind w:left="420" w:leftChars="200"/>
    </w:pPr>
    <w:rPr>
      <w:kern w:val="0"/>
      <w:sz w:val="24"/>
      <w:szCs w:val="20"/>
    </w:rPr>
  </w:style>
  <w:style w:type="paragraph" w:styleId="11">
    <w:name w:val="Body Text Indent 2"/>
    <w:basedOn w:val="1"/>
    <w:next w:val="12"/>
    <w:link w:val="121"/>
    <w:unhideWhenUsed/>
    <w:qFormat/>
    <w:locked/>
    <w:uiPriority w:val="99"/>
    <w:pPr>
      <w:adjustRightInd/>
      <w:snapToGrid/>
      <w:spacing w:after="120" w:line="480" w:lineRule="auto"/>
      <w:ind w:left="420" w:leftChars="200" w:firstLine="200" w:firstLineChars="200"/>
    </w:pPr>
    <w:rPr>
      <w:sz w:val="24"/>
      <w:szCs w:val="22"/>
    </w:rPr>
  </w:style>
  <w:style w:type="paragraph" w:styleId="12">
    <w:name w:val="Body Text First Indent 2"/>
    <w:basedOn w:val="10"/>
    <w:next w:val="1"/>
    <w:link w:val="114"/>
    <w:unhideWhenUsed/>
    <w:qFormat/>
    <w:locked/>
    <w:uiPriority w:val="99"/>
    <w:pPr>
      <w:adjustRightInd/>
      <w:snapToGrid/>
      <w:spacing w:line="360" w:lineRule="auto"/>
      <w:ind w:firstLine="420" w:firstLineChars="200"/>
    </w:pPr>
    <w:rPr>
      <w:kern w:val="2"/>
      <w:szCs w:val="22"/>
    </w:rPr>
  </w:style>
  <w:style w:type="paragraph" w:styleId="13">
    <w:name w:val="Block Text"/>
    <w:basedOn w:val="1"/>
    <w:qFormat/>
    <w:locked/>
    <w:uiPriority w:val="0"/>
    <w:pPr>
      <w:adjustRightInd/>
      <w:spacing w:line="420" w:lineRule="exact"/>
      <w:ind w:left="101" w:leftChars="48" w:right="149" w:rightChars="71" w:firstLine="426" w:firstLineChars="203"/>
    </w:pPr>
    <w:rPr>
      <w:rFonts w:ascii="Calibri" w:hAnsi="Calibri"/>
    </w:rPr>
  </w:style>
  <w:style w:type="paragraph" w:styleId="14">
    <w:name w:val="Plain Text"/>
    <w:basedOn w:val="1"/>
    <w:link w:val="69"/>
    <w:unhideWhenUsed/>
    <w:qFormat/>
    <w:locked/>
    <w:uiPriority w:val="0"/>
    <w:pPr>
      <w:adjustRightInd/>
      <w:snapToGrid/>
    </w:pPr>
    <w:rPr>
      <w:rFonts w:ascii="宋体" w:hAnsi="Courier New"/>
      <w:sz w:val="24"/>
      <w:szCs w:val="20"/>
    </w:rPr>
  </w:style>
  <w:style w:type="paragraph" w:styleId="15">
    <w:name w:val="Date"/>
    <w:basedOn w:val="1"/>
    <w:next w:val="1"/>
    <w:link w:val="49"/>
    <w:qFormat/>
    <w:uiPriority w:val="0"/>
    <w:pPr>
      <w:ind w:left="100" w:leftChars="2500"/>
    </w:pPr>
    <w:rPr>
      <w:kern w:val="0"/>
      <w:sz w:val="24"/>
      <w:szCs w:val="20"/>
    </w:rPr>
  </w:style>
  <w:style w:type="paragraph" w:styleId="16">
    <w:name w:val="Balloon Text"/>
    <w:basedOn w:val="1"/>
    <w:link w:val="58"/>
    <w:semiHidden/>
    <w:qFormat/>
    <w:uiPriority w:val="99"/>
    <w:rPr>
      <w:kern w:val="0"/>
      <w:sz w:val="18"/>
      <w:szCs w:val="20"/>
    </w:rPr>
  </w:style>
  <w:style w:type="paragraph" w:styleId="17">
    <w:name w:val="footer"/>
    <w:basedOn w:val="1"/>
    <w:link w:val="48"/>
    <w:qFormat/>
    <w:uiPriority w:val="99"/>
    <w:pPr>
      <w:tabs>
        <w:tab w:val="center" w:pos="4153"/>
        <w:tab w:val="right" w:pos="8306"/>
      </w:tabs>
      <w:jc w:val="left"/>
    </w:pPr>
    <w:rPr>
      <w:kern w:val="0"/>
      <w:sz w:val="18"/>
      <w:szCs w:val="20"/>
    </w:rPr>
  </w:style>
  <w:style w:type="paragraph" w:styleId="18">
    <w:name w:val="header"/>
    <w:basedOn w:val="1"/>
    <w:link w:val="60"/>
    <w:qFormat/>
    <w:uiPriority w:val="99"/>
    <w:pPr>
      <w:pBdr>
        <w:bottom w:val="single" w:color="auto" w:sz="6" w:space="1"/>
      </w:pBdr>
      <w:tabs>
        <w:tab w:val="center" w:pos="4153"/>
        <w:tab w:val="right" w:pos="8306"/>
      </w:tabs>
      <w:jc w:val="center"/>
    </w:pPr>
    <w:rPr>
      <w:kern w:val="0"/>
      <w:sz w:val="18"/>
      <w:szCs w:val="20"/>
    </w:rPr>
  </w:style>
  <w:style w:type="paragraph" w:styleId="19">
    <w:name w:val="toc 1"/>
    <w:basedOn w:val="1"/>
    <w:next w:val="1"/>
    <w:qFormat/>
    <w:locked/>
    <w:uiPriority w:val="0"/>
  </w:style>
  <w:style w:type="paragraph" w:styleId="20">
    <w:name w:val="List"/>
    <w:basedOn w:val="1"/>
    <w:unhideWhenUsed/>
    <w:qFormat/>
    <w:locked/>
    <w:uiPriority w:val="99"/>
    <w:pPr>
      <w:adjustRightInd/>
      <w:snapToGrid/>
      <w:spacing w:line="360" w:lineRule="auto"/>
      <w:ind w:left="200" w:hanging="200" w:hangingChars="200"/>
      <w:contextualSpacing/>
    </w:pPr>
    <w:rPr>
      <w:sz w:val="24"/>
      <w:szCs w:val="22"/>
    </w:rPr>
  </w:style>
  <w:style w:type="paragraph" w:styleId="21">
    <w:name w:val="Body Text Indent 3"/>
    <w:basedOn w:val="1"/>
    <w:qFormat/>
    <w:locked/>
    <w:uiPriority w:val="0"/>
    <w:pPr>
      <w:spacing w:after="120"/>
      <w:ind w:left="420"/>
    </w:pPr>
    <w:rPr>
      <w:sz w:val="16"/>
      <w:szCs w:val="16"/>
    </w:rPr>
  </w:style>
  <w:style w:type="paragraph" w:styleId="22">
    <w:name w:val="table of figures"/>
    <w:basedOn w:val="1"/>
    <w:next w:val="1"/>
    <w:unhideWhenUsed/>
    <w:qFormat/>
    <w:locked/>
    <w:uiPriority w:val="99"/>
  </w:style>
  <w:style w:type="paragraph" w:styleId="23">
    <w:name w:val="toc 2"/>
    <w:basedOn w:val="1"/>
    <w:next w:val="1"/>
    <w:qFormat/>
    <w:locked/>
    <w:uiPriority w:val="0"/>
    <w:pPr>
      <w:adjustRightInd/>
      <w:snapToGrid/>
      <w:spacing w:line="500" w:lineRule="exact"/>
      <w:ind w:firstLine="630" w:firstLineChars="200"/>
    </w:pPr>
    <w:rPr>
      <w:rFonts w:eastAsia="黑体"/>
      <w:bCs/>
      <w:sz w:val="24"/>
      <w:szCs w:val="20"/>
    </w:rPr>
  </w:style>
  <w:style w:type="paragraph" w:styleId="24">
    <w:name w:val="Body Text 2"/>
    <w:basedOn w:val="1"/>
    <w:link w:val="81"/>
    <w:unhideWhenUsed/>
    <w:qFormat/>
    <w:locked/>
    <w:uiPriority w:val="0"/>
    <w:pPr>
      <w:adjustRightInd/>
      <w:snapToGrid/>
      <w:spacing w:line="360" w:lineRule="auto"/>
      <w:ind w:firstLine="200" w:firstLineChars="200"/>
    </w:pPr>
    <w:rPr>
      <w:b/>
      <w:sz w:val="32"/>
      <w:szCs w:val="20"/>
    </w:rPr>
  </w:style>
  <w:style w:type="paragraph" w:styleId="25">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link w:val="51"/>
    <w:qFormat/>
    <w:uiPriority w:val="0"/>
    <w:pPr>
      <w:widowControl/>
      <w:spacing w:after="50" w:afterLines="50" w:line="360" w:lineRule="auto"/>
      <w:jc w:val="center"/>
    </w:pPr>
    <w:rPr>
      <w:b/>
      <w:kern w:val="0"/>
      <w:szCs w:val="20"/>
    </w:rPr>
  </w:style>
  <w:style w:type="paragraph" w:styleId="27">
    <w:name w:val="Title"/>
    <w:basedOn w:val="1"/>
    <w:next w:val="1"/>
    <w:qFormat/>
    <w:locked/>
    <w:uiPriority w:val="0"/>
    <w:pPr>
      <w:jc w:val="center"/>
    </w:pPr>
    <w:rPr>
      <w:bCs/>
      <w:szCs w:val="32"/>
    </w:rPr>
  </w:style>
  <w:style w:type="paragraph" w:styleId="28">
    <w:name w:val="annotation subject"/>
    <w:basedOn w:val="9"/>
    <w:next w:val="9"/>
    <w:link w:val="59"/>
    <w:semiHidden/>
    <w:qFormat/>
    <w:uiPriority w:val="99"/>
    <w:rPr>
      <w:b/>
    </w:rPr>
  </w:style>
  <w:style w:type="paragraph" w:styleId="29">
    <w:name w:val="Body Text First Indent"/>
    <w:basedOn w:val="2"/>
    <w:next w:val="12"/>
    <w:link w:val="82"/>
    <w:unhideWhenUsed/>
    <w:qFormat/>
    <w:locked/>
    <w:uiPriority w:val="99"/>
    <w:pPr>
      <w:widowControl w:val="0"/>
      <w:adjustRightInd/>
      <w:snapToGrid/>
      <w:spacing w:before="0" w:after="120" w:line="360" w:lineRule="auto"/>
      <w:ind w:right="0" w:firstLine="420" w:firstLineChars="100"/>
    </w:pPr>
    <w:rPr>
      <w:kern w:val="2"/>
      <w:sz w:val="24"/>
      <w:szCs w:val="22"/>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0"/>
    <w:rPr>
      <w:b/>
      <w:bCs/>
    </w:rPr>
  </w:style>
  <w:style w:type="character" w:styleId="34">
    <w:name w:val="page number"/>
    <w:basedOn w:val="32"/>
    <w:qFormat/>
    <w:locked/>
    <w:uiPriority w:val="0"/>
  </w:style>
  <w:style w:type="character" w:styleId="35">
    <w:name w:val="Hyperlink"/>
    <w:unhideWhenUsed/>
    <w:qFormat/>
    <w:locked/>
    <w:uiPriority w:val="99"/>
    <w:rPr>
      <w:color w:val="0000FF"/>
      <w:u w:val="single"/>
    </w:rPr>
  </w:style>
  <w:style w:type="character" w:styleId="36">
    <w:name w:val="annotation reference"/>
    <w:semiHidden/>
    <w:qFormat/>
    <w:uiPriority w:val="99"/>
    <w:rPr>
      <w:sz w:val="21"/>
    </w:rPr>
  </w:style>
  <w:style w:type="paragraph" w:customStyle="1" w:styleId="3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Default"/>
    <w:basedOn w:val="39"/>
    <w:next w:val="1"/>
    <w:qFormat/>
    <w:uiPriority w:val="0"/>
    <w:pPr>
      <w:autoSpaceDE w:val="0"/>
      <w:autoSpaceDN w:val="0"/>
      <w:adjustRightInd w:val="0"/>
    </w:pPr>
    <w:rPr>
      <w:rFonts w:ascii="宋体" w:hAnsi="Calibri"/>
      <w:color w:val="000000"/>
      <w:sz w:val="24"/>
    </w:rPr>
  </w:style>
  <w:style w:type="paragraph" w:customStyle="1" w:styleId="39">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表头"/>
    <w:basedOn w:val="20"/>
    <w:next w:val="1"/>
    <w:link w:val="118"/>
    <w:qFormat/>
    <w:uiPriority w:val="0"/>
    <w:pPr>
      <w:spacing w:before="100" w:beforeLines="100"/>
      <w:ind w:left="0" w:firstLine="0" w:firstLineChars="0"/>
      <w:contextualSpacing w:val="0"/>
      <w:jc w:val="center"/>
    </w:pPr>
    <w:rPr>
      <w:rFonts w:cs="宋体"/>
      <w:b/>
      <w:kern w:val="0"/>
      <w:sz w:val="20"/>
      <w:szCs w:val="24"/>
    </w:rPr>
  </w:style>
  <w:style w:type="paragraph" w:customStyle="1" w:styleId="41">
    <w:name w:val="报告表样式"/>
    <w:basedOn w:val="1"/>
    <w:qFormat/>
    <w:uiPriority w:val="0"/>
    <w:pPr>
      <w:ind w:firstLine="480" w:firstLineChars="200"/>
      <w:jc w:val="center"/>
    </w:pPr>
    <w:rPr>
      <w:snapToGrid w:val="0"/>
      <w:color w:val="000000"/>
      <w:kern w:val="0"/>
      <w:sz w:val="24"/>
    </w:rPr>
  </w:style>
  <w:style w:type="paragraph" w:customStyle="1" w:styleId="42">
    <w:name w:val="一级标题"/>
    <w:basedOn w:val="1"/>
    <w:qFormat/>
    <w:uiPriority w:val="0"/>
    <w:pPr>
      <w:ind w:firstLine="539"/>
    </w:pPr>
    <w:rPr>
      <w:rFonts w:eastAsia="黑体"/>
      <w:sz w:val="28"/>
    </w:rPr>
  </w:style>
  <w:style w:type="paragraph" w:customStyle="1" w:styleId="43">
    <w:name w:val="0正文"/>
    <w:basedOn w:val="1"/>
    <w:qFormat/>
    <w:uiPriority w:val="0"/>
    <w:pPr>
      <w:spacing w:line="360" w:lineRule="auto"/>
      <w:ind w:firstLine="480" w:firstLineChars="200"/>
    </w:pPr>
    <w:rPr>
      <w:rFonts w:ascii="Calibri" w:hAnsi="Calibri" w:cs="黑体"/>
      <w:sz w:val="24"/>
      <w:szCs w:val="20"/>
    </w:rPr>
  </w:style>
  <w:style w:type="paragraph" w:customStyle="1" w:styleId="44">
    <w:name w:val="报告书正文"/>
    <w:basedOn w:val="1"/>
    <w:link w:val="98"/>
    <w:qFormat/>
    <w:uiPriority w:val="0"/>
    <w:pPr>
      <w:adjustRightInd/>
      <w:snapToGrid/>
      <w:ind w:firstLine="560" w:firstLineChars="200"/>
    </w:pPr>
    <w:rPr>
      <w:rFonts w:ascii="宋体" w:hAnsi="宋体"/>
      <w:kern w:val="0"/>
      <w:sz w:val="28"/>
    </w:rPr>
  </w:style>
  <w:style w:type="character" w:customStyle="1" w:styleId="45">
    <w:name w:val="标题 2 字符"/>
    <w:basedOn w:val="32"/>
    <w:link w:val="4"/>
    <w:qFormat/>
    <w:uiPriority w:val="0"/>
    <w:rPr>
      <w:rFonts w:ascii="Arial" w:hAnsi="Arial" w:eastAsia="黑体"/>
      <w:b/>
      <w:bCs/>
      <w:kern w:val="2"/>
      <w:sz w:val="32"/>
      <w:szCs w:val="32"/>
    </w:rPr>
  </w:style>
  <w:style w:type="paragraph" w:customStyle="1" w:styleId="46">
    <w:name w:val="A样式 小四 行距: 1.5 倍行距 首行缩进:  2 字符"/>
    <w:basedOn w:val="1"/>
    <w:qFormat/>
    <w:uiPriority w:val="0"/>
    <w:pPr>
      <w:ind w:firstLine="480"/>
    </w:pPr>
    <w:rPr>
      <w:rFonts w:ascii="Calibri" w:hAnsi="Calibri" w:cs="宋体"/>
      <w:szCs w:val="22"/>
    </w:rPr>
  </w:style>
  <w:style w:type="paragraph" w:customStyle="1" w:styleId="47">
    <w:name w:val="样式 正文缩进正文缩进2正文缩进 Char Char正文缩进 Char Char Char Char正文缩进 Char ..."/>
    <w:basedOn w:val="6"/>
    <w:qFormat/>
    <w:uiPriority w:val="0"/>
    <w:pPr>
      <w:spacing w:line="240" w:lineRule="auto"/>
      <w:ind w:firstLine="0" w:firstLineChars="0"/>
    </w:pPr>
    <w:rPr>
      <w:rFonts w:ascii="Times New Roman"/>
      <w:w w:val="80"/>
      <w:sz w:val="18"/>
      <w:szCs w:val="15"/>
    </w:rPr>
  </w:style>
  <w:style w:type="character" w:customStyle="1" w:styleId="48">
    <w:name w:val="页脚 字符1"/>
    <w:link w:val="17"/>
    <w:qFormat/>
    <w:locked/>
    <w:uiPriority w:val="99"/>
    <w:rPr>
      <w:sz w:val="18"/>
    </w:rPr>
  </w:style>
  <w:style w:type="character" w:customStyle="1" w:styleId="49">
    <w:name w:val="日期 字符1"/>
    <w:link w:val="15"/>
    <w:qFormat/>
    <w:locked/>
    <w:uiPriority w:val="0"/>
    <w:rPr>
      <w:rFonts w:ascii="Times New Roman" w:hAnsi="Times New Roman" w:eastAsia="宋体"/>
      <w:sz w:val="24"/>
    </w:rPr>
  </w:style>
  <w:style w:type="character" w:customStyle="1" w:styleId="50">
    <w:name w:val="页脚 字符"/>
    <w:basedOn w:val="32"/>
    <w:qFormat/>
    <w:uiPriority w:val="99"/>
  </w:style>
  <w:style w:type="character" w:customStyle="1" w:styleId="51">
    <w:name w:val="普通(网站) 字符"/>
    <w:link w:val="26"/>
    <w:qFormat/>
    <w:locked/>
    <w:uiPriority w:val="0"/>
    <w:rPr>
      <w:b/>
      <w:sz w:val="21"/>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正文文本 字符"/>
    <w:link w:val="2"/>
    <w:qFormat/>
    <w:locked/>
    <w:uiPriority w:val="99"/>
    <w:rPr>
      <w:sz w:val="18"/>
    </w:rPr>
  </w:style>
  <w:style w:type="character" w:customStyle="1" w:styleId="54">
    <w:name w:val="批注文字 字符"/>
    <w:link w:val="9"/>
    <w:qFormat/>
    <w:locked/>
    <w:uiPriority w:val="99"/>
    <w:rPr>
      <w:rFonts w:ascii="Times New Roman" w:hAnsi="Times New Roman" w:eastAsia="宋体"/>
      <w:sz w:val="24"/>
    </w:rPr>
  </w:style>
  <w:style w:type="character" w:customStyle="1" w:styleId="55">
    <w:name w:val="表格 Char"/>
    <w:link w:val="56"/>
    <w:qFormat/>
    <w:locked/>
    <w:uiPriority w:val="0"/>
    <w:rPr>
      <w:rFonts w:ascii="宋体"/>
      <w:sz w:val="21"/>
    </w:rPr>
  </w:style>
  <w:style w:type="paragraph" w:customStyle="1" w:styleId="56">
    <w:name w:val="表格"/>
    <w:basedOn w:val="20"/>
    <w:next w:val="1"/>
    <w:link w:val="55"/>
    <w:qFormat/>
    <w:uiPriority w:val="0"/>
    <w:pPr>
      <w:spacing w:beforeLines="10" w:afterLines="10" w:line="259" w:lineRule="auto"/>
      <w:jc w:val="center"/>
    </w:pPr>
    <w:rPr>
      <w:rFonts w:ascii="宋体"/>
      <w:kern w:val="0"/>
      <w:szCs w:val="20"/>
    </w:rPr>
  </w:style>
  <w:style w:type="character" w:customStyle="1" w:styleId="57">
    <w:name w:val="日期 字符"/>
    <w:semiHidden/>
    <w:qFormat/>
    <w:uiPriority w:val="0"/>
    <w:rPr>
      <w:rFonts w:ascii="Times New Roman" w:hAnsi="Times New Roman" w:eastAsia="宋体"/>
      <w:sz w:val="24"/>
    </w:rPr>
  </w:style>
  <w:style w:type="character" w:customStyle="1" w:styleId="58">
    <w:name w:val="批注框文本 字符"/>
    <w:link w:val="16"/>
    <w:semiHidden/>
    <w:qFormat/>
    <w:locked/>
    <w:uiPriority w:val="99"/>
    <w:rPr>
      <w:rFonts w:ascii="Times New Roman" w:hAnsi="Times New Roman" w:eastAsia="宋体"/>
      <w:sz w:val="18"/>
    </w:rPr>
  </w:style>
  <w:style w:type="character" w:customStyle="1" w:styleId="59">
    <w:name w:val="批注主题 字符"/>
    <w:link w:val="28"/>
    <w:semiHidden/>
    <w:qFormat/>
    <w:locked/>
    <w:uiPriority w:val="99"/>
    <w:rPr>
      <w:rFonts w:ascii="Times New Roman" w:hAnsi="Times New Roman" w:eastAsia="宋体"/>
      <w:b/>
      <w:kern w:val="2"/>
      <w:sz w:val="24"/>
    </w:rPr>
  </w:style>
  <w:style w:type="character" w:customStyle="1" w:styleId="60">
    <w:name w:val="页眉 字符"/>
    <w:link w:val="18"/>
    <w:qFormat/>
    <w:locked/>
    <w:uiPriority w:val="99"/>
    <w:rPr>
      <w:sz w:val="18"/>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正文文本缩进 字符"/>
    <w:link w:val="10"/>
    <w:qFormat/>
    <w:locked/>
    <w:uiPriority w:val="0"/>
    <w:rPr>
      <w:rFonts w:ascii="Times New Roman" w:hAnsi="Times New Roman" w:eastAsia="宋体"/>
      <w:sz w:val="24"/>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表文字"/>
    <w:basedOn w:val="1"/>
    <w:qFormat/>
    <w:uiPriority w:val="0"/>
    <w:pPr>
      <w:overflowPunct w:val="0"/>
      <w:autoSpaceDE w:val="0"/>
      <w:autoSpaceDN w:val="0"/>
      <w:jc w:val="center"/>
    </w:pPr>
    <w:rPr>
      <w:kern w:val="0"/>
      <w:szCs w:val="20"/>
    </w:rPr>
  </w:style>
  <w:style w:type="paragraph" w:customStyle="1" w:styleId="66">
    <w:name w:val="本文正文"/>
    <w:basedOn w:val="1"/>
    <w:link w:val="74"/>
    <w:qFormat/>
    <w:uiPriority w:val="0"/>
    <w:pPr>
      <w:autoSpaceDE w:val="0"/>
      <w:autoSpaceDN w:val="0"/>
      <w:spacing w:line="360" w:lineRule="auto"/>
      <w:ind w:firstLine="200" w:firstLineChars="200"/>
    </w:pPr>
    <w:rPr>
      <w:rFonts w:cs="宋体"/>
      <w:kern w:val="0"/>
      <w:sz w:val="24"/>
    </w:rPr>
  </w:style>
  <w:style w:type="paragraph" w:customStyle="1" w:styleId="67">
    <w:name w:val="本文表格"/>
    <w:basedOn w:val="65"/>
    <w:link w:val="110"/>
    <w:qFormat/>
    <w:uiPriority w:val="0"/>
    <w:rPr>
      <w:rFonts w:ascii="Times New Roman" w:hAnsi="Times New Roman" w:eastAsia="宋体"/>
      <w:szCs w:val="21"/>
    </w:rPr>
  </w:style>
  <w:style w:type="paragraph" w:customStyle="1" w:styleId="68">
    <w:name w:val="表格名字"/>
    <w:basedOn w:val="67"/>
    <w:link w:val="149"/>
    <w:qFormat/>
    <w:uiPriority w:val="0"/>
    <w:pPr>
      <w:spacing w:before="50" w:beforeLines="50" w:line="360" w:lineRule="auto"/>
    </w:pPr>
    <w:rPr>
      <w:b/>
    </w:rPr>
  </w:style>
  <w:style w:type="character" w:customStyle="1" w:styleId="69">
    <w:name w:val="纯文本 字符"/>
    <w:link w:val="14"/>
    <w:qFormat/>
    <w:locked/>
    <w:uiPriority w:val="0"/>
    <w:rPr>
      <w:rFonts w:ascii="宋体" w:hAnsi="Courier New"/>
      <w:kern w:val="2"/>
      <w:sz w:val="24"/>
    </w:rPr>
  </w:style>
  <w:style w:type="character" w:customStyle="1" w:styleId="70">
    <w:name w:val="纯文本 Char1"/>
    <w:qFormat/>
    <w:uiPriority w:val="0"/>
    <w:rPr>
      <w:rFonts w:ascii="宋体" w:hAnsi="Courier New" w:cs="Courier New"/>
      <w:kern w:val="2"/>
      <w:sz w:val="21"/>
      <w:szCs w:val="21"/>
    </w:rPr>
  </w:style>
  <w:style w:type="character" w:customStyle="1" w:styleId="71">
    <w:name w:val="图名 Char"/>
    <w:link w:val="72"/>
    <w:qFormat/>
    <w:locked/>
    <w:uiPriority w:val="0"/>
    <w:rPr>
      <w:b/>
      <w:color w:val="000000"/>
      <w:sz w:val="21"/>
      <w:szCs w:val="21"/>
    </w:rPr>
  </w:style>
  <w:style w:type="paragraph" w:customStyle="1" w:styleId="72">
    <w:name w:val="图名"/>
    <w:basedOn w:val="1"/>
    <w:link w:val="71"/>
    <w:qFormat/>
    <w:uiPriority w:val="0"/>
    <w:pPr>
      <w:autoSpaceDE w:val="0"/>
      <w:autoSpaceDN w:val="0"/>
      <w:spacing w:after="50" w:afterLines="50" w:line="360" w:lineRule="auto"/>
      <w:jc w:val="center"/>
    </w:pPr>
    <w:rPr>
      <w:b/>
      <w:color w:val="000000"/>
      <w:kern w:val="0"/>
      <w:szCs w:val="21"/>
    </w:rPr>
  </w:style>
  <w:style w:type="character" w:customStyle="1" w:styleId="73">
    <w:name w:val="fontstyle11"/>
    <w:qFormat/>
    <w:uiPriority w:val="0"/>
    <w:rPr>
      <w:rFonts w:hint="default" w:ascii="Times New Roman" w:hAnsi="Times New Roman" w:cs="Times New Roman"/>
      <w:color w:val="000000"/>
      <w:sz w:val="24"/>
      <w:szCs w:val="24"/>
    </w:rPr>
  </w:style>
  <w:style w:type="character" w:customStyle="1" w:styleId="74">
    <w:name w:val="本文正文 Char"/>
    <w:link w:val="66"/>
    <w:qFormat/>
    <w:locked/>
    <w:uiPriority w:val="0"/>
    <w:rPr>
      <w:rFonts w:cs="宋体"/>
      <w:sz w:val="24"/>
      <w:szCs w:val="24"/>
    </w:rPr>
  </w:style>
  <w:style w:type="character" w:customStyle="1" w:styleId="75">
    <w:name w:val="A本文表格 Char"/>
    <w:link w:val="76"/>
    <w:qFormat/>
    <w:uiPriority w:val="0"/>
    <w:rPr>
      <w:color w:val="000000"/>
      <w:sz w:val="21"/>
      <w:szCs w:val="21"/>
    </w:rPr>
  </w:style>
  <w:style w:type="paragraph" w:customStyle="1" w:styleId="76">
    <w:name w:val="A本文表格"/>
    <w:basedOn w:val="1"/>
    <w:link w:val="75"/>
    <w:qFormat/>
    <w:uiPriority w:val="0"/>
    <w:pPr>
      <w:autoSpaceDE w:val="0"/>
      <w:autoSpaceDN w:val="0"/>
      <w:jc w:val="center"/>
    </w:pPr>
    <w:rPr>
      <w:color w:val="000000"/>
      <w:kern w:val="0"/>
      <w:szCs w:val="21"/>
    </w:rPr>
  </w:style>
  <w:style w:type="paragraph" w:customStyle="1" w:styleId="77">
    <w:name w:val="本文表名"/>
    <w:basedOn w:val="1"/>
    <w:qFormat/>
    <w:uiPriority w:val="0"/>
    <w:pPr>
      <w:spacing w:before="50" w:beforeLines="50"/>
      <w:jc w:val="center"/>
    </w:pPr>
    <w:rPr>
      <w:b/>
    </w:rPr>
  </w:style>
  <w:style w:type="character" w:customStyle="1" w:styleId="78">
    <w:name w:val="font51"/>
    <w:qFormat/>
    <w:uiPriority w:val="0"/>
    <w:rPr>
      <w:rFonts w:hint="default" w:ascii="Times New Roman" w:hAnsi="Times New Roman" w:cs="Times New Roman"/>
      <w:b/>
      <w:color w:val="000000"/>
      <w:sz w:val="22"/>
      <w:szCs w:val="22"/>
      <w:vertAlign w:val="subscript"/>
    </w:rPr>
  </w:style>
  <w:style w:type="character" w:customStyle="1" w:styleId="79">
    <w:name w:val="font61"/>
    <w:basedOn w:val="32"/>
    <w:qFormat/>
    <w:uiPriority w:val="0"/>
    <w:rPr>
      <w:rFonts w:hint="default" w:ascii="Times New Roman" w:hAnsi="Times New Roman" w:cs="Times New Roman"/>
      <w:b/>
      <w:color w:val="000000"/>
      <w:sz w:val="21"/>
      <w:szCs w:val="21"/>
      <w:u w:val="none"/>
      <w:vertAlign w:val="superscript"/>
    </w:rPr>
  </w:style>
  <w:style w:type="character" w:customStyle="1" w:styleId="80">
    <w:name w:val="文档结构图 字符"/>
    <w:basedOn w:val="32"/>
    <w:link w:val="8"/>
    <w:qFormat/>
    <w:uiPriority w:val="99"/>
    <w:rPr>
      <w:rFonts w:ascii="宋体"/>
      <w:kern w:val="2"/>
      <w:sz w:val="18"/>
      <w:szCs w:val="18"/>
    </w:rPr>
  </w:style>
  <w:style w:type="character" w:customStyle="1" w:styleId="81">
    <w:name w:val="正文文本 2 字符"/>
    <w:basedOn w:val="32"/>
    <w:link w:val="24"/>
    <w:qFormat/>
    <w:uiPriority w:val="0"/>
    <w:rPr>
      <w:b/>
      <w:kern w:val="2"/>
      <w:sz w:val="32"/>
    </w:rPr>
  </w:style>
  <w:style w:type="character" w:customStyle="1" w:styleId="82">
    <w:name w:val="正文文本首行缩进 字符"/>
    <w:basedOn w:val="53"/>
    <w:link w:val="29"/>
    <w:qFormat/>
    <w:uiPriority w:val="99"/>
    <w:rPr>
      <w:kern w:val="2"/>
      <w:sz w:val="24"/>
      <w:szCs w:val="22"/>
    </w:rPr>
  </w:style>
  <w:style w:type="table" w:customStyle="1" w:styleId="83">
    <w:name w:val="浅色底纹1"/>
    <w:basedOn w:val="30"/>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84">
    <w:name w:val="正文缩进 字符"/>
    <w:link w:val="6"/>
    <w:qFormat/>
    <w:locked/>
    <w:uiPriority w:val="99"/>
    <w:rPr>
      <w:rFonts w:ascii="Calibri" w:hAnsi="Calibri"/>
      <w:kern w:val="2"/>
      <w:sz w:val="24"/>
      <w:szCs w:val="22"/>
    </w:rPr>
  </w:style>
  <w:style w:type="paragraph" w:customStyle="1" w:styleId="85">
    <w:name w:val="p0"/>
    <w:basedOn w:val="1"/>
    <w:qFormat/>
    <w:uiPriority w:val="0"/>
    <w:pPr>
      <w:widowControl/>
      <w:adjustRightInd/>
      <w:snapToGrid/>
      <w:spacing w:line="360" w:lineRule="auto"/>
      <w:ind w:firstLine="200" w:firstLineChars="200"/>
    </w:pPr>
    <w:rPr>
      <w:rFonts w:ascii="宋体"/>
      <w:kern w:val="0"/>
      <w:sz w:val="24"/>
      <w:szCs w:val="21"/>
    </w:rPr>
  </w:style>
  <w:style w:type="character" w:customStyle="1" w:styleId="86">
    <w:name w:val="zwb-正文 Char"/>
    <w:link w:val="87"/>
    <w:qFormat/>
    <w:locked/>
    <w:uiPriority w:val="0"/>
    <w:rPr>
      <w:sz w:val="24"/>
      <w:szCs w:val="24"/>
    </w:rPr>
  </w:style>
  <w:style w:type="paragraph" w:customStyle="1" w:styleId="87">
    <w:name w:val="zwb-正文"/>
    <w:basedOn w:val="1"/>
    <w:link w:val="86"/>
    <w:qFormat/>
    <w:uiPriority w:val="0"/>
    <w:pPr>
      <w:adjustRightInd/>
      <w:snapToGrid/>
      <w:spacing w:line="360" w:lineRule="auto"/>
      <w:ind w:firstLine="480" w:firstLineChars="200"/>
    </w:pPr>
    <w:rPr>
      <w:kern w:val="0"/>
      <w:sz w:val="24"/>
    </w:rPr>
  </w:style>
  <w:style w:type="table" w:customStyle="1" w:styleId="88">
    <w:name w:val="样式1"/>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9">
    <w:name w:val="No Spacing"/>
    <w:link w:val="125"/>
    <w:qFormat/>
    <w:uiPriority w:val="1"/>
    <w:pPr>
      <w:widowControl w:val="0"/>
      <w:spacing w:before="50" w:beforeLines="50"/>
      <w:jc w:val="center"/>
    </w:pPr>
    <w:rPr>
      <w:rFonts w:ascii="Times New Roman" w:hAnsi="Times New Roman" w:eastAsia="宋体" w:cs="Times New Roman"/>
      <w:kern w:val="2"/>
      <w:sz w:val="21"/>
      <w:szCs w:val="22"/>
      <w:lang w:val="en-US" w:eastAsia="zh-CN" w:bidi="ar-SA"/>
    </w:rPr>
  </w:style>
  <w:style w:type="character" w:customStyle="1" w:styleId="90">
    <w:name w:val="fontstyle01"/>
    <w:qFormat/>
    <w:uiPriority w:val="0"/>
    <w:rPr>
      <w:rFonts w:hint="eastAsia" w:ascii="宋体" w:hAnsi="宋体" w:eastAsia="宋体"/>
      <w:color w:val="000000"/>
      <w:sz w:val="24"/>
      <w:szCs w:val="24"/>
    </w:rPr>
  </w:style>
  <w:style w:type="character" w:customStyle="1" w:styleId="91">
    <w:name w:val="fontstyle21"/>
    <w:basedOn w:val="32"/>
    <w:qFormat/>
    <w:uiPriority w:val="0"/>
    <w:rPr>
      <w:rFonts w:hint="default" w:ascii="Times New Roman" w:hAnsi="Times New Roman" w:cs="Times New Roman"/>
      <w:color w:val="000000"/>
      <w:sz w:val="24"/>
      <w:szCs w:val="24"/>
    </w:rPr>
  </w:style>
  <w:style w:type="character" w:customStyle="1" w:styleId="92">
    <w:name w:val="cucd-0 Char Char Char"/>
    <w:link w:val="93"/>
    <w:qFormat/>
    <w:uiPriority w:val="0"/>
    <w:rPr>
      <w:rFonts w:eastAsia="Times New Roman"/>
      <w:sz w:val="24"/>
      <w:szCs w:val="24"/>
    </w:rPr>
  </w:style>
  <w:style w:type="paragraph" w:customStyle="1" w:styleId="93">
    <w:name w:val="cucd-0"/>
    <w:link w:val="92"/>
    <w:qFormat/>
    <w:uiPriority w:val="0"/>
    <w:pPr>
      <w:spacing w:line="360" w:lineRule="auto"/>
      <w:ind w:firstLine="200" w:firstLineChars="200"/>
      <w:jc w:val="both"/>
    </w:pPr>
    <w:rPr>
      <w:rFonts w:ascii="Times New Roman" w:hAnsi="Times New Roman" w:eastAsia="Times New Roman" w:cs="Times New Roman"/>
      <w:sz w:val="24"/>
      <w:szCs w:val="24"/>
      <w:lang w:val="en-US" w:eastAsia="zh-CN" w:bidi="ar-SA"/>
    </w:rPr>
  </w:style>
  <w:style w:type="paragraph" w:customStyle="1" w:styleId="94">
    <w:name w:val="样式19"/>
    <w:basedOn w:val="1"/>
    <w:qFormat/>
    <w:uiPriority w:val="0"/>
    <w:pPr>
      <w:adjustRightInd/>
      <w:snapToGrid/>
      <w:spacing w:beforeLines="50" w:line="560" w:lineRule="atLeast"/>
      <w:ind w:firstLine="480" w:firstLineChars="200"/>
    </w:pPr>
    <w:rPr>
      <w:sz w:val="24"/>
    </w:rPr>
  </w:style>
  <w:style w:type="character" w:styleId="95">
    <w:name w:val="Placeholder Text"/>
    <w:unhideWhenUsed/>
    <w:qFormat/>
    <w:uiPriority w:val="99"/>
    <w:rPr>
      <w:color w:val="808080"/>
    </w:rPr>
  </w:style>
  <w:style w:type="character" w:customStyle="1" w:styleId="96">
    <w:name w:val="[1]正文 Char Char"/>
    <w:link w:val="97"/>
    <w:qFormat/>
    <w:locked/>
    <w:uiPriority w:val="0"/>
    <w:rPr>
      <w:sz w:val="24"/>
      <w:szCs w:val="28"/>
    </w:rPr>
  </w:style>
  <w:style w:type="paragraph" w:customStyle="1" w:styleId="97">
    <w:name w:val="[1]正文"/>
    <w:basedOn w:val="1"/>
    <w:link w:val="96"/>
    <w:qFormat/>
    <w:uiPriority w:val="0"/>
    <w:pPr>
      <w:widowControl/>
      <w:spacing w:line="360" w:lineRule="auto"/>
      <w:ind w:firstLine="200" w:firstLineChars="200"/>
    </w:pPr>
    <w:rPr>
      <w:kern w:val="0"/>
      <w:sz w:val="24"/>
      <w:szCs w:val="28"/>
    </w:rPr>
  </w:style>
  <w:style w:type="character" w:customStyle="1" w:styleId="98">
    <w:name w:val="报告书正文 Char"/>
    <w:link w:val="44"/>
    <w:qFormat/>
    <w:locked/>
    <w:uiPriority w:val="0"/>
    <w:rPr>
      <w:rFonts w:ascii="宋体" w:hAnsi="宋体"/>
      <w:sz w:val="28"/>
      <w:szCs w:val="24"/>
    </w:rPr>
  </w:style>
  <w:style w:type="paragraph" w:customStyle="1" w:styleId="99">
    <w:name w:val="0"/>
    <w:basedOn w:val="1"/>
    <w:qFormat/>
    <w:uiPriority w:val="0"/>
    <w:pPr>
      <w:widowControl/>
      <w:adjustRightInd/>
      <w:snapToGrid/>
      <w:spacing w:before="100" w:beforeAutospacing="1" w:after="100" w:afterAutospacing="1"/>
      <w:jc w:val="left"/>
    </w:pPr>
    <w:rPr>
      <w:rFonts w:ascii="宋体" w:hAnsi="宋体" w:cs="宋体"/>
      <w:kern w:val="0"/>
      <w:sz w:val="24"/>
    </w:rPr>
  </w:style>
  <w:style w:type="character" w:customStyle="1" w:styleId="100">
    <w:name w:val="表 Char"/>
    <w:link w:val="101"/>
    <w:qFormat/>
    <w:locked/>
    <w:uiPriority w:val="0"/>
    <w:rPr>
      <w:sz w:val="24"/>
    </w:rPr>
  </w:style>
  <w:style w:type="paragraph" w:customStyle="1" w:styleId="101">
    <w:name w:val="表"/>
    <w:link w:val="100"/>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102">
    <w:name w:val="表头格式"/>
    <w:basedOn w:val="1"/>
    <w:qFormat/>
    <w:uiPriority w:val="0"/>
    <w:pPr>
      <w:adjustRightInd/>
      <w:snapToGrid/>
      <w:spacing w:beforeLines="50" w:line="360" w:lineRule="auto"/>
      <w:jc w:val="center"/>
    </w:pPr>
    <w:rPr>
      <w:b/>
    </w:rPr>
  </w:style>
  <w:style w:type="character" w:customStyle="1" w:styleId="103">
    <w:name w:val="表内文字 Char"/>
    <w:qFormat/>
    <w:locked/>
    <w:uiPriority w:val="0"/>
    <w:rPr>
      <w:rFonts w:ascii="Times New Roman" w:hAnsi="Times New Roman" w:cs="Times New Roman"/>
      <w:szCs w:val="21"/>
    </w:rPr>
  </w:style>
  <w:style w:type="character" w:customStyle="1" w:styleId="104">
    <w:name w:val="图表标题 Char"/>
    <w:link w:val="105"/>
    <w:qFormat/>
    <w:locked/>
    <w:uiPriority w:val="0"/>
    <w:rPr>
      <w:b/>
      <w:szCs w:val="21"/>
    </w:rPr>
  </w:style>
  <w:style w:type="paragraph" w:customStyle="1" w:styleId="105">
    <w:name w:val="图表标题"/>
    <w:basedOn w:val="1"/>
    <w:link w:val="104"/>
    <w:qFormat/>
    <w:uiPriority w:val="0"/>
    <w:pPr>
      <w:adjustRightInd/>
      <w:snapToGrid/>
      <w:spacing w:line="360" w:lineRule="auto"/>
      <w:jc w:val="center"/>
    </w:pPr>
    <w:rPr>
      <w:b/>
      <w:kern w:val="0"/>
      <w:sz w:val="20"/>
      <w:szCs w:val="21"/>
    </w:rPr>
  </w:style>
  <w:style w:type="paragraph" w:customStyle="1" w:styleId="106">
    <w:name w:val="正文2 Char"/>
    <w:basedOn w:val="1"/>
    <w:semiHidden/>
    <w:qFormat/>
    <w:uiPriority w:val="99"/>
    <w:pPr>
      <w:spacing w:line="360" w:lineRule="auto"/>
      <w:ind w:firstLine="414" w:firstLineChars="197"/>
      <w:jc w:val="left"/>
    </w:pPr>
    <w:rPr>
      <w:rFonts w:ascii="宋体" w:hAnsi="宋体"/>
      <w:color w:val="000000"/>
      <w:szCs w:val="21"/>
    </w:rPr>
  </w:style>
  <w:style w:type="character" w:customStyle="1" w:styleId="107">
    <w:name w:val="文章正文 Char Char Char"/>
    <w:link w:val="108"/>
    <w:qFormat/>
    <w:uiPriority w:val="0"/>
    <w:rPr>
      <w:sz w:val="24"/>
    </w:rPr>
  </w:style>
  <w:style w:type="paragraph" w:customStyle="1" w:styleId="108">
    <w:name w:val="文章正文"/>
    <w:basedOn w:val="1"/>
    <w:link w:val="107"/>
    <w:qFormat/>
    <w:uiPriority w:val="0"/>
    <w:pPr>
      <w:adjustRightInd/>
      <w:snapToGrid/>
      <w:spacing w:line="440" w:lineRule="exact"/>
      <w:ind w:firstLine="600" w:firstLineChars="200"/>
    </w:pPr>
    <w:rPr>
      <w:kern w:val="0"/>
      <w:sz w:val="24"/>
      <w:szCs w:val="20"/>
    </w:rPr>
  </w:style>
  <w:style w:type="paragraph" w:styleId="109">
    <w:name w:val="List Paragraph"/>
    <w:basedOn w:val="1"/>
    <w:unhideWhenUsed/>
    <w:qFormat/>
    <w:uiPriority w:val="99"/>
    <w:pPr>
      <w:adjustRightInd/>
      <w:snapToGrid/>
      <w:spacing w:line="360" w:lineRule="auto"/>
      <w:ind w:firstLine="420" w:firstLineChars="200"/>
    </w:pPr>
    <w:rPr>
      <w:sz w:val="24"/>
      <w:szCs w:val="22"/>
    </w:rPr>
  </w:style>
  <w:style w:type="character" w:customStyle="1" w:styleId="110">
    <w:name w:val="本文表格 Char"/>
    <w:link w:val="67"/>
    <w:qFormat/>
    <w:locked/>
    <w:uiPriority w:val="0"/>
    <w:rPr>
      <w:rFonts w:ascii="Times New Roman" w:hAnsi="Times New Roman" w:eastAsia="宋体"/>
      <w:sz w:val="21"/>
      <w:szCs w:val="21"/>
    </w:rPr>
  </w:style>
  <w:style w:type="table" w:customStyle="1" w:styleId="111">
    <w:name w:val="小表"/>
    <w:basedOn w:val="30"/>
    <w:qFormat/>
    <w:uiPriority w:val="99"/>
    <w:pPr>
      <w:jc w:val="both"/>
    </w:pPr>
    <w:rPr>
      <w:rFonts w:ascii="Calibri" w:hAnsi="Calibri"/>
      <w:kern w:val="2"/>
      <w:sz w:val="21"/>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12">
    <w:name w:val="Table Paragraph"/>
    <w:basedOn w:val="1"/>
    <w:qFormat/>
    <w:uiPriority w:val="1"/>
    <w:pPr>
      <w:autoSpaceDE w:val="0"/>
      <w:autoSpaceDN w:val="0"/>
      <w:adjustRightInd/>
      <w:snapToGrid/>
      <w:jc w:val="left"/>
    </w:pPr>
    <w:rPr>
      <w:rFonts w:ascii="宋体" w:hAnsi="宋体" w:cs="宋体"/>
      <w:kern w:val="0"/>
      <w:sz w:val="22"/>
      <w:szCs w:val="22"/>
      <w:lang w:val="zh-CN" w:bidi="zh-CN"/>
    </w:rPr>
  </w:style>
  <w:style w:type="table" w:customStyle="1" w:styleId="11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正文文本首行缩进 2 字符"/>
    <w:basedOn w:val="62"/>
    <w:link w:val="12"/>
    <w:qFormat/>
    <w:uiPriority w:val="99"/>
    <w:rPr>
      <w:rFonts w:ascii="Times New Roman" w:hAnsi="Times New Roman" w:eastAsia="宋体"/>
      <w:kern w:val="2"/>
      <w:sz w:val="24"/>
      <w:szCs w:val="22"/>
    </w:rPr>
  </w:style>
  <w:style w:type="paragraph" w:customStyle="1" w:styleId="115">
    <w:name w:val="样式 表文字 + 字符缩放: 90%"/>
    <w:basedOn w:val="1"/>
    <w:qFormat/>
    <w:uiPriority w:val="0"/>
    <w:pPr>
      <w:keepNext/>
      <w:snapToGrid/>
      <w:spacing w:line="240" w:lineRule="exact"/>
      <w:ind w:left="-50" w:leftChars="-50" w:right="-50" w:rightChars="-50"/>
      <w:jc w:val="center"/>
      <w:textAlignment w:val="baseline"/>
    </w:pPr>
    <w:rPr>
      <w:rFonts w:cs="宋体"/>
      <w:kern w:val="0"/>
      <w:sz w:val="18"/>
      <w:szCs w:val="18"/>
    </w:rPr>
  </w:style>
  <w:style w:type="character" w:customStyle="1" w:styleId="116">
    <w:name w:val="表格的字 Char"/>
    <w:link w:val="117"/>
    <w:qFormat/>
    <w:uiPriority w:val="0"/>
    <w:rPr>
      <w:bCs/>
      <w:kern w:val="2"/>
      <w:sz w:val="21"/>
      <w:szCs w:val="18"/>
    </w:rPr>
  </w:style>
  <w:style w:type="paragraph" w:customStyle="1" w:styleId="117">
    <w:name w:val="表格的字"/>
    <w:basedOn w:val="1"/>
    <w:link w:val="116"/>
    <w:qFormat/>
    <w:uiPriority w:val="0"/>
    <w:pPr>
      <w:jc w:val="center"/>
    </w:pPr>
    <w:rPr>
      <w:bCs/>
      <w:szCs w:val="18"/>
    </w:rPr>
  </w:style>
  <w:style w:type="character" w:customStyle="1" w:styleId="118">
    <w:name w:val="表头 Char"/>
    <w:link w:val="40"/>
    <w:qFormat/>
    <w:uiPriority w:val="0"/>
    <w:rPr>
      <w:rFonts w:cs="宋体"/>
      <w:b/>
      <w:szCs w:val="24"/>
    </w:rPr>
  </w:style>
  <w:style w:type="character" w:customStyle="1" w:styleId="119">
    <w:name w:val="报告表正文 Char"/>
    <w:link w:val="120"/>
    <w:qFormat/>
    <w:uiPriority w:val="0"/>
    <w:rPr>
      <w:kern w:val="2"/>
      <w:sz w:val="24"/>
      <w:szCs w:val="24"/>
    </w:rPr>
  </w:style>
  <w:style w:type="paragraph" w:customStyle="1" w:styleId="120">
    <w:name w:val="报告表正文"/>
    <w:basedOn w:val="11"/>
    <w:link w:val="119"/>
    <w:qFormat/>
    <w:uiPriority w:val="0"/>
    <w:pPr>
      <w:spacing w:after="0" w:line="360" w:lineRule="auto"/>
      <w:ind w:left="0" w:leftChars="0"/>
    </w:pPr>
    <w:rPr>
      <w:szCs w:val="24"/>
    </w:rPr>
  </w:style>
  <w:style w:type="character" w:customStyle="1" w:styleId="121">
    <w:name w:val="正文文本缩进 2 字符"/>
    <w:basedOn w:val="32"/>
    <w:link w:val="11"/>
    <w:qFormat/>
    <w:uiPriority w:val="99"/>
    <w:rPr>
      <w:kern w:val="2"/>
      <w:sz w:val="24"/>
      <w:szCs w:val="22"/>
    </w:rPr>
  </w:style>
  <w:style w:type="character" w:customStyle="1" w:styleId="122">
    <w:name w:val="样式5 Char2"/>
    <w:link w:val="123"/>
    <w:qFormat/>
    <w:uiPriority w:val="0"/>
    <w:rPr>
      <w:sz w:val="24"/>
      <w:szCs w:val="24"/>
    </w:rPr>
  </w:style>
  <w:style w:type="paragraph" w:customStyle="1" w:styleId="123">
    <w:name w:val="样式5"/>
    <w:basedOn w:val="1"/>
    <w:link w:val="122"/>
    <w:qFormat/>
    <w:uiPriority w:val="0"/>
    <w:pPr>
      <w:adjustRightInd/>
      <w:spacing w:line="360" w:lineRule="auto"/>
      <w:ind w:firstLine="510"/>
    </w:pPr>
    <w:rPr>
      <w:kern w:val="0"/>
      <w:sz w:val="24"/>
    </w:rPr>
  </w:style>
  <w:style w:type="table" w:customStyle="1" w:styleId="124">
    <w:name w:val="表格样式3"/>
    <w:basedOn w:val="30"/>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customStyle="1" w:styleId="125">
    <w:name w:val="无间隔 字符"/>
    <w:link w:val="89"/>
    <w:qFormat/>
    <w:uiPriority w:val="1"/>
    <w:rPr>
      <w:kern w:val="2"/>
      <w:sz w:val="21"/>
      <w:szCs w:val="22"/>
    </w:rPr>
  </w:style>
  <w:style w:type="paragraph" w:customStyle="1" w:styleId="126">
    <w:name w:val="本文图表标题"/>
    <w:basedOn w:val="1"/>
    <w:qFormat/>
    <w:uiPriority w:val="0"/>
    <w:pPr>
      <w:adjustRightInd/>
      <w:snapToGrid/>
      <w:spacing w:before="50" w:beforeLines="50" w:after="50" w:afterLines="50"/>
      <w:jc w:val="center"/>
    </w:pPr>
    <w:rPr>
      <w:b/>
    </w:rPr>
  </w:style>
  <w:style w:type="character" w:customStyle="1" w:styleId="127">
    <w:name w:val="表格文字 Char"/>
    <w:link w:val="128"/>
    <w:qFormat/>
    <w:uiPriority w:val="0"/>
    <w:rPr>
      <w:rFonts w:ascii="宋体" w:hAnsi="宋体"/>
      <w:b/>
      <w:kern w:val="2"/>
      <w:sz w:val="21"/>
      <w:szCs w:val="24"/>
    </w:rPr>
  </w:style>
  <w:style w:type="paragraph" w:customStyle="1" w:styleId="128">
    <w:name w:val="表格文字"/>
    <w:basedOn w:val="1"/>
    <w:next w:val="1"/>
    <w:link w:val="127"/>
    <w:qFormat/>
    <w:uiPriority w:val="0"/>
    <w:pPr>
      <w:adjustRightInd/>
      <w:snapToGrid/>
      <w:spacing w:line="320" w:lineRule="exact"/>
      <w:jc w:val="center"/>
    </w:pPr>
    <w:rPr>
      <w:rFonts w:ascii="宋体" w:hAnsi="宋体"/>
      <w:b/>
    </w:rPr>
  </w:style>
  <w:style w:type="character" w:customStyle="1" w:styleId="129">
    <w:name w:val="表名图名格式 Char"/>
    <w:link w:val="130"/>
    <w:qFormat/>
    <w:locked/>
    <w:uiPriority w:val="0"/>
    <w:rPr>
      <w:b/>
      <w:szCs w:val="24"/>
    </w:rPr>
  </w:style>
  <w:style w:type="paragraph" w:customStyle="1" w:styleId="130">
    <w:name w:val="表名图名格式"/>
    <w:basedOn w:val="1"/>
    <w:link w:val="129"/>
    <w:qFormat/>
    <w:uiPriority w:val="0"/>
    <w:pPr>
      <w:adjustRightInd/>
      <w:snapToGrid/>
      <w:spacing w:line="360" w:lineRule="auto"/>
      <w:jc w:val="center"/>
    </w:pPr>
    <w:rPr>
      <w:b/>
      <w:kern w:val="0"/>
      <w:sz w:val="20"/>
    </w:rPr>
  </w:style>
  <w:style w:type="paragraph" w:customStyle="1" w:styleId="131">
    <w:name w:val="WPS Plain"/>
    <w:qFormat/>
    <w:uiPriority w:val="0"/>
    <w:rPr>
      <w:rFonts w:ascii="Calibri" w:hAnsi="Calibri" w:eastAsia="宋体" w:cs="Times New Roman"/>
      <w:sz w:val="21"/>
      <w:szCs w:val="22"/>
      <w:lang w:val="en-US" w:eastAsia="zh-CN" w:bidi="ar-SA"/>
    </w:rPr>
  </w:style>
  <w:style w:type="paragraph" w:customStyle="1" w:styleId="132">
    <w:name w:val="图片名字"/>
    <w:basedOn w:val="77"/>
    <w:qFormat/>
    <w:uiPriority w:val="0"/>
    <w:pPr>
      <w:spacing w:after="50" w:afterLines="50" w:line="360" w:lineRule="auto"/>
    </w:pPr>
    <w:rPr>
      <w:bCs/>
    </w:rPr>
  </w:style>
  <w:style w:type="paragraph" w:customStyle="1" w:styleId="133">
    <w:name w:val="表名"/>
    <w:basedOn w:val="1"/>
    <w:link w:val="134"/>
    <w:qFormat/>
    <w:uiPriority w:val="0"/>
    <w:pPr>
      <w:widowControl/>
      <w:overflowPunct w:val="0"/>
      <w:adjustRightInd/>
      <w:spacing w:before="50" w:beforeLines="50" w:line="360" w:lineRule="auto"/>
      <w:jc w:val="center"/>
      <w:textAlignment w:val="baseline"/>
    </w:pPr>
    <w:rPr>
      <w:rFonts w:cs="宋体"/>
      <w:b/>
      <w:kern w:val="0"/>
      <w:szCs w:val="20"/>
    </w:rPr>
  </w:style>
  <w:style w:type="character" w:customStyle="1" w:styleId="134">
    <w:name w:val="表名 字符"/>
    <w:basedOn w:val="32"/>
    <w:link w:val="133"/>
    <w:qFormat/>
    <w:uiPriority w:val="0"/>
    <w:rPr>
      <w:rFonts w:cs="宋体"/>
      <w:b/>
      <w:sz w:val="21"/>
    </w:rPr>
  </w:style>
  <w:style w:type="paragraph" w:customStyle="1" w:styleId="135">
    <w:name w:val="【正文】"/>
    <w:basedOn w:val="1"/>
    <w:qFormat/>
    <w:uiPriority w:val="0"/>
    <w:pPr>
      <w:widowControl/>
      <w:adjustRightInd/>
      <w:snapToGrid/>
      <w:spacing w:line="440" w:lineRule="exact"/>
      <w:ind w:firstLine="544" w:firstLineChars="200"/>
      <w:jc w:val="left"/>
    </w:pPr>
    <w:rPr>
      <w:rFonts w:ascii="宋体" w:hAnsi="宋体" w:cs="宋体"/>
      <w:spacing w:val="16"/>
      <w:sz w:val="24"/>
    </w:rPr>
  </w:style>
  <w:style w:type="table" w:customStyle="1" w:styleId="136">
    <w:name w:val="灰度表格1"/>
    <w:basedOn w:val="30"/>
    <w:qFormat/>
    <w:uiPriority w:val="5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37">
    <w:name w:val="浅色底纹11"/>
    <w:basedOn w:val="30"/>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8">
    <w:name w:val="小表1"/>
    <w:basedOn w:val="30"/>
    <w:qFormat/>
    <w:uiPriority w:val="99"/>
    <w:pPr>
      <w:jc w:val="both"/>
    </w:pPr>
    <w:rPr>
      <w:rFonts w:ascii="Calibri" w:hAnsi="Calibri"/>
      <w:kern w:val="2"/>
      <w:sz w:val="21"/>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39">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40">
    <w:name w:val="Char"/>
    <w:basedOn w:val="1"/>
    <w:qFormat/>
    <w:uiPriority w:val="0"/>
    <w:pPr>
      <w:adjustRightInd/>
      <w:snapToGrid/>
      <w:spacing w:line="360" w:lineRule="auto"/>
      <w:ind w:firstLine="200" w:firstLineChars="200"/>
    </w:pPr>
    <w:rPr>
      <w:rFonts w:ascii="宋体" w:hAnsi="宋体" w:cs="宋体"/>
      <w:sz w:val="24"/>
    </w:rPr>
  </w:style>
  <w:style w:type="character" w:customStyle="1" w:styleId="141">
    <w:name w:val="fontstyle31"/>
    <w:basedOn w:val="32"/>
    <w:qFormat/>
    <w:uiPriority w:val="0"/>
    <w:rPr>
      <w:rFonts w:hint="eastAsia" w:ascii="宋体" w:hAnsi="宋体" w:eastAsia="宋体"/>
      <w:color w:val="000000"/>
      <w:sz w:val="22"/>
      <w:szCs w:val="22"/>
    </w:rPr>
  </w:style>
  <w:style w:type="character" w:customStyle="1" w:styleId="142">
    <w:name w:val="font01"/>
    <w:basedOn w:val="32"/>
    <w:qFormat/>
    <w:uiPriority w:val="0"/>
    <w:rPr>
      <w:rFonts w:hint="default" w:ascii="Times New Roman" w:hAnsi="Times New Roman" w:cs="Times New Roman"/>
      <w:color w:val="000000"/>
      <w:sz w:val="21"/>
      <w:szCs w:val="21"/>
      <w:u w:val="none"/>
      <w:vertAlign w:val="superscript"/>
    </w:rPr>
  </w:style>
  <w:style w:type="character" w:customStyle="1" w:styleId="143">
    <w:name w:val="font21"/>
    <w:basedOn w:val="32"/>
    <w:qFormat/>
    <w:uiPriority w:val="0"/>
    <w:rPr>
      <w:rFonts w:hint="eastAsia" w:ascii="宋体" w:hAnsi="宋体" w:eastAsia="宋体" w:cs="宋体"/>
      <w:color w:val="000000"/>
      <w:sz w:val="21"/>
      <w:szCs w:val="21"/>
      <w:u w:val="none"/>
    </w:rPr>
  </w:style>
  <w:style w:type="character" w:customStyle="1" w:styleId="144">
    <w:name w:val="font41"/>
    <w:basedOn w:val="32"/>
    <w:qFormat/>
    <w:uiPriority w:val="0"/>
    <w:rPr>
      <w:rFonts w:hint="default" w:ascii="Times New Roman" w:hAnsi="Times New Roman" w:cs="Times New Roman"/>
      <w:color w:val="000000"/>
      <w:sz w:val="21"/>
      <w:szCs w:val="21"/>
      <w:u w:val="none"/>
    </w:rPr>
  </w:style>
  <w:style w:type="character" w:customStyle="1" w:styleId="145">
    <w:name w:val="font11"/>
    <w:basedOn w:val="32"/>
    <w:qFormat/>
    <w:uiPriority w:val="0"/>
    <w:rPr>
      <w:rFonts w:hint="default" w:ascii="Times New Roman" w:hAnsi="Times New Roman" w:cs="Times New Roman"/>
      <w:color w:val="000000"/>
      <w:sz w:val="21"/>
      <w:szCs w:val="21"/>
      <w:u w:val="none"/>
      <w:vertAlign w:val="superscript"/>
    </w:rPr>
  </w:style>
  <w:style w:type="character" w:customStyle="1" w:styleId="146">
    <w:name w:val="font31"/>
    <w:basedOn w:val="32"/>
    <w:qFormat/>
    <w:uiPriority w:val="0"/>
    <w:rPr>
      <w:rFonts w:hint="default" w:ascii="Times New Roman" w:hAnsi="Times New Roman" w:cs="Times New Roman"/>
      <w:color w:val="000000"/>
      <w:sz w:val="21"/>
      <w:szCs w:val="21"/>
      <w:u w:val="none"/>
    </w:rPr>
  </w:style>
  <w:style w:type="paragraph" w:customStyle="1" w:styleId="14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48">
    <w:name w:val="表格中文字"/>
    <w:basedOn w:val="1"/>
    <w:qFormat/>
    <w:uiPriority w:val="0"/>
    <w:pPr>
      <w:jc w:val="center"/>
    </w:pPr>
    <w:rPr>
      <w:rFonts w:ascii="Calibri" w:hAnsi="Calibri"/>
      <w:kern w:val="18"/>
      <w:sz w:val="20"/>
      <w:szCs w:val="21"/>
    </w:rPr>
  </w:style>
  <w:style w:type="character" w:customStyle="1" w:styleId="149">
    <w:name w:val="表格名字 Char"/>
    <w:link w:val="68"/>
    <w:qFormat/>
    <w:uiPriority w:val="0"/>
    <w:rPr>
      <w:b/>
    </w:rPr>
  </w:style>
  <w:style w:type="paragraph" w:customStyle="1" w:styleId="150">
    <w:name w:val="西西表内"/>
    <w:basedOn w:val="1"/>
    <w:link w:val="151"/>
    <w:qFormat/>
    <w:uiPriority w:val="0"/>
    <w:pPr>
      <w:jc w:val="center"/>
    </w:pPr>
    <w:rPr>
      <w:rFonts w:eastAsiaTheme="minorEastAsia"/>
    </w:rPr>
  </w:style>
  <w:style w:type="character" w:customStyle="1" w:styleId="151">
    <w:name w:val="西西表内 Char"/>
    <w:link w:val="150"/>
    <w:qFormat/>
    <w:locked/>
    <w:uiPriority w:val="0"/>
    <w:rPr>
      <w:rFonts w:eastAsiaTheme="minorEastAsia"/>
      <w:kern w:val="2"/>
      <w:sz w:val="21"/>
      <w:szCs w:val="24"/>
    </w:rPr>
  </w:style>
  <w:style w:type="paragraph" w:customStyle="1" w:styleId="152">
    <w:name w:val="【表头】"/>
    <w:basedOn w:val="1"/>
    <w:qFormat/>
    <w:uiPriority w:val="0"/>
    <w:pPr>
      <w:spacing w:before="50" w:beforeLines="50" w:line="360" w:lineRule="auto"/>
      <w:jc w:val="center"/>
    </w:pPr>
    <w:rPr>
      <w:b/>
      <w:kern w:val="0"/>
    </w:rPr>
  </w:style>
  <w:style w:type="paragraph" w:customStyle="1" w:styleId="153">
    <w:name w:val="样式 小四 行距: 1.5 倍行距"/>
    <w:basedOn w:val="1"/>
    <w:qFormat/>
    <w:uiPriority w:val="0"/>
    <w:pPr>
      <w:widowControl/>
      <w:spacing w:line="360" w:lineRule="auto"/>
      <w:ind w:firstLine="200" w:firstLineChars="200"/>
      <w:jc w:val="left"/>
    </w:pPr>
    <w:rPr>
      <w:rFonts w:cs="宋体"/>
      <w:sz w:val="24"/>
    </w:rPr>
  </w:style>
  <w:style w:type="paragraph" w:customStyle="1" w:styleId="154">
    <w:name w:val="表格内容"/>
    <w:basedOn w:val="1"/>
    <w:qFormat/>
    <w:uiPriority w:val="0"/>
    <w:pPr>
      <w:spacing w:line="360" w:lineRule="atLeast"/>
      <w:jc w:val="center"/>
    </w:pPr>
    <w:rPr>
      <w:iCs/>
      <w:kern w:val="0"/>
      <w:sz w:val="20"/>
      <w:szCs w:val="20"/>
    </w:rPr>
  </w:style>
  <w:style w:type="paragraph" w:customStyle="1" w:styleId="155">
    <w:name w:val="文华表正文"/>
    <w:basedOn w:val="120"/>
    <w:qFormat/>
    <w:uiPriority w:val="0"/>
    <w:pPr>
      <w:ind w:firstLine="480"/>
    </w:pPr>
    <w:rPr>
      <w:kern w:val="0"/>
    </w:rPr>
  </w:style>
  <w:style w:type="paragraph" w:customStyle="1" w:styleId="156">
    <w:name w:val="A本文正文"/>
    <w:basedOn w:val="1"/>
    <w:qFormat/>
    <w:uiPriority w:val="0"/>
    <w:pPr>
      <w:spacing w:line="360" w:lineRule="auto"/>
      <w:ind w:firstLine="200" w:firstLineChars="200"/>
    </w:pPr>
    <w:rPr>
      <w:color w:val="000000"/>
      <w:sz w:val="24"/>
    </w:rPr>
  </w:style>
  <w:style w:type="paragraph" w:customStyle="1" w:styleId="157">
    <w:name w:val="A本文表名"/>
    <w:basedOn w:val="1"/>
    <w:qFormat/>
    <w:uiPriority w:val="0"/>
    <w:pPr>
      <w:spacing w:before="50" w:beforeLines="50" w:line="360" w:lineRule="auto"/>
      <w:jc w:val="center"/>
    </w:pPr>
    <w:rPr>
      <w:b/>
    </w:rPr>
  </w:style>
  <w:style w:type="character" w:customStyle="1" w:styleId="158">
    <w:name w:val="样式 正文01 + Times New Roman Char"/>
    <w:link w:val="159"/>
    <w:qFormat/>
    <w:uiPriority w:val="0"/>
    <w:rPr>
      <w:bCs/>
    </w:rPr>
  </w:style>
  <w:style w:type="paragraph" w:customStyle="1" w:styleId="159">
    <w:name w:val="样式 正文01 + Times New Roman"/>
    <w:basedOn w:val="160"/>
    <w:link w:val="158"/>
    <w:qFormat/>
    <w:uiPriority w:val="0"/>
    <w:pPr>
      <w:ind w:firstLine="0" w:firstLineChars="0"/>
    </w:pPr>
    <w:rPr>
      <w:bCs/>
    </w:rPr>
  </w:style>
  <w:style w:type="paragraph" w:customStyle="1" w:styleId="160">
    <w:name w:val="正文01"/>
    <w:basedOn w:val="6"/>
    <w:qFormat/>
    <w:uiPriority w:val="0"/>
    <w:pPr>
      <w:ind w:firstLine="480"/>
    </w:pPr>
  </w:style>
  <w:style w:type="paragraph" w:customStyle="1" w:styleId="161">
    <w:name w:val="S表格标题"/>
    <w:basedOn w:val="1"/>
    <w:next w:val="1"/>
    <w:qFormat/>
    <w:uiPriority w:val="0"/>
    <w:pPr>
      <w:jc w:val="center"/>
    </w:pPr>
    <w:rPr>
      <w:b/>
      <w:snapToGrid w:val="0"/>
      <w:sz w:val="22"/>
    </w:rPr>
  </w:style>
  <w:style w:type="paragraph" w:customStyle="1" w:styleId="162">
    <w:name w:val="A正文"/>
    <w:basedOn w:val="1"/>
    <w:qFormat/>
    <w:uiPriority w:val="0"/>
    <w:pPr>
      <w:widowControl/>
      <w:overflowPunct w:val="0"/>
      <w:autoSpaceDE w:val="0"/>
      <w:autoSpaceDN w:val="0"/>
      <w:ind w:firstLine="200"/>
      <w:textAlignment w:val="baseline"/>
    </w:pPr>
    <w:rPr>
      <w:color w:val="000000"/>
    </w:rPr>
  </w:style>
  <w:style w:type="paragraph" w:customStyle="1" w:styleId="163">
    <w:name w:val="表格填充项"/>
    <w:basedOn w:val="1"/>
    <w:qFormat/>
    <w:uiPriority w:val="0"/>
    <w:pPr>
      <w:spacing w:line="240" w:lineRule="atLeast"/>
      <w:jc w:val="center"/>
    </w:pPr>
    <w:rPr>
      <w:rFonts w:ascii="宋体" w:hAnsi="宋体"/>
      <w:b/>
    </w:rPr>
  </w:style>
  <w:style w:type="paragraph" w:customStyle="1" w:styleId="164">
    <w:name w:val="7表格(治)"/>
    <w:qFormat/>
    <w:uiPriority w:val="0"/>
    <w:pPr>
      <w:jc w:val="center"/>
    </w:pPr>
    <w:rPr>
      <w:rFonts w:ascii="Calibri" w:hAnsi="Calibri" w:eastAsia="宋体" w:cs="Times New Roman"/>
      <w:sz w:val="21"/>
      <w:szCs w:val="22"/>
      <w:lang w:val="en-US" w:eastAsia="zh-CN" w:bidi="ar-SA"/>
    </w:rPr>
  </w:style>
  <w:style w:type="paragraph" w:customStyle="1" w:styleId="165">
    <w:name w:val="表标题"/>
    <w:basedOn w:val="1"/>
    <w:qFormat/>
    <w:uiPriority w:val="0"/>
    <w:pPr>
      <w:spacing w:before="50" w:beforeLines="50"/>
      <w:jc w:val="center"/>
    </w:pPr>
    <w:rPr>
      <w:b/>
    </w:rPr>
  </w:style>
  <w:style w:type="paragraph" w:customStyle="1" w:styleId="166">
    <w:name w:val="样式 hb11"/>
    <w:basedOn w:val="1"/>
    <w:qFormat/>
    <w:uiPriority w:val="0"/>
    <w:pPr>
      <w:keepNext/>
      <w:pageBreakBefore/>
      <w:topLinePunct/>
      <w:spacing w:before="120" w:after="120" w:line="360" w:lineRule="auto"/>
      <w:jc w:val="left"/>
      <w:textAlignment w:val="baseline"/>
      <w:outlineLvl w:val="0"/>
    </w:pPr>
    <w:rPr>
      <w:b/>
      <w:bCs/>
      <w:kern w:val="4"/>
      <w:sz w:val="44"/>
      <w:szCs w:val="44"/>
    </w:rPr>
  </w:style>
  <w:style w:type="paragraph" w:customStyle="1" w:styleId="167">
    <w:name w:val="Table Text"/>
    <w:basedOn w:val="1"/>
    <w:semiHidden/>
    <w:qFormat/>
    <w:uiPriority w:val="0"/>
    <w:rPr>
      <w:rFonts w:ascii="宋体" w:hAnsi="宋体" w:eastAsia="宋体" w:cs="宋体"/>
      <w:sz w:val="28"/>
      <w:szCs w:val="28"/>
      <w:lang w:val="en-US" w:eastAsia="en-US" w:bidi="ar-SA"/>
    </w:rPr>
  </w:style>
  <w:style w:type="paragraph" w:customStyle="1" w:styleId="168">
    <w:name w:val="正文11"/>
    <w:basedOn w:val="1"/>
    <w:qFormat/>
    <w:uiPriority w:val="0"/>
    <w:pPr>
      <w:adjustRightInd w:val="0"/>
      <w:snapToGrid w:val="0"/>
      <w:spacing w:line="480" w:lineRule="exact"/>
      <w:ind w:firstLine="200" w:firstLineChars="200"/>
    </w:pPr>
    <w:rPr>
      <w:snapToGrid w:val="0"/>
      <w:sz w:val="24"/>
      <w:szCs w:val="20"/>
    </w:rPr>
  </w:style>
  <w:style w:type="character" w:customStyle="1" w:styleId="169">
    <w:name w:val="font71"/>
    <w:basedOn w:val="32"/>
    <w:qFormat/>
    <w:uiPriority w:val="0"/>
    <w:rPr>
      <w:rFonts w:hint="default" w:ascii="Arial" w:hAnsi="Arial" w:cs="Arial"/>
      <w:color w:val="000000"/>
      <w:sz w:val="12"/>
      <w:szCs w:val="12"/>
      <w:u w:val="none"/>
    </w:rPr>
  </w:style>
  <w:style w:type="character" w:customStyle="1" w:styleId="170">
    <w:name w:val="font81"/>
    <w:basedOn w:val="32"/>
    <w:qFormat/>
    <w:uiPriority w:val="0"/>
    <w:rPr>
      <w:rFonts w:ascii="宋体" w:hAnsi="宋体" w:eastAsia="宋体" w:cs="宋体"/>
      <w:color w:val="000000"/>
      <w:sz w:val="12"/>
      <w:szCs w:val="12"/>
      <w:u w:val="none"/>
    </w:rPr>
  </w:style>
  <w:style w:type="character" w:customStyle="1" w:styleId="171">
    <w:name w:val="font91"/>
    <w:basedOn w:val="32"/>
    <w:qFormat/>
    <w:uiPriority w:val="0"/>
    <w:rPr>
      <w:rFonts w:hint="default" w:ascii="Times New Roman" w:hAnsi="Times New Roman" w:cs="Times New Roman"/>
      <w:color w:val="000000"/>
      <w:sz w:val="12"/>
      <w:szCs w:val="12"/>
      <w:u w:val="none"/>
    </w:rPr>
  </w:style>
  <w:style w:type="character" w:customStyle="1" w:styleId="172">
    <w:name w:val="font101"/>
    <w:basedOn w:val="32"/>
    <w:qFormat/>
    <w:uiPriority w:val="0"/>
    <w:rPr>
      <w:rFonts w:hint="default" w:ascii="Times New Roman" w:hAnsi="Times New Roman" w:cs="Times New Roman"/>
      <w:i/>
      <w:iCs/>
      <w:color w:val="000000"/>
      <w:sz w:val="12"/>
      <w:szCs w:val="12"/>
      <w:u w:val="none"/>
    </w:rPr>
  </w:style>
  <w:style w:type="character" w:customStyle="1" w:styleId="173">
    <w:name w:val="font112"/>
    <w:basedOn w:val="32"/>
    <w:qFormat/>
    <w:uiPriority w:val="0"/>
    <w:rPr>
      <w:rFonts w:ascii="宋体" w:hAnsi="宋体" w:eastAsia="宋体" w:cs="宋体"/>
      <w:color w:val="000000"/>
      <w:sz w:val="18"/>
      <w:szCs w:val="18"/>
      <w:u w:val="none"/>
    </w:rPr>
  </w:style>
  <w:style w:type="character" w:customStyle="1" w:styleId="174">
    <w:name w:val="font121"/>
    <w:basedOn w:val="32"/>
    <w:qFormat/>
    <w:uiPriority w:val="0"/>
    <w:rPr>
      <w:rFonts w:ascii="宋体" w:hAnsi="宋体" w:eastAsia="宋体" w:cs="宋体"/>
      <w:i/>
      <w:iCs/>
      <w:color w:val="000000"/>
      <w:sz w:val="12"/>
      <w:szCs w:val="12"/>
      <w:u w:val="none"/>
    </w:rPr>
  </w:style>
  <w:style w:type="character" w:customStyle="1" w:styleId="175">
    <w:name w:val="font131"/>
    <w:basedOn w:val="32"/>
    <w:qFormat/>
    <w:uiPriority w:val="0"/>
    <w:rPr>
      <w:rFonts w:ascii="宋体" w:hAnsi="宋体" w:eastAsia="宋体" w:cs="宋体"/>
      <w:i/>
      <w:iCs/>
      <w:color w:val="000000"/>
      <w:sz w:val="18"/>
      <w:szCs w:val="18"/>
      <w:u w:val="none"/>
    </w:rPr>
  </w:style>
  <w:style w:type="table" w:customStyle="1" w:styleId="176">
    <w:name w:val="表格格式"/>
    <w:basedOn w:val="30"/>
    <w:qFormat/>
    <w:uiPriority w:val="99"/>
    <w:pPr>
      <w:adjustRightInd w:val="0"/>
      <w:snapToGrid w:val="0"/>
      <w:jc w:val="center"/>
    </w:pPr>
    <w:tblPr>
      <w:jc w:val="center"/>
      <w:tblBorders>
        <w:top w:val="thinThickThinSmallGap" w:color="auto" w:sz="24" w:space="0"/>
        <w:bottom w:val="thickThinSmallGap" w:color="auto" w:sz="24" w:space="0"/>
        <w:insideH w:val="dashSmallGap" w:color="auto" w:sz="4" w:space="0"/>
        <w:insideV w:val="dashSmallGap" w:color="auto" w:sz="4" w:space="0"/>
      </w:tblBorders>
      <w:tblCellMar>
        <w:top w:w="0" w:type="dxa"/>
        <w:left w:w="108" w:type="dxa"/>
        <w:bottom w:w="0" w:type="dxa"/>
        <w:right w:w="108" w:type="dxa"/>
      </w:tblCellMar>
    </w:tblPr>
    <w:trPr>
      <w:jc w:val="center"/>
    </w:trPr>
    <w:tcPr>
      <w:vAlign w:val="center"/>
    </w:tcPr>
  </w:style>
  <w:style w:type="paragraph" w:customStyle="1" w:styleId="177">
    <w:name w:val="正文1"/>
    <w:basedOn w:val="38"/>
    <w:qFormat/>
    <w:uiPriority w:val="0"/>
    <w:pPr>
      <w:adjustRightInd w:val="0"/>
      <w:snapToGrid w:val="0"/>
      <w:spacing w:line="480" w:lineRule="exact"/>
      <w:ind w:firstLine="200" w:firstLineChars="200"/>
    </w:pPr>
    <w:rPr>
      <w:snapToGrid w:val="0"/>
      <w:sz w:val="24"/>
      <w:szCs w:val="20"/>
    </w:rPr>
  </w:style>
  <w:style w:type="paragraph" w:customStyle="1" w:styleId="178">
    <w:name w:val="Table caption|1"/>
    <w:basedOn w:val="1"/>
    <w:qFormat/>
    <w:uiPriority w:val="0"/>
    <w:pPr>
      <w:spacing w:line="261" w:lineRule="auto"/>
      <w:jc w:val="center"/>
    </w:pPr>
    <w:rPr>
      <w:rFonts w:ascii="宋体" w:hAnsi="宋体" w:cs="宋体"/>
      <w:b/>
      <w:bCs/>
      <w:color w:val="000000"/>
      <w:kern w:val="0"/>
      <w:sz w:val="20"/>
      <w:szCs w:val="20"/>
    </w:rPr>
  </w:style>
  <w:style w:type="paragraph" w:customStyle="1" w:styleId="179">
    <w:name w:val="Body text|1"/>
    <w:basedOn w:val="1"/>
    <w:qFormat/>
    <w:uiPriority w:val="0"/>
    <w:pPr>
      <w:spacing w:line="384" w:lineRule="auto"/>
      <w:ind w:firstLine="400"/>
      <w:jc w:val="left"/>
    </w:pPr>
    <w:rPr>
      <w:rFonts w:ascii="宋体" w:hAnsi="宋体" w:cs="宋体"/>
      <w:color w:val="000000"/>
      <w:kern w:val="0"/>
      <w:sz w:val="24"/>
    </w:rPr>
  </w:style>
  <w:style w:type="paragraph" w:customStyle="1" w:styleId="180">
    <w:name w:val="Other|1"/>
    <w:basedOn w:val="1"/>
    <w:qFormat/>
    <w:uiPriority w:val="0"/>
    <w:pPr>
      <w:jc w:val="center"/>
    </w:pPr>
    <w:rPr>
      <w:color w:val="00000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emf"/><Relationship Id="rId27" Type="http://schemas.openxmlformats.org/officeDocument/2006/relationships/oleObject" Target="embeddings/oleObject2.bin"/><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B71E66-5270-49F5-81F9-2300E79BBB28}">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51</Pages>
  <Words>25114</Words>
  <Characters>27818</Characters>
  <Lines>255</Lines>
  <Paragraphs>72</Paragraphs>
  <TotalTime>23</TotalTime>
  <ScaleCrop>false</ScaleCrop>
  <LinksUpToDate>false</LinksUpToDate>
  <CharactersWithSpaces>27952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2021-10-08T01:33:00Z</dcterms:created>
  <dc:creator>lhj</dc:creator>
  <cp:lastModifiedBy>欢乐马</cp:lastModifiedBy>
  <cp:lastPrinted>2022-09-02T07:52:00Z</cp:lastPrinted>
  <dcterms:modified xsi:type="dcterms:W3CDTF">2024-08-28T01:13:05Z</dcterms:modified>
  <dc:title>附件2</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737FA5065C2D4756A71AA62558134EC3_13</vt:lpwstr>
  </property>
</Properties>
</file>