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bidi="ar-SA"/>
        </w:rPr>
      </w:pPr>
      <w:r>
        <w:rPr>
          <w:rFonts w:hint="eastAsia" w:ascii="方正小标宋简体" w:hAnsi="方正小标宋简体" w:eastAsia="方正小标宋简体" w:cs="方正小标宋简体"/>
          <w:spacing w:val="-11"/>
          <w:sz w:val="44"/>
          <w:szCs w:val="44"/>
        </w:rPr>
        <w:t>关于</w:t>
      </w:r>
      <w:r>
        <w:rPr>
          <w:rFonts w:hint="eastAsia" w:ascii="方正小标宋简体" w:hAnsi="方正小标宋简体" w:eastAsia="方正小标宋简体" w:cs="方正小标宋简体"/>
          <w:b w:val="0"/>
          <w:bCs w:val="0"/>
          <w:color w:val="auto"/>
          <w:kern w:val="2"/>
          <w:sz w:val="44"/>
          <w:szCs w:val="44"/>
          <w:lang w:val="zh-CN" w:eastAsia="zh-CN" w:bidi="ar-SA"/>
        </w:rPr>
        <w:t>内蒙古锡林郭勒盟西乌珠穆沁旗</w:t>
      </w:r>
    </w:p>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b w:val="0"/>
          <w:bCs w:val="0"/>
          <w:color w:val="auto"/>
          <w:kern w:val="2"/>
          <w:sz w:val="44"/>
          <w:szCs w:val="44"/>
          <w:lang w:val="zh-CN" w:eastAsia="zh-CN" w:bidi="ar-SA"/>
        </w:rPr>
        <w:t>病死畜无害化处理厂项目（变更）</w:t>
      </w:r>
      <w:r>
        <w:rPr>
          <w:rFonts w:hint="eastAsia" w:ascii="方正小标宋简体" w:hAnsi="方正小标宋简体" w:eastAsia="方正小标宋简体" w:cs="方正小标宋简体"/>
          <w:spacing w:val="-11"/>
          <w:sz w:val="44"/>
          <w:szCs w:val="44"/>
        </w:rPr>
        <w:t>环境</w:t>
      </w:r>
    </w:p>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西乌珠穆沁旗康净环保有限公司</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内蒙古锡林郭勒盟西乌珠穆沁旗病死畜无害化处理厂项目（变更）环境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锡环投评估表〔2024〕6号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napToGrid/>
          <w:color w:val="auto"/>
          <w:kern w:val="0"/>
          <w:sz w:val="32"/>
          <w:szCs w:val="32"/>
          <w:lang w:val="en-US" w:eastAsia="zh-CN" w:bidi="ar"/>
        </w:rPr>
      </w:pPr>
      <w:r>
        <w:rPr>
          <w:rFonts w:hint="eastAsia" w:ascii="仿宋_GB2312" w:hAnsi="仿宋_GB2312" w:eastAsia="仿宋_GB2312" w:cs="仿宋_GB2312"/>
          <w:color w:val="000000" w:themeColor="text1"/>
          <w:sz w:val="32"/>
          <w:szCs w:val="32"/>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位于</w:t>
      </w:r>
      <w:r>
        <w:rPr>
          <w:rFonts w:hint="eastAsia" w:ascii="仿宋_GB2312" w:hAnsi="仿宋_GB2312" w:eastAsia="仿宋_GB2312" w:cs="仿宋_GB2312"/>
          <w:snapToGrid/>
          <w:color w:val="auto"/>
          <w:kern w:val="0"/>
          <w:sz w:val="32"/>
          <w:szCs w:val="32"/>
          <w:lang w:val="en-US" w:eastAsia="zh-CN" w:bidi="ar"/>
        </w:rPr>
        <w:t>锡林郭勒盟西乌珠穆沁旗巴拉嘎尔高勒镇哈达图煤矿东侧2.5公里处，项目占地类型为建设用地。本项目总占地面积不变（5000m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），总建筑面积不变（1773.35m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），其中包括厂房1205.10m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、办公生活用房383.25m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、车库185m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，停车场500m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、绿化面积600m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变更完成后，原生产设备作为备用，新增病死畜禽破碎机、液压输料泵、化制罐、压榨机、烘干箱、粉碎机等相关处理设备，处理对象主要为病死畜禽及冷库屠宰产生的三腺产品（猪、牛、羊等动物体上的甲状腺、肾上腺、病变淋巴腺），处理能力为20t/d（6000t/a）</w:t>
      </w:r>
      <w:r>
        <w:rPr>
          <w:rFonts w:hint="default" w:ascii="仿宋_GB2312" w:hAnsi="仿宋_GB2312" w:eastAsia="仿宋_GB2312" w:cs="仿宋_GB2312"/>
          <w:snapToGrid/>
          <w:color w:val="auto"/>
          <w:kern w:val="0"/>
          <w:sz w:val="32"/>
          <w:szCs w:val="32"/>
          <w:lang w:val="en-US" w:eastAsia="zh-CN" w:bidi="ar"/>
        </w:rPr>
        <w:t>。</w:t>
      </w:r>
      <w:r>
        <w:rPr>
          <w:rFonts w:hint="eastAsia" w:ascii="仿宋_GB2312" w:hAnsi="仿宋_GB2312" w:eastAsia="仿宋_GB2312" w:cs="仿宋_GB2312"/>
          <w:snapToGrid/>
          <w:color w:val="auto"/>
          <w:kern w:val="0"/>
          <w:sz w:val="32"/>
          <w:szCs w:val="32"/>
          <w:lang w:val="en-US" w:eastAsia="zh-CN" w:bidi="ar"/>
        </w:rPr>
        <w:t>项目主要生产工艺流程为上料破碎、高温化制、固态分离、固体烘干、肉骨粉、有机肥料外售。项目工程总投资为2000万元，其中环保投资为61万元，占总投资的比例为3.05%。</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鼓励类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---一、农林牧渔业“14现代畜牧业及水产生态健康养殖：畜禽养殖废弃物处理和资源化利用（畜禽粪污肥料化、能源化、基料化和垫料化利用，病死畜禽无害化处理)”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符合国家产业政策。</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项目周边无自然保护区、水源保护区、风景名胜区、文物古迹等需要特殊保护的环境敏感目标，项目区不在西乌旗生态保护红线范围内。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依据《锡林郭勒盟生态环境准入清单》中“锡林郭勒盟西乌珠穆沁旗生态环境准入清单”，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项目属于西乌珠穆沁旗</w:t>
      </w:r>
      <w:r>
        <w:rPr>
          <w:rFonts w:hint="default" w:ascii="仿宋_GB2312" w:hAnsi="仿宋_GB2312" w:eastAsia="仿宋_GB2312" w:cs="仿宋_GB2312"/>
          <w:color w:val="auto"/>
          <w:kern w:val="2"/>
          <w:sz w:val="32"/>
          <w:szCs w:val="32"/>
          <w:highlight w:val="none"/>
          <w:lang w:val="en-US" w:eastAsia="zh-CN" w:bidi="ar-SA"/>
        </w:rPr>
        <w:t>西乌珠穆沁旗城镇开发边界</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SA"/>
        </w:rPr>
        <w:t>ZH15252620003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），符合该环境管控单元中空间布局约束、污染物排放管控、环境风险防控、资源利用效率要求。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（一）大气污染防治方面。项目运营期产生的有组织大气污染物主要为</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破碎工序及无害化车间废气</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生物质燃料火炉废气、化制､烘干工序高浓度废气等。建设单位应按要求将破碎装置设置为半地下装置，破碎过程采取封闭措施，在破碎机上方安装集气罩，收集的气体经光氧催化处理后通过15米高排气筒（DA001）达标排放；生物质火炉燃烧产生的废气与恶臭气体和高温蒸汽一同进入两个喷淋塔，通过一级螺旋喷淋、二级螺旋喷淋降低废蒸汽中的温度与除去粉尘、废蒸汽中的水分和残留颗粒物。经过喷淋装置的蒸汽进入光催化装置T102催化剂和UV光能的作用还原成无害的CO2、H2O处理后最终通过15米排气筒（DA002）达标排放；冷凝后的化制废水进入污水处理系统进行处理，处理后回用；废气和废水处理系统在处理过程中产生的废气，应设置完善的收集系统，并送至高温加热裂解器中，经过高温裂解器燃烧后进入“光氧活性炭+喷淋塔喷淋”处理后，通过15m高排气筒（DA002）达标排放。项目运营期产生的无组织大气污染物主要为污水处理站废气、厂区内无组织废气等。建设单位应确保污水处理站各池体密闭，定期喷洒生物除臭剂，在运行操作中加强管理，保持设备及车间系统的废气正常收集，防止臭气外逸；项目原料均采用封闭车辆运输进场，病死动物及冷库三腺产品进场后暂存于无害化车间内的冷库里，禁止原料在厂区内露天存放，加强厂区绿化。通过以上措施，使厂界无组织废气达标排放。</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（二）水污染防治措施。</w:t>
      </w:r>
      <w:r>
        <w:rPr>
          <w:rFonts w:hint="eastAsia" w:ascii="仿宋_GB2312" w:hAnsi="仿宋_GB2312" w:eastAsia="仿宋_GB2312" w:cs="仿宋_GB2312"/>
          <w:b w:val="0"/>
          <w:bCs w:val="0"/>
          <w:color w:val="auto"/>
          <w:spacing w:val="0"/>
          <w:kern w:val="2"/>
          <w:sz w:val="32"/>
          <w:szCs w:val="32"/>
          <w:lang w:val="en-US" w:eastAsia="zh-CN" w:bidi="ar-SA"/>
        </w:rPr>
        <w:t>项目运营期产生的废水主要为生活污水和生产废水。生活污水排入厂区化粪池，定期拉运至巴拉嘎尔高勒镇污水处理厂进行进一步处理；</w:t>
      </w:r>
      <w:r>
        <w:rPr>
          <w:rFonts w:hint="eastAsia" w:ascii="仿宋_GB2312" w:hAnsi="仿宋_GB2312" w:eastAsia="仿宋_GB2312" w:cs="仿宋_GB2312"/>
          <w:color w:val="auto"/>
          <w:sz w:val="32"/>
          <w:szCs w:val="32"/>
          <w:highlight w:val="none"/>
          <w:lang w:eastAsia="zh-CN"/>
        </w:rPr>
        <w:t>生产</w:t>
      </w:r>
      <w:r>
        <w:rPr>
          <w:rFonts w:hint="eastAsia" w:ascii="仿宋_GB2312" w:hAnsi="仿宋_GB2312" w:eastAsia="仿宋_GB2312" w:cs="仿宋_GB2312"/>
          <w:color w:val="auto"/>
          <w:sz w:val="32"/>
          <w:szCs w:val="32"/>
          <w:highlight w:val="none"/>
        </w:rPr>
        <w:t>废水主要为运输车辆清洗消毒废水、车间地面冲洗废水、设备冲洗废水、高温化制过程产生的冷凝液</w:t>
      </w:r>
      <w:r>
        <w:rPr>
          <w:rFonts w:hint="eastAsia" w:ascii="仿宋_GB2312" w:hAnsi="仿宋_GB2312" w:eastAsia="仿宋_GB2312" w:cs="仿宋_GB2312"/>
          <w:color w:val="auto"/>
          <w:sz w:val="32"/>
          <w:szCs w:val="32"/>
          <w:highlight w:val="none"/>
          <w:lang w:eastAsia="zh-CN"/>
        </w:rPr>
        <w:t>。生产</w:t>
      </w:r>
      <w:r>
        <w:rPr>
          <w:rFonts w:hint="eastAsia" w:ascii="仿宋_GB2312" w:hAnsi="仿宋_GB2312" w:eastAsia="仿宋_GB2312" w:cs="仿宋_GB2312"/>
          <w:color w:val="auto"/>
          <w:sz w:val="32"/>
          <w:szCs w:val="32"/>
          <w:highlight w:val="none"/>
        </w:rPr>
        <w:t>废水</w:t>
      </w:r>
      <w:r>
        <w:rPr>
          <w:rFonts w:hint="eastAsia" w:ascii="仿宋_GB2312" w:hAnsi="仿宋_GB2312" w:eastAsia="仿宋_GB2312" w:cs="仿宋_GB2312"/>
          <w:color w:val="auto"/>
          <w:sz w:val="32"/>
          <w:szCs w:val="32"/>
          <w:highlight w:val="none"/>
          <w:lang w:val="en-US" w:eastAsia="zh-CN"/>
        </w:rPr>
        <w:t>集中</w:t>
      </w:r>
      <w:r>
        <w:rPr>
          <w:rFonts w:hint="eastAsia" w:ascii="仿宋_GB2312" w:hAnsi="仿宋_GB2312" w:eastAsia="仿宋_GB2312" w:cs="仿宋_GB2312"/>
          <w:color w:val="auto"/>
          <w:sz w:val="32"/>
          <w:szCs w:val="32"/>
          <w:highlight w:val="none"/>
          <w:lang w:eastAsia="zh-CN"/>
        </w:rPr>
        <w:t>进入</w:t>
      </w:r>
      <w:r>
        <w:rPr>
          <w:rFonts w:hint="eastAsia" w:ascii="仿宋_GB2312" w:hAnsi="仿宋_GB2312" w:eastAsia="仿宋_GB2312" w:cs="仿宋_GB2312"/>
          <w:color w:val="auto"/>
          <w:sz w:val="32"/>
          <w:szCs w:val="32"/>
          <w:highlight w:val="none"/>
        </w:rPr>
        <w:t>厂区污水处理站内，经</w:t>
      </w:r>
      <w:r>
        <w:rPr>
          <w:rFonts w:hint="eastAsia" w:ascii="仿宋_GB2312" w:hAnsi="仿宋_GB2312" w:eastAsia="仿宋_GB2312" w:cs="仿宋_GB2312"/>
          <w:color w:val="auto"/>
          <w:sz w:val="32"/>
          <w:szCs w:val="32"/>
          <w:highlight w:val="none"/>
          <w:lang w:val="en-US" w:eastAsia="zh-CN"/>
        </w:rPr>
        <w:t>“隔油+沉淀+气浮设备+厌氧+好氧+二沉”</w:t>
      </w:r>
      <w:r>
        <w:rPr>
          <w:rFonts w:hint="eastAsia" w:ascii="仿宋_GB2312" w:hAnsi="仿宋_GB2312" w:eastAsia="仿宋_GB2312" w:cs="仿宋_GB2312"/>
          <w:color w:val="auto"/>
          <w:sz w:val="32"/>
          <w:szCs w:val="32"/>
          <w:highlight w:val="none"/>
        </w:rPr>
        <w:t>工艺处理</w:t>
      </w:r>
      <w:r>
        <w:rPr>
          <w:rFonts w:hint="eastAsia" w:ascii="仿宋_GB2312" w:hAnsi="仿宋_GB2312" w:eastAsia="仿宋_GB2312" w:cs="仿宋_GB2312"/>
          <w:color w:val="auto"/>
          <w:sz w:val="32"/>
          <w:szCs w:val="32"/>
          <w:highlight w:val="none"/>
          <w:lang w:val="en-US" w:eastAsia="zh-CN"/>
        </w:rPr>
        <w:t>达标</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部分回用于车辆消毒用水、冲洗用</w:t>
      </w:r>
      <w:r>
        <w:rPr>
          <w:rFonts w:hint="eastAsia" w:ascii="仿宋_GB2312" w:hAnsi="仿宋_GB2312" w:eastAsia="仿宋_GB2312" w:cs="仿宋_GB2312"/>
          <w:color w:val="auto"/>
          <w:kern w:val="0"/>
          <w:sz w:val="32"/>
          <w:szCs w:val="32"/>
          <w:highlight w:val="none"/>
          <w:lang w:val="en-US" w:eastAsia="zh-CN" w:bidi="ar-SA"/>
        </w:rPr>
        <w:t>水、冷凝塔用水等，剩余部分回用于厂区绿化，不得外排。</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（三）固废污染防治措施。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auto"/>
          <w:sz w:val="32"/>
          <w:szCs w:val="32"/>
        </w:rPr>
        <w:t>运营期产生的固体废物主要</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highlight w:val="none"/>
        </w:rPr>
        <w:t>生物质</w:t>
      </w:r>
      <w:r>
        <w:rPr>
          <w:rFonts w:hint="eastAsia" w:ascii="仿宋_GB2312" w:hAnsi="仿宋_GB2312" w:eastAsia="仿宋_GB2312" w:cs="仿宋_GB2312"/>
          <w:color w:val="auto"/>
          <w:sz w:val="32"/>
          <w:szCs w:val="32"/>
          <w:highlight w:val="none"/>
          <w:lang w:eastAsia="zh-CN"/>
        </w:rPr>
        <w:t>火炉</w:t>
      </w:r>
      <w:r>
        <w:rPr>
          <w:rFonts w:hint="eastAsia" w:ascii="仿宋_GB2312" w:hAnsi="仿宋_GB2312" w:eastAsia="仿宋_GB2312" w:cs="仿宋_GB2312"/>
          <w:color w:val="auto"/>
          <w:sz w:val="32"/>
          <w:szCs w:val="32"/>
          <w:highlight w:val="none"/>
        </w:rPr>
        <w:t>灰渣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污水处理站污泥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更换的导热油、废活性炭、废UV光管、生活垃圾、废消毒液包装等。建设单位应将</w:t>
      </w:r>
      <w:r>
        <w:rPr>
          <w:rFonts w:hint="eastAsia" w:ascii="仿宋_GB2312" w:hAnsi="仿宋_GB2312" w:eastAsia="仿宋_GB2312" w:cs="仿宋_GB2312"/>
          <w:color w:val="auto"/>
          <w:sz w:val="32"/>
          <w:szCs w:val="32"/>
          <w:highlight w:val="none"/>
        </w:rPr>
        <w:t>生物质</w:t>
      </w:r>
      <w:r>
        <w:rPr>
          <w:rFonts w:hint="eastAsia" w:ascii="仿宋_GB2312" w:hAnsi="仿宋_GB2312" w:eastAsia="仿宋_GB2312" w:cs="仿宋_GB2312"/>
          <w:color w:val="auto"/>
          <w:sz w:val="32"/>
          <w:szCs w:val="32"/>
          <w:highlight w:val="none"/>
          <w:lang w:eastAsia="zh-CN"/>
        </w:rPr>
        <w:t>火炉</w:t>
      </w:r>
      <w:r>
        <w:rPr>
          <w:rFonts w:hint="eastAsia" w:ascii="仿宋_GB2312" w:hAnsi="仿宋_GB2312" w:eastAsia="仿宋_GB2312" w:cs="仿宋_GB2312"/>
          <w:color w:val="auto"/>
          <w:sz w:val="32"/>
          <w:szCs w:val="32"/>
          <w:highlight w:val="none"/>
        </w:rPr>
        <w:t>灰渣集中收集后回收作为肥料综合利用</w:t>
      </w:r>
      <w:r>
        <w:rPr>
          <w:rFonts w:hint="eastAsia" w:ascii="仿宋_GB2312" w:hAnsi="仿宋_GB2312" w:eastAsia="仿宋_GB2312" w:cs="仿宋_GB2312"/>
          <w:color w:val="auto"/>
          <w:sz w:val="32"/>
          <w:szCs w:val="32"/>
          <w:highlight w:val="none"/>
          <w:lang w:val="en-US" w:eastAsia="zh-CN"/>
        </w:rPr>
        <w:t>；污水处理站污泥经压滤机压滤脱水处理后定期清运至垃圾填埋场处理；更换的导热油、废活性炭、废UV光管、废消毒液包装</w:t>
      </w:r>
      <w:r>
        <w:rPr>
          <w:rFonts w:hint="eastAsia" w:ascii="仿宋_GB2312" w:hAnsi="仿宋_GB2312" w:eastAsia="仿宋_GB2312" w:cs="仿宋_GB2312"/>
          <w:b w:val="0"/>
          <w:bCs w:val="0"/>
          <w:color w:val="auto"/>
          <w:kern w:val="2"/>
          <w:sz w:val="32"/>
          <w:szCs w:val="32"/>
          <w:lang w:val="en-US" w:eastAsia="zh-CN" w:bidi="ar-SA"/>
        </w:rPr>
        <w:t>等危险废物按照《危险废物贮存污染控制标准》相关标准要求分区暂存危废暂存间，定期交由有危险废物处置资质的单位处置</w:t>
      </w:r>
      <w:r>
        <w:rPr>
          <w:rFonts w:hint="eastAsia" w:ascii="仿宋_GB2312" w:hAnsi="仿宋_GB2312" w:eastAsia="仿宋_GB2312" w:cs="仿宋_GB2312"/>
          <w:color w:val="auto"/>
          <w:sz w:val="32"/>
          <w:szCs w:val="32"/>
          <w:highlight w:val="none"/>
          <w:lang w:val="en-US" w:eastAsia="zh-CN"/>
        </w:rPr>
        <w:t>；生活垃圾集中收集后定期清运至当地相关部门指定地点集中处置。</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（四）噪声污染防治措施。</w:t>
      </w:r>
      <w:r>
        <w:rPr>
          <w:rFonts w:hint="eastAsia" w:ascii="仿宋_GB2312" w:hAnsi="仿宋_GB2312" w:eastAsia="仿宋_GB2312" w:cs="仿宋_GB2312"/>
          <w:b w:val="0"/>
          <w:bCs w:val="0"/>
          <w:color w:val="auto"/>
          <w:spacing w:val="0"/>
          <w:kern w:val="2"/>
          <w:sz w:val="32"/>
          <w:szCs w:val="32"/>
          <w:lang w:val="en-US" w:eastAsia="zh-CN" w:bidi="ar-SA"/>
        </w:rPr>
        <w:t>项目主要噪声源为破碎机、输送机、风机、水泵等设备运行产生的噪声。运营期噪声应采取选购低噪音设备，设隔离操作间，墙壁安装吸声材料，高噪声设备底部加减振垫，风机均置于独立的室内、安装消声器等减振降噪措施，设备房外设置绿化带隔声降噪；在通排风设备安装消声器等，减少设备运行对周围环境的影响。</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rPr>
      </w:pPr>
      <w:bookmarkStart w:id="0" w:name="_GoBack"/>
      <w:bookmarkEnd w:id="0"/>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2024年3月8日</w:t>
      </w: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8</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mEwNDIzNjk0ZmFmNzQwYWZkZWY1MGM3N2JmMjMifQ=="/>
  </w:docVars>
  <w:rsids>
    <w:rsidRoot w:val="5EC66ED4"/>
    <w:rsid w:val="000949C6"/>
    <w:rsid w:val="002338E7"/>
    <w:rsid w:val="002649C7"/>
    <w:rsid w:val="00485B84"/>
    <w:rsid w:val="008063C5"/>
    <w:rsid w:val="00A041AA"/>
    <w:rsid w:val="00A368D6"/>
    <w:rsid w:val="00A8256E"/>
    <w:rsid w:val="00B41233"/>
    <w:rsid w:val="00B57562"/>
    <w:rsid w:val="00BB67CA"/>
    <w:rsid w:val="00C014C7"/>
    <w:rsid w:val="00F24233"/>
    <w:rsid w:val="00FB66AF"/>
    <w:rsid w:val="018E255D"/>
    <w:rsid w:val="05094D78"/>
    <w:rsid w:val="079D0356"/>
    <w:rsid w:val="09665DE7"/>
    <w:rsid w:val="0A302749"/>
    <w:rsid w:val="0AF55F71"/>
    <w:rsid w:val="0E746B5A"/>
    <w:rsid w:val="11A82DA9"/>
    <w:rsid w:val="12717B68"/>
    <w:rsid w:val="13F1231D"/>
    <w:rsid w:val="150500C9"/>
    <w:rsid w:val="17F03DBE"/>
    <w:rsid w:val="19DB27FF"/>
    <w:rsid w:val="1EF93D8A"/>
    <w:rsid w:val="1F0942A1"/>
    <w:rsid w:val="1FEF0AB1"/>
    <w:rsid w:val="22775781"/>
    <w:rsid w:val="24C91014"/>
    <w:rsid w:val="26721809"/>
    <w:rsid w:val="28847071"/>
    <w:rsid w:val="2B7C3478"/>
    <w:rsid w:val="2E2C61C7"/>
    <w:rsid w:val="33362498"/>
    <w:rsid w:val="389E30FE"/>
    <w:rsid w:val="3B0C2E58"/>
    <w:rsid w:val="3C63045A"/>
    <w:rsid w:val="49893DAA"/>
    <w:rsid w:val="4CA913C7"/>
    <w:rsid w:val="4FCC07B9"/>
    <w:rsid w:val="509757B4"/>
    <w:rsid w:val="50FB2104"/>
    <w:rsid w:val="522241C5"/>
    <w:rsid w:val="52DE02D1"/>
    <w:rsid w:val="531003C4"/>
    <w:rsid w:val="536856F0"/>
    <w:rsid w:val="543D7097"/>
    <w:rsid w:val="550D3A9F"/>
    <w:rsid w:val="595E4131"/>
    <w:rsid w:val="5A6673EF"/>
    <w:rsid w:val="5A962B6A"/>
    <w:rsid w:val="5CCF1D9B"/>
    <w:rsid w:val="5EC66ED4"/>
    <w:rsid w:val="5ECF671B"/>
    <w:rsid w:val="5EF25A14"/>
    <w:rsid w:val="61153794"/>
    <w:rsid w:val="642A39B6"/>
    <w:rsid w:val="645C3469"/>
    <w:rsid w:val="68FD394B"/>
    <w:rsid w:val="69B56FF0"/>
    <w:rsid w:val="6A8A6014"/>
    <w:rsid w:val="6AD478CA"/>
    <w:rsid w:val="6DA71174"/>
    <w:rsid w:val="6F352A54"/>
    <w:rsid w:val="716A177A"/>
    <w:rsid w:val="742A28A5"/>
    <w:rsid w:val="753B1DA9"/>
    <w:rsid w:val="7B13530D"/>
    <w:rsid w:val="7BC80808"/>
    <w:rsid w:val="7C457AD0"/>
    <w:rsid w:val="7D6C334B"/>
    <w:rsid w:val="7E2D7CFF"/>
    <w:rsid w:val="7E306819"/>
    <w:rsid w:val="7E80624B"/>
    <w:rsid w:val="7FC8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autoRedefine/>
    <w:qFormat/>
    <w:uiPriority w:val="0"/>
    <w:pPr>
      <w:spacing w:line="500" w:lineRule="exact"/>
      <w:ind w:firstLine="454"/>
    </w:pPr>
    <w:rPr>
      <w:rFonts w:ascii="楷体_GB2312" w:eastAsia="楷体_GB2312"/>
      <w:bCs/>
      <w:sz w:val="24"/>
    </w:rPr>
  </w:style>
  <w:style w:type="paragraph" w:styleId="4">
    <w:name w:val="Body Text First Indent"/>
    <w:basedOn w:val="5"/>
    <w:qFormat/>
    <w:uiPriority w:val="0"/>
    <w:pPr>
      <w:adjustRightInd/>
      <w:spacing w:line="240" w:lineRule="auto"/>
      <w:ind w:left="0" w:firstLine="420" w:firstLineChars="100"/>
      <w:textAlignment w:val="auto"/>
    </w:pPr>
    <w:rPr>
      <w:spacing w:val="0"/>
      <w:kern w:val="2"/>
      <w:sz w:val="21"/>
    </w:rPr>
  </w:style>
  <w:style w:type="paragraph" w:styleId="5">
    <w:name w:val="Body Text"/>
    <w:basedOn w:val="1"/>
    <w:qFormat/>
    <w:uiPriority w:val="0"/>
    <w:pPr>
      <w:widowControl/>
      <w:snapToGrid w:val="0"/>
      <w:spacing w:before="60" w:after="160" w:line="259" w:lineRule="auto"/>
      <w:ind w:right="113"/>
    </w:pPr>
    <w:rPr>
      <w:kern w:val="0"/>
      <w:sz w:val="18"/>
      <w:szCs w:val="20"/>
    </w:rPr>
  </w:style>
  <w:style w:type="paragraph" w:styleId="6">
    <w:name w:val="Normal Indent"/>
    <w:basedOn w:val="1"/>
    <w:next w:val="2"/>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14">
    <w:name w:val="页眉 Char"/>
    <w:basedOn w:val="12"/>
    <w:link w:val="8"/>
    <w:autoRedefine/>
    <w:qFormat/>
    <w:uiPriority w:val="0"/>
    <w:rPr>
      <w:kern w:val="2"/>
      <w:sz w:val="18"/>
      <w:szCs w:val="18"/>
    </w:rPr>
  </w:style>
  <w:style w:type="character" w:customStyle="1" w:styleId="15">
    <w:name w:val="页脚 Char"/>
    <w:basedOn w:val="12"/>
    <w:link w:val="7"/>
    <w:autoRedefine/>
    <w:qFormat/>
    <w:uiPriority w:val="0"/>
    <w:rPr>
      <w:kern w:val="2"/>
      <w:sz w:val="18"/>
      <w:szCs w:val="18"/>
    </w:rPr>
  </w:style>
  <w:style w:type="paragraph" w:customStyle="1" w:styleId="16">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17">
    <w:name w:val="BodyText1I2"/>
    <w:next w:val="18"/>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18">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6</TotalTime>
  <ScaleCrop>false</ScaleCrop>
  <LinksUpToDate>false</LinksUpToDate>
  <CharactersWithSpaces>1429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WPS_1696990880</cp:lastModifiedBy>
  <cp:lastPrinted>2020-03-17T06:55:00Z</cp:lastPrinted>
  <dcterms:modified xsi:type="dcterms:W3CDTF">2024-03-08T03:50:18Z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3E481CBD299148449643F295E3371690_13</vt:lpwstr>
  </property>
</Properties>
</file>