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r>
        <w:rPr>
          <w:rFonts w:hint="eastAsia"/>
          <w:highlight w:val="none"/>
        </w:rPr>
        <w:t>锡市环表〔2024〕</w:t>
      </w:r>
      <w:r>
        <w:rPr>
          <w:rFonts w:hint="eastAsia"/>
          <w:highlight w:val="none"/>
          <w:lang w:val="en-US" w:eastAsia="zh-CN"/>
        </w:rPr>
        <w:t>38</w:t>
      </w:r>
      <w:r>
        <w:rPr>
          <w:rFonts w:hint="eastAsia"/>
          <w:highlight w:val="none"/>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锡林郭勒盟生态环境局</w:t>
      </w:r>
    </w:p>
    <w:p w14:paraId="162307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关于锡林郭勒盟欣蒙原土特产品有限责任公司特色乳制品生产项目重新报批</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ighlight w:val="none"/>
        </w:rPr>
      </w:pPr>
      <w:r>
        <w:rPr>
          <w:rFonts w:hint="eastAsia" w:ascii="方正小标宋简体" w:hAnsi="方正小标宋简体" w:eastAsia="方正小标宋简体" w:cs="方正小标宋简体"/>
          <w:sz w:val="44"/>
          <w:szCs w:val="44"/>
          <w:highlight w:val="none"/>
        </w:rPr>
        <w:t>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锡林郭勒盟欣蒙原土特产品有限责任公司：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你单位报送的由内蒙古筹信环保科技有限公司编制的《锡林郭勒盟欣蒙原土特产品有限责任公司特色乳制品生产项目重新报批环境影响报告表》已收悉。经研究，现批复如下：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黑体" w:hAnsi="黑体" w:eastAsia="黑体" w:cs="黑体"/>
          <w:highlight w:val="none"/>
        </w:rPr>
        <w:t>一、建设项目基本情况</w:t>
      </w:r>
    </w:p>
    <w:p w14:paraId="2BD81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rPr>
        <w:t>锡林郭勒盟欣蒙原土特产品有限责任公司特色乳制品生产项目位于内蒙古自治区锡林郭勒盟锡林浩特市中小企业聚集区，项目新建生产车间1000</w:t>
      </w:r>
      <w:r>
        <w:rPr>
          <w:rFonts w:hint="eastAsia"/>
          <w:highlight w:val="none"/>
          <w:lang w:eastAsia="zh-CN"/>
        </w:rPr>
        <w:t>平方米</w:t>
      </w:r>
      <w:r>
        <w:rPr>
          <w:rFonts w:hint="eastAsia"/>
          <w:highlight w:val="none"/>
        </w:rPr>
        <w:t>、办公综合用房300</w:t>
      </w:r>
      <w:r>
        <w:rPr>
          <w:rFonts w:hint="eastAsia"/>
          <w:highlight w:val="none"/>
          <w:lang w:eastAsia="zh-CN"/>
        </w:rPr>
        <w:t>平方米</w:t>
      </w:r>
      <w:r>
        <w:rPr>
          <w:rFonts w:hint="eastAsia"/>
          <w:highlight w:val="none"/>
        </w:rPr>
        <w:t>、仓库400</w:t>
      </w:r>
      <w:r>
        <w:rPr>
          <w:rFonts w:hint="eastAsia"/>
          <w:highlight w:val="none"/>
          <w:lang w:eastAsia="zh-CN"/>
        </w:rPr>
        <w:t>平方米</w:t>
      </w:r>
      <w:r>
        <w:rPr>
          <w:rFonts w:hint="eastAsia"/>
          <w:highlight w:val="none"/>
        </w:rPr>
        <w:t>及场地硬化1800</w:t>
      </w:r>
      <w:r>
        <w:rPr>
          <w:rFonts w:hint="eastAsia"/>
          <w:highlight w:val="none"/>
          <w:lang w:eastAsia="zh-CN"/>
        </w:rPr>
        <w:t>平方米</w:t>
      </w:r>
      <w:r>
        <w:rPr>
          <w:rFonts w:hint="eastAsia"/>
          <w:highlight w:val="none"/>
          <w:lang w:val="en-US" w:eastAsia="zh-CN"/>
        </w:rPr>
        <w:t>。建成后计划年产奶豆腐100吨。</w:t>
      </w:r>
      <w:r>
        <w:rPr>
          <w:rFonts w:hint="eastAsia"/>
          <w:highlight w:val="none"/>
        </w:rPr>
        <w:t>总投资为380万元，其中</w:t>
      </w:r>
      <w:r>
        <w:rPr>
          <w:rFonts w:hint="eastAsia"/>
          <w:highlight w:val="none"/>
          <w:lang w:val="en-US" w:eastAsia="zh-CN"/>
        </w:rPr>
        <w:t>15</w:t>
      </w:r>
      <w:r>
        <w:rPr>
          <w:rFonts w:hint="eastAsia"/>
          <w:highlight w:val="none"/>
        </w:rPr>
        <w:t>万元为环保投资，占比</w:t>
      </w:r>
      <w:r>
        <w:rPr>
          <w:rFonts w:hint="eastAsia"/>
          <w:highlight w:val="none"/>
          <w:lang w:val="en-US" w:eastAsia="zh-CN"/>
        </w:rPr>
        <w:t>3.9</w:t>
      </w:r>
      <w:r>
        <w:rPr>
          <w:rFonts w:hint="eastAsia"/>
          <w:highlight w:val="none"/>
        </w:rPr>
        <w:t>%。根据《产业结构调整指导目录（2024年本）》，该项目属于允许类项目。经审查符合锡林浩特市总体规划，符合“三线一单”要求。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highlight w:val="none"/>
        </w:rPr>
      </w:pPr>
      <w:r>
        <w:rPr>
          <w:rFonts w:hint="eastAsia" w:ascii="楷体" w:hAnsi="楷体" w:eastAsia="楷体" w:cs="楷体"/>
          <w:b/>
          <w:bCs/>
          <w:highlight w:val="none"/>
        </w:rPr>
        <w:t>（一）废气方面</w:t>
      </w:r>
    </w:p>
    <w:p w14:paraId="787AE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highlight w:val="none"/>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w:t>
      </w:r>
      <w:r>
        <w:rPr>
          <w:rFonts w:hint="eastAsia"/>
          <w:highlight w:val="none"/>
          <w:lang w:val="en-US" w:eastAsia="zh-CN"/>
        </w:rPr>
        <w:t>项目运营期大气主要污染物有</w:t>
      </w:r>
      <w:r>
        <w:rPr>
          <w:rFonts w:hint="eastAsia"/>
          <w:highlight w:val="none"/>
        </w:rPr>
        <w:t>发酵过程产生的废气</w:t>
      </w:r>
      <w:r>
        <w:rPr>
          <w:rFonts w:hint="eastAsia"/>
          <w:highlight w:val="none"/>
          <w:lang w:val="en-US" w:eastAsia="zh-CN"/>
        </w:rPr>
        <w:t>及</w:t>
      </w:r>
      <w:r>
        <w:rPr>
          <w:rFonts w:hint="eastAsia"/>
          <w:highlight w:val="none"/>
        </w:rPr>
        <w:t>污水处理站恶臭气体</w:t>
      </w:r>
      <w:r>
        <w:rPr>
          <w:rFonts w:hint="eastAsia"/>
          <w:highlight w:val="none"/>
          <w:lang w:eastAsia="zh-CN"/>
        </w:rPr>
        <w:t>，</w:t>
      </w:r>
      <w:r>
        <w:rPr>
          <w:rFonts w:hint="eastAsia"/>
          <w:highlight w:val="none"/>
          <w:lang w:val="en-US" w:eastAsia="zh-CN"/>
        </w:rPr>
        <w:t>针对</w:t>
      </w:r>
      <w:r>
        <w:rPr>
          <w:rFonts w:hint="eastAsia"/>
          <w:highlight w:val="none"/>
        </w:rPr>
        <w:t>发酵过程产生的废气通过加强机械通风等措施处理</w:t>
      </w:r>
      <w:r>
        <w:rPr>
          <w:rFonts w:hint="eastAsia"/>
        </w:rPr>
        <w:t>后达标排放</w:t>
      </w:r>
      <w:r>
        <w:rPr>
          <w:rFonts w:hint="eastAsia"/>
          <w:lang w:eastAsia="zh-CN"/>
        </w:rPr>
        <w:t>；针对污水处理站产生的恶臭气体，通过</w:t>
      </w:r>
      <w:r>
        <w:rPr>
          <w:rFonts w:hint="eastAsia"/>
          <w:lang w:val="en-US" w:eastAsia="zh-CN"/>
        </w:rPr>
        <w:t>地埋式污水处理、各设施</w:t>
      </w:r>
      <w:r>
        <w:rPr>
          <w:rFonts w:hint="eastAsia"/>
          <w:lang w:eastAsia="zh-CN"/>
        </w:rPr>
        <w:t>池体密封加盖、</w:t>
      </w:r>
      <w:r>
        <w:rPr>
          <w:rFonts w:hint="eastAsia" w:ascii="仿宋_GB2312" w:hAnsi="仿宋_GB2312" w:eastAsia="仿宋_GB2312" w:cs="仿宋_GB2312"/>
          <w:color w:val="auto"/>
          <w:kern w:val="2"/>
          <w:sz w:val="32"/>
          <w:szCs w:val="32"/>
          <w:highlight w:val="none"/>
          <w:lang w:val="en-US" w:eastAsia="zh-CN" w:bidi="ar-SA"/>
        </w:rPr>
        <w:t>定期喷洒除臭剂</w:t>
      </w:r>
      <w:r>
        <w:rPr>
          <w:rFonts w:hint="eastAsia"/>
          <w:lang w:eastAsia="zh-CN"/>
        </w:rPr>
        <w:t>等措施</w:t>
      </w:r>
      <w:r>
        <w:rPr>
          <w:rFonts w:hint="eastAsia"/>
          <w:lang w:val="en-US" w:eastAsia="zh-CN"/>
        </w:rPr>
        <w:t>处理后</w:t>
      </w:r>
      <w:r>
        <w:rPr>
          <w:rFonts w:hint="eastAsia"/>
          <w:lang w:eastAsia="zh-CN"/>
        </w:rPr>
        <w:t>达标排放。</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rPr>
        <w:t>严格落实各项水污染防治措施。根据“雨污分流、清污分流、分质处理、一水多用”的原则，进一步提高水的回用率，减少新鲜水用量和废水产生量。</w:t>
      </w:r>
      <w:r>
        <w:rPr>
          <w:rFonts w:hint="eastAsia" w:ascii="仿宋_GB2312" w:hAnsi="仿宋_GB2312" w:eastAsia="仿宋_GB2312" w:cs="仿宋_GB2312"/>
          <w:color w:val="auto"/>
          <w:kern w:val="2"/>
          <w:sz w:val="32"/>
          <w:szCs w:val="32"/>
          <w:highlight w:val="none"/>
          <w:lang w:val="en-US" w:eastAsia="zh-CN" w:bidi="ar-SA"/>
        </w:rPr>
        <w:t>项目新建</w:t>
      </w:r>
      <w:r>
        <w:rPr>
          <w:rFonts w:hint="eastAsia"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座一体化污水处理站，处理工艺为“调节池+A/O+二沉池”，处理能力</w:t>
      </w:r>
      <w:r>
        <w:rPr>
          <w:rFonts w:hint="eastAsia" w:cs="仿宋_GB2312"/>
          <w:color w:val="auto"/>
          <w:kern w:val="2"/>
          <w:sz w:val="32"/>
          <w:szCs w:val="32"/>
          <w:highlight w:val="none"/>
          <w:lang w:val="en-US" w:eastAsia="zh-CN" w:bidi="ar-SA"/>
        </w:rPr>
        <w:t>10吨</w:t>
      </w:r>
      <w:r>
        <w:rPr>
          <w:rFonts w:hint="eastAsia" w:ascii="仿宋_GB2312" w:hAnsi="仿宋_GB2312" w:eastAsia="仿宋_GB2312" w:cs="仿宋_GB2312"/>
          <w:color w:val="auto"/>
          <w:kern w:val="2"/>
          <w:sz w:val="32"/>
          <w:szCs w:val="32"/>
          <w:highlight w:val="none"/>
          <w:lang w:val="en-US" w:eastAsia="zh-CN" w:bidi="ar-SA"/>
        </w:rPr>
        <w:t>/</w:t>
      </w:r>
      <w:r>
        <w:rPr>
          <w:rFonts w:hint="eastAsia" w:cs="仿宋_GB2312"/>
          <w:color w:val="auto"/>
          <w:kern w:val="2"/>
          <w:sz w:val="32"/>
          <w:szCs w:val="32"/>
          <w:highlight w:val="none"/>
          <w:lang w:val="en-US" w:eastAsia="zh-CN" w:bidi="ar-SA"/>
        </w:rPr>
        <w:t>天</w:t>
      </w:r>
      <w:r>
        <w:rPr>
          <w:rFonts w:hint="eastAsia" w:ascii="仿宋_GB2312" w:hAnsi="仿宋_GB2312" w:eastAsia="仿宋_GB2312" w:cs="仿宋_GB2312"/>
          <w:color w:val="auto"/>
          <w:kern w:val="2"/>
          <w:sz w:val="32"/>
          <w:szCs w:val="32"/>
          <w:highlight w:val="none"/>
          <w:lang w:val="en-US" w:eastAsia="zh-CN" w:bidi="ar-SA"/>
        </w:rPr>
        <w:t>，</w:t>
      </w:r>
      <w:r>
        <w:rPr>
          <w:rFonts w:hint="eastAsia"/>
          <w:highlight w:val="none"/>
          <w:lang w:val="en-US" w:eastAsia="zh-CN"/>
        </w:rPr>
        <w:t>乳清900吨为全部外售，</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项目运营期废水主要为生产废水以及生活污水，经厂内污水处理站处理达标后排入市政污水管网，最终纳入锡林浩特市污水处理厂进行进一步处理。</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加强固体废物处置管理。按照固体废物“资源化、减量化、无害化”处置原则，落实各类固体废物的收集、处置和综合利用措施。项目污水处理系统产生的污泥经处理</w:t>
      </w:r>
      <w:r>
        <w:rPr>
          <w:rFonts w:hint="eastAsia"/>
          <w:lang w:val="en-US" w:eastAsia="zh-CN"/>
        </w:rPr>
        <w:t>含水率等指标</w:t>
      </w:r>
      <w:r>
        <w:rPr>
          <w:rFonts w:hint="eastAsia"/>
        </w:rPr>
        <w:t>满足</w:t>
      </w:r>
      <w:r>
        <w:rPr>
          <w:rFonts w:hint="eastAsia"/>
          <w:lang w:val="en-US" w:eastAsia="zh-CN"/>
        </w:rPr>
        <w:t>处置</w:t>
      </w:r>
      <w:r>
        <w:rPr>
          <w:rFonts w:hint="eastAsia"/>
        </w:rPr>
        <w:t>标准后</w:t>
      </w:r>
      <w:r>
        <w:rPr>
          <w:rFonts w:hint="eastAsia"/>
          <w:lang w:val="en-US" w:eastAsia="zh-CN"/>
        </w:rPr>
        <w:t>进行处理</w:t>
      </w:r>
      <w:r>
        <w:rPr>
          <w:rFonts w:hint="eastAsia"/>
        </w:rPr>
        <w:t>。</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1F4B03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94D7AA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630F128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7C9BDD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rPr>
      </w:pPr>
      <w:r>
        <w:rPr>
          <w:rFonts w:hint="eastAsia"/>
          <w:lang w:val="en-US" w:eastAsia="zh-CN"/>
        </w:rPr>
        <w:t>2024年11月8日</w:t>
      </w:r>
    </w:p>
    <w:p w14:paraId="108B6F2B">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0A6378C6">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7F8EA2F3">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3DC4A2CF">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1825F6E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220D31F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48A45A3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2024年11月8日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17350FB"/>
    <w:rsid w:val="02313F99"/>
    <w:rsid w:val="02F31FD9"/>
    <w:rsid w:val="04565F0C"/>
    <w:rsid w:val="04BD6729"/>
    <w:rsid w:val="050223DD"/>
    <w:rsid w:val="05154076"/>
    <w:rsid w:val="06A709CA"/>
    <w:rsid w:val="06F747D9"/>
    <w:rsid w:val="080865E2"/>
    <w:rsid w:val="09AC4ECD"/>
    <w:rsid w:val="0D756ED0"/>
    <w:rsid w:val="0E4929AB"/>
    <w:rsid w:val="0F1754F6"/>
    <w:rsid w:val="0F684E4E"/>
    <w:rsid w:val="117F246D"/>
    <w:rsid w:val="142B6BEC"/>
    <w:rsid w:val="16A9130C"/>
    <w:rsid w:val="17B85C2A"/>
    <w:rsid w:val="17C476FF"/>
    <w:rsid w:val="18BA4999"/>
    <w:rsid w:val="19B62042"/>
    <w:rsid w:val="19DB4ABE"/>
    <w:rsid w:val="1B2B5375"/>
    <w:rsid w:val="1C6B38EC"/>
    <w:rsid w:val="1CEB326A"/>
    <w:rsid w:val="1D71334C"/>
    <w:rsid w:val="200D03CB"/>
    <w:rsid w:val="200D1A0E"/>
    <w:rsid w:val="20336CE1"/>
    <w:rsid w:val="20340D69"/>
    <w:rsid w:val="20E944E0"/>
    <w:rsid w:val="22EC5646"/>
    <w:rsid w:val="240923B7"/>
    <w:rsid w:val="24CC2727"/>
    <w:rsid w:val="25105990"/>
    <w:rsid w:val="265175A7"/>
    <w:rsid w:val="272C0399"/>
    <w:rsid w:val="296B17AD"/>
    <w:rsid w:val="29A053DC"/>
    <w:rsid w:val="2A08121C"/>
    <w:rsid w:val="2AD74E2E"/>
    <w:rsid w:val="2B0269A3"/>
    <w:rsid w:val="2D185661"/>
    <w:rsid w:val="2D654973"/>
    <w:rsid w:val="2E70730F"/>
    <w:rsid w:val="2EBD7A3C"/>
    <w:rsid w:val="30342E5E"/>
    <w:rsid w:val="3179422E"/>
    <w:rsid w:val="31C25868"/>
    <w:rsid w:val="32560617"/>
    <w:rsid w:val="32C24B49"/>
    <w:rsid w:val="34F70F24"/>
    <w:rsid w:val="36010FB1"/>
    <w:rsid w:val="36FA6F28"/>
    <w:rsid w:val="370339F0"/>
    <w:rsid w:val="37BD1EC6"/>
    <w:rsid w:val="37C823FE"/>
    <w:rsid w:val="39696FD5"/>
    <w:rsid w:val="3A1D0633"/>
    <w:rsid w:val="3CFC1E6C"/>
    <w:rsid w:val="3D567A39"/>
    <w:rsid w:val="3D5B369C"/>
    <w:rsid w:val="3D651D55"/>
    <w:rsid w:val="3FDF4CAD"/>
    <w:rsid w:val="402D0ECF"/>
    <w:rsid w:val="4075077F"/>
    <w:rsid w:val="41590791"/>
    <w:rsid w:val="42DD4FD8"/>
    <w:rsid w:val="435E53D2"/>
    <w:rsid w:val="436776E2"/>
    <w:rsid w:val="448F3867"/>
    <w:rsid w:val="44962EB9"/>
    <w:rsid w:val="46645F2F"/>
    <w:rsid w:val="469E30C8"/>
    <w:rsid w:val="47B60FFC"/>
    <w:rsid w:val="49B30506"/>
    <w:rsid w:val="49C84105"/>
    <w:rsid w:val="4A111CB3"/>
    <w:rsid w:val="4A3F2651"/>
    <w:rsid w:val="4A433513"/>
    <w:rsid w:val="4AA12D9B"/>
    <w:rsid w:val="4B6C6F7C"/>
    <w:rsid w:val="4BAD3BC3"/>
    <w:rsid w:val="4C1F4975"/>
    <w:rsid w:val="4C2B51F3"/>
    <w:rsid w:val="4C926232"/>
    <w:rsid w:val="4D0F38CF"/>
    <w:rsid w:val="4D7428F6"/>
    <w:rsid w:val="4DAE6433"/>
    <w:rsid w:val="4F260926"/>
    <w:rsid w:val="4FBC0F82"/>
    <w:rsid w:val="4FFB301B"/>
    <w:rsid w:val="506F7370"/>
    <w:rsid w:val="50D47DA5"/>
    <w:rsid w:val="52307478"/>
    <w:rsid w:val="529369ED"/>
    <w:rsid w:val="55983288"/>
    <w:rsid w:val="56157207"/>
    <w:rsid w:val="57ED7CDD"/>
    <w:rsid w:val="58807A14"/>
    <w:rsid w:val="594924D9"/>
    <w:rsid w:val="5C3A6E47"/>
    <w:rsid w:val="5D4F6922"/>
    <w:rsid w:val="5DCA244C"/>
    <w:rsid w:val="5EAE2BA6"/>
    <w:rsid w:val="5FB25DFC"/>
    <w:rsid w:val="5FF84F72"/>
    <w:rsid w:val="60F86ED2"/>
    <w:rsid w:val="610C6400"/>
    <w:rsid w:val="613832CB"/>
    <w:rsid w:val="615A535A"/>
    <w:rsid w:val="63FA7227"/>
    <w:rsid w:val="64AD1B28"/>
    <w:rsid w:val="651D1811"/>
    <w:rsid w:val="65C50E3A"/>
    <w:rsid w:val="66B25A63"/>
    <w:rsid w:val="675D6DC0"/>
    <w:rsid w:val="67B8077F"/>
    <w:rsid w:val="67D57A24"/>
    <w:rsid w:val="685179D9"/>
    <w:rsid w:val="6A103F70"/>
    <w:rsid w:val="6B4001B5"/>
    <w:rsid w:val="6D4025A3"/>
    <w:rsid w:val="6F975436"/>
    <w:rsid w:val="6FEF5D43"/>
    <w:rsid w:val="712B110C"/>
    <w:rsid w:val="72BD63E8"/>
    <w:rsid w:val="73F77193"/>
    <w:rsid w:val="74C44B0A"/>
    <w:rsid w:val="799A618E"/>
    <w:rsid w:val="7D7D0332"/>
    <w:rsid w:val="7DB7610A"/>
    <w:rsid w:val="7E3736CB"/>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1382</Words>
  <Characters>1426</Characters>
  <Lines>0</Lines>
  <Paragraphs>0</Paragraphs>
  <TotalTime>0</TotalTime>
  <ScaleCrop>false</ScaleCrop>
  <LinksUpToDate>false</LinksUpToDate>
  <CharactersWithSpaces>1439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dcterms:modified xsi:type="dcterms:W3CDTF">2024-11-07T01:05:48Z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F2272C73ADBF40BA9F461E5581216794</vt:lpwstr>
  </property>
</Properties>
</file>