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8089F">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14:paraId="66682AB0">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5A170FB">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003381F">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29ED7D1">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1C8CFC09">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A1CAF44">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55BC3A44">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3F5A03A8">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4B961357">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9251D1C">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12</w:t>
      </w:r>
      <w:r>
        <w:rPr>
          <w:rFonts w:hint="eastAsia" w:ascii="仿宋_GB2312" w:hAnsi="Calibri" w:eastAsia="仿宋_GB2312" w:cs="Arial"/>
          <w:color w:val="auto"/>
          <w:sz w:val="32"/>
          <w:szCs w:val="32"/>
          <w:highlight w:val="none"/>
        </w:rPr>
        <w:t xml:space="preserve">号   </w:t>
      </w:r>
    </w:p>
    <w:p w14:paraId="48EDA33E">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14:paraId="30939483">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745B315E">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bookmarkStart w:id="0" w:name="OLE_LINK1"/>
      <w:r>
        <w:rPr>
          <w:rFonts w:hint="eastAsia" w:ascii="方正小标宋简体" w:hAnsi="Calibri" w:eastAsia="方正小标宋简体" w:cs="Arial"/>
          <w:color w:val="auto"/>
          <w:sz w:val="44"/>
          <w:szCs w:val="44"/>
          <w:highlight w:val="none"/>
        </w:rPr>
        <w:t>关于</w:t>
      </w:r>
      <w:r>
        <w:rPr>
          <w:rFonts w:hint="eastAsia" w:ascii="方正小标宋简体" w:hAnsi="Calibri" w:eastAsia="方正小标宋简体" w:cs="Arial"/>
          <w:color w:val="000000" w:themeColor="text1"/>
          <w:sz w:val="44"/>
          <w:szCs w:val="44"/>
          <w:highlight w:val="none"/>
          <w:lang w:eastAsia="zh-CN"/>
          <w14:textFill>
            <w14:solidFill>
              <w14:schemeClr w14:val="tx1"/>
            </w14:solidFill>
          </w14:textFill>
        </w:rPr>
        <w:t>锡林郭勒盟山金锌业有限公司危废暂存库项目</w:t>
      </w:r>
      <w:r>
        <w:rPr>
          <w:rFonts w:hint="eastAsia" w:ascii="方正小标宋简体" w:hAnsi="Calibri" w:eastAsia="方正小标宋简体" w:cs="Arial"/>
          <w:color w:val="auto"/>
          <w:sz w:val="44"/>
          <w:szCs w:val="44"/>
          <w:highlight w:val="none"/>
        </w:rPr>
        <w:t xml:space="preserve">环境影响报告表的批复 </w:t>
      </w:r>
    </w:p>
    <w:bookmarkEnd w:id="0"/>
    <w:p w14:paraId="5C50DEFA">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rPr>
      </w:pPr>
      <w:r>
        <w:rPr>
          <w:rFonts w:hint="eastAsia" w:ascii="方正小标宋简体" w:hAnsi="Calibri" w:eastAsia="方正小标宋简体" w:cs="Arial"/>
          <w:color w:val="auto"/>
          <w:sz w:val="44"/>
          <w:szCs w:val="44"/>
          <w:highlight w:val="none"/>
          <w:lang w:val="en-US" w:eastAsia="zh-CN"/>
        </w:rPr>
        <w:t xml:space="preserve"> </w:t>
      </w:r>
      <w:r>
        <w:rPr>
          <w:rFonts w:hint="eastAsia" w:ascii="仿宋_GB2312" w:hAnsi="Calibri" w:eastAsia="仿宋_GB2312" w:cs="Arial"/>
          <w:color w:val="auto"/>
          <w:sz w:val="36"/>
          <w:szCs w:val="36"/>
          <w:highlight w:val="none"/>
        </w:rPr>
        <w:t xml:space="preserve"> </w:t>
      </w:r>
    </w:p>
    <w:p w14:paraId="0B963E6F">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锡林郭勒盟山金锌业有限公司</w:t>
      </w:r>
      <w:r>
        <w:rPr>
          <w:rFonts w:hint="eastAsia" w:ascii="仿宋_GB2312" w:hAnsi="仿宋_GB2312" w:eastAsia="仿宋_GB2312" w:cs="仿宋_GB2312"/>
          <w:color w:val="auto"/>
          <w:sz w:val="32"/>
          <w:szCs w:val="32"/>
          <w:highlight w:val="none"/>
        </w:rPr>
        <w:t>:</w:t>
      </w:r>
    </w:p>
    <w:p w14:paraId="5597E2B4">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bCs/>
          <w:color w:val="auto"/>
          <w:sz w:val="32"/>
          <w:szCs w:val="32"/>
          <w:highlight w:val="none"/>
          <w:lang w:val="en-US" w:eastAsia="zh-CN"/>
        </w:rPr>
        <w:t>锡林郭勒盟格林蓝环境科技有限公司</w:t>
      </w:r>
      <w:r>
        <w:rPr>
          <w:rFonts w:hint="eastAsia" w:ascii="仿宋_GB2312" w:hAnsi="仿宋_GB2312" w:eastAsia="仿宋_GB2312" w:cs="仿宋_GB2312"/>
          <w:bCs/>
          <w:color w:val="auto"/>
          <w:sz w:val="32"/>
          <w:szCs w:val="32"/>
          <w:highlight w:val="none"/>
        </w:rPr>
        <w:t>编制的《</w:t>
      </w:r>
      <w:r>
        <w:rPr>
          <w:rFonts w:hint="eastAsia" w:ascii="仿宋_GB2312" w:hAnsi="仿宋_GB2312" w:eastAsia="仿宋_GB2312" w:cs="仿宋_GB2312"/>
          <w:bCs/>
          <w:color w:val="auto"/>
          <w:sz w:val="32"/>
          <w:szCs w:val="32"/>
          <w:highlight w:val="none"/>
          <w:lang w:val="en-US" w:eastAsia="zh-CN"/>
        </w:rPr>
        <w:t>锡林郭勒盟山金锌业有限公司危废暂存库项目</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676C3D2C">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14:paraId="57BA456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本项目位于内蒙古自治区锡林郭勒盟东乌珠穆沁旗</w:t>
      </w:r>
      <w:r>
        <w:rPr>
          <w:rFonts w:hint="eastAsia" w:ascii="仿宋_GB2312" w:hAnsi="仿宋_GB2312" w:eastAsia="仿宋_GB2312" w:cs="仿宋_GB2312"/>
          <w:color w:val="auto"/>
          <w:sz w:val="32"/>
          <w:szCs w:val="32"/>
          <w:highlight w:val="none"/>
          <w:lang w:eastAsia="zh-CN"/>
        </w:rPr>
        <w:t>乌里雅斯太镇</w:t>
      </w:r>
      <w:r>
        <w:rPr>
          <w:rFonts w:hint="eastAsia" w:ascii="仿宋_GB2312" w:hAnsi="仿宋_GB2312" w:eastAsia="仿宋_GB2312" w:cs="仿宋_GB2312"/>
          <w:color w:val="auto"/>
          <w:sz w:val="32"/>
          <w:szCs w:val="32"/>
          <w:highlight w:val="none"/>
          <w:lang w:val="en-US" w:eastAsia="zh-CN"/>
        </w:rPr>
        <w:t xml:space="preserve">锡林郭勒盟山金锌业有限公司院内 </w:t>
      </w:r>
      <w:r>
        <w:rPr>
          <w:rFonts w:hint="eastAsia" w:ascii="仿宋_GB2312" w:hAnsi="仿宋_GB2312" w:eastAsia="仿宋_GB2312" w:cs="仿宋_GB2312"/>
          <w:color w:val="auto"/>
          <w:sz w:val="32"/>
          <w:szCs w:val="32"/>
          <w:highlight w:val="none"/>
        </w:rPr>
        <w:t>，地理坐标</w:t>
      </w:r>
      <w:r>
        <w:rPr>
          <w:rFonts w:hint="eastAsia" w:ascii="仿宋_GB2312" w:hAnsi="仿宋_GB2312" w:eastAsia="仿宋_GB2312" w:cs="仿宋_GB2312"/>
          <w:color w:val="auto"/>
          <w:sz w:val="32"/>
          <w:szCs w:val="32"/>
          <w:highlight w:val="none"/>
          <w:lang w:val="en-US" w:eastAsia="zh-CN"/>
        </w:rPr>
        <w:t>为东经：117°02′23″北纬：45°29′27″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面积为520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。主体工程为危废暂存库（全封闭、钢结构），用于厂区产生的中和渣、污水处理有害渣、二级压滤所产生的中和渣和冷却蒸发结晶盐及运至本项目的锌浮渣和热滤渣暂存，总占地面积520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，危废料混凝土层渗滤液导流层基础采取200mm厚C25细石砼+膜下防渗保护层50mm厚C20细石砼+2mm厚HDPE土工膜+混凝土层进行防渗处理，渗透系数不大于10</w:t>
      </w:r>
      <w:r>
        <w:rPr>
          <w:rFonts w:hint="eastAsia" w:ascii="仿宋_GB2312" w:hAnsi="仿宋_GB2312" w:eastAsia="仿宋_GB2312" w:cs="仿宋_GB2312"/>
          <w:color w:val="auto"/>
          <w:sz w:val="32"/>
          <w:szCs w:val="32"/>
          <w:highlight w:val="none"/>
          <w:vertAlign w:val="superscript"/>
          <w:lang w:val="en-US" w:eastAsia="zh-CN"/>
        </w:rPr>
        <w:t>-10</w:t>
      </w:r>
      <w:r>
        <w:rPr>
          <w:rFonts w:hint="eastAsia" w:ascii="仿宋_GB2312" w:hAnsi="仿宋_GB2312" w:eastAsia="仿宋_GB2312" w:cs="仿宋_GB2312"/>
          <w:color w:val="auto"/>
          <w:sz w:val="32"/>
          <w:szCs w:val="32"/>
          <w:highlight w:val="none"/>
          <w:lang w:val="en-US" w:eastAsia="zh-CN"/>
        </w:rPr>
        <w:t>cm/s，四周设置50cm高裙角、地面设置导流槽（20cm×20cm）连接收集池（100cm×100cm×50cm），收集池及导流槽采取2mm厚HDPE土工膜防渗，渗透系数不大于10</w:t>
      </w:r>
      <w:r>
        <w:rPr>
          <w:rFonts w:hint="eastAsia" w:ascii="仿宋_GB2312" w:hAnsi="仿宋_GB2312" w:eastAsia="仿宋_GB2312" w:cs="仿宋_GB2312"/>
          <w:color w:val="auto"/>
          <w:sz w:val="32"/>
          <w:szCs w:val="32"/>
          <w:highlight w:val="none"/>
          <w:vertAlign w:val="superscript"/>
          <w:lang w:val="en-US" w:eastAsia="zh-CN"/>
        </w:rPr>
        <w:t>-10</w:t>
      </w:r>
      <w:r>
        <w:rPr>
          <w:rFonts w:hint="eastAsia" w:ascii="仿宋_GB2312" w:hAnsi="仿宋_GB2312" w:eastAsia="仿宋_GB2312" w:cs="仿宋_GB2312"/>
          <w:color w:val="auto"/>
          <w:sz w:val="32"/>
          <w:szCs w:val="32"/>
          <w:highlight w:val="none"/>
          <w:lang w:val="en-US" w:eastAsia="zh-CN"/>
        </w:rPr>
        <w:t>cm/s，设置防爆灯、观察窗，最大存储量为3216.67t；公用工程为供电系统、消防系统。</w:t>
      </w:r>
    </w:p>
    <w:p w14:paraId="0F8E80A7">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总投资58</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p>
    <w:p w14:paraId="1E22F1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允许类建设项目。</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w:t>
      </w:r>
    </w:p>
    <w:p w14:paraId="290BDC48">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》中提出的各项污染防治措施后，可使环境污染和生态破坏控制在允许范围内，从生态环境保护的角度分析，该项目建设可行。</w:t>
      </w:r>
    </w:p>
    <w:p w14:paraId="2D249FA8">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Arial"/>
          <w:color w:val="auto"/>
          <w:sz w:val="32"/>
          <w:szCs w:val="32"/>
          <w:highlight w:val="none"/>
          <w:lang w:eastAsia="zh-CN"/>
        </w:rPr>
      </w:pPr>
      <w:r>
        <w:rPr>
          <w:rFonts w:hint="eastAsia" w:ascii="黑体" w:hAnsi="黑体" w:eastAsia="黑体" w:cs="Arial"/>
          <w:color w:val="auto"/>
          <w:sz w:val="32"/>
          <w:szCs w:val="32"/>
          <w:highlight w:val="none"/>
        </w:rPr>
        <w:t>二、项目建设及运营</w:t>
      </w:r>
      <w:r>
        <w:rPr>
          <w:rFonts w:hint="eastAsia" w:ascii="黑体" w:hAnsi="黑体" w:eastAsia="黑体" w:cs="Arial"/>
          <w:color w:val="auto"/>
          <w:sz w:val="32"/>
          <w:szCs w:val="32"/>
          <w:highlight w:val="none"/>
          <w:lang w:val="en-US" w:eastAsia="zh-CN"/>
        </w:rPr>
        <w:t>过程中的相关责任</w:t>
      </w:r>
    </w:p>
    <w:p w14:paraId="2F1F59E6">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58D22904">
      <w:pPr>
        <w:pStyle w:val="25"/>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color w:val="auto"/>
          <w:sz w:val="32"/>
          <w:szCs w:val="32"/>
          <w:highlight w:val="none"/>
          <w:shd w:val="clear" w:color="auto" w:fill="FFFFFF"/>
          <w:lang w:val="en-US" w:eastAsia="zh-CN"/>
        </w:rPr>
      </w:pPr>
      <w:r>
        <w:rPr>
          <w:rFonts w:hint="eastAsia" w:ascii="仿宋_GB2312" w:eastAsia="仿宋_GB2312"/>
          <w:color w:val="auto"/>
          <w:sz w:val="32"/>
          <w:szCs w:val="32"/>
          <w:highlight w:val="none"/>
          <w:shd w:val="clear" w:color="auto" w:fill="FFFFFF"/>
          <w:lang w:val="en-US" w:eastAsia="zh-CN"/>
        </w:rPr>
        <w:t>施工期现场采取封闭式管理，对运输车辆采取限制车速及加盖苫布、遇到恶劣天气禁止施工作业等措施，抑制扬尘对环境的污染。营运期确保危废暂存库的封闭性，避免粉尘外泄；物料采用吨袋包装，运输、贮存过程中不拆封、不散堆，抑制粉尘；确保封闭运输、进料，在输送接口处，安装有效除尘装置，防止粉尘外泄。严格按照《大气污染物综合排放标准》（GB16297-1996）表2要求执行。</w:t>
      </w:r>
    </w:p>
    <w:p w14:paraId="6A196A56">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7B4C27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bCs/>
          <w:color w:val="auto"/>
          <w:sz w:val="32"/>
          <w:szCs w:val="32"/>
          <w:highlight w:val="none"/>
        </w:rPr>
        <w:t>生活污水集中收集后进行处理，严禁向外环境排放</w:t>
      </w:r>
      <w:r>
        <w:rPr>
          <w:rFonts w:hint="eastAsia" w:ascii="仿宋_GB2312" w:hAnsi="Calibri" w:eastAsia="仿宋_GB2312" w:cs="Arial"/>
          <w:bCs/>
          <w:color w:val="auto"/>
          <w:sz w:val="32"/>
          <w:szCs w:val="32"/>
          <w:highlight w:val="none"/>
          <w:lang w:val="en-US" w:eastAsia="zh-CN"/>
        </w:rPr>
        <w:t>;本项目为危险废物暂存项目，只对危险废物进行收集、贮存、利用，不会产生生产性废水,危废暂存库地面、墙面及集水池要严格按照《危险废物贮存污染控制标准》（GB 18597—2023）中要求采取防渗措施。</w:t>
      </w:r>
    </w:p>
    <w:p w14:paraId="00F1E2E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1631BD4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Calibri" w:eastAsia="仿宋_GB2312" w:cs="Arial"/>
          <w:color w:val="auto"/>
          <w:sz w:val="32"/>
          <w:szCs w:val="32"/>
          <w:highlight w:val="none"/>
          <w:lang w:val="en-US" w:eastAsia="zh-CN"/>
        </w:rPr>
      </w:pPr>
      <w:r>
        <w:rPr>
          <w:rFonts w:hint="eastAsia" w:ascii="仿宋_GB2312" w:hAnsi="Calibri" w:eastAsia="仿宋_GB2312" w:cs="Arial"/>
          <w:color w:val="auto"/>
          <w:sz w:val="32"/>
          <w:szCs w:val="32"/>
          <w:highlight w:val="none"/>
          <w:lang w:val="en-US" w:eastAsia="zh-CN"/>
        </w:rPr>
        <w:t>加强建设期及营运期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管理，采取减速慢行</w:t>
      </w:r>
      <w:r>
        <w:rPr>
          <w:rFonts w:hint="eastAsia" w:ascii="仿宋_GB2312" w:hAnsi="Calibri" w:eastAsia="仿宋_GB2312" w:cs="Arial"/>
          <w:color w:val="auto"/>
          <w:sz w:val="32"/>
          <w:szCs w:val="32"/>
          <w:highlight w:val="none"/>
        </w:rPr>
        <w:t>、禁止鸣笛等措施</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运营期危废运输车辆装卸时要熄火作业、轻搬轻放，遵守操作规程</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生产设备合理布局，</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降低噪声污染。施工期、营运期噪声执行《建筑施工场界环境噪声排放标准》（GB12523-2011），《工业企业厂界环境噪声排放标准》（GB12348-2008）2类标准。</w:t>
      </w:r>
    </w:p>
    <w:p w14:paraId="6687232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0373F43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仿宋_GB2312" w:hAnsi="Calibri" w:eastAsia="仿宋_GB2312" w:cs="Arial"/>
          <w:color w:val="auto"/>
          <w:sz w:val="32"/>
          <w:szCs w:val="32"/>
          <w:highlight w:val="none"/>
          <w:lang w:val="en-US" w:eastAsia="zh-CN"/>
        </w:rPr>
        <w:t>建设期</w:t>
      </w:r>
      <w:r>
        <w:rPr>
          <w:rFonts w:hint="eastAsia" w:ascii="仿宋_GB2312" w:hAnsi="Calibri" w:eastAsia="仿宋_GB2312" w:cs="Arial"/>
          <w:color w:val="auto"/>
          <w:sz w:val="32"/>
          <w:szCs w:val="32"/>
          <w:highlight w:val="none"/>
        </w:rPr>
        <w:t>产生的弃土、弃料</w:t>
      </w:r>
      <w:r>
        <w:rPr>
          <w:rFonts w:hint="eastAsia" w:ascii="仿宋_GB2312" w:hAnsi="Calibri" w:eastAsia="仿宋_GB2312" w:cs="Arial"/>
          <w:color w:val="auto"/>
          <w:sz w:val="32"/>
          <w:szCs w:val="32"/>
          <w:highlight w:val="none"/>
          <w:lang w:val="en-US" w:eastAsia="zh-CN"/>
        </w:rPr>
        <w:t>等随产随清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hAnsi="Calibri" w:eastAsia="仿宋_GB2312" w:cs="Arial"/>
          <w:color w:val="auto"/>
          <w:sz w:val="32"/>
          <w:szCs w:val="32"/>
          <w:highlight w:val="none"/>
          <w:lang w:val="en-US" w:eastAsia="zh-CN"/>
        </w:rPr>
        <w:t>或</w:t>
      </w:r>
      <w:r>
        <w:rPr>
          <w:rFonts w:hint="eastAsia" w:ascii="仿宋_GB2312" w:hAnsi="Calibri" w:eastAsia="仿宋_GB2312" w:cs="Arial"/>
          <w:color w:val="auto"/>
          <w:sz w:val="32"/>
          <w:szCs w:val="32"/>
          <w:highlight w:val="none"/>
        </w:rPr>
        <w:t>及时清运至</w:t>
      </w:r>
      <w:r>
        <w:rPr>
          <w:rFonts w:hint="eastAsia" w:ascii="仿宋_GB2312" w:eastAsia="仿宋_GB2312" w:cs="Arial"/>
          <w:color w:val="auto"/>
          <w:sz w:val="32"/>
          <w:szCs w:val="32"/>
          <w:highlight w:val="none"/>
          <w:lang w:val="en-US" w:eastAsia="zh-CN"/>
        </w:rPr>
        <w:t>我旗正规处置场所。营运期产生的危险废物（中和渣、污水处理有害渣、二级压滤所产生的中和渣和冷却蒸发结晶盐）、</w:t>
      </w:r>
      <w:bookmarkStart w:id="1" w:name="_GoBack"/>
      <w:bookmarkEnd w:id="1"/>
      <w:r>
        <w:rPr>
          <w:rFonts w:hint="eastAsia" w:ascii="仿宋_GB2312" w:eastAsia="仿宋_GB2312" w:cs="Arial"/>
          <w:color w:val="auto"/>
          <w:sz w:val="32"/>
          <w:szCs w:val="32"/>
          <w:highlight w:val="none"/>
          <w:lang w:val="en-US" w:eastAsia="zh-CN"/>
        </w:rPr>
        <w:t>作为生产原料的危险废物（</w:t>
      </w:r>
      <w:r>
        <w:rPr>
          <w:rFonts w:hint="eastAsia" w:ascii="仿宋_GB2312" w:hAnsi="仿宋_GB2312" w:eastAsia="仿宋_GB2312" w:cs="仿宋_GB2312"/>
          <w:color w:val="auto"/>
          <w:sz w:val="32"/>
          <w:szCs w:val="32"/>
          <w:highlight w:val="none"/>
          <w:lang w:val="en-US" w:eastAsia="zh-CN"/>
        </w:rPr>
        <w:t>锌浮渣、热滤渣</w:t>
      </w:r>
      <w:r>
        <w:rPr>
          <w:rFonts w:hint="eastAsia" w:ascii="仿宋_GB2312" w:eastAsia="仿宋_GB2312" w:cs="Arial"/>
          <w:color w:val="auto"/>
          <w:sz w:val="32"/>
          <w:szCs w:val="32"/>
          <w:highlight w:val="none"/>
          <w:lang w:val="en-US" w:eastAsia="zh-CN"/>
        </w:rPr>
        <w:t>）暂存于危废暂存库内，不同种类的危险废物应分类存放，不得混装。</w:t>
      </w:r>
      <w:r>
        <w:rPr>
          <w:rFonts w:hint="eastAsia" w:ascii="仿宋_GB2312" w:hAnsi="Calibri" w:eastAsia="仿宋_GB2312" w:cs="Arial"/>
          <w:color w:val="auto"/>
          <w:sz w:val="32"/>
          <w:szCs w:val="32"/>
          <w:highlight w:val="none"/>
          <w:lang w:val="en-US" w:eastAsia="zh-CN"/>
        </w:rPr>
        <w:t>严格执行</w:t>
      </w:r>
      <w:r>
        <w:rPr>
          <w:rFonts w:hint="eastAsia" w:ascii="仿宋_GB2312" w:hAnsi="仿宋_GB2312" w:eastAsia="仿宋_GB2312" w:cs="仿宋_GB2312"/>
          <w:color w:val="auto"/>
          <w:sz w:val="32"/>
          <w:szCs w:val="32"/>
          <w:highlight w:val="none"/>
          <w:lang w:val="en-US" w:eastAsia="zh-CN"/>
        </w:rPr>
        <w:t>《危险废物贮存污染控制标准》（GB18597-2023）、《内蒙古自治区生态环境厅关于印发〈内蒙古自治区危险废物“点对点”定向利用管理工作方案〉的通知》（内环办〔2022〕96号）、</w:t>
      </w:r>
      <w:r>
        <w:rPr>
          <w:rFonts w:hint="eastAsia" w:ascii="仿宋_GB2312" w:hAnsi="Calibri" w:eastAsia="仿宋_GB2312" w:cs="Arial"/>
          <w:color w:val="auto"/>
          <w:sz w:val="32"/>
          <w:szCs w:val="32"/>
          <w:highlight w:val="none"/>
          <w:lang w:val="en-US" w:eastAsia="zh-CN"/>
        </w:rPr>
        <w:t>危险废物转移联单制度等相关法律法规及管理要求，张贴危险废物标识，建立危险废物台账，如实记载危险废物种类、数量、性质、产生环节、流向、贮存、利用处置等信息；建设期和营运期产生的</w:t>
      </w:r>
      <w:r>
        <w:rPr>
          <w:rFonts w:hint="eastAsia" w:ascii="仿宋_GB2312" w:hAnsi="Calibri" w:eastAsia="仿宋_GB2312" w:cs="Arial"/>
          <w:color w:val="auto"/>
          <w:sz w:val="32"/>
          <w:szCs w:val="32"/>
          <w:highlight w:val="none"/>
        </w:rPr>
        <w:t>生活垃圾集中收集后</w:t>
      </w:r>
      <w:r>
        <w:rPr>
          <w:rFonts w:hint="default" w:ascii="仿宋_GB2312" w:hAnsi="Calibri" w:eastAsia="仿宋_GB2312" w:cs="Arial"/>
          <w:color w:val="auto"/>
          <w:sz w:val="32"/>
          <w:szCs w:val="32"/>
          <w:highlight w:val="none"/>
          <w:lang w:eastAsia="zh-CN"/>
        </w:rPr>
        <w:t>规范处置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auto"/>
          <w:sz w:val="32"/>
          <w:szCs w:val="32"/>
          <w:highlight w:val="none"/>
          <w:lang w:val="en-US" w:eastAsia="zh-CN"/>
        </w:rPr>
        <w:t xml:space="preserve">   </w:t>
      </w:r>
    </w:p>
    <w:p w14:paraId="4AA74BA2">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执行“三同时”制度</w:t>
      </w:r>
    </w:p>
    <w:p w14:paraId="1A3F4A4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5D0C924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59EB69C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4E167FA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52680C2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0CDE25A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3907EF24">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51BADBE5">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707A8E8E">
      <w:pPr>
        <w:keepNext w:val="0"/>
        <w:keepLines w:val="0"/>
        <w:pageBreakBefore w:val="0"/>
        <w:widowControl w:val="0"/>
        <w:kinsoku/>
        <w:wordWrap/>
        <w:overflowPunct/>
        <w:topLinePunct w:val="0"/>
        <w:bidi w:val="0"/>
        <w:snapToGrid/>
        <w:spacing w:line="560" w:lineRule="exact"/>
        <w:textAlignment w:val="auto"/>
        <w:rPr>
          <w:rFonts w:hint="eastAsia"/>
          <w:color w:val="auto"/>
          <w:highlight w:val="none"/>
        </w:rPr>
      </w:pPr>
    </w:p>
    <w:p w14:paraId="27896F5A">
      <w:pPr>
        <w:keepNext w:val="0"/>
        <w:keepLines w:val="0"/>
        <w:pageBreakBefore w:val="0"/>
        <w:widowControl w:val="0"/>
        <w:kinsoku/>
        <w:wordWrap/>
        <w:overflowPunct/>
        <w:topLinePunct w:val="0"/>
        <w:autoSpaceDE w:val="0"/>
        <w:autoSpaceDN w:val="0"/>
        <w:bidi w:val="0"/>
        <w:adjustRightInd w:val="0"/>
        <w:snapToGrid/>
        <w:spacing w:line="560" w:lineRule="exact"/>
        <w:ind w:firstLine="4160" w:firstLineChars="13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6F622C5E">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r>
        <w:rPr>
          <w:rFonts w:hint="eastAsia" w:ascii="仿宋_GB2312" w:hAnsi="Calibri" w:eastAsia="仿宋_GB2312" w:cs="Arial"/>
          <w:color w:val="auto"/>
          <w:sz w:val="32"/>
          <w:szCs w:val="32"/>
          <w:highlight w:val="none"/>
        </w:rPr>
        <w:t xml:space="preserve">                  </w:t>
      </w:r>
      <w:r>
        <w:rPr>
          <w:rFonts w:hint="eastAsia" w:ascii="仿宋_GB2312" w:hAnsi="Calibri" w:eastAsia="仿宋_GB2312" w:cs="Arial"/>
          <w:color w:val="auto"/>
          <w:sz w:val="32"/>
          <w:szCs w:val="32"/>
          <w:highlight w:val="none"/>
          <w:lang w:eastAsia="zh-CN"/>
        </w:rPr>
        <w:t>202</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lang w:eastAsia="zh-CN"/>
        </w:rPr>
        <w:t>年</w:t>
      </w:r>
      <w:r>
        <w:rPr>
          <w:rFonts w:hint="eastAsia" w:ascii="仿宋_GB2312" w:hAnsi="Calibri" w:eastAsia="仿宋_GB2312" w:cs="Arial"/>
          <w:color w:val="auto"/>
          <w:sz w:val="32"/>
          <w:szCs w:val="32"/>
          <w:highlight w:val="none"/>
          <w:lang w:val="en-US" w:eastAsia="zh-CN"/>
        </w:rPr>
        <w:t>11</w:t>
      </w:r>
      <w:r>
        <w:rPr>
          <w:rFonts w:hint="eastAsia" w:ascii="仿宋_GB2312" w:hAnsi="Calibri" w:eastAsia="仿宋_GB2312" w:cs="Arial"/>
          <w:color w:val="auto"/>
          <w:sz w:val="32"/>
          <w:szCs w:val="32"/>
          <w:highlight w:val="none"/>
          <w:lang w:eastAsia="zh-CN"/>
        </w:rPr>
        <w:t>月</w:t>
      </w:r>
      <w:r>
        <w:rPr>
          <w:rFonts w:hint="eastAsia" w:ascii="仿宋_GB2312" w:hAnsi="Calibri" w:eastAsia="仿宋_GB2312" w:cs="Arial"/>
          <w:color w:val="auto"/>
          <w:sz w:val="32"/>
          <w:szCs w:val="32"/>
          <w:highlight w:val="none"/>
          <w:lang w:val="en-US" w:eastAsia="zh-CN"/>
        </w:rPr>
        <w:t>15</w:t>
      </w:r>
      <w:r>
        <w:rPr>
          <w:rFonts w:hint="eastAsia" w:ascii="仿宋_GB2312" w:hAnsi="Calibri" w:eastAsia="仿宋_GB2312" w:cs="Arial"/>
          <w:color w:val="auto"/>
          <w:sz w:val="32"/>
          <w:szCs w:val="32"/>
          <w:highlight w:val="none"/>
          <w:lang w:eastAsia="zh-CN"/>
        </w:rPr>
        <w:t>日</w:t>
      </w:r>
    </w:p>
    <w:p w14:paraId="0818B72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rPr>
          <w:rFonts w:hint="eastAsia" w:ascii="仿宋_GB2312" w:hAnsi="Calibri" w:eastAsia="仿宋_GB2312" w:cs="Arial"/>
          <w:color w:val="auto"/>
          <w:sz w:val="32"/>
          <w:szCs w:val="32"/>
          <w:highlight w:val="none"/>
          <w:lang w:eastAsia="zh-CN"/>
        </w:rPr>
      </w:pPr>
    </w:p>
    <w:p w14:paraId="460B4BBB">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2967D067">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21F0268A">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0E9AA5A9">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4E8201FA">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0161845D">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232D44B6">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7EE70BF2">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7D5CE842">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5DBF462A">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6D363317">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0EA894CD">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4F454E4D">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eastAsia="zh-CN"/>
        </w:rPr>
      </w:pPr>
    </w:p>
    <w:p w14:paraId="1E7F75BD">
      <w:pPr>
        <w:keepNext w:val="0"/>
        <w:keepLines w:val="0"/>
        <w:pageBreakBefore w:val="0"/>
        <w:widowControl w:val="0"/>
        <w:kinsoku/>
        <w:wordWrap/>
        <w:overflowPunct/>
        <w:topLinePunct w:val="0"/>
        <w:autoSpaceDE w:val="0"/>
        <w:autoSpaceDN w:val="0"/>
        <w:bidi w:val="0"/>
        <w:adjustRightInd w:val="0"/>
        <w:spacing w:line="560" w:lineRule="exact"/>
        <w:jc w:val="both"/>
        <w:rPr>
          <w:rFonts w:hint="eastAsia" w:ascii="仿宋_GB2312" w:hAnsi="Calibri" w:eastAsia="仿宋_GB2312" w:cs="Arial"/>
          <w:color w:val="auto"/>
          <w:sz w:val="32"/>
          <w:szCs w:val="32"/>
          <w:highlight w:val="none"/>
          <w:lang w:val="en-US" w:eastAsia="zh-CN"/>
        </w:rPr>
      </w:pPr>
    </w:p>
    <w:p w14:paraId="0CA625FD">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lang w:val="en-US" w:eastAsia="zh-CN" w:bidi="ar-SA"/>
        </w:rPr>
        <w:t>抄送：盟生态环境综合行政执法支队       盟生态环境局东乌珠穆沁旗分局</w:t>
      </w:r>
    </w:p>
    <w:p w14:paraId="68A44406">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rPr>
      </w:pPr>
      <w:r>
        <w:rPr>
          <w:rFonts w:hint="eastAsia" w:ascii="仿宋_GB2312" w:hAnsi="仿宋_GB2312" w:eastAsia="仿宋_GB2312" w:cs="仿宋_GB2312"/>
          <w:color w:val="auto"/>
          <w:kern w:val="2"/>
          <w:sz w:val="28"/>
          <w:szCs w:val="28"/>
          <w:lang w:val="en-US" w:eastAsia="zh-CN" w:bidi="ar-SA"/>
        </w:rPr>
        <w:t>锡林郭勒盟生态环境局办公室             2024年11月15日印发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B88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8990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8990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3B018EB6"/>
    <w:multiLevelType w:val="singleLevel"/>
    <w:tmpl w:val="3B018E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TU5YzRkNGEyYWRmN2VjMGJkMmM2NmNmN2ZjZDIifQ=="/>
  </w:docVars>
  <w:rsids>
    <w:rsidRoot w:val="008C043C"/>
    <w:rsid w:val="0038300B"/>
    <w:rsid w:val="005F7B71"/>
    <w:rsid w:val="007658FF"/>
    <w:rsid w:val="00820D53"/>
    <w:rsid w:val="008C043C"/>
    <w:rsid w:val="009844B6"/>
    <w:rsid w:val="009F66BD"/>
    <w:rsid w:val="00F76805"/>
    <w:rsid w:val="00FE4844"/>
    <w:rsid w:val="02313F99"/>
    <w:rsid w:val="02AE1145"/>
    <w:rsid w:val="036D0E8E"/>
    <w:rsid w:val="04406715"/>
    <w:rsid w:val="04F76DD4"/>
    <w:rsid w:val="058A5E9A"/>
    <w:rsid w:val="061D0ABC"/>
    <w:rsid w:val="070F49A2"/>
    <w:rsid w:val="07D4164E"/>
    <w:rsid w:val="07E20276"/>
    <w:rsid w:val="08163A15"/>
    <w:rsid w:val="08EE4992"/>
    <w:rsid w:val="091A5787"/>
    <w:rsid w:val="099F7A3A"/>
    <w:rsid w:val="09DE0562"/>
    <w:rsid w:val="0A0F696E"/>
    <w:rsid w:val="0A430D0D"/>
    <w:rsid w:val="0AA93DF5"/>
    <w:rsid w:val="0AB539B9"/>
    <w:rsid w:val="0B627C36"/>
    <w:rsid w:val="0B85160C"/>
    <w:rsid w:val="0B941820"/>
    <w:rsid w:val="0BBE2335"/>
    <w:rsid w:val="0BD22349"/>
    <w:rsid w:val="0D006C17"/>
    <w:rsid w:val="0D1B69BD"/>
    <w:rsid w:val="0D84493F"/>
    <w:rsid w:val="0D9368CB"/>
    <w:rsid w:val="0E3B20E1"/>
    <w:rsid w:val="0E4A266A"/>
    <w:rsid w:val="0E686F94"/>
    <w:rsid w:val="0F5512C6"/>
    <w:rsid w:val="0FAB538A"/>
    <w:rsid w:val="10150A56"/>
    <w:rsid w:val="10991687"/>
    <w:rsid w:val="10A81CF0"/>
    <w:rsid w:val="11692E07"/>
    <w:rsid w:val="152817C5"/>
    <w:rsid w:val="155B515D"/>
    <w:rsid w:val="156A35F2"/>
    <w:rsid w:val="15761F97"/>
    <w:rsid w:val="15A72150"/>
    <w:rsid w:val="16B56AEF"/>
    <w:rsid w:val="17677AB2"/>
    <w:rsid w:val="17B10865"/>
    <w:rsid w:val="17DB5C48"/>
    <w:rsid w:val="19120228"/>
    <w:rsid w:val="1ADA4D76"/>
    <w:rsid w:val="1B0818E3"/>
    <w:rsid w:val="1B64761F"/>
    <w:rsid w:val="1B916C68"/>
    <w:rsid w:val="1BB9498B"/>
    <w:rsid w:val="1CB824AC"/>
    <w:rsid w:val="1E1836BE"/>
    <w:rsid w:val="1E732FC1"/>
    <w:rsid w:val="1F07774F"/>
    <w:rsid w:val="1F422EEA"/>
    <w:rsid w:val="1F721A21"/>
    <w:rsid w:val="1FE033A1"/>
    <w:rsid w:val="20315438"/>
    <w:rsid w:val="208A0FEC"/>
    <w:rsid w:val="214A0C4E"/>
    <w:rsid w:val="216A09F5"/>
    <w:rsid w:val="21A34113"/>
    <w:rsid w:val="22E20377"/>
    <w:rsid w:val="22FF6810"/>
    <w:rsid w:val="235A4CA6"/>
    <w:rsid w:val="23A52533"/>
    <w:rsid w:val="240B5FA0"/>
    <w:rsid w:val="24415E66"/>
    <w:rsid w:val="25E116AE"/>
    <w:rsid w:val="26BB1EFF"/>
    <w:rsid w:val="27B32BD6"/>
    <w:rsid w:val="27C272BD"/>
    <w:rsid w:val="27DA63B5"/>
    <w:rsid w:val="27E438A4"/>
    <w:rsid w:val="280E2503"/>
    <w:rsid w:val="28137B19"/>
    <w:rsid w:val="28ED036A"/>
    <w:rsid w:val="292875F4"/>
    <w:rsid w:val="29AC18CA"/>
    <w:rsid w:val="29FB0865"/>
    <w:rsid w:val="29FD638B"/>
    <w:rsid w:val="2A59718E"/>
    <w:rsid w:val="2AC46EA9"/>
    <w:rsid w:val="2D3A5D8D"/>
    <w:rsid w:val="2D542766"/>
    <w:rsid w:val="2D8868B3"/>
    <w:rsid w:val="2E5461D3"/>
    <w:rsid w:val="2E7674A3"/>
    <w:rsid w:val="2EFA0694"/>
    <w:rsid w:val="31495728"/>
    <w:rsid w:val="31540F86"/>
    <w:rsid w:val="31A145D7"/>
    <w:rsid w:val="324F5BF1"/>
    <w:rsid w:val="342033A2"/>
    <w:rsid w:val="34474DD2"/>
    <w:rsid w:val="35562C74"/>
    <w:rsid w:val="37360638"/>
    <w:rsid w:val="37B704C1"/>
    <w:rsid w:val="37C36E66"/>
    <w:rsid w:val="37CD3840"/>
    <w:rsid w:val="383C2774"/>
    <w:rsid w:val="39047736"/>
    <w:rsid w:val="394713D0"/>
    <w:rsid w:val="398D772B"/>
    <w:rsid w:val="399A59A4"/>
    <w:rsid w:val="39C66799"/>
    <w:rsid w:val="3B4219A0"/>
    <w:rsid w:val="3B914B85"/>
    <w:rsid w:val="3BC82C9D"/>
    <w:rsid w:val="3BDD327F"/>
    <w:rsid w:val="3D6407A3"/>
    <w:rsid w:val="40E816EB"/>
    <w:rsid w:val="416C40CA"/>
    <w:rsid w:val="41CF4659"/>
    <w:rsid w:val="4255690C"/>
    <w:rsid w:val="42976E60"/>
    <w:rsid w:val="42EC2E6D"/>
    <w:rsid w:val="42F36125"/>
    <w:rsid w:val="444A6219"/>
    <w:rsid w:val="45763769"/>
    <w:rsid w:val="469E0729"/>
    <w:rsid w:val="47857C94"/>
    <w:rsid w:val="486A6E89"/>
    <w:rsid w:val="48710218"/>
    <w:rsid w:val="48C94277"/>
    <w:rsid w:val="49E05655"/>
    <w:rsid w:val="4A832DD5"/>
    <w:rsid w:val="4B49547C"/>
    <w:rsid w:val="4C282A7E"/>
    <w:rsid w:val="4CBB4158"/>
    <w:rsid w:val="4D447CA9"/>
    <w:rsid w:val="4D56216C"/>
    <w:rsid w:val="4E1F24C4"/>
    <w:rsid w:val="4E651FE8"/>
    <w:rsid w:val="4E762ABE"/>
    <w:rsid w:val="4FD74E04"/>
    <w:rsid w:val="50591CBD"/>
    <w:rsid w:val="507F724A"/>
    <w:rsid w:val="50DB0924"/>
    <w:rsid w:val="50FF50A2"/>
    <w:rsid w:val="51426BF5"/>
    <w:rsid w:val="519D207E"/>
    <w:rsid w:val="523D0641"/>
    <w:rsid w:val="523D34F4"/>
    <w:rsid w:val="528D604F"/>
    <w:rsid w:val="55652AC4"/>
    <w:rsid w:val="565E627F"/>
    <w:rsid w:val="56612F25"/>
    <w:rsid w:val="57C9597B"/>
    <w:rsid w:val="57E2074C"/>
    <w:rsid w:val="580735BC"/>
    <w:rsid w:val="580746F5"/>
    <w:rsid w:val="591B0458"/>
    <w:rsid w:val="59223586"/>
    <w:rsid w:val="595C281E"/>
    <w:rsid w:val="59A71CEC"/>
    <w:rsid w:val="59C748A7"/>
    <w:rsid w:val="59CA268E"/>
    <w:rsid w:val="59E720E8"/>
    <w:rsid w:val="5A706581"/>
    <w:rsid w:val="5ABD109B"/>
    <w:rsid w:val="5AE34FA5"/>
    <w:rsid w:val="5AEC372E"/>
    <w:rsid w:val="5B1C2265"/>
    <w:rsid w:val="5BBD0173"/>
    <w:rsid w:val="5BE121A7"/>
    <w:rsid w:val="5DFE5C52"/>
    <w:rsid w:val="5E0771FD"/>
    <w:rsid w:val="5E2C6C63"/>
    <w:rsid w:val="5EA26F25"/>
    <w:rsid w:val="5EE73DC1"/>
    <w:rsid w:val="5EF552A7"/>
    <w:rsid w:val="5EF579C8"/>
    <w:rsid w:val="5F1B49ED"/>
    <w:rsid w:val="5F2E01D4"/>
    <w:rsid w:val="5F3758C0"/>
    <w:rsid w:val="5F54797E"/>
    <w:rsid w:val="5F585836"/>
    <w:rsid w:val="5FAE5456"/>
    <w:rsid w:val="5FCF6572"/>
    <w:rsid w:val="600A6B30"/>
    <w:rsid w:val="60FB2842"/>
    <w:rsid w:val="61D70C94"/>
    <w:rsid w:val="624A3B5C"/>
    <w:rsid w:val="63716EC6"/>
    <w:rsid w:val="64382ACA"/>
    <w:rsid w:val="64405216"/>
    <w:rsid w:val="645C52D0"/>
    <w:rsid w:val="646A4041"/>
    <w:rsid w:val="652930D1"/>
    <w:rsid w:val="660F30F2"/>
    <w:rsid w:val="66D24120"/>
    <w:rsid w:val="66D9725C"/>
    <w:rsid w:val="67BF46A4"/>
    <w:rsid w:val="67F73E3E"/>
    <w:rsid w:val="68321757"/>
    <w:rsid w:val="68C1444C"/>
    <w:rsid w:val="699456BD"/>
    <w:rsid w:val="699658D9"/>
    <w:rsid w:val="69E45977"/>
    <w:rsid w:val="6A5F3F1C"/>
    <w:rsid w:val="6B626157"/>
    <w:rsid w:val="6B8D008F"/>
    <w:rsid w:val="6BAC3463"/>
    <w:rsid w:val="6BE97F42"/>
    <w:rsid w:val="6CCF3DD4"/>
    <w:rsid w:val="6D6B5FE4"/>
    <w:rsid w:val="6E440737"/>
    <w:rsid w:val="6E453429"/>
    <w:rsid w:val="6F401568"/>
    <w:rsid w:val="6F7F210C"/>
    <w:rsid w:val="6F9C52CB"/>
    <w:rsid w:val="70856F2A"/>
    <w:rsid w:val="71026966"/>
    <w:rsid w:val="729727E7"/>
    <w:rsid w:val="73092C77"/>
    <w:rsid w:val="74C97F59"/>
    <w:rsid w:val="75151DA7"/>
    <w:rsid w:val="75E1200D"/>
    <w:rsid w:val="77A967D7"/>
    <w:rsid w:val="785F7466"/>
    <w:rsid w:val="78656BA2"/>
    <w:rsid w:val="79E306C6"/>
    <w:rsid w:val="79F503F9"/>
    <w:rsid w:val="7AFD2CD7"/>
    <w:rsid w:val="7BCC6F38"/>
    <w:rsid w:val="7BE2675B"/>
    <w:rsid w:val="7C06069C"/>
    <w:rsid w:val="7C246D74"/>
    <w:rsid w:val="7C3A20F4"/>
    <w:rsid w:val="7C3C2310"/>
    <w:rsid w:val="7C4C339B"/>
    <w:rsid w:val="7CAC1243"/>
    <w:rsid w:val="7CC12815"/>
    <w:rsid w:val="7CEA3B1A"/>
    <w:rsid w:val="7D060CE3"/>
    <w:rsid w:val="7D2D3A06"/>
    <w:rsid w:val="7DC97BD3"/>
    <w:rsid w:val="7E3239CA"/>
    <w:rsid w:val="7E3E593D"/>
    <w:rsid w:val="7E4A44F7"/>
    <w:rsid w:val="7EEB3B79"/>
    <w:rsid w:val="FB78F167"/>
    <w:rsid w:val="FDEC646B"/>
    <w:rsid w:val="FFBBC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rPr>
      <w:sz w:val="24"/>
    </w:rPr>
  </w:style>
  <w:style w:type="paragraph" w:customStyle="1" w:styleId="3">
    <w:name w:val="文章"/>
    <w:basedOn w:val="4"/>
    <w:next w:val="5"/>
    <w:qFormat/>
    <w:uiPriority w:val="0"/>
    <w:pPr>
      <w:widowControl/>
      <w:ind w:firstLine="480"/>
      <w:jc w:val="center"/>
    </w:pPr>
    <w:rPr>
      <w:sz w:val="26"/>
    </w:rPr>
  </w:style>
  <w:style w:type="paragraph" w:styleId="4">
    <w:name w:val="Body Text Indent"/>
    <w:basedOn w:val="1"/>
    <w:next w:val="1"/>
    <w:qFormat/>
    <w:uiPriority w:val="0"/>
    <w:pPr>
      <w:spacing w:after="120"/>
      <w:ind w:left="420" w:leftChars="200"/>
    </w:pPr>
    <w:rPr>
      <w:kern w:val="0"/>
      <w:sz w:val="24"/>
      <w:szCs w:val="20"/>
    </w:rPr>
  </w:style>
  <w:style w:type="paragraph" w:styleId="5">
    <w:name w:val="List"/>
    <w:basedOn w:val="1"/>
    <w:next w:val="6"/>
    <w:qFormat/>
    <w:uiPriority w:val="0"/>
    <w:pPr>
      <w:ind w:left="200" w:hanging="200" w:hangingChars="200"/>
      <w:contextualSpacing/>
    </w:pPr>
  </w:style>
  <w:style w:type="paragraph" w:styleId="6">
    <w:name w:val="List Bullet 2"/>
    <w:basedOn w:val="1"/>
    <w:next w:val="7"/>
    <w:semiHidden/>
    <w:unhideWhenUsed/>
    <w:qFormat/>
    <w:uiPriority w:val="99"/>
    <w:pPr>
      <w:numPr>
        <w:ilvl w:val="0"/>
        <w:numId w:val="1"/>
      </w:numPr>
    </w:pPr>
  </w:style>
  <w:style w:type="paragraph" w:customStyle="1" w:styleId="7">
    <w:name w:val="xl70"/>
    <w:basedOn w:val="1"/>
    <w:next w:val="8"/>
    <w:qFormat/>
    <w:uiPriority w:val="0"/>
    <w:pPr>
      <w:widowControl/>
      <w:spacing w:before="280" w:after="280"/>
    </w:pPr>
    <w:rPr>
      <w:rFonts w:ascii="宋体"/>
    </w:rPr>
  </w:style>
  <w:style w:type="paragraph" w:customStyle="1" w:styleId="8">
    <w:name w:val="正文缩进1"/>
    <w:basedOn w:val="1"/>
    <w:next w:val="9"/>
    <w:qFormat/>
    <w:uiPriority w:val="0"/>
    <w:pPr>
      <w:ind w:firstLine="420"/>
    </w:pPr>
    <w:rPr>
      <w:szCs w:val="20"/>
    </w:rPr>
  </w:style>
  <w:style w:type="paragraph" w:customStyle="1" w:styleId="9">
    <w:name w:val="td1"/>
    <w:basedOn w:val="1"/>
    <w:next w:val="1"/>
    <w:qFormat/>
    <w:uiPriority w:val="0"/>
    <w:pPr>
      <w:widowControl/>
      <w:spacing w:before="280" w:after="280" w:line="300" w:lineRule="atLeast"/>
      <w:ind w:firstLine="200"/>
    </w:pPr>
    <w:rPr>
      <w:color w:val="000000"/>
      <w:sz w:val="18"/>
    </w:rPr>
  </w:style>
  <w:style w:type="paragraph" w:styleId="10">
    <w:name w:val="Body Text"/>
    <w:basedOn w:val="1"/>
    <w:next w:val="1"/>
    <w:qFormat/>
    <w:uiPriority w:val="0"/>
    <w:pPr>
      <w:widowControl/>
      <w:snapToGrid w:val="0"/>
      <w:spacing w:before="60" w:after="160" w:line="259" w:lineRule="auto"/>
      <w:ind w:right="113"/>
    </w:pPr>
    <w:rPr>
      <w:kern w:val="0"/>
      <w:sz w:val="18"/>
      <w:szCs w:val="20"/>
    </w:rPr>
  </w:style>
  <w:style w:type="paragraph" w:styleId="11">
    <w:name w:val="Plain Text"/>
    <w:basedOn w:val="1"/>
    <w:next w:val="1"/>
    <w:qFormat/>
    <w:uiPriority w:val="0"/>
    <w:rPr>
      <w:rFonts w:ascii="宋体" w:hAnsi="Courier New"/>
    </w:rPr>
  </w:style>
  <w:style w:type="paragraph" w:styleId="12">
    <w:name w:val="endnote text"/>
    <w:basedOn w:val="1"/>
    <w:next w:val="11"/>
    <w:qFormat/>
    <w:uiPriority w:val="0"/>
    <w:pPr>
      <w:snapToGrid w:val="0"/>
      <w:jc w:val="left"/>
    </w:pPr>
  </w:style>
  <w:style w:type="paragraph" w:styleId="13">
    <w:name w:val="footer"/>
    <w:basedOn w:val="1"/>
    <w:next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2"/>
    <w:semiHidden/>
    <w:qFormat/>
    <w:uiPriority w:val="0"/>
    <w:pPr>
      <w:spacing w:line="240" w:lineRule="exact"/>
      <w:jc w:val="center"/>
    </w:pPr>
    <w:rPr>
      <w:szCs w:val="24"/>
    </w:rPr>
  </w:style>
  <w:style w:type="paragraph" w:styleId="16">
    <w:name w:val="Body Text First Indent 2"/>
    <w:basedOn w:val="4"/>
    <w:next w:val="1"/>
    <w:qFormat/>
    <w:uiPriority w:val="0"/>
    <w:pPr>
      <w:ind w:firstLine="420" w:firstLineChars="200"/>
    </w:pPr>
    <w:rPr>
      <w:kern w:val="2"/>
      <w:sz w:val="21"/>
      <w:szCs w:val="24"/>
    </w:rPr>
  </w:style>
  <w:style w:type="paragraph" w:customStyle="1" w:styleId="19">
    <w:name w:val="高-正文"/>
    <w:basedOn w:val="1"/>
    <w:qFormat/>
    <w:uiPriority w:val="0"/>
    <w:pPr>
      <w:topLinePunct/>
      <w:adjustRightInd w:val="0"/>
      <w:snapToGrid w:val="0"/>
      <w:spacing w:line="480" w:lineRule="exact"/>
      <w:ind w:firstLine="600" w:firstLineChars="200"/>
    </w:pPr>
    <w:rPr>
      <w:kern w:val="0"/>
      <w:sz w:val="24"/>
    </w:rPr>
  </w:style>
  <w:style w:type="paragraph" w:customStyle="1" w:styleId="20">
    <w:name w:val="Default"/>
    <w:basedOn w:val="21"/>
    <w:next w:val="22"/>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qFormat/>
    <w:uiPriority w:val="0"/>
    <w:pPr>
      <w:adjustRightInd w:val="0"/>
      <w:textAlignment w:val="baseline"/>
    </w:pPr>
    <w:rPr>
      <w:rFonts w:ascii="宋体" w:hAnsi="Courier New"/>
      <w:snapToGrid w:val="0"/>
      <w:sz w:val="28"/>
    </w:rPr>
  </w:style>
  <w:style w:type="paragraph" w:customStyle="1" w:styleId="22">
    <w:name w:val="样式35"/>
    <w:basedOn w:val="23"/>
    <w:next w:val="24"/>
    <w:qFormat/>
    <w:uiPriority w:val="0"/>
    <w:pPr>
      <w:spacing w:line="312" w:lineRule="auto"/>
      <w:ind w:firstLine="567"/>
    </w:pPr>
    <w:rPr>
      <w:rFonts w:ascii="宋体"/>
    </w:rPr>
  </w:style>
  <w:style w:type="paragraph" w:customStyle="1" w:styleId="23">
    <w:name w:val="表 内容"/>
    <w:basedOn w:val="1"/>
    <w:qFormat/>
    <w:uiPriority w:val="0"/>
    <w:pPr>
      <w:spacing w:line="240" w:lineRule="atLeast"/>
      <w:jc w:val="center"/>
    </w:pPr>
  </w:style>
  <w:style w:type="paragraph" w:customStyle="1" w:styleId="24">
    <w:name w:val="font6"/>
    <w:basedOn w:val="1"/>
    <w:next w:val="15"/>
    <w:qFormat/>
    <w:uiPriority w:val="0"/>
    <w:pPr>
      <w:widowControl/>
      <w:spacing w:before="100" w:beforeAutospacing="1" w:after="100" w:afterAutospacing="1"/>
      <w:jc w:val="left"/>
    </w:pPr>
    <w:rPr>
      <w:rFonts w:eastAsia="Arial Unicode MS"/>
      <w:kern w:val="0"/>
      <w:sz w:val="24"/>
      <w:szCs w:val="20"/>
    </w:rPr>
  </w:style>
  <w:style w:type="paragraph" w:customStyle="1" w:styleId="25">
    <w:name w:val="Body text|1"/>
    <w:basedOn w:val="1"/>
    <w:qFormat/>
    <w:uiPriority w:val="0"/>
    <w:pPr>
      <w:spacing w:line="44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1777</Words>
  <Characters>1951</Characters>
  <Lines>14</Lines>
  <Paragraphs>4</Paragraphs>
  <TotalTime>70</TotalTime>
  <ScaleCrop>false</ScaleCrop>
  <LinksUpToDate>false</LinksUpToDate>
  <CharactersWithSpaces>2008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2022-11-11T18:34:00Z</dcterms:created>
  <dc:creator>dn</dc:creator>
  <cp:lastModifiedBy>sargai</cp:lastModifiedBy>
  <cp:lastPrinted>2024-11-15T03:04:00Z</cp:lastPrinted>
  <dcterms:modified xsi:type="dcterms:W3CDTF">2024-11-15T09:03:58Z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F9BA001832784F23B02B2BD0F204BBAF_13</vt:lpwstr>
  </property>
</Properties>
</file>