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5</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1</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val="en-US" w:eastAsia="zh-CN"/>
        </w:rPr>
        <w:t>珠恩嘎达布其口岸通关区新建出入境车辆服务区、待发区工程</w:t>
      </w:r>
      <w:r>
        <w:rPr>
          <w:rFonts w:hint="eastAsia" w:ascii="方正小标宋简体" w:hAnsi="Calibri" w:eastAsia="方正小标宋简体" w:cs="Arial"/>
          <w:color w:val="auto"/>
          <w:sz w:val="44"/>
          <w:szCs w:val="44"/>
          <w:highlight w:val="none"/>
        </w:rPr>
        <w:t xml:space="preserve">环境影响报告表的批复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内蒙古金拓国际物流有限公司</w:t>
      </w:r>
      <w:r>
        <w:rPr>
          <w:rFonts w:hint="eastAsia" w:ascii="仿宋_GB2312" w:hAnsi="仿宋_GB2312" w:eastAsia="仿宋_GB2312" w:cs="仿宋_GB2312"/>
          <w:color w:val="auto"/>
          <w:sz w:val="32"/>
          <w:szCs w:val="32"/>
          <w:highlight w:val="none"/>
        </w:rPr>
        <w:t>:</w:t>
      </w:r>
    </w:p>
    <w:p w14:paraId="5597E2B4">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val="en-US" w:eastAsia="zh-CN"/>
        </w:rPr>
        <w:t>内蒙古致远方略工程咨询有限公司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val="en-US" w:eastAsia="zh-CN"/>
        </w:rPr>
        <w:t>珠恩嘎达布其口岸通关区新建出入境车辆服务区、待发区工程</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bookmarkStart w:id="1" w:name="_GoBack"/>
      <w:bookmarkEnd w:id="1"/>
    </w:p>
    <w:p w14:paraId="57BA456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本项目位于内蒙古自治区锡林郭勒盟东乌珠穆沁旗嘎达布其镇东北一公里</w:t>
      </w:r>
      <w:r>
        <w:rPr>
          <w:rFonts w:hint="eastAsia"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rPr>
        <w:t>，地理坐标</w:t>
      </w:r>
      <w:r>
        <w:rPr>
          <w:rFonts w:hint="eastAsia" w:ascii="仿宋_GB2312" w:hAnsi="仿宋_GB2312" w:eastAsia="仿宋_GB2312" w:cs="仿宋_GB2312"/>
          <w:color w:val="auto"/>
          <w:sz w:val="32"/>
          <w:szCs w:val="32"/>
          <w:highlight w:val="none"/>
          <w:lang w:val="en-US" w:eastAsia="zh-CN"/>
        </w:rPr>
        <w:t>为东经：116°16′16.477″北纬：45°45′31.504″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面积为 215827.02</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，项目分三期建设，项目一期建设内容为1#综合楼3105.54m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（3层）、1#修车库800.8m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（修车库仅对配件等进行更换维修）、新建停车区172208m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、地下消防水池464m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；项目二期建设内容为2#综合楼6735.96m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（6层）、门厅楼437m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、2#修车库580.8m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；项目三期建设内容为3#综合楼6735.96m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（6层）。本项目主体工程为危险废物暂存间（位于1#机修库内），用于运营时产生的废机油、废机油滤芯、废铅酸电池、废机油桶暂存，总占地面积20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，库房坡度设计为0.5%，库内分区为废机油储区（占地10m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，最大暂存量为1.5t，设置宽10cm、深10cm导流槽，0.5m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集液</w:t>
      </w:r>
      <w:r>
        <w:rPr>
          <w:rFonts w:hint="default" w:ascii="仿宋_GB2312" w:hAnsi="仿宋_GB2312" w:eastAsia="仿宋_GB2312" w:cs="仿宋_GB2312"/>
          <w:color w:val="auto"/>
          <w:sz w:val="32"/>
          <w:szCs w:val="32"/>
          <w:highlight w:val="none"/>
          <w:lang w:val="en-US" w:eastAsia="zh-CN"/>
        </w:rPr>
        <w:t>池</w:t>
      </w:r>
      <w:r>
        <w:rPr>
          <w:rFonts w:hint="eastAsia" w:ascii="仿宋_GB2312" w:hAnsi="仿宋_GB2312" w:eastAsia="仿宋_GB2312" w:cs="仿宋_GB2312"/>
          <w:color w:val="auto"/>
          <w:sz w:val="32"/>
          <w:szCs w:val="32"/>
          <w:highlight w:val="none"/>
          <w:lang w:val="en-US" w:eastAsia="zh-CN"/>
        </w:rPr>
        <w:t>）、废机油滤芯储区（占地3.0m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，最大暂存量为1.0t）、废机油桶储区（占地4.0m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，最大暂存量为0.3t）、废铅酸电池储区（占地3.0m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，最大暂存量为1.0t，设置宽5cm、深5cm导流槽，0.3m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集液</w:t>
      </w:r>
      <w:r>
        <w:rPr>
          <w:rFonts w:hint="default" w:ascii="仿宋_GB2312" w:hAnsi="仿宋_GB2312" w:eastAsia="仿宋_GB2312" w:cs="仿宋_GB2312"/>
          <w:color w:val="auto"/>
          <w:sz w:val="32"/>
          <w:szCs w:val="32"/>
          <w:highlight w:val="none"/>
          <w:lang w:val="en-US" w:eastAsia="zh-CN"/>
        </w:rPr>
        <w:t>池</w:t>
      </w:r>
      <w:r>
        <w:rPr>
          <w:rFonts w:hint="eastAsia" w:ascii="仿宋_GB2312" w:hAnsi="仿宋_GB2312" w:eastAsia="仿宋_GB2312" w:cs="仿宋_GB2312"/>
          <w:color w:val="auto"/>
          <w:sz w:val="32"/>
          <w:szCs w:val="32"/>
          <w:highlight w:val="none"/>
          <w:lang w:val="en-US" w:eastAsia="zh-CN"/>
        </w:rPr>
        <w:t>），采用金刚砂层铺底+2mm厚HDPE膜+混凝土层+环氧树脂进行防渗，防渗系数不大于10</w:t>
      </w:r>
      <w:r>
        <w:rPr>
          <w:rFonts w:hint="eastAsia" w:ascii="仿宋_GB2312" w:hAnsi="仿宋_GB2312" w:eastAsia="仿宋_GB2312" w:cs="仿宋_GB2312"/>
          <w:color w:val="auto"/>
          <w:sz w:val="32"/>
          <w:szCs w:val="32"/>
          <w:highlight w:val="none"/>
          <w:vertAlign w:val="superscript"/>
          <w:lang w:val="en-US" w:eastAsia="zh-CN"/>
        </w:rPr>
        <w:t>-10</w:t>
      </w:r>
      <w:r>
        <w:rPr>
          <w:rFonts w:hint="eastAsia" w:ascii="仿宋_GB2312" w:hAnsi="仿宋_GB2312" w:eastAsia="仿宋_GB2312" w:cs="仿宋_GB2312"/>
          <w:color w:val="auto"/>
          <w:sz w:val="32"/>
          <w:szCs w:val="32"/>
          <w:highlight w:val="none"/>
          <w:lang w:val="en-US" w:eastAsia="zh-CN"/>
        </w:rPr>
        <w:t>cm/s，四周设置50cm高裙角，设置防爆灯、观察窗；公用工程为供电系统、供水系统、供暖系统、消防系统。</w:t>
      </w:r>
    </w:p>
    <w:p w14:paraId="0F8E80A7">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总投资16800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允许类建设项目。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二、项目建设及运营</w:t>
      </w:r>
      <w:r>
        <w:rPr>
          <w:rFonts w:hint="eastAsia" w:ascii="黑体" w:hAnsi="黑体" w:eastAsia="黑体" w:cs="Arial"/>
          <w:color w:val="auto"/>
          <w:sz w:val="32"/>
          <w:szCs w:val="32"/>
          <w:highlight w:val="none"/>
          <w:lang w:val="en-US" w:eastAsia="zh-CN"/>
        </w:rPr>
        <w:t>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0AF535EF">
      <w:pPr>
        <w:pStyle w:val="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采取封闭式管理，对运输车辆采取限制车速及加盖苫布、遇到恶劣天气禁止施工作业等措施，抑制扬尘对环境的污染。营运期对液态或半固态危险废物应采用闭口容器贮存，并加强通风，定时清运。严格按照《大气污染物综合排放标准》（GB16297-1996）表2要求执行。</w:t>
      </w:r>
    </w:p>
    <w:p w14:paraId="6A196A5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7B4C27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bCs/>
          <w:color w:val="auto"/>
          <w:sz w:val="32"/>
          <w:szCs w:val="32"/>
          <w:highlight w:val="none"/>
        </w:rPr>
        <w:t>生活污水经化粪池收集后通过</w:t>
      </w:r>
      <w:r>
        <w:rPr>
          <w:rFonts w:hint="eastAsia" w:ascii="仿宋_GB2312" w:hAnsi="Calibri" w:eastAsia="仿宋_GB2312" w:cs="Arial"/>
          <w:bCs/>
          <w:color w:val="auto"/>
          <w:sz w:val="32"/>
          <w:szCs w:val="32"/>
          <w:highlight w:val="none"/>
          <w:lang w:val="en-US" w:eastAsia="zh-CN"/>
        </w:rPr>
        <w:t>地埋式</w:t>
      </w:r>
      <w:r>
        <w:rPr>
          <w:rFonts w:hint="eastAsia" w:ascii="仿宋_GB2312" w:hAnsi="Calibri" w:eastAsia="仿宋_GB2312" w:cs="Arial"/>
          <w:bCs/>
          <w:color w:val="auto"/>
          <w:sz w:val="32"/>
          <w:szCs w:val="32"/>
          <w:highlight w:val="none"/>
        </w:rPr>
        <w:t>一体化污水处理设备</w:t>
      </w:r>
      <w:r>
        <w:rPr>
          <w:rFonts w:hint="eastAsia" w:ascii="仿宋_GB2312" w:hAnsi="Calibri" w:eastAsia="仿宋_GB2312" w:cs="Arial"/>
          <w:bCs/>
          <w:color w:val="auto"/>
          <w:sz w:val="32"/>
          <w:szCs w:val="32"/>
          <w:highlight w:val="none"/>
          <w:lang w:eastAsia="zh-CN"/>
        </w:rPr>
        <w:t>（处理能力为2.0m</w:t>
      </w:r>
      <w:r>
        <w:rPr>
          <w:rFonts w:hint="eastAsia" w:ascii="仿宋_GB2312" w:hAnsi="Calibri" w:eastAsia="仿宋_GB2312" w:cs="Arial"/>
          <w:bCs/>
          <w:color w:val="auto"/>
          <w:sz w:val="32"/>
          <w:szCs w:val="32"/>
          <w:highlight w:val="none"/>
          <w:vertAlign w:val="superscript"/>
          <w:lang w:eastAsia="zh-CN"/>
        </w:rPr>
        <w:t>3</w:t>
      </w:r>
      <w:r>
        <w:rPr>
          <w:rFonts w:hint="eastAsia" w:ascii="仿宋_GB2312" w:hAnsi="Calibri" w:eastAsia="仿宋_GB2312" w:cs="Arial"/>
          <w:bCs/>
          <w:color w:val="auto"/>
          <w:sz w:val="32"/>
          <w:szCs w:val="32"/>
          <w:highlight w:val="none"/>
          <w:lang w:eastAsia="zh-CN"/>
        </w:rPr>
        <w:t>/h）</w:t>
      </w:r>
      <w:r>
        <w:rPr>
          <w:rFonts w:hint="eastAsia" w:ascii="仿宋_GB2312" w:hAnsi="Calibri" w:eastAsia="仿宋_GB2312" w:cs="Arial"/>
          <w:bCs/>
          <w:color w:val="auto"/>
          <w:sz w:val="32"/>
          <w:szCs w:val="32"/>
          <w:highlight w:val="none"/>
          <w:lang w:val="en-US" w:eastAsia="zh-CN"/>
        </w:rPr>
        <w:t>处理，处理后应达到《城市污水再生利用城市杂用水水质》标准，夏季用于厂区绿化，冬季储存废水，不外排;本项目只对危险废物进行收集、贮存，不会产生生产性废水,危废暂存间地面、墙面裙角、导流槽和收集池要严格按照《危险废物贮存污染控制标准》（GB 18597—2023）中要求采取防渗措施。</w:t>
      </w:r>
    </w:p>
    <w:p w14:paraId="00F1E2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1631BD4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加强建设期及营运期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车辆定期维护</w:t>
      </w:r>
      <w:r>
        <w:rPr>
          <w:rFonts w:hint="eastAsia" w:ascii="仿宋_GB2312" w:hAnsi="Calibri" w:eastAsia="仿宋_GB2312" w:cs="Arial"/>
          <w:color w:val="auto"/>
          <w:sz w:val="32"/>
          <w:szCs w:val="32"/>
          <w:highlight w:val="none"/>
        </w:rPr>
        <w:t>等措施</w:t>
      </w:r>
      <w:r>
        <w:rPr>
          <w:rFonts w:hint="eastAsia" w:ascii="仿宋_GB2312" w:hAnsi="Calibri" w:eastAsia="仿宋_GB2312" w:cs="Arial"/>
          <w:color w:val="auto"/>
          <w:sz w:val="32"/>
          <w:szCs w:val="32"/>
          <w:highlight w:val="none"/>
          <w:lang w:val="en-US" w:eastAsia="zh-CN"/>
        </w:rPr>
        <w:t>。施工期、营运期噪声执行《建筑施工场界环境噪声排放标准》（GB12523-2011），《工业企业厂界环境噪声排放标准》（GB12348-2008）2类标准。</w:t>
      </w:r>
    </w:p>
    <w:p w14:paraId="6687232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458E8FE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正规处置场所。营运期产生的</w:t>
      </w:r>
      <w:r>
        <w:rPr>
          <w:rFonts w:hint="eastAsia" w:ascii="仿宋_GB2312" w:hAnsi="仿宋_GB2312" w:eastAsia="仿宋_GB2312" w:cs="仿宋_GB2312"/>
          <w:color w:val="auto"/>
          <w:sz w:val="32"/>
          <w:szCs w:val="32"/>
          <w:highlight w:val="none"/>
          <w:lang w:val="en-US" w:eastAsia="zh-CN"/>
        </w:rPr>
        <w:t>废机油、废机油滤芯、废铅酸电池、废机油桶等</w:t>
      </w:r>
      <w:r>
        <w:rPr>
          <w:rFonts w:hint="eastAsia" w:ascii="仿宋_GB2312" w:eastAsia="仿宋_GB2312" w:cs="Arial"/>
          <w:color w:val="auto"/>
          <w:sz w:val="32"/>
          <w:szCs w:val="32"/>
          <w:highlight w:val="none"/>
          <w:lang w:val="en-US" w:eastAsia="zh-CN"/>
        </w:rPr>
        <w:t>危险废物应分类分区存放，不得混装，并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w:t>
      </w:r>
      <w:r>
        <w:rPr>
          <w:rFonts w:hint="eastAsia" w:ascii="仿宋_GB2312" w:hAnsi="Calibri" w:eastAsia="仿宋_GB2312" w:cs="Arial"/>
          <w:color w:val="auto"/>
          <w:sz w:val="32"/>
          <w:szCs w:val="32"/>
          <w:highlight w:val="none"/>
          <w:lang w:val="en-US" w:eastAsia="zh-CN"/>
        </w:rPr>
        <w:t>；餐厨垃圾收集后规范处置。建设期和营运期产生的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val="en-US" w:eastAsia="zh-CN"/>
        </w:rPr>
        <w:t xml:space="preserve"> </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CDE25A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78DBEFA7">
      <w:pPr>
        <w:keepNext w:val="0"/>
        <w:keepLines w:val="0"/>
        <w:pageBreakBefore w:val="0"/>
        <w:widowControl w:val="0"/>
        <w:kinsoku/>
        <w:wordWrap/>
        <w:overflowPunct/>
        <w:topLinePunct w:val="0"/>
        <w:bidi w:val="0"/>
        <w:snapToGrid/>
        <w:spacing w:line="560" w:lineRule="exact"/>
        <w:textAlignment w:val="auto"/>
        <w:rPr>
          <w:rFonts w:hint="eastAsia"/>
          <w:color w:val="auto"/>
          <w:highlight w:val="none"/>
        </w:rPr>
      </w:pPr>
    </w:p>
    <w:p w14:paraId="707A8E8E">
      <w:pPr>
        <w:keepNext w:val="0"/>
        <w:keepLines w:val="0"/>
        <w:pageBreakBefore w:val="0"/>
        <w:widowControl w:val="0"/>
        <w:kinsoku/>
        <w:wordWrap/>
        <w:overflowPunct/>
        <w:topLinePunct w:val="0"/>
        <w:bidi w:val="0"/>
        <w:snapToGrid/>
        <w:spacing w:line="560" w:lineRule="exact"/>
        <w:textAlignment w:val="auto"/>
        <w:rPr>
          <w:rFonts w:hint="eastAsia"/>
          <w:color w:val="auto"/>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460B4BB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2</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18</w:t>
      </w:r>
      <w:r>
        <w:rPr>
          <w:rFonts w:hint="eastAsia" w:ascii="仿宋_GB2312" w:hAnsi="Calibri" w:eastAsia="仿宋_GB2312" w:cs="Arial"/>
          <w:color w:val="auto"/>
          <w:sz w:val="32"/>
          <w:szCs w:val="32"/>
          <w:highlight w:val="none"/>
          <w:lang w:eastAsia="zh-CN"/>
        </w:rPr>
        <w:t>日</w:t>
      </w:r>
    </w:p>
    <w:p w14:paraId="1AB9640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4AC2255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40BAF9D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5011D73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599F17B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46C0182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73FDF04C">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1D2845E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67E5C89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1006F661">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33B9714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03189B2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1D6C82E5">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70CFE16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2025年2月18日印发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3C94DF8"/>
    <w:rsid w:val="05E7509A"/>
    <w:rsid w:val="0D980131"/>
    <w:rsid w:val="0F5D6655"/>
    <w:rsid w:val="117143B2"/>
    <w:rsid w:val="1B1541F5"/>
    <w:rsid w:val="2BAB49C5"/>
    <w:rsid w:val="2E075A2A"/>
    <w:rsid w:val="30CD2F5B"/>
    <w:rsid w:val="310444A3"/>
    <w:rsid w:val="34B166F0"/>
    <w:rsid w:val="4DE66FB2"/>
    <w:rsid w:val="56391260"/>
    <w:rsid w:val="5A6C17A9"/>
    <w:rsid w:val="5FA6467B"/>
    <w:rsid w:val="62AC1363"/>
    <w:rsid w:val="746F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1812</Words>
  <Characters>2060</Characters>
  <Lines>0</Lines>
  <Paragraphs>0</Paragraphs>
  <TotalTime>18</TotalTime>
  <ScaleCrop>false</ScaleCrop>
  <LinksUpToDate>false</LinksUpToDate>
  <CharactersWithSpaces>2114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2025-02-17T02:00:00Z</cp:lastPrinted>
  <dcterms:modified xsi:type="dcterms:W3CDTF">2025-02-18T07:32:38Z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3D3FAC09FD2447A2A5793BBB18599FA6_13</vt:lpwstr>
  </property>
  <property fmtid="{D5CDD505-2E9C-101B-9397-08002B2CF9AE}" pid="4" name="KSOTemplateDocerSaveRecord">
    <vt:lpwstr>eyJoZGlkIjoiNzQ5YzIwZGE2ZmU0ZDQ1NzU1ODA3Y2ZhM2Y3NzgzNmIiLCJ1c2VySWQiOiIyNzY5NTQ3NjAifQ==</vt:lpwstr>
  </property>
</Properties>
</file>