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方正楷体_GB2312" w:hAnsi="方正楷体_GB2312" w:eastAsia="方正楷体_GB2312" w:cs="方正楷体_GB2312"/>
          <w:color w:val="000000"/>
          <w:sz w:val="52"/>
          <w:szCs w:val="52"/>
        </w:rPr>
      </w:pPr>
    </w:p>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textAlignment w:val="auto"/>
        <w:rPr>
          <w:rFonts w:ascii="黑体" w:hAnsi="黑体" w:eastAsia="黑体" w:cs="方正仿宋_GB2312"/>
          <w:color w:val="000000"/>
          <w:sz w:val="52"/>
          <w:szCs w:val="52"/>
        </w:rPr>
      </w:pPr>
    </w:p>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0"/>
        <w:rPr>
          <w:rFonts w:hint="eastAsia" w:ascii="黑体" w:hAnsi="黑体" w:eastAsia="黑体"/>
          <w:bCs/>
          <w:color w:val="000000"/>
          <w:sz w:val="72"/>
          <w:szCs w:val="72"/>
        </w:rPr>
      </w:pPr>
      <w:r>
        <w:rPr>
          <w:rFonts w:hint="eastAsia" w:ascii="黑体" w:hAnsi="黑体" w:eastAsia="黑体"/>
          <w:bCs/>
          <w:color w:val="000000"/>
          <w:sz w:val="72"/>
          <w:szCs w:val="72"/>
        </w:rPr>
        <w:t>建设项目环境影响报告表</w:t>
      </w:r>
    </w:p>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color w:val="000000"/>
        </w:rPr>
      </w:pPr>
      <w:r>
        <w:rPr>
          <w:rFonts w:hint="eastAsia" w:ascii="黑体" w:hAnsi="黑体" w:eastAsia="黑体"/>
          <w:bCs/>
          <w:color w:val="000000"/>
          <w:sz w:val="36"/>
          <w:szCs w:val="36"/>
        </w:rPr>
        <w:t>（污染影响类）</w:t>
      </w:r>
    </w:p>
    <w:p>
      <w:pPr>
        <w:rPr>
          <w:rFonts w:ascii="黑体" w:hAnsi="黑体" w:eastAsia="黑体"/>
          <w:color w:val="000000"/>
          <w:sz w:val="72"/>
          <w:szCs w:val="72"/>
        </w:rPr>
      </w:pPr>
    </w:p>
    <w:p>
      <w:pPr>
        <w:rPr>
          <w:rFonts w:ascii="黑体" w:hAnsi="黑体" w:eastAsia="黑体"/>
          <w:color w:val="000000"/>
          <w:sz w:val="72"/>
          <w:szCs w:val="72"/>
        </w:rPr>
      </w:pPr>
    </w:p>
    <w:p>
      <w:pPr>
        <w:keepNext w:val="0"/>
        <w:keepLines w:val="0"/>
        <w:pageBreakBefore w:val="0"/>
        <w:widowControl w:val="0"/>
        <w:kinsoku/>
        <w:wordWrap/>
        <w:overflowPunct/>
        <w:topLinePunct w:val="0"/>
        <w:autoSpaceDE/>
        <w:autoSpaceDN/>
        <w:bidi w:val="0"/>
        <w:adjustRightInd w:val="0"/>
        <w:snapToGrid w:val="0"/>
        <w:spacing w:before="157" w:beforeLines="50" w:after="157" w:afterLines="50" w:line="360" w:lineRule="auto"/>
        <w:ind w:left="319" w:leftChars="133" w:firstLine="0" w:firstLineChars="0"/>
        <w:textAlignment w:val="auto"/>
        <w:rPr>
          <w:rFonts w:hint="eastAsia" w:ascii="黑体" w:hAnsi="黑体" w:eastAsia="黑体" w:cs="Times New Roman"/>
          <w:color w:val="000000"/>
          <w:sz w:val="32"/>
          <w:szCs w:val="32"/>
          <w:u w:val="single"/>
          <w:lang w:val="en-US" w:eastAsia="zh-CN"/>
        </w:rPr>
      </w:pPr>
      <w:r>
        <w:rPr>
          <w:rFonts w:hint="eastAsia" w:ascii="黑体" w:hAnsi="黑体" w:eastAsia="黑体"/>
          <w:color w:val="000000"/>
          <w:sz w:val="32"/>
          <w:szCs w:val="32"/>
        </w:rPr>
        <w:t>项目名称：</w:t>
      </w:r>
      <w:r>
        <w:rPr>
          <w:rFonts w:hint="eastAsia" w:ascii="黑体" w:hAnsi="黑体" w:eastAsia="黑体" w:cs="Times New Roman"/>
          <w:color w:val="000000"/>
          <w:sz w:val="32"/>
          <w:szCs w:val="32"/>
          <w:u w:val="single"/>
          <w:lang w:val="en-US" w:eastAsia="zh-CN"/>
        </w:rPr>
        <w:t>正蓝旗动物疫病预防控制中心医疗废物暂存间建设项目</w:t>
      </w:r>
    </w:p>
    <w:p>
      <w:pPr>
        <w:keepNext w:val="0"/>
        <w:keepLines w:val="0"/>
        <w:pageBreakBefore w:val="0"/>
        <w:widowControl w:val="0"/>
        <w:kinsoku/>
        <w:wordWrap/>
        <w:overflowPunct/>
        <w:topLinePunct w:val="0"/>
        <w:autoSpaceDE/>
        <w:autoSpaceDN/>
        <w:bidi w:val="0"/>
        <w:adjustRightInd w:val="0"/>
        <w:snapToGrid w:val="0"/>
        <w:spacing w:before="157" w:beforeLines="50" w:after="157" w:afterLines="50" w:line="360" w:lineRule="auto"/>
        <w:ind w:left="319" w:leftChars="133" w:firstLine="0" w:firstLineChars="0"/>
        <w:textAlignment w:val="auto"/>
        <w:rPr>
          <w:rFonts w:hint="default" w:ascii="黑体" w:hAnsi="Times New Roman" w:eastAsia="黑体" w:cs="Times New Roman"/>
          <w:bCs/>
          <w:color w:val="000000"/>
          <w:sz w:val="32"/>
          <w:szCs w:val="32"/>
          <w:u w:val="single"/>
          <w:lang w:val="en-US" w:eastAsia="zh-CN"/>
        </w:rPr>
      </w:pPr>
      <w:r>
        <w:rPr>
          <w:rFonts w:hint="eastAsia" w:ascii="黑体" w:hAnsi="黑体" w:eastAsia="黑体"/>
          <w:color w:val="000000"/>
          <w:sz w:val="32"/>
          <w:szCs w:val="32"/>
        </w:rPr>
        <w:t>建设单位（盖章）：</w:t>
      </w:r>
      <w:r>
        <w:rPr>
          <w:rFonts w:hint="eastAsia" w:ascii="黑体" w:hAnsi="黑体" w:eastAsia="黑体" w:cs="Times New Roman"/>
          <w:color w:val="000000"/>
          <w:sz w:val="32"/>
          <w:szCs w:val="32"/>
          <w:u w:val="single"/>
          <w:lang w:val="en-US" w:eastAsia="zh-CN"/>
        </w:rPr>
        <w:t>正蓝旗动物疫病预防控制中心</w:t>
      </w:r>
      <w:r>
        <w:rPr>
          <w:rFonts w:hint="eastAsia" w:ascii="黑体" w:hAnsi="Times New Roman" w:eastAsia="黑体" w:cs="Times New Roman"/>
          <w:bCs/>
          <w:color w:val="000000"/>
          <w:sz w:val="32"/>
          <w:szCs w:val="32"/>
          <w:u w:val="single"/>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before="157" w:beforeLines="50" w:after="157" w:afterLines="50" w:line="360" w:lineRule="auto"/>
        <w:ind w:left="319" w:leftChars="133" w:firstLine="0" w:firstLineChars="0"/>
        <w:textAlignment w:val="auto"/>
        <w:rPr>
          <w:rFonts w:hint="default" w:ascii="黑体" w:hAnsi="黑体" w:eastAsia="黑体"/>
          <w:color w:val="000000"/>
          <w:sz w:val="32"/>
          <w:szCs w:val="32"/>
          <w:u w:val="single"/>
          <w:lang w:val="en-US"/>
        </w:rPr>
      </w:pPr>
      <w:r>
        <w:rPr>
          <w:rFonts w:hint="eastAsia" w:ascii="黑体" w:hAnsi="黑体" w:eastAsia="黑体"/>
          <w:color w:val="000000"/>
          <w:sz w:val="32"/>
          <w:szCs w:val="32"/>
        </w:rPr>
        <w:t>编制日期：</w:t>
      </w:r>
      <w:r>
        <w:rPr>
          <w:rFonts w:hint="eastAsia" w:ascii="黑体" w:hAnsi="黑体" w:eastAsia="黑体"/>
          <w:color w:val="000000"/>
          <w:sz w:val="32"/>
          <w:szCs w:val="32"/>
          <w:u w:val="single"/>
        </w:rPr>
        <w:t xml:space="preserve"> </w:t>
      </w:r>
      <w:r>
        <w:rPr>
          <w:rFonts w:ascii="黑体" w:hAnsi="黑体" w:eastAsia="黑体"/>
          <w:color w:val="000000"/>
          <w:sz w:val="32"/>
          <w:szCs w:val="32"/>
          <w:u w:val="single"/>
        </w:rPr>
        <w:t xml:space="preserve"> </w:t>
      </w:r>
      <w:r>
        <w:rPr>
          <w:rFonts w:hint="eastAsia" w:ascii="黑体" w:hAnsi="黑体" w:eastAsia="黑体"/>
          <w:color w:val="000000"/>
          <w:sz w:val="32"/>
          <w:szCs w:val="32"/>
          <w:u w:val="single"/>
        </w:rPr>
        <w:t xml:space="preserve">   </w:t>
      </w:r>
      <w:r>
        <w:rPr>
          <w:rFonts w:hint="eastAsia" w:ascii="黑体" w:hAnsi="黑体" w:eastAsia="黑体"/>
          <w:color w:val="000000"/>
          <w:sz w:val="32"/>
          <w:szCs w:val="32"/>
          <w:u w:val="single"/>
          <w:lang w:val="en-US" w:eastAsia="zh-CN"/>
        </w:rPr>
        <w:t xml:space="preserve">   </w:t>
      </w:r>
      <w:r>
        <w:rPr>
          <w:rFonts w:eastAsia="黑体"/>
          <w:color w:val="000000"/>
          <w:sz w:val="32"/>
          <w:szCs w:val="32"/>
          <w:u w:val="single"/>
        </w:rPr>
        <w:t>202</w:t>
      </w:r>
      <w:r>
        <w:rPr>
          <w:rFonts w:hint="eastAsia" w:eastAsia="黑体"/>
          <w:color w:val="000000"/>
          <w:sz w:val="32"/>
          <w:szCs w:val="32"/>
          <w:u w:val="single"/>
          <w:lang w:val="en-US" w:eastAsia="zh-CN"/>
        </w:rPr>
        <w:t>5</w:t>
      </w:r>
      <w:r>
        <w:rPr>
          <w:rFonts w:hAnsi="黑体" w:eastAsia="黑体"/>
          <w:color w:val="000000"/>
          <w:sz w:val="32"/>
          <w:szCs w:val="32"/>
          <w:u w:val="single"/>
        </w:rPr>
        <w:t>年</w:t>
      </w:r>
      <w:r>
        <w:rPr>
          <w:rFonts w:hint="eastAsia" w:eastAsia="黑体"/>
          <w:color w:val="000000"/>
          <w:sz w:val="32"/>
          <w:szCs w:val="32"/>
          <w:u w:val="single"/>
          <w:lang w:val="en-US" w:eastAsia="zh-CN"/>
        </w:rPr>
        <w:t>6</w:t>
      </w:r>
      <w:r>
        <w:rPr>
          <w:rFonts w:hAnsi="黑体" w:eastAsia="黑体"/>
          <w:color w:val="000000"/>
          <w:sz w:val="32"/>
          <w:szCs w:val="32"/>
          <w:u w:val="single"/>
        </w:rPr>
        <w:t>月</w:t>
      </w:r>
      <w:r>
        <w:rPr>
          <w:rFonts w:ascii="黑体" w:hAnsi="黑体" w:eastAsia="黑体"/>
          <w:color w:val="000000"/>
          <w:sz w:val="32"/>
          <w:szCs w:val="32"/>
          <w:u w:val="single"/>
        </w:rPr>
        <w:t xml:space="preserve">      </w:t>
      </w:r>
      <w:r>
        <w:rPr>
          <w:rFonts w:hint="eastAsia" w:ascii="黑体" w:hAnsi="黑体" w:eastAsia="黑体"/>
          <w:color w:val="000000"/>
          <w:sz w:val="32"/>
          <w:szCs w:val="32"/>
          <w:u w:val="single"/>
          <w:lang w:val="en-US" w:eastAsia="zh-CN"/>
        </w:rPr>
        <w:t xml:space="preserve"> </w:t>
      </w:r>
      <w:r>
        <w:rPr>
          <w:rFonts w:ascii="黑体" w:hAnsi="黑体" w:eastAsia="黑体"/>
          <w:color w:val="000000"/>
          <w:sz w:val="32"/>
          <w:szCs w:val="32"/>
          <w:u w:val="single"/>
        </w:rPr>
        <w:t xml:space="preserve">   </w:t>
      </w:r>
      <w:r>
        <w:rPr>
          <w:rFonts w:hint="eastAsia" w:ascii="黑体" w:hAnsi="黑体" w:eastAsia="黑体"/>
          <w:color w:val="000000"/>
          <w:sz w:val="32"/>
          <w:szCs w:val="32"/>
          <w:u w:val="single"/>
          <w:lang w:val="en-US" w:eastAsia="zh-CN"/>
        </w:rPr>
        <w:t xml:space="preserve"> </w:t>
      </w:r>
      <w:r>
        <w:rPr>
          <w:rFonts w:ascii="黑体" w:hAnsi="黑体" w:eastAsia="黑体"/>
          <w:color w:val="000000"/>
          <w:sz w:val="32"/>
          <w:szCs w:val="32"/>
          <w:u w:val="single"/>
        </w:rPr>
        <w:t xml:space="preserve"> </w:t>
      </w:r>
      <w:r>
        <w:rPr>
          <w:rFonts w:hint="eastAsia" w:ascii="黑体" w:hAnsi="黑体" w:eastAsia="黑体"/>
          <w:color w:val="000000"/>
          <w:sz w:val="32"/>
          <w:szCs w:val="32"/>
          <w:u w:val="single"/>
          <w:lang w:val="en-US" w:eastAsia="zh-CN"/>
        </w:rPr>
        <w:t xml:space="preserve">             </w:t>
      </w:r>
    </w:p>
    <w:p>
      <w:pPr>
        <w:adjustRightInd w:val="0"/>
        <w:snapToGrid w:val="0"/>
        <w:spacing w:line="360" w:lineRule="auto"/>
        <w:rPr>
          <w:rFonts w:hint="default" w:ascii="黑体" w:hAnsi="黑体" w:eastAsia="黑体"/>
          <w:color w:val="000000"/>
          <w:sz w:val="36"/>
          <w:szCs w:val="36"/>
          <w:lang w:val="en-US" w:eastAsia="zh-CN"/>
        </w:rPr>
      </w:pPr>
      <w:bookmarkStart w:id="0" w:name="_Hlk57884087"/>
    </w:p>
    <w:p>
      <w:pPr>
        <w:pStyle w:val="2"/>
        <w:rPr>
          <w:rFonts w:hint="default" w:ascii="黑体" w:hAnsi="黑体" w:eastAsia="黑体"/>
          <w:color w:val="000000"/>
          <w:sz w:val="36"/>
          <w:szCs w:val="36"/>
          <w:lang w:val="en-US" w:eastAsia="zh-CN"/>
        </w:rPr>
      </w:pPr>
    </w:p>
    <w:p>
      <w:pPr>
        <w:pStyle w:val="2"/>
        <w:rPr>
          <w:rFonts w:hint="default" w:ascii="黑体" w:hAnsi="黑体" w:eastAsia="黑体"/>
          <w:color w:val="000000"/>
          <w:sz w:val="36"/>
          <w:szCs w:val="36"/>
          <w:lang w:val="en-US" w:eastAsia="zh-CN"/>
        </w:rPr>
      </w:pPr>
    </w:p>
    <w:p>
      <w:pPr>
        <w:pStyle w:val="2"/>
        <w:rPr>
          <w:rFonts w:hint="default" w:ascii="黑体" w:hAnsi="黑体" w:eastAsia="黑体"/>
          <w:color w:val="000000"/>
          <w:sz w:val="36"/>
          <w:szCs w:val="36"/>
          <w:lang w:val="en-US" w:eastAsia="zh-CN"/>
        </w:rPr>
      </w:pPr>
    </w:p>
    <w:bookmarkEnd w:id="0"/>
    <w:p>
      <w:pPr>
        <w:adjustRightInd w:val="0"/>
        <w:snapToGrid w:val="0"/>
        <w:spacing w:line="288" w:lineRule="auto"/>
        <w:jc w:val="center"/>
        <w:rPr>
          <w:rFonts w:hint="eastAsia" w:ascii="黑体" w:hAnsi="黑体" w:eastAsia="黑体"/>
          <w:color w:val="000000"/>
          <w:sz w:val="36"/>
          <w:szCs w:val="36"/>
        </w:rPr>
        <w:sectPr>
          <w:pgSz w:w="11906" w:h="16838"/>
          <w:pgMar w:top="1418" w:right="1418" w:bottom="1701" w:left="1418" w:header="851" w:footer="1077" w:gutter="0"/>
          <w:pgBorders>
            <w:top w:val="none" w:sz="0" w:space="0"/>
            <w:left w:val="none" w:sz="0" w:space="0"/>
            <w:bottom w:val="none" w:sz="0" w:space="0"/>
            <w:right w:val="none" w:sz="0" w:space="0"/>
          </w:pgBorders>
          <w:pgNumType w:fmt="decimal" w:start="1"/>
          <w:cols w:space="720" w:num="1"/>
          <w:docGrid w:linePitch="312" w:charSpace="0"/>
        </w:sectPr>
      </w:pPr>
      <w:r>
        <w:rPr>
          <w:rFonts w:hint="eastAsia" w:ascii="黑体" w:hAnsi="黑体" w:eastAsia="黑体"/>
          <w:color w:val="000000"/>
          <w:sz w:val="36"/>
          <w:szCs w:val="36"/>
        </w:rPr>
        <w:t>中华人民共和国生态环境部制</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0" w:firstLineChars="0"/>
        <w:jc w:val="center"/>
        <w:textAlignment w:val="auto"/>
        <w:rPr>
          <w:rFonts w:hint="eastAsia" w:ascii="黑体" w:hAnsi="黑体" w:eastAsia="黑体"/>
          <w:color w:val="000000"/>
          <w:sz w:val="36"/>
          <w:szCs w:val="36"/>
          <w:lang w:eastAsia="zh-CN"/>
        </w:rPr>
      </w:pPr>
    </w:p>
    <w:p>
      <w:pPr>
        <w:pStyle w:val="29"/>
        <w:spacing w:before="120" w:beforeLines="50" w:beforeAutospacing="0" w:after="120" w:afterLines="50" w:afterAutospacing="0"/>
        <w:jc w:val="center"/>
        <w:outlineLvl w:val="0"/>
        <w:rPr>
          <w:rFonts w:hint="eastAsia" w:ascii="黑体" w:hAnsi="黑体" w:eastAsia="黑体"/>
          <w:snapToGrid w:val="0"/>
          <w:color w:val="000000"/>
          <w:sz w:val="30"/>
          <w:szCs w:val="30"/>
        </w:rPr>
        <w:sectPr>
          <w:pgSz w:w="11906" w:h="16838"/>
          <w:pgMar w:top="1418" w:right="1418" w:bottom="1701" w:left="1418" w:header="851" w:footer="1077" w:gutter="0"/>
          <w:pgBorders>
            <w:top w:val="none" w:sz="0" w:space="0"/>
            <w:left w:val="none" w:sz="0" w:space="0"/>
            <w:bottom w:val="none" w:sz="0" w:space="0"/>
            <w:right w:val="none" w:sz="0" w:space="0"/>
          </w:pgBorders>
          <w:pgNumType w:fmt="decimal" w:start="1"/>
          <w:cols w:space="720" w:num="1"/>
          <w:docGrid w:linePitch="312" w:charSpace="0"/>
        </w:sectPr>
      </w:pPr>
    </w:p>
    <w:p>
      <w:pPr>
        <w:pStyle w:val="29"/>
        <w:spacing w:before="120" w:beforeLines="50" w:beforeAutospacing="0" w:after="120" w:afterLines="50" w:afterAutospacing="0"/>
        <w:jc w:val="center"/>
        <w:outlineLvl w:val="0"/>
        <w:rPr>
          <w:rFonts w:hint="eastAsia" w:ascii="黑体" w:hAnsi="黑体" w:eastAsia="黑体"/>
          <w:snapToGrid w:val="0"/>
          <w:color w:val="000000"/>
          <w:sz w:val="30"/>
          <w:szCs w:val="30"/>
        </w:rPr>
      </w:pPr>
      <w:r>
        <w:rPr>
          <w:rFonts w:hint="eastAsia" w:ascii="黑体" w:hAnsi="黑体" w:eastAsia="黑体"/>
          <w:snapToGrid w:val="0"/>
          <w:color w:val="000000"/>
          <w:sz w:val="30"/>
          <w:szCs w:val="30"/>
        </w:rPr>
        <w:t>一、建设项目基本情况</w:t>
      </w:r>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864"/>
        <w:gridCol w:w="2255"/>
        <w:gridCol w:w="1976"/>
        <w:gridCol w:w="297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93" w:hRule="atLeast"/>
          <w:jc w:val="center"/>
        </w:trPr>
        <w:tc>
          <w:tcPr>
            <w:tcW w:w="1864" w:type="dxa"/>
            <w:tcBorders>
              <w:top w:val="single" w:color="auto" w:sz="12" w:space="0"/>
              <w:left w:val="single" w:color="auto" w:sz="12" w:space="0"/>
              <w:bottom w:val="single" w:color="auto" w:sz="4" w:space="0"/>
              <w:right w:val="single" w:color="auto" w:sz="4" w:space="0"/>
            </w:tcBorders>
            <w:noWrap w:val="0"/>
            <w:tcMar>
              <w:top w:w="16" w:type="dxa"/>
              <w:left w:w="16" w:type="dxa"/>
              <w:right w:w="16" w:type="dxa"/>
            </w:tcMar>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cs="Times New Roman"/>
                <w:color w:val="auto"/>
                <w:sz w:val="24"/>
              </w:rPr>
            </w:pPr>
            <w:r>
              <w:rPr>
                <w:rFonts w:hAnsi="宋体" w:cs="Times New Roman"/>
                <w:color w:val="auto"/>
                <w:sz w:val="24"/>
              </w:rPr>
              <w:t>建设项目名称</w:t>
            </w:r>
          </w:p>
        </w:tc>
        <w:tc>
          <w:tcPr>
            <w:tcW w:w="7204" w:type="dxa"/>
            <w:gridSpan w:val="3"/>
            <w:tcBorders>
              <w:top w:val="single" w:color="auto" w:sz="12" w:space="0"/>
              <w:left w:val="single" w:color="auto" w:sz="4" w:space="0"/>
              <w:bottom w:val="single" w:color="auto" w:sz="4" w:space="0"/>
              <w:right w:val="single" w:color="auto" w:sz="12"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cs="Times New Roman"/>
                <w:color w:val="1227EA"/>
                <w:sz w:val="24"/>
              </w:rPr>
            </w:pPr>
            <w:r>
              <w:rPr>
                <w:rFonts w:hint="eastAsia" w:ascii="Times New Roman" w:hAnsi="Times New Roman" w:eastAsia="宋体" w:cs="Times New Roman"/>
                <w:color w:val="auto"/>
                <w:sz w:val="24"/>
                <w:lang w:val="en-US" w:eastAsia="zh-CN"/>
              </w:rPr>
              <w:t>正蓝旗动物疫病预防控制中心</w:t>
            </w:r>
            <w:r>
              <w:rPr>
                <w:rFonts w:hint="eastAsia" w:cs="Times New Roman"/>
                <w:color w:val="auto"/>
                <w:sz w:val="24"/>
                <w:lang w:val="en-US" w:eastAsia="zh-CN"/>
              </w:rPr>
              <w:t>医疗废物</w:t>
            </w:r>
            <w:r>
              <w:rPr>
                <w:rFonts w:hint="eastAsia" w:ascii="Times New Roman" w:hAnsi="Times New Roman" w:eastAsia="宋体" w:cs="Times New Roman"/>
                <w:color w:val="auto"/>
                <w:sz w:val="24"/>
                <w:lang w:val="en-US" w:eastAsia="zh-CN"/>
              </w:rPr>
              <w:t>暂存间建设项目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88" w:hRule="atLeast"/>
          <w:jc w:val="center"/>
        </w:trPr>
        <w:tc>
          <w:tcPr>
            <w:tcW w:w="1864" w:type="dxa"/>
            <w:tcBorders>
              <w:top w:val="single" w:color="auto" w:sz="4" w:space="0"/>
              <w:left w:val="single" w:color="auto" w:sz="12" w:space="0"/>
              <w:bottom w:val="single" w:color="auto" w:sz="4" w:space="0"/>
              <w:right w:val="single" w:color="auto" w:sz="4" w:space="0"/>
            </w:tcBorders>
            <w:noWrap w:val="0"/>
            <w:tcMar>
              <w:top w:w="16" w:type="dxa"/>
              <w:left w:w="16" w:type="dxa"/>
              <w:right w:w="16" w:type="dxa"/>
            </w:tcMar>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cs="Times New Roman"/>
                <w:color w:val="auto"/>
                <w:sz w:val="24"/>
              </w:rPr>
            </w:pPr>
            <w:r>
              <w:rPr>
                <w:rFonts w:hAnsi="宋体" w:cs="Times New Roman"/>
                <w:color w:val="auto"/>
                <w:sz w:val="24"/>
              </w:rPr>
              <w:t>项目代码</w:t>
            </w:r>
          </w:p>
        </w:tc>
        <w:tc>
          <w:tcPr>
            <w:tcW w:w="7204" w:type="dxa"/>
            <w:gridSpan w:val="3"/>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1227EA"/>
                <w:sz w:val="24"/>
                <w:lang w:val="en-US" w:eastAsia="zh-CN"/>
              </w:rPr>
            </w:pPr>
            <w:r>
              <w:rPr>
                <w:rFonts w:hint="eastAsia" w:ascii="Times New Roman" w:hAnsi="Times New Roman" w:cs="Times New Roman"/>
                <w:color w:val="auto"/>
                <w:sz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11" w:hRule="atLeast"/>
          <w:jc w:val="center"/>
        </w:trPr>
        <w:tc>
          <w:tcPr>
            <w:tcW w:w="1864" w:type="dxa"/>
            <w:tcBorders>
              <w:top w:val="single" w:color="auto" w:sz="4" w:space="0"/>
              <w:left w:val="single" w:color="auto" w:sz="12" w:space="0"/>
              <w:bottom w:val="single" w:color="auto" w:sz="4" w:space="0"/>
              <w:right w:val="single" w:color="auto" w:sz="4" w:space="0"/>
            </w:tcBorders>
            <w:noWrap w:val="0"/>
            <w:tcMar>
              <w:top w:w="16" w:type="dxa"/>
              <w:left w:w="16" w:type="dxa"/>
              <w:right w:w="16" w:type="dxa"/>
            </w:tcMar>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cs="Times New Roman"/>
                <w:color w:val="auto"/>
                <w:sz w:val="24"/>
              </w:rPr>
            </w:pPr>
            <w:r>
              <w:rPr>
                <w:rFonts w:hAnsi="宋体" w:cs="Times New Roman"/>
                <w:color w:val="auto"/>
                <w:sz w:val="24"/>
                <w:highlight w:val="none"/>
              </w:rPr>
              <w:t>建设单位联系人</w:t>
            </w:r>
          </w:p>
        </w:tc>
        <w:tc>
          <w:tcPr>
            <w:tcW w:w="22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4"/>
                <w:lang w:val="en-US" w:eastAsia="zh-CN"/>
              </w:rPr>
            </w:pPr>
            <w:r>
              <w:rPr>
                <w:rFonts w:hint="eastAsia" w:cs="Times New Roman"/>
                <w:color w:val="auto"/>
                <w:sz w:val="24"/>
                <w:lang w:val="en-US" w:eastAsia="zh-CN"/>
              </w:rPr>
              <w:t>李伟</w:t>
            </w:r>
          </w:p>
        </w:tc>
        <w:tc>
          <w:tcPr>
            <w:tcW w:w="19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ascii="Times New Roman" w:hAnsi="Times New Roman" w:cs="Times New Roman"/>
                <w:color w:val="auto"/>
                <w:sz w:val="24"/>
              </w:rPr>
            </w:pPr>
            <w:r>
              <w:rPr>
                <w:rFonts w:ascii="Times New Roman" w:hAnsi="Times New Roman" w:cs="Times New Roman"/>
                <w:color w:val="auto"/>
                <w:sz w:val="24"/>
                <w:highlight w:val="none"/>
              </w:rPr>
              <w:t>联系方式</w:t>
            </w:r>
          </w:p>
        </w:tc>
        <w:tc>
          <w:tcPr>
            <w:tcW w:w="2973"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13327099988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5" w:hRule="atLeast"/>
          <w:jc w:val="center"/>
        </w:trPr>
        <w:tc>
          <w:tcPr>
            <w:tcW w:w="1864" w:type="dxa"/>
            <w:tcBorders>
              <w:top w:val="single" w:color="auto" w:sz="4" w:space="0"/>
              <w:left w:val="single" w:color="auto" w:sz="12" w:space="0"/>
              <w:bottom w:val="single" w:color="auto" w:sz="4" w:space="0"/>
              <w:right w:val="single" w:color="auto" w:sz="4" w:space="0"/>
            </w:tcBorders>
            <w:noWrap w:val="0"/>
            <w:tcMar>
              <w:top w:w="16" w:type="dxa"/>
              <w:left w:w="16" w:type="dxa"/>
              <w:right w:w="16" w:type="dxa"/>
            </w:tcMar>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cs="Times New Roman"/>
                <w:color w:val="auto"/>
                <w:sz w:val="24"/>
              </w:rPr>
            </w:pPr>
            <w:r>
              <w:rPr>
                <w:rFonts w:hAnsi="宋体" w:cs="Times New Roman"/>
                <w:color w:val="auto"/>
                <w:sz w:val="24"/>
              </w:rPr>
              <w:t>建设地点</w:t>
            </w:r>
          </w:p>
        </w:tc>
        <w:tc>
          <w:tcPr>
            <w:tcW w:w="7204" w:type="dxa"/>
            <w:gridSpan w:val="3"/>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FF0000"/>
                <w:sz w:val="24"/>
                <w:lang w:val="en-US" w:eastAsia="zh-CN"/>
              </w:rPr>
            </w:pPr>
            <w:r>
              <w:rPr>
                <w:rFonts w:hint="eastAsia" w:ascii="Times New Roman" w:hAnsi="Times New Roman" w:eastAsia="宋体" w:cs="Times New Roman"/>
                <w:color w:val="FF0000"/>
                <w:sz w:val="24"/>
                <w:szCs w:val="24"/>
                <w:u w:val="none"/>
                <w:lang w:eastAsia="zh-CN"/>
              </w:rPr>
              <w:t>内蒙古自治区锡林郭勒盟正蓝旗上都镇</w:t>
            </w:r>
            <w:r>
              <w:rPr>
                <w:rFonts w:hint="eastAsia" w:ascii="Times New Roman" w:hAnsi="Times New Roman" w:eastAsia="宋体" w:cs="Times New Roman"/>
                <w:color w:val="FF0000"/>
                <w:sz w:val="24"/>
                <w:lang w:val="en-US" w:eastAsia="zh-CN"/>
              </w:rPr>
              <w:t>察哈尔大街</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FF0000"/>
                <w:sz w:val="24"/>
                <w:lang w:val="en-US" w:eastAsia="zh-CN"/>
              </w:rPr>
              <w:t>（</w:t>
            </w:r>
            <w:r>
              <w:rPr>
                <w:rFonts w:hint="eastAsia" w:ascii="Times New Roman" w:hAnsi="Times New Roman" w:eastAsia="宋体" w:cs="Times New Roman"/>
                <w:color w:val="FF0000"/>
                <w:sz w:val="24"/>
                <w:lang w:val="en-US" w:eastAsia="zh-CN"/>
              </w:rPr>
              <w:t>正蓝旗动物疫病预防控制中心</w:t>
            </w:r>
            <w:r>
              <w:rPr>
                <w:rFonts w:hint="eastAsia" w:cs="Times New Roman"/>
                <w:color w:val="FF0000"/>
                <w:sz w:val="24"/>
                <w:lang w:val="en-US" w:eastAsia="zh-CN"/>
              </w:rPr>
              <w:t>院内西南侧空地</w:t>
            </w:r>
            <w:r>
              <w:rPr>
                <w:rFonts w:hint="eastAsia" w:cs="Times New Roman"/>
                <w:color w:val="FF0000"/>
                <w:sz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48" w:hRule="atLeast"/>
          <w:jc w:val="center"/>
        </w:trPr>
        <w:tc>
          <w:tcPr>
            <w:tcW w:w="1864" w:type="dxa"/>
            <w:tcBorders>
              <w:top w:val="single" w:color="auto" w:sz="4" w:space="0"/>
              <w:left w:val="single" w:color="auto" w:sz="12" w:space="0"/>
              <w:bottom w:val="single" w:color="auto" w:sz="4" w:space="0"/>
              <w:right w:val="single" w:color="auto" w:sz="4" w:space="0"/>
            </w:tcBorders>
            <w:noWrap w:val="0"/>
            <w:tcMar>
              <w:top w:w="16" w:type="dxa"/>
              <w:left w:w="16" w:type="dxa"/>
              <w:right w:w="16" w:type="dxa"/>
            </w:tcMar>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cs="Times New Roman"/>
                <w:color w:val="auto"/>
                <w:sz w:val="24"/>
              </w:rPr>
            </w:pPr>
            <w:r>
              <w:rPr>
                <w:rFonts w:hAnsi="宋体" w:cs="Times New Roman"/>
                <w:color w:val="auto"/>
                <w:sz w:val="24"/>
              </w:rPr>
              <w:t>地理坐标</w:t>
            </w:r>
          </w:p>
        </w:tc>
        <w:tc>
          <w:tcPr>
            <w:tcW w:w="7204" w:type="dxa"/>
            <w:gridSpan w:val="3"/>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4"/>
                <w:lang w:eastAsia="zh-CN"/>
              </w:rPr>
            </w:pPr>
            <w:r>
              <w:rPr>
                <w:color w:val="000000"/>
                <w:sz w:val="24"/>
              </w:rPr>
              <w:t>（</w:t>
            </w:r>
            <w:r>
              <w:rPr>
                <w:color w:val="000000"/>
                <w:sz w:val="24"/>
                <w:u w:val="single"/>
              </w:rPr>
              <w:t>11</w:t>
            </w:r>
            <w:r>
              <w:rPr>
                <w:rFonts w:hint="eastAsia"/>
                <w:color w:val="000000"/>
                <w:sz w:val="24"/>
                <w:u w:val="single"/>
                <w:lang w:val="en-US" w:eastAsia="zh-CN"/>
              </w:rPr>
              <w:t>5</w:t>
            </w:r>
            <w:r>
              <w:rPr>
                <w:color w:val="000000"/>
                <w:sz w:val="24"/>
              </w:rPr>
              <w:t>度</w:t>
            </w:r>
            <w:r>
              <w:rPr>
                <w:rFonts w:hint="eastAsia"/>
                <w:color w:val="000000"/>
                <w:sz w:val="24"/>
                <w:u w:val="single"/>
                <w:lang w:val="en-US" w:eastAsia="zh-CN"/>
              </w:rPr>
              <w:t>59</w:t>
            </w:r>
            <w:r>
              <w:rPr>
                <w:color w:val="000000"/>
                <w:sz w:val="24"/>
              </w:rPr>
              <w:t>分</w:t>
            </w:r>
            <w:r>
              <w:rPr>
                <w:rFonts w:hint="eastAsia"/>
                <w:color w:val="000000"/>
                <w:sz w:val="24"/>
                <w:u w:val="single"/>
                <w:lang w:val="en-US" w:eastAsia="zh-CN"/>
              </w:rPr>
              <w:t>42</w:t>
            </w:r>
            <w:r>
              <w:rPr>
                <w:rFonts w:hint="eastAsia"/>
                <w:color w:val="000000"/>
                <w:sz w:val="24"/>
                <w:u w:val="single"/>
              </w:rPr>
              <w:t>.</w:t>
            </w:r>
            <w:r>
              <w:rPr>
                <w:rFonts w:hint="eastAsia"/>
                <w:color w:val="000000"/>
                <w:sz w:val="24"/>
                <w:u w:val="single"/>
                <w:lang w:val="en-US" w:eastAsia="zh-CN"/>
              </w:rPr>
              <w:t>00</w:t>
            </w:r>
            <w:r>
              <w:rPr>
                <w:rFonts w:hint="eastAsia"/>
                <w:color w:val="000000"/>
                <w:sz w:val="24"/>
                <w:u w:val="single"/>
              </w:rPr>
              <w:t>0</w:t>
            </w:r>
            <w:r>
              <w:rPr>
                <w:color w:val="000000"/>
                <w:sz w:val="24"/>
              </w:rPr>
              <w:t>秒，</w:t>
            </w:r>
            <w:r>
              <w:rPr>
                <w:color w:val="000000"/>
                <w:sz w:val="24"/>
                <w:u w:val="single"/>
              </w:rPr>
              <w:t>4</w:t>
            </w:r>
            <w:r>
              <w:rPr>
                <w:rFonts w:hint="eastAsia"/>
                <w:color w:val="000000"/>
                <w:sz w:val="24"/>
                <w:u w:val="single"/>
                <w:lang w:val="en-US" w:eastAsia="zh-CN"/>
              </w:rPr>
              <w:t>2</w:t>
            </w:r>
            <w:r>
              <w:rPr>
                <w:color w:val="000000"/>
                <w:sz w:val="24"/>
              </w:rPr>
              <w:t>度</w:t>
            </w:r>
            <w:r>
              <w:rPr>
                <w:rFonts w:hint="eastAsia"/>
                <w:color w:val="000000"/>
                <w:sz w:val="24"/>
                <w:u w:val="single"/>
                <w:lang w:val="en-US" w:eastAsia="zh-CN"/>
              </w:rPr>
              <w:t>13</w:t>
            </w:r>
            <w:r>
              <w:rPr>
                <w:color w:val="000000"/>
                <w:sz w:val="24"/>
              </w:rPr>
              <w:t>分</w:t>
            </w:r>
            <w:r>
              <w:rPr>
                <w:rFonts w:hint="eastAsia"/>
                <w:color w:val="000000"/>
                <w:sz w:val="24"/>
                <w:u w:val="single"/>
                <w:lang w:val="en-US" w:eastAsia="zh-CN"/>
              </w:rPr>
              <w:t>41</w:t>
            </w:r>
            <w:r>
              <w:rPr>
                <w:rFonts w:hint="eastAsia"/>
                <w:color w:val="000000"/>
                <w:sz w:val="24"/>
                <w:u w:val="single"/>
              </w:rPr>
              <w:t>.</w:t>
            </w:r>
            <w:r>
              <w:rPr>
                <w:rFonts w:hint="eastAsia"/>
                <w:color w:val="000000"/>
                <w:sz w:val="24"/>
                <w:u w:val="single"/>
                <w:lang w:val="en-US" w:eastAsia="zh-CN"/>
              </w:rPr>
              <w:t>670</w:t>
            </w:r>
            <w:r>
              <w:rPr>
                <w:color w:val="000000"/>
                <w:sz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50" w:hRule="atLeast"/>
          <w:jc w:val="center"/>
        </w:trPr>
        <w:tc>
          <w:tcPr>
            <w:tcW w:w="1864" w:type="dxa"/>
            <w:tcBorders>
              <w:top w:val="single" w:color="auto" w:sz="4" w:space="0"/>
              <w:left w:val="single" w:color="auto" w:sz="12" w:space="0"/>
              <w:bottom w:val="single" w:color="auto" w:sz="4" w:space="0"/>
              <w:right w:val="single" w:color="auto" w:sz="4" w:space="0"/>
            </w:tcBorders>
            <w:noWrap w:val="0"/>
            <w:tcMar>
              <w:top w:w="16" w:type="dxa"/>
              <w:left w:w="16" w:type="dxa"/>
              <w:right w:w="16"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国民经济</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行业类别</w:t>
            </w:r>
          </w:p>
        </w:tc>
        <w:tc>
          <w:tcPr>
            <w:tcW w:w="22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4"/>
                <w:szCs w:val="24"/>
                <w:u w:val="none"/>
                <w:lang w:eastAsia="zh-CN"/>
              </w:rPr>
            </w:pPr>
            <w:r>
              <w:rPr>
                <w:rFonts w:hint="eastAsia" w:ascii="Times New Roman" w:hAnsi="Times New Roman" w:eastAsia="宋体" w:cs="Times New Roman"/>
                <w:color w:val="auto"/>
                <w:sz w:val="24"/>
                <w:szCs w:val="24"/>
                <w:u w:val="none"/>
                <w:lang w:eastAsia="zh-CN"/>
              </w:rPr>
              <w:t>N7724危险废物</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eastAsia="zh-CN"/>
              </w:rPr>
              <w:t>治理</w:t>
            </w:r>
          </w:p>
        </w:tc>
        <w:tc>
          <w:tcPr>
            <w:tcW w:w="19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4"/>
                <w:szCs w:val="24"/>
                <w:u w:val="none"/>
                <w:lang w:val="en-US" w:eastAsia="zh-CN"/>
              </w:rPr>
            </w:pPr>
            <w:bookmarkStart w:id="1" w:name="_Hlk49843745"/>
            <w:r>
              <w:rPr>
                <w:rFonts w:hint="eastAsia" w:ascii="Times New Roman" w:hAnsi="Times New Roman" w:eastAsia="宋体" w:cs="Times New Roman"/>
                <w:color w:val="auto"/>
                <w:sz w:val="24"/>
                <w:szCs w:val="24"/>
                <w:u w:val="none"/>
                <w:lang w:val="en-US" w:eastAsia="zh-CN"/>
              </w:rPr>
              <w:t>建设项目</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行业类别</w:t>
            </w:r>
            <w:bookmarkEnd w:id="1"/>
          </w:p>
        </w:tc>
        <w:tc>
          <w:tcPr>
            <w:tcW w:w="2973"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4"/>
                <w:szCs w:val="24"/>
                <w:u w:val="none"/>
                <w:lang w:eastAsia="zh-CN"/>
              </w:rPr>
            </w:pPr>
            <w:r>
              <w:rPr>
                <w:rFonts w:hint="eastAsia" w:ascii="Times New Roman" w:hAnsi="Times New Roman" w:eastAsia="宋体" w:cs="Times New Roman"/>
                <w:color w:val="auto"/>
                <w:sz w:val="24"/>
                <w:szCs w:val="24"/>
                <w:u w:val="none"/>
                <w:lang w:eastAsia="zh-CN"/>
              </w:rPr>
              <w:t>四十七、生态保护和环境</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eastAsia="zh-CN"/>
              </w:rPr>
              <w:t>治理业10</w:t>
            </w:r>
            <w:r>
              <w:rPr>
                <w:rFonts w:hint="eastAsia" w:ascii="Times New Roman" w:hAnsi="Times New Roman" w:eastAsia="宋体" w:cs="Times New Roman"/>
                <w:color w:val="auto"/>
                <w:sz w:val="24"/>
                <w:szCs w:val="24"/>
                <w:u w:val="none"/>
                <w:lang w:val="en-US" w:eastAsia="zh-CN"/>
              </w:rPr>
              <w:t>2</w:t>
            </w:r>
            <w:r>
              <w:rPr>
                <w:rFonts w:hint="eastAsia" w:ascii="Times New Roman" w:hAnsi="Times New Roman" w:eastAsia="宋体" w:cs="Times New Roman"/>
                <w:color w:val="auto"/>
                <w:sz w:val="24"/>
                <w:szCs w:val="24"/>
                <w:u w:val="none"/>
                <w:lang w:eastAsia="zh-CN"/>
              </w:rPr>
              <w:t>医疗废物处置、病死及病害动物无害化处理中其他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22" w:hRule="atLeast"/>
          <w:jc w:val="center"/>
        </w:trPr>
        <w:tc>
          <w:tcPr>
            <w:tcW w:w="1864" w:type="dxa"/>
            <w:tcBorders>
              <w:top w:val="single" w:color="auto" w:sz="4" w:space="0"/>
              <w:left w:val="single" w:color="auto" w:sz="12" w:space="0"/>
              <w:bottom w:val="single" w:color="auto" w:sz="4" w:space="0"/>
              <w:right w:val="single" w:color="auto" w:sz="4" w:space="0"/>
            </w:tcBorders>
            <w:noWrap w:val="0"/>
            <w:tcMar>
              <w:top w:w="16" w:type="dxa"/>
              <w:left w:w="16" w:type="dxa"/>
              <w:right w:w="16" w:type="dxa"/>
            </w:tcMar>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cs="Times New Roman"/>
                <w:color w:val="auto"/>
                <w:sz w:val="24"/>
              </w:rPr>
            </w:pPr>
            <w:r>
              <w:rPr>
                <w:rFonts w:hAnsi="宋体" w:cs="Times New Roman"/>
                <w:color w:val="auto"/>
                <w:sz w:val="24"/>
              </w:rPr>
              <w:t>建设性质</w:t>
            </w:r>
          </w:p>
        </w:tc>
        <w:tc>
          <w:tcPr>
            <w:tcW w:w="22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textAlignment w:val="auto"/>
              <w:rPr>
                <w:rFonts w:ascii="Times New Roman" w:hAnsi="Times New Roman" w:cs="Times New Roman"/>
                <w:color w:val="auto"/>
                <w:sz w:val="24"/>
                <w:szCs w:val="24"/>
              </w:rPr>
            </w:pPr>
            <w:r>
              <w:rPr>
                <w:rFonts w:ascii="Times New Roman" w:hAnsi="Times New Roman" w:cs="Times New Roman"/>
                <w:color w:val="auto"/>
                <w:sz w:val="24"/>
                <w:szCs w:val="24"/>
              </w:rPr>
              <w:sym w:font="Wingdings" w:char="00FE"/>
            </w:r>
            <w:r>
              <w:rPr>
                <w:rFonts w:ascii="Times New Roman" w:hAnsi="Times New Roman" w:cs="Times New Roman"/>
                <w:color w:val="auto"/>
                <w:sz w:val="24"/>
                <w:szCs w:val="24"/>
              </w:rPr>
              <w:t>新建（迁建）</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textAlignment w:val="auto"/>
              <w:rPr>
                <w:rFonts w:ascii="Times New Roman" w:hAnsi="Times New Roman" w:cs="Times New Roman"/>
                <w:color w:val="auto"/>
                <w:sz w:val="24"/>
                <w:szCs w:val="24"/>
              </w:rPr>
            </w:pPr>
            <w:r>
              <w:rPr>
                <w:rFonts w:ascii="Times New Roman" w:hAnsi="Times New Roman" w:cs="Times New Roman"/>
                <w:color w:val="auto"/>
                <w:sz w:val="24"/>
                <w:szCs w:val="24"/>
              </w:rPr>
              <w:sym w:font="Wingdings" w:char="00A8"/>
            </w:r>
            <w:r>
              <w:rPr>
                <w:rFonts w:ascii="Times New Roman" w:hAnsi="Times New Roman" w:cs="Times New Roman"/>
                <w:color w:val="auto"/>
                <w:sz w:val="24"/>
                <w:szCs w:val="24"/>
              </w:rPr>
              <w:t>改建</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textAlignment w:val="auto"/>
              <w:rPr>
                <w:rFonts w:ascii="Times New Roman" w:hAnsi="Times New Roman" w:cs="Times New Roman"/>
                <w:color w:val="auto"/>
                <w:sz w:val="24"/>
                <w:szCs w:val="24"/>
              </w:rPr>
            </w:pPr>
            <w:r>
              <w:rPr>
                <w:rFonts w:ascii="Times New Roman" w:hAnsi="Times New Roman" w:cs="Times New Roman"/>
                <w:color w:val="auto"/>
                <w:sz w:val="24"/>
                <w:szCs w:val="24"/>
              </w:rPr>
              <w:sym w:font="Wingdings" w:char="00A8"/>
            </w:r>
            <w:r>
              <w:rPr>
                <w:rFonts w:ascii="Times New Roman" w:hAnsi="Times New Roman" w:cs="Times New Roman"/>
                <w:color w:val="auto"/>
                <w:sz w:val="24"/>
                <w:szCs w:val="24"/>
              </w:rPr>
              <w:t>扩建</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textAlignment w:val="auto"/>
              <w:rPr>
                <w:rFonts w:ascii="Times New Roman" w:hAnsi="Times New Roman" w:cs="Times New Roman"/>
                <w:color w:val="auto"/>
                <w:sz w:val="24"/>
                <w:szCs w:val="24"/>
              </w:rPr>
            </w:pPr>
            <w:r>
              <w:rPr>
                <w:rFonts w:ascii="Times New Roman" w:hAnsi="Times New Roman" w:cs="Times New Roman"/>
                <w:color w:val="auto"/>
                <w:sz w:val="24"/>
                <w:szCs w:val="24"/>
              </w:rPr>
              <w:sym w:font="Wingdings" w:char="00A8"/>
            </w:r>
            <w:r>
              <w:rPr>
                <w:rFonts w:ascii="Times New Roman" w:hAnsi="Times New Roman" w:cs="Times New Roman"/>
                <w:color w:val="auto"/>
                <w:sz w:val="24"/>
                <w:szCs w:val="24"/>
              </w:rPr>
              <w:t>技术改造</w:t>
            </w:r>
          </w:p>
        </w:tc>
        <w:tc>
          <w:tcPr>
            <w:tcW w:w="19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ascii="Times New Roman" w:hAnsi="Times New Roman" w:cs="Times New Roman"/>
                <w:color w:val="auto"/>
                <w:sz w:val="24"/>
              </w:rPr>
            </w:pPr>
            <w:r>
              <w:rPr>
                <w:rFonts w:ascii="Times New Roman" w:hAnsi="Times New Roman" w:cs="Times New Roman"/>
                <w:color w:val="auto"/>
                <w:sz w:val="24"/>
              </w:rPr>
              <w:t>建设项目</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ascii="Times New Roman" w:hAnsi="Times New Roman" w:cs="Times New Roman"/>
                <w:color w:val="auto"/>
                <w:sz w:val="24"/>
              </w:rPr>
            </w:pPr>
            <w:r>
              <w:rPr>
                <w:rFonts w:ascii="Times New Roman" w:hAnsi="Times New Roman" w:cs="Times New Roman"/>
                <w:color w:val="auto"/>
                <w:sz w:val="24"/>
              </w:rPr>
              <w:t>申报情形</w:t>
            </w:r>
          </w:p>
        </w:tc>
        <w:tc>
          <w:tcPr>
            <w:tcW w:w="2973"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textAlignment w:val="auto"/>
              <w:rPr>
                <w:rFonts w:ascii="Times New Roman" w:hAnsi="Times New Roman" w:cs="Times New Roman"/>
                <w:color w:val="auto"/>
                <w:sz w:val="24"/>
              </w:rPr>
            </w:pPr>
            <w:r>
              <w:rPr>
                <w:rFonts w:ascii="Times New Roman" w:hAnsi="Times New Roman" w:cs="Times New Roman"/>
                <w:color w:val="auto"/>
                <w:sz w:val="24"/>
              </w:rPr>
              <w:sym w:font="Wingdings" w:char="00FE"/>
            </w:r>
            <w:r>
              <w:rPr>
                <w:rFonts w:ascii="Times New Roman" w:hAnsi="Times New Roman" w:cs="Times New Roman"/>
                <w:color w:val="auto"/>
                <w:sz w:val="24"/>
              </w:rPr>
              <w:t>首次申报项目</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textAlignment w:val="auto"/>
              <w:rPr>
                <w:rFonts w:ascii="Times New Roman" w:hAnsi="Times New Roman" w:cs="Times New Roman"/>
                <w:color w:val="auto"/>
                <w:sz w:val="24"/>
              </w:rPr>
            </w:pPr>
            <w:r>
              <w:rPr>
                <w:rFonts w:ascii="Times New Roman" w:hAnsi="Times New Roman" w:cs="Times New Roman"/>
                <w:color w:val="auto"/>
                <w:sz w:val="24"/>
              </w:rPr>
              <w:sym w:font="Wingdings" w:char="00A8"/>
            </w:r>
            <w:r>
              <w:rPr>
                <w:rFonts w:ascii="Times New Roman" w:hAnsi="Times New Roman" w:cs="Times New Roman"/>
                <w:color w:val="auto"/>
                <w:sz w:val="24"/>
              </w:rPr>
              <w:t>不予批准后再次申报项目</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textAlignment w:val="auto"/>
              <w:rPr>
                <w:rFonts w:ascii="Times New Roman" w:hAnsi="Times New Roman" w:cs="Times New Roman"/>
                <w:color w:val="auto"/>
                <w:sz w:val="24"/>
              </w:rPr>
            </w:pPr>
            <w:r>
              <w:rPr>
                <w:rFonts w:ascii="Times New Roman" w:hAnsi="Times New Roman" w:cs="Times New Roman"/>
                <w:color w:val="auto"/>
                <w:sz w:val="24"/>
              </w:rPr>
              <w:sym w:font="Wingdings" w:char="00A8"/>
            </w:r>
            <w:r>
              <w:rPr>
                <w:rFonts w:ascii="Times New Roman" w:hAnsi="Times New Roman" w:cs="Times New Roman"/>
                <w:color w:val="auto"/>
                <w:sz w:val="24"/>
              </w:rPr>
              <w:t>超五年重新审核项目</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textAlignment w:val="auto"/>
              <w:rPr>
                <w:rFonts w:ascii="Times New Roman" w:hAnsi="Times New Roman" w:cs="Times New Roman"/>
                <w:color w:val="auto"/>
                <w:sz w:val="24"/>
              </w:rPr>
            </w:pPr>
            <w:r>
              <w:rPr>
                <w:rFonts w:ascii="Times New Roman" w:hAnsi="Times New Roman" w:cs="Times New Roman"/>
                <w:color w:val="auto"/>
                <w:sz w:val="24"/>
              </w:rPr>
              <w:sym w:font="Wingdings" w:char="00A8"/>
            </w:r>
            <w:r>
              <w:rPr>
                <w:rFonts w:ascii="Times New Roman" w:hAnsi="Times New Roman" w:cs="Times New Roman"/>
                <w:color w:val="auto"/>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51" w:hRule="atLeast"/>
          <w:jc w:val="center"/>
        </w:trPr>
        <w:tc>
          <w:tcPr>
            <w:tcW w:w="1864" w:type="dxa"/>
            <w:tcBorders>
              <w:top w:val="single" w:color="auto" w:sz="4" w:space="0"/>
              <w:left w:val="single" w:color="auto" w:sz="12" w:space="0"/>
              <w:bottom w:val="single" w:color="auto" w:sz="4" w:space="0"/>
              <w:right w:val="single" w:color="auto" w:sz="4" w:space="0"/>
            </w:tcBorders>
            <w:noWrap w:val="0"/>
            <w:tcMar>
              <w:top w:w="16" w:type="dxa"/>
              <w:left w:w="16" w:type="dxa"/>
              <w:right w:w="16" w:type="dxa"/>
            </w:tcMar>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cs="Times New Roman"/>
                <w:color w:val="auto"/>
                <w:sz w:val="24"/>
              </w:rPr>
            </w:pPr>
            <w:r>
              <w:rPr>
                <w:rFonts w:hAnsi="宋体" w:cs="Times New Roman"/>
                <w:color w:val="auto"/>
                <w:sz w:val="24"/>
              </w:rPr>
              <w:t>项目审批（核准</w:t>
            </w:r>
            <w:r>
              <w:rPr>
                <w:rFonts w:cs="Times New Roman"/>
                <w:color w:val="auto"/>
                <w:sz w:val="24"/>
              </w:rPr>
              <w:t>/</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cs="Times New Roman"/>
                <w:color w:val="auto"/>
                <w:sz w:val="24"/>
              </w:rPr>
            </w:pPr>
            <w:r>
              <w:rPr>
                <w:rFonts w:hAnsi="宋体" w:cs="Times New Roman"/>
                <w:color w:val="auto"/>
                <w:sz w:val="24"/>
              </w:rPr>
              <w:t>备案）部门（选填）</w:t>
            </w:r>
          </w:p>
        </w:tc>
        <w:tc>
          <w:tcPr>
            <w:tcW w:w="22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lang w:val="en-US" w:eastAsia="zh-CN"/>
              </w:rPr>
            </w:pPr>
            <w:r>
              <w:rPr>
                <w:rFonts w:hint="eastAsia" w:ascii="Times New Roman" w:hAnsi="Times New Roman" w:cs="Times New Roman"/>
                <w:color w:val="auto"/>
                <w:sz w:val="24"/>
                <w:lang w:val="en-US" w:eastAsia="zh-CN"/>
              </w:rPr>
              <w:t>/</w:t>
            </w:r>
          </w:p>
        </w:tc>
        <w:tc>
          <w:tcPr>
            <w:tcW w:w="19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ascii="Times New Roman" w:hAnsi="Times New Roman" w:cs="Times New Roman"/>
                <w:color w:val="auto"/>
                <w:sz w:val="24"/>
              </w:rPr>
            </w:pPr>
            <w:r>
              <w:rPr>
                <w:rFonts w:ascii="Times New Roman" w:hAnsi="Times New Roman" w:cs="Times New Roman"/>
                <w:color w:val="auto"/>
                <w:sz w:val="24"/>
              </w:rPr>
              <w:t>项目审批（核准/</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ascii="Times New Roman" w:hAnsi="Times New Roman" w:cs="Times New Roman"/>
                <w:color w:val="auto"/>
                <w:sz w:val="24"/>
              </w:rPr>
            </w:pPr>
            <w:r>
              <w:rPr>
                <w:rFonts w:ascii="Times New Roman" w:hAnsi="Times New Roman" w:cs="Times New Roman"/>
                <w:color w:val="auto"/>
                <w:sz w:val="24"/>
              </w:rPr>
              <w:t>备案）文号（选填）</w:t>
            </w:r>
          </w:p>
        </w:tc>
        <w:tc>
          <w:tcPr>
            <w:tcW w:w="2973"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ascii="Times New Roman" w:hAnsi="Times New Roman" w:cs="Times New Roman"/>
                <w:color w:val="auto"/>
                <w:sz w:val="24"/>
              </w:rPr>
            </w:pPr>
            <w:r>
              <w:rPr>
                <w:rFonts w:hint="eastAsia" w:ascii="Times New Roman" w:hAnsi="Times New Roman" w:cs="Times New Roman"/>
                <w:color w:val="auto"/>
                <w:sz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34" w:hRule="atLeast"/>
          <w:jc w:val="center"/>
        </w:trPr>
        <w:tc>
          <w:tcPr>
            <w:tcW w:w="1864" w:type="dxa"/>
            <w:tcBorders>
              <w:top w:val="single" w:color="auto" w:sz="4" w:space="0"/>
              <w:left w:val="single" w:color="auto" w:sz="12" w:space="0"/>
              <w:bottom w:val="single" w:color="auto" w:sz="4" w:space="0"/>
              <w:right w:val="single" w:color="auto" w:sz="4" w:space="0"/>
            </w:tcBorders>
            <w:noWrap w:val="0"/>
            <w:tcMar>
              <w:top w:w="16" w:type="dxa"/>
              <w:left w:w="16" w:type="dxa"/>
              <w:right w:w="16" w:type="dxa"/>
            </w:tcMar>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cs="Times New Roman"/>
                <w:b w:val="0"/>
                <w:bCs w:val="0"/>
                <w:color w:val="auto"/>
                <w:sz w:val="24"/>
                <w:highlight w:val="none"/>
              </w:rPr>
            </w:pPr>
            <w:r>
              <w:rPr>
                <w:rFonts w:hAnsi="宋体" w:cs="Times New Roman"/>
                <w:b w:val="0"/>
                <w:bCs w:val="0"/>
                <w:color w:val="auto"/>
                <w:sz w:val="24"/>
                <w:highlight w:val="none"/>
              </w:rPr>
              <w:t>总投资（万元）</w:t>
            </w:r>
          </w:p>
        </w:tc>
        <w:tc>
          <w:tcPr>
            <w:tcW w:w="22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4"/>
                <w:highlight w:val="none"/>
                <w:lang w:val="en-US" w:eastAsia="zh-CN"/>
              </w:rPr>
            </w:pPr>
            <w:r>
              <w:rPr>
                <w:rFonts w:hint="eastAsia" w:cs="Times New Roman"/>
                <w:b w:val="0"/>
                <w:bCs w:val="0"/>
                <w:color w:val="auto"/>
                <w:sz w:val="24"/>
                <w:highlight w:val="none"/>
                <w:lang w:val="en-US" w:eastAsia="zh-CN"/>
              </w:rPr>
              <w:t>20</w:t>
            </w:r>
          </w:p>
        </w:tc>
        <w:tc>
          <w:tcPr>
            <w:tcW w:w="1976" w:type="dxa"/>
            <w:tcBorders>
              <w:top w:val="single" w:color="auto" w:sz="4" w:space="0"/>
              <w:left w:val="single" w:color="auto" w:sz="4" w:space="0"/>
              <w:bottom w:val="single" w:color="auto" w:sz="4" w:space="0"/>
              <w:right w:val="single" w:color="auto" w:sz="4" w:space="0"/>
            </w:tcBorders>
            <w:noWrap w:val="0"/>
            <w:tcMar>
              <w:top w:w="16" w:type="dxa"/>
              <w:left w:w="16" w:type="dxa"/>
              <w:right w:w="16" w:type="dxa"/>
            </w:tcMar>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ascii="Times New Roman" w:hAnsi="Times New Roman" w:cs="Times New Roman"/>
                <w:b w:val="0"/>
                <w:bCs w:val="0"/>
                <w:color w:val="auto"/>
                <w:sz w:val="24"/>
                <w:highlight w:val="none"/>
              </w:rPr>
            </w:pPr>
            <w:r>
              <w:rPr>
                <w:rFonts w:ascii="Times New Roman" w:hAnsi="Times New Roman" w:cs="Times New Roman"/>
                <w:b w:val="0"/>
                <w:bCs w:val="0"/>
                <w:color w:val="auto"/>
                <w:sz w:val="24"/>
                <w:highlight w:val="none"/>
              </w:rPr>
              <w:t>环保投资（万元）</w:t>
            </w:r>
          </w:p>
        </w:tc>
        <w:tc>
          <w:tcPr>
            <w:tcW w:w="2973"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4"/>
                <w:highlight w:val="none"/>
                <w:lang w:val="en-US" w:eastAsia="zh-CN"/>
              </w:rPr>
            </w:pPr>
            <w:r>
              <w:rPr>
                <w:rFonts w:hint="eastAsia" w:cs="Times New Roman"/>
                <w:b w:val="0"/>
                <w:bCs w:val="0"/>
                <w:color w:val="auto"/>
                <w:sz w:val="24"/>
                <w:highlight w:val="none"/>
                <w:lang w:val="en-US" w:eastAsia="zh-CN"/>
              </w:rPr>
              <w:t>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57" w:hRule="atLeast"/>
          <w:jc w:val="center"/>
        </w:trPr>
        <w:tc>
          <w:tcPr>
            <w:tcW w:w="1864" w:type="dxa"/>
            <w:tcBorders>
              <w:top w:val="single" w:color="auto" w:sz="4" w:space="0"/>
              <w:left w:val="single" w:color="auto" w:sz="12" w:space="0"/>
              <w:bottom w:val="single" w:color="auto" w:sz="4" w:space="0"/>
              <w:right w:val="single" w:color="auto" w:sz="4" w:space="0"/>
            </w:tcBorders>
            <w:noWrap w:val="0"/>
            <w:tcMar>
              <w:top w:w="16" w:type="dxa"/>
              <w:left w:w="16" w:type="dxa"/>
              <w:right w:w="16" w:type="dxa"/>
            </w:tcMar>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cs="Times New Roman"/>
                <w:b w:val="0"/>
                <w:bCs w:val="0"/>
                <w:color w:val="auto"/>
                <w:sz w:val="24"/>
                <w:highlight w:val="none"/>
              </w:rPr>
            </w:pPr>
            <w:r>
              <w:rPr>
                <w:rFonts w:hAnsi="宋体" w:cs="Times New Roman"/>
                <w:b w:val="0"/>
                <w:bCs w:val="0"/>
                <w:color w:val="auto"/>
                <w:sz w:val="24"/>
                <w:highlight w:val="none"/>
              </w:rPr>
              <w:t>环保投资占比（</w:t>
            </w:r>
            <w:r>
              <w:rPr>
                <w:rFonts w:cs="Times New Roman"/>
                <w:b w:val="0"/>
                <w:bCs w:val="0"/>
                <w:color w:val="auto"/>
                <w:sz w:val="24"/>
                <w:highlight w:val="none"/>
              </w:rPr>
              <w:t>%</w:t>
            </w:r>
            <w:r>
              <w:rPr>
                <w:rFonts w:hAnsi="宋体" w:cs="Times New Roman"/>
                <w:b w:val="0"/>
                <w:bCs w:val="0"/>
                <w:color w:val="auto"/>
                <w:sz w:val="24"/>
                <w:highlight w:val="none"/>
              </w:rPr>
              <w:t>）</w:t>
            </w:r>
          </w:p>
        </w:tc>
        <w:tc>
          <w:tcPr>
            <w:tcW w:w="22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4"/>
                <w:highlight w:val="none"/>
                <w:lang w:val="en-US" w:eastAsia="zh-CN"/>
              </w:rPr>
            </w:pPr>
            <w:r>
              <w:rPr>
                <w:rFonts w:hint="eastAsia" w:cs="Times New Roman"/>
                <w:b w:val="0"/>
                <w:bCs w:val="0"/>
                <w:color w:val="auto"/>
                <w:sz w:val="24"/>
                <w:highlight w:val="none"/>
                <w:lang w:val="en-US" w:eastAsia="zh-CN"/>
              </w:rPr>
              <w:t>100</w:t>
            </w:r>
          </w:p>
        </w:tc>
        <w:tc>
          <w:tcPr>
            <w:tcW w:w="1976" w:type="dxa"/>
            <w:tcBorders>
              <w:top w:val="single" w:color="auto" w:sz="4" w:space="0"/>
              <w:left w:val="single" w:color="auto" w:sz="4" w:space="0"/>
              <w:bottom w:val="single" w:color="auto" w:sz="4" w:space="0"/>
              <w:right w:val="single" w:color="auto" w:sz="4" w:space="0"/>
            </w:tcBorders>
            <w:noWrap w:val="0"/>
            <w:tcMar>
              <w:top w:w="16" w:type="dxa"/>
              <w:left w:w="16" w:type="dxa"/>
              <w:right w:w="16" w:type="dxa"/>
            </w:tcMar>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ascii="Times New Roman" w:hAnsi="Times New Roman" w:cs="Times New Roman"/>
                <w:b w:val="0"/>
                <w:bCs w:val="0"/>
                <w:color w:val="auto"/>
                <w:sz w:val="24"/>
                <w:highlight w:val="none"/>
              </w:rPr>
            </w:pPr>
            <w:r>
              <w:rPr>
                <w:rFonts w:ascii="Times New Roman" w:hAnsi="Times New Roman" w:cs="Times New Roman"/>
                <w:b w:val="0"/>
                <w:bCs w:val="0"/>
                <w:color w:val="auto"/>
                <w:sz w:val="24"/>
                <w:highlight w:val="none"/>
              </w:rPr>
              <w:t>施工工期</w:t>
            </w:r>
          </w:p>
        </w:tc>
        <w:tc>
          <w:tcPr>
            <w:tcW w:w="2973"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ascii="Times New Roman" w:hAnsi="Times New Roman" w:cs="Times New Roman"/>
                <w:b w:val="0"/>
                <w:bCs w:val="0"/>
                <w:color w:val="auto"/>
                <w:sz w:val="24"/>
                <w:highlight w:val="none"/>
              </w:rPr>
            </w:pPr>
            <w:r>
              <w:rPr>
                <w:rFonts w:hint="eastAsia" w:cs="Times New Roman"/>
                <w:b w:val="0"/>
                <w:bCs w:val="0"/>
                <w:color w:val="auto"/>
                <w:sz w:val="24"/>
                <w:highlight w:val="none"/>
                <w:lang w:val="en-US" w:eastAsia="zh-CN"/>
              </w:rPr>
              <w:t>1</w:t>
            </w:r>
            <w:r>
              <w:rPr>
                <w:rFonts w:ascii="Times New Roman" w:cs="Times New Roman"/>
                <w:b w:val="0"/>
                <w:bCs w:val="0"/>
                <w:color w:val="auto"/>
                <w:sz w:val="24"/>
                <w:highlight w:val="none"/>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48" w:hRule="atLeast"/>
          <w:jc w:val="center"/>
        </w:trPr>
        <w:tc>
          <w:tcPr>
            <w:tcW w:w="1864" w:type="dxa"/>
            <w:tcBorders>
              <w:top w:val="single" w:color="auto" w:sz="4" w:space="0"/>
              <w:left w:val="single" w:color="auto" w:sz="12" w:space="0"/>
              <w:bottom w:val="single" w:color="auto" w:sz="4" w:space="0"/>
              <w:right w:val="single" w:color="auto" w:sz="4" w:space="0"/>
            </w:tcBorders>
            <w:noWrap w:val="0"/>
            <w:tcMar>
              <w:top w:w="16" w:type="dxa"/>
              <w:left w:w="16" w:type="dxa"/>
              <w:right w:w="16" w:type="dxa"/>
            </w:tcMar>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ascii="Times New Roman" w:hAnsi="宋体" w:eastAsia="宋体" w:cs="Times New Roman"/>
                <w:color w:val="auto"/>
                <w:kern w:val="0"/>
                <w:sz w:val="24"/>
                <w:highlight w:val="none"/>
              </w:rPr>
            </w:pPr>
            <w:r>
              <w:rPr>
                <w:rFonts w:ascii="Times New Roman" w:hAnsi="宋体" w:eastAsia="宋体" w:cs="Times New Roman"/>
                <w:color w:val="auto"/>
                <w:kern w:val="0"/>
                <w:sz w:val="24"/>
                <w:highlight w:val="none"/>
              </w:rPr>
              <w:t>是否开工建设</w:t>
            </w:r>
          </w:p>
        </w:tc>
        <w:tc>
          <w:tcPr>
            <w:tcW w:w="22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ascii="Times New Roman" w:hAnsi="Times New Roman" w:cs="Times New Roman"/>
                <w:color w:val="auto"/>
                <w:sz w:val="24"/>
                <w:highlight w:val="none"/>
              </w:rPr>
            </w:pPr>
            <w:r>
              <w:rPr>
                <w:rFonts w:ascii="Times New Roman" w:hAnsi="Times New Roman" w:cs="Times New Roman"/>
                <w:color w:val="auto"/>
                <w:sz w:val="24"/>
                <w:highlight w:val="none"/>
              </w:rPr>
              <w:sym w:font="Wingdings" w:char="00FE"/>
            </w:r>
            <w:r>
              <w:rPr>
                <w:rFonts w:ascii="Times New Roman" w:hAnsi="Times New Roman" w:cs="Times New Roman"/>
                <w:color w:val="auto"/>
                <w:sz w:val="24"/>
                <w:highlight w:val="none"/>
              </w:rPr>
              <w:t>否</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4"/>
                <w:highlight w:val="none"/>
                <w:lang w:eastAsia="zh-CN"/>
              </w:rPr>
            </w:pPr>
            <w:r>
              <w:rPr>
                <w:rFonts w:ascii="Times New Roman" w:hAnsi="Times New Roman" w:cs="Times New Roman"/>
                <w:color w:val="auto"/>
                <w:sz w:val="24"/>
                <w:highlight w:val="none"/>
              </w:rPr>
              <w:sym w:font="Wingdings" w:char="00A8"/>
            </w:r>
            <w:r>
              <w:rPr>
                <w:rFonts w:ascii="Times New Roman" w:hAnsi="Times New Roman" w:cs="Times New Roman"/>
                <w:color w:val="auto"/>
                <w:sz w:val="24"/>
                <w:highlight w:val="none"/>
              </w:rPr>
              <w:t>是</w:t>
            </w:r>
          </w:p>
        </w:tc>
        <w:tc>
          <w:tcPr>
            <w:tcW w:w="1976" w:type="dxa"/>
            <w:tcBorders>
              <w:top w:val="single" w:color="auto" w:sz="4" w:space="0"/>
              <w:left w:val="single" w:color="auto" w:sz="4" w:space="0"/>
              <w:bottom w:val="single" w:color="auto" w:sz="4" w:space="0"/>
              <w:right w:val="single" w:color="auto" w:sz="4" w:space="0"/>
            </w:tcBorders>
            <w:noWrap w:val="0"/>
            <w:tcMar>
              <w:top w:w="16" w:type="dxa"/>
              <w:left w:w="16" w:type="dxa"/>
              <w:right w:w="16" w:type="dxa"/>
            </w:tcMar>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ascii="Times New Roman" w:hAnsi="Times New Roman" w:cs="Times New Roman"/>
                <w:color w:val="auto"/>
                <w:spacing w:val="-6"/>
                <w:sz w:val="24"/>
              </w:rPr>
            </w:pPr>
            <w:r>
              <w:rPr>
                <w:rFonts w:ascii="Times New Roman" w:hAnsi="Times New Roman" w:cs="Times New Roman"/>
                <w:color w:val="auto"/>
                <w:spacing w:val="-6"/>
                <w:sz w:val="24"/>
              </w:rPr>
              <w:t>用地（用海）</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ascii="Times New Roman" w:hAnsi="Times New Roman" w:cs="Times New Roman"/>
                <w:color w:val="auto"/>
                <w:sz w:val="24"/>
              </w:rPr>
            </w:pPr>
            <w:r>
              <w:rPr>
                <w:rFonts w:ascii="Times New Roman" w:hAnsi="Times New Roman" w:cs="Times New Roman"/>
                <w:color w:val="auto"/>
                <w:spacing w:val="-6"/>
                <w:sz w:val="24"/>
              </w:rPr>
              <w:t>面积（</w:t>
            </w:r>
            <w:r>
              <w:rPr>
                <w:rFonts w:hint="eastAsia" w:cs="Times New Roman"/>
                <w:color w:val="auto"/>
                <w:spacing w:val="-6"/>
                <w:sz w:val="24"/>
                <w:lang w:val="en-US" w:eastAsia="zh-CN"/>
              </w:rPr>
              <w:t>m</w:t>
            </w:r>
            <w:r>
              <w:rPr>
                <w:rFonts w:hint="eastAsia" w:cs="Times New Roman"/>
                <w:color w:val="auto"/>
                <w:spacing w:val="-6"/>
                <w:sz w:val="24"/>
                <w:vertAlign w:val="superscript"/>
                <w:lang w:val="en-US" w:eastAsia="zh-CN"/>
              </w:rPr>
              <w:t>2</w:t>
            </w:r>
            <w:r>
              <w:rPr>
                <w:rFonts w:ascii="Times New Roman" w:hAnsi="Times New Roman" w:cs="Times New Roman"/>
                <w:color w:val="auto"/>
                <w:spacing w:val="-6"/>
                <w:sz w:val="24"/>
              </w:rPr>
              <w:t>）</w:t>
            </w:r>
          </w:p>
        </w:tc>
        <w:tc>
          <w:tcPr>
            <w:tcW w:w="2973"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2" w:hRule="atLeast"/>
          <w:jc w:val="center"/>
        </w:trPr>
        <w:tc>
          <w:tcPr>
            <w:tcW w:w="1864" w:type="dxa"/>
            <w:tcBorders>
              <w:top w:val="single" w:color="auto" w:sz="4" w:space="0"/>
              <w:left w:val="single" w:color="auto" w:sz="12"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ascii="Times New Roman" w:hAnsi="宋体" w:eastAsia="宋体" w:cs="Times New Roman"/>
                <w:color w:val="auto"/>
                <w:kern w:val="0"/>
                <w:sz w:val="24"/>
              </w:rPr>
            </w:pPr>
            <w:r>
              <w:rPr>
                <w:rFonts w:ascii="Times New Roman" w:hAnsi="宋体" w:eastAsia="宋体" w:cs="Times New Roman"/>
                <w:color w:val="auto"/>
                <w:kern w:val="0"/>
                <w:sz w:val="24"/>
              </w:rPr>
              <w:t>专项评价设置</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ascii="Times New Roman" w:hAnsi="宋体" w:eastAsia="宋体" w:cs="Times New Roman"/>
                <w:color w:val="auto"/>
                <w:kern w:val="0"/>
                <w:sz w:val="24"/>
              </w:rPr>
            </w:pPr>
            <w:r>
              <w:rPr>
                <w:rFonts w:ascii="Times New Roman" w:hAnsi="宋体" w:eastAsia="宋体" w:cs="Times New Roman"/>
                <w:color w:val="auto"/>
                <w:kern w:val="0"/>
                <w:sz w:val="24"/>
              </w:rPr>
              <w:t>情况</w:t>
            </w:r>
          </w:p>
        </w:tc>
        <w:tc>
          <w:tcPr>
            <w:tcW w:w="7204" w:type="dxa"/>
            <w:gridSpan w:val="3"/>
            <w:tcBorders>
              <w:top w:val="single" w:color="auto" w:sz="4" w:space="0"/>
              <w:left w:val="single" w:color="auto" w:sz="4" w:space="0"/>
              <w:bottom w:val="single" w:color="auto" w:sz="4" w:space="0"/>
              <w:right w:val="single" w:color="auto" w:sz="12" w:space="0"/>
            </w:tcBorders>
            <w:noWrap w:val="0"/>
            <w:vAlign w:val="center"/>
          </w:tcPr>
          <w:p>
            <w:pPr>
              <w:pStyle w:val="9"/>
              <w:keepNext/>
              <w:keepLines/>
              <w:pageBreakBefore w:val="0"/>
              <w:widowControl w:val="0"/>
              <w:suppressLineNumbers w:val="0"/>
              <w:kinsoku/>
              <w:wordWrap/>
              <w:overflowPunct/>
              <w:topLinePunct w:val="0"/>
              <w:autoSpaceDE w:val="0"/>
              <w:autoSpaceDN w:val="0"/>
              <w:bidi w:val="0"/>
              <w:adjustRightInd w:val="0"/>
              <w:snapToGrid w:val="0"/>
              <w:spacing w:before="157" w:beforeLines="50" w:beforeAutospacing="0" w:after="0" w:afterAutospacing="0"/>
              <w:ind w:left="0" w:right="0"/>
              <w:textAlignment w:val="auto"/>
              <w:rPr>
                <w:rFonts w:hint="default" w:cs="Times New Roman"/>
                <w:color w:val="auto"/>
                <w:lang w:val="en-US" w:eastAsia="zh-CN"/>
              </w:rPr>
            </w:pPr>
            <w:r>
              <w:rPr>
                <w:rFonts w:hint="eastAsia" w:cs="Times New Roman"/>
                <w:color w:val="auto"/>
                <w:lang w:val="en-US" w:eastAsia="zh-CN"/>
              </w:rPr>
              <w:t>表1-1  专项评价设置原则表</w:t>
            </w:r>
          </w:p>
          <w:tbl>
            <w:tblPr>
              <w:tblStyle w:val="3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7"/>
              <w:gridCol w:w="3205"/>
              <w:gridCol w:w="1902"/>
              <w:gridCol w:w="7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822"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eastAsia="zh-CN"/>
                    </w:rPr>
                  </w:pPr>
                  <w:r>
                    <w:rPr>
                      <w:rFonts w:hint="default"/>
                      <w:color w:val="auto"/>
                      <w:kern w:val="2"/>
                      <w:lang w:val="en-US" w:eastAsia="zh-CN"/>
                    </w:rPr>
                    <w:t>专项评价的类别</w:t>
                  </w:r>
                </w:p>
              </w:tc>
              <w:tc>
                <w:tcPr>
                  <w:tcW w:w="2297"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val="en-US" w:eastAsia="zh-CN"/>
                    </w:rPr>
                  </w:pPr>
                  <w:r>
                    <w:rPr>
                      <w:rFonts w:hint="default"/>
                      <w:color w:val="auto"/>
                      <w:kern w:val="2"/>
                      <w:lang w:val="en-US" w:eastAsia="zh-CN"/>
                    </w:rPr>
                    <w:t>设置原则</w:t>
                  </w:r>
                </w:p>
              </w:tc>
              <w:tc>
                <w:tcPr>
                  <w:tcW w:w="1363"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val="en-US" w:eastAsia="zh-CN"/>
                    </w:rPr>
                  </w:pPr>
                  <w:r>
                    <w:rPr>
                      <w:rFonts w:hint="default"/>
                      <w:color w:val="auto"/>
                      <w:kern w:val="2"/>
                      <w:lang w:val="en-US" w:eastAsia="zh-CN"/>
                    </w:rPr>
                    <w:t>本项目情况</w:t>
                  </w:r>
                </w:p>
              </w:tc>
              <w:tc>
                <w:tcPr>
                  <w:tcW w:w="516"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val="en-US" w:eastAsia="zh-CN"/>
                    </w:rPr>
                  </w:pPr>
                  <w:r>
                    <w:rPr>
                      <w:rFonts w:hint="default"/>
                      <w:color w:val="auto"/>
                      <w:kern w:val="2"/>
                      <w:lang w:val="en-US" w:eastAsia="zh-CN"/>
                    </w:rPr>
                    <w:t>判定结果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9" w:hRule="atLeast"/>
              </w:trPr>
              <w:tc>
                <w:tcPr>
                  <w:tcW w:w="822"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val="en-US" w:eastAsia="zh-CN"/>
                    </w:rPr>
                  </w:pPr>
                  <w:r>
                    <w:rPr>
                      <w:rFonts w:hint="default"/>
                      <w:color w:val="auto"/>
                      <w:kern w:val="2"/>
                      <w:lang w:val="en-US" w:eastAsia="zh-CN"/>
                    </w:rPr>
                    <w:t>大气</w:t>
                  </w:r>
                </w:p>
              </w:tc>
              <w:tc>
                <w:tcPr>
                  <w:tcW w:w="2297"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eastAsia="zh-CN"/>
                    </w:rPr>
                  </w:pPr>
                  <w:r>
                    <w:rPr>
                      <w:rFonts w:hint="default"/>
                      <w:color w:val="auto"/>
                      <w:kern w:val="2"/>
                      <w:lang w:val="en-US" w:eastAsia="zh-CN"/>
                    </w:rPr>
                    <w:t>排放废气含有毒有害污染物</w:t>
                  </w:r>
                  <w:r>
                    <w:rPr>
                      <w:rFonts w:hint="default"/>
                      <w:color w:val="auto"/>
                      <w:kern w:val="2"/>
                      <w:vertAlign w:val="superscript"/>
                      <w:lang w:val="en-US" w:eastAsia="zh-CN"/>
                    </w:rPr>
                    <w:t>1</w:t>
                  </w:r>
                  <w:r>
                    <w:rPr>
                      <w:rFonts w:hint="default"/>
                      <w:color w:val="auto"/>
                      <w:kern w:val="2"/>
                      <w:lang w:val="en-US" w:eastAsia="zh-CN"/>
                    </w:rPr>
                    <w:t>、二噁英、苯并[a]芘、氰化物、氯气且厂界外500米范围内有环境空气保护目标的建设项目</w:t>
                  </w:r>
                </w:p>
              </w:tc>
              <w:tc>
                <w:tcPr>
                  <w:tcW w:w="1363"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val="en-US" w:eastAsia="zh-CN"/>
                    </w:rPr>
                  </w:pPr>
                  <w:r>
                    <w:rPr>
                      <w:rFonts w:hint="default"/>
                      <w:color w:val="auto"/>
                      <w:kern w:val="2"/>
                      <w:lang w:val="en-US" w:eastAsia="zh-CN"/>
                    </w:rPr>
                    <w:t>本项目排放的大气污染物</w:t>
                  </w:r>
                  <w:r>
                    <w:rPr>
                      <w:rFonts w:hint="eastAsia"/>
                      <w:color w:val="auto"/>
                      <w:kern w:val="2"/>
                      <w:lang w:val="en-US" w:eastAsia="zh-CN"/>
                    </w:rPr>
                    <w:t>不涉及</w:t>
                  </w:r>
                  <w:r>
                    <w:rPr>
                      <w:rFonts w:hint="default"/>
                      <w:color w:val="auto"/>
                      <w:kern w:val="2"/>
                      <w:lang w:val="en-US" w:eastAsia="zh-CN"/>
                    </w:rPr>
                    <w:t>有毒有害污染物</w:t>
                  </w:r>
                  <w:r>
                    <w:rPr>
                      <w:rFonts w:hint="default"/>
                      <w:color w:val="auto"/>
                      <w:kern w:val="2"/>
                      <w:vertAlign w:val="superscript"/>
                      <w:lang w:val="en-US" w:eastAsia="zh-CN"/>
                    </w:rPr>
                    <w:t>1</w:t>
                  </w:r>
                  <w:r>
                    <w:rPr>
                      <w:rFonts w:hint="default"/>
                      <w:color w:val="auto"/>
                      <w:kern w:val="2"/>
                      <w:lang w:val="en-US" w:eastAsia="zh-CN"/>
                    </w:rPr>
                    <w:t>、二噁英、苯并[a]芘、氰化物、氯气</w:t>
                  </w:r>
                </w:p>
              </w:tc>
              <w:tc>
                <w:tcPr>
                  <w:tcW w:w="516"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val="en-US" w:eastAsia="zh-CN"/>
                    </w:rPr>
                  </w:pPr>
                  <w:r>
                    <w:rPr>
                      <w:rFonts w:hint="eastAsia"/>
                      <w:color w:val="auto"/>
                      <w:kern w:val="2"/>
                      <w:lang w:val="en-US" w:eastAsia="zh-CN"/>
                    </w:rPr>
                    <w:t>无需设置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22"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val="en-US" w:eastAsia="zh-CN"/>
                    </w:rPr>
                  </w:pPr>
                  <w:r>
                    <w:rPr>
                      <w:rFonts w:hint="default"/>
                      <w:color w:val="auto"/>
                      <w:kern w:val="2"/>
                      <w:lang w:val="en-US" w:eastAsia="zh-CN"/>
                    </w:rPr>
                    <w:t>地表水</w:t>
                  </w:r>
                </w:p>
              </w:tc>
              <w:tc>
                <w:tcPr>
                  <w:tcW w:w="2297"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eastAsia="zh-CN"/>
                    </w:rPr>
                  </w:pPr>
                  <w:r>
                    <w:rPr>
                      <w:rFonts w:hint="default"/>
                      <w:color w:val="auto"/>
                      <w:kern w:val="2"/>
                      <w:lang w:val="en-US" w:eastAsia="zh-CN"/>
                    </w:rPr>
                    <w:t>新增工业废水直排建设项目（槽罐车外送污水处理厂的除外）；新增废水直排的污水集中处理厂</w:t>
                  </w:r>
                </w:p>
              </w:tc>
              <w:tc>
                <w:tcPr>
                  <w:tcW w:w="1363" w:type="pct"/>
                  <w:noWrap w:val="0"/>
                  <w:vAlign w:val="center"/>
                </w:tcPr>
                <w:p>
                  <w:pPr>
                    <w:pStyle w:val="216"/>
                    <w:keepNext w:val="0"/>
                    <w:keepLines w:val="0"/>
                    <w:widowControl/>
                    <w:suppressLineNumbers w:val="0"/>
                    <w:bidi w:val="0"/>
                    <w:spacing w:before="0" w:beforeAutospacing="0" w:after="0" w:afterAutospacing="0"/>
                    <w:ind w:left="0" w:right="0"/>
                    <w:rPr>
                      <w:rFonts w:hint="eastAsia" w:eastAsia="宋体"/>
                      <w:color w:val="auto"/>
                      <w:kern w:val="2"/>
                      <w:lang w:val="en-US" w:eastAsia="zh-CN"/>
                    </w:rPr>
                  </w:pPr>
                  <w:r>
                    <w:rPr>
                      <w:rFonts w:hint="default"/>
                      <w:color w:val="auto"/>
                      <w:kern w:val="2"/>
                      <w:lang w:val="en-US" w:eastAsia="zh-CN"/>
                    </w:rPr>
                    <w:t>本项目</w:t>
                  </w:r>
                  <w:r>
                    <w:rPr>
                      <w:rFonts w:hint="eastAsia"/>
                      <w:color w:val="auto"/>
                      <w:kern w:val="2"/>
                      <w:lang w:val="en-US" w:eastAsia="zh-CN"/>
                    </w:rPr>
                    <w:t>无废水直排</w:t>
                  </w:r>
                </w:p>
              </w:tc>
              <w:tc>
                <w:tcPr>
                  <w:tcW w:w="516"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eastAsia="zh-CN"/>
                    </w:rPr>
                  </w:pPr>
                  <w:r>
                    <w:rPr>
                      <w:rFonts w:hint="default"/>
                      <w:color w:val="auto"/>
                      <w:kern w:val="2"/>
                      <w:lang w:val="en-US" w:eastAsia="zh-CN"/>
                    </w:rPr>
                    <w:t>无需设置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trPr>
              <w:tc>
                <w:tcPr>
                  <w:tcW w:w="822"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val="en-US" w:eastAsia="zh-CN"/>
                    </w:rPr>
                  </w:pPr>
                  <w:r>
                    <w:rPr>
                      <w:rFonts w:hint="default"/>
                      <w:color w:val="auto"/>
                      <w:kern w:val="2"/>
                      <w:lang w:val="en-US" w:eastAsia="zh-CN"/>
                    </w:rPr>
                    <w:t>环境风险</w:t>
                  </w:r>
                </w:p>
              </w:tc>
              <w:tc>
                <w:tcPr>
                  <w:tcW w:w="2297"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eastAsia="zh-CN"/>
                    </w:rPr>
                  </w:pPr>
                  <w:r>
                    <w:rPr>
                      <w:rFonts w:hint="default"/>
                      <w:color w:val="auto"/>
                      <w:kern w:val="2"/>
                      <w:lang w:val="en-US" w:eastAsia="zh-CN"/>
                    </w:rPr>
                    <w:t>有毒有害和易燃易爆危险物质存储量超过临界量</w:t>
                  </w:r>
                  <w:r>
                    <w:rPr>
                      <w:rFonts w:hint="default"/>
                      <w:color w:val="auto"/>
                      <w:kern w:val="2"/>
                      <w:vertAlign w:val="superscript"/>
                      <w:lang w:val="en-US" w:eastAsia="zh-CN"/>
                    </w:rPr>
                    <w:t>3</w:t>
                  </w:r>
                  <w:r>
                    <w:rPr>
                      <w:rFonts w:hint="default"/>
                      <w:color w:val="auto"/>
                      <w:kern w:val="2"/>
                      <w:lang w:val="en-US" w:eastAsia="zh-CN"/>
                    </w:rPr>
                    <w:t>的建设项目</w:t>
                  </w:r>
                </w:p>
              </w:tc>
              <w:tc>
                <w:tcPr>
                  <w:tcW w:w="1363"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val="en-US" w:eastAsia="zh-CN"/>
                    </w:rPr>
                  </w:pPr>
                  <w:r>
                    <w:rPr>
                      <w:rFonts w:hint="eastAsia"/>
                      <w:kern w:val="2"/>
                    </w:rPr>
                    <w:t>经分析，</w:t>
                  </w:r>
                  <w:r>
                    <w:rPr>
                      <w:kern w:val="2"/>
                    </w:rPr>
                    <w:t>本项目</w:t>
                  </w:r>
                  <w:r>
                    <w:rPr>
                      <w:rFonts w:hint="eastAsia"/>
                      <w:kern w:val="2"/>
                      <w:lang w:eastAsia="zh-CN"/>
                    </w:rPr>
                    <w:t>危</w:t>
                  </w:r>
                  <w:r>
                    <w:rPr>
                      <w:kern w:val="2"/>
                    </w:rPr>
                    <w:t>险物质</w:t>
                  </w:r>
                  <w:r>
                    <w:rPr>
                      <w:rFonts w:hint="eastAsia"/>
                      <w:kern w:val="2"/>
                      <w:lang w:eastAsia="zh-CN"/>
                    </w:rPr>
                    <w:t>存储量</w:t>
                  </w:r>
                  <w:r>
                    <w:rPr>
                      <w:kern w:val="2"/>
                    </w:rPr>
                    <w:t>未超过临界量</w:t>
                  </w:r>
                </w:p>
              </w:tc>
              <w:tc>
                <w:tcPr>
                  <w:tcW w:w="516"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eastAsia="zh-CN"/>
                    </w:rPr>
                  </w:pPr>
                  <w:r>
                    <w:rPr>
                      <w:rFonts w:hint="default"/>
                      <w:color w:val="auto"/>
                      <w:kern w:val="2"/>
                      <w:lang w:val="en-US" w:eastAsia="zh-CN"/>
                    </w:rPr>
                    <w:t>无需设置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9" w:hRule="atLeast"/>
              </w:trPr>
              <w:tc>
                <w:tcPr>
                  <w:tcW w:w="822"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val="en-US" w:eastAsia="zh-CN"/>
                    </w:rPr>
                  </w:pPr>
                  <w:r>
                    <w:rPr>
                      <w:rFonts w:hint="default"/>
                      <w:color w:val="auto"/>
                      <w:kern w:val="2"/>
                      <w:lang w:val="en-US" w:eastAsia="zh-CN"/>
                    </w:rPr>
                    <w:t>生态</w:t>
                  </w:r>
                </w:p>
              </w:tc>
              <w:tc>
                <w:tcPr>
                  <w:tcW w:w="2297"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eastAsia="zh-CN"/>
                    </w:rPr>
                  </w:pPr>
                  <w:r>
                    <w:rPr>
                      <w:rFonts w:hint="default"/>
                      <w:color w:val="auto"/>
                      <w:kern w:val="2"/>
                      <w:lang w:val="en-US" w:eastAsia="zh-CN"/>
                    </w:rPr>
                    <w:t>取水口下游500米范围内有重要水生生物的自然产卵场、索饵场、越冬场和洄游通道的新增河道取水的污染类建设项目</w:t>
                  </w:r>
                </w:p>
              </w:tc>
              <w:tc>
                <w:tcPr>
                  <w:tcW w:w="1363"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eastAsia="zh-CN"/>
                    </w:rPr>
                  </w:pPr>
                  <w:r>
                    <w:rPr>
                      <w:rFonts w:hint="default"/>
                      <w:color w:val="auto"/>
                      <w:kern w:val="2"/>
                      <w:lang w:val="en-US" w:eastAsia="zh-CN"/>
                    </w:rPr>
                    <w:t>本项目不涉及</w:t>
                  </w:r>
                  <w:r>
                    <w:rPr>
                      <w:rFonts w:hint="eastAsia"/>
                      <w:color w:val="auto"/>
                      <w:kern w:val="2"/>
                      <w:lang w:val="en-US" w:eastAsia="zh-CN"/>
                    </w:rPr>
                    <w:t>用水</w:t>
                  </w:r>
                </w:p>
              </w:tc>
              <w:tc>
                <w:tcPr>
                  <w:tcW w:w="516"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eastAsia="zh-CN"/>
                    </w:rPr>
                  </w:pPr>
                  <w:r>
                    <w:rPr>
                      <w:rFonts w:hint="default"/>
                      <w:color w:val="auto"/>
                      <w:kern w:val="2"/>
                      <w:lang w:val="en-US" w:eastAsia="zh-CN"/>
                    </w:rPr>
                    <w:t>无需设置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trPr>
              <w:tc>
                <w:tcPr>
                  <w:tcW w:w="822"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val="en-US" w:eastAsia="zh-CN"/>
                    </w:rPr>
                  </w:pPr>
                  <w:r>
                    <w:rPr>
                      <w:rFonts w:hint="default"/>
                      <w:color w:val="auto"/>
                      <w:kern w:val="2"/>
                      <w:lang w:val="en-US" w:eastAsia="zh-CN"/>
                    </w:rPr>
                    <w:t>海洋</w:t>
                  </w:r>
                </w:p>
              </w:tc>
              <w:tc>
                <w:tcPr>
                  <w:tcW w:w="2297"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eastAsia="zh-CN"/>
                    </w:rPr>
                  </w:pPr>
                  <w:r>
                    <w:rPr>
                      <w:rFonts w:hint="default"/>
                      <w:color w:val="auto"/>
                      <w:kern w:val="2"/>
                      <w:lang w:val="en-US" w:eastAsia="zh-CN"/>
                    </w:rPr>
                    <w:t>直接向海排放污染物的海洋工程建设项目</w:t>
                  </w:r>
                </w:p>
              </w:tc>
              <w:tc>
                <w:tcPr>
                  <w:tcW w:w="1363"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eastAsia="zh-CN"/>
                    </w:rPr>
                  </w:pPr>
                  <w:r>
                    <w:rPr>
                      <w:rFonts w:hint="default"/>
                      <w:color w:val="auto"/>
                      <w:kern w:val="2"/>
                      <w:lang w:val="en-US" w:eastAsia="zh-CN"/>
                    </w:rPr>
                    <w:t>本项目不属</w:t>
                  </w:r>
                  <w:r>
                    <w:rPr>
                      <w:rFonts w:hint="eastAsia"/>
                      <w:color w:val="auto"/>
                      <w:kern w:val="2"/>
                      <w:lang w:val="en-US" w:eastAsia="zh-CN"/>
                    </w:rPr>
                    <w:t>海洋</w:t>
                  </w:r>
                  <w:r>
                    <w:rPr>
                      <w:rFonts w:hint="default"/>
                      <w:color w:val="auto"/>
                      <w:kern w:val="2"/>
                      <w:lang w:val="en-US" w:eastAsia="zh-CN"/>
                    </w:rPr>
                    <w:t>工程建设项目</w:t>
                  </w:r>
                </w:p>
              </w:tc>
              <w:tc>
                <w:tcPr>
                  <w:tcW w:w="516"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auto"/>
                      <w:kern w:val="2"/>
                      <w:lang w:eastAsia="zh-CN"/>
                    </w:rPr>
                  </w:pPr>
                  <w:r>
                    <w:rPr>
                      <w:rFonts w:hint="default"/>
                      <w:color w:val="auto"/>
                      <w:kern w:val="2"/>
                      <w:lang w:val="en-US" w:eastAsia="zh-CN"/>
                    </w:rPr>
                    <w:t>无需设置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0" w:hRule="atLeast"/>
              </w:trPr>
              <w:tc>
                <w:tcPr>
                  <w:tcW w:w="5000" w:type="pct"/>
                  <w:gridSpan w:val="4"/>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cs="Times New Roman"/>
                      <w:color w:val="auto"/>
                      <w:sz w:val="21"/>
                      <w:szCs w:val="21"/>
                    </w:rPr>
                  </w:pPr>
                  <w:r>
                    <w:rPr>
                      <w:rFonts w:hint="default" w:cs="Times New Roman"/>
                      <w:color w:val="auto"/>
                      <w:sz w:val="21"/>
                      <w:szCs w:val="21"/>
                      <w:lang w:val="en-US" w:eastAsia="zh-CN"/>
                    </w:rPr>
                    <w:t>注：1</w:t>
                  </w:r>
                  <w:r>
                    <w:rPr>
                      <w:rFonts w:hint="eastAsia" w:cs="Times New Roman"/>
                      <w:color w:val="auto"/>
                      <w:sz w:val="21"/>
                      <w:szCs w:val="21"/>
                      <w:lang w:val="en-US" w:eastAsia="zh-CN"/>
                    </w:rPr>
                    <w:t>.</w:t>
                  </w:r>
                  <w:r>
                    <w:rPr>
                      <w:rFonts w:hint="default" w:cs="Times New Roman"/>
                      <w:color w:val="auto"/>
                      <w:sz w:val="21"/>
                      <w:szCs w:val="21"/>
                      <w:lang w:val="en-US" w:eastAsia="zh-CN"/>
                    </w:rPr>
                    <w:t>废气中有毒有害污染物指纳入《有毒有害大气污染物名录》的污染物（不包括无排放标准的污染物）。</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cs="Times New Roman"/>
                      <w:color w:val="auto"/>
                      <w:sz w:val="21"/>
                      <w:szCs w:val="21"/>
                    </w:rPr>
                  </w:pPr>
                  <w:r>
                    <w:rPr>
                      <w:rFonts w:hint="default" w:cs="Times New Roman"/>
                      <w:color w:val="auto"/>
                      <w:sz w:val="21"/>
                      <w:szCs w:val="21"/>
                      <w:lang w:val="en-US" w:eastAsia="zh-CN"/>
                    </w:rPr>
                    <w:t>2</w:t>
                  </w:r>
                  <w:r>
                    <w:rPr>
                      <w:rFonts w:hint="eastAsia" w:cs="Times New Roman"/>
                      <w:color w:val="auto"/>
                      <w:sz w:val="21"/>
                      <w:szCs w:val="21"/>
                      <w:lang w:val="en-US" w:eastAsia="zh-CN"/>
                    </w:rPr>
                    <w:t>.</w:t>
                  </w:r>
                  <w:r>
                    <w:rPr>
                      <w:rFonts w:hint="default" w:cs="Times New Roman"/>
                      <w:color w:val="auto"/>
                      <w:sz w:val="21"/>
                      <w:szCs w:val="21"/>
                      <w:lang w:val="en-US" w:eastAsia="zh-CN"/>
                    </w:rPr>
                    <w:t>环境空气保护目标指自然保护区、风景名胜区、居住区、文化区和农村地区中人群较集中的区域。</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cs="Times New Roman"/>
                      <w:color w:val="auto"/>
                      <w:lang w:val="en-US" w:eastAsia="zh-CN"/>
                    </w:rPr>
                  </w:pPr>
                  <w:r>
                    <w:rPr>
                      <w:rFonts w:hint="default" w:cs="Times New Roman"/>
                      <w:color w:val="auto"/>
                      <w:sz w:val="21"/>
                      <w:szCs w:val="21"/>
                      <w:lang w:val="en-US" w:eastAsia="zh-CN"/>
                    </w:rPr>
                    <w:t>3</w:t>
                  </w:r>
                  <w:r>
                    <w:rPr>
                      <w:rFonts w:hint="eastAsia" w:cs="Times New Roman"/>
                      <w:color w:val="auto"/>
                      <w:sz w:val="21"/>
                      <w:szCs w:val="21"/>
                      <w:lang w:val="en-US" w:eastAsia="zh-CN"/>
                    </w:rPr>
                    <w:t>.</w:t>
                  </w:r>
                  <w:r>
                    <w:rPr>
                      <w:rFonts w:hint="default" w:cs="Times New Roman"/>
                      <w:color w:val="auto"/>
                      <w:sz w:val="21"/>
                      <w:szCs w:val="21"/>
                      <w:lang w:val="en-US" w:eastAsia="zh-CN"/>
                    </w:rPr>
                    <w:t>临界量及其计算方法可参考《建设项目环境风险评价技术导则》（HJ169）附录B、附录C。</w:t>
                  </w:r>
                </w:p>
              </w:tc>
            </w:tr>
          </w:tbl>
          <w:p>
            <w:pPr>
              <w:keepNext w:val="0"/>
              <w:keepLines w:val="0"/>
              <w:suppressLineNumbers w:val="0"/>
              <w:autoSpaceDE w:val="0"/>
              <w:autoSpaceDN w:val="0"/>
              <w:adjustRightInd w:val="0"/>
              <w:snapToGrid w:val="0"/>
              <w:spacing w:before="0" w:beforeAutospacing="0" w:after="0" w:afterAutospacing="0"/>
              <w:ind w:left="0" w:right="0"/>
              <w:jc w:val="center"/>
              <w:rPr>
                <w:rFonts w:hint="eastAsia" w:cs="Times New Roman"/>
                <w:color w:val="auto"/>
                <w:kern w:val="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864" w:type="dxa"/>
            <w:tcBorders>
              <w:top w:val="single" w:color="auto" w:sz="4" w:space="0"/>
              <w:left w:val="single" w:color="auto" w:sz="12"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ascii="Times New Roman" w:hAnsi="宋体" w:eastAsia="宋体" w:cs="Times New Roman"/>
                <w:color w:val="auto"/>
                <w:kern w:val="0"/>
                <w:sz w:val="24"/>
              </w:rPr>
            </w:pPr>
            <w:r>
              <w:rPr>
                <w:rFonts w:ascii="Times New Roman" w:hAnsi="宋体" w:eastAsia="宋体" w:cs="Times New Roman"/>
                <w:color w:val="auto"/>
                <w:kern w:val="0"/>
                <w:sz w:val="24"/>
              </w:rPr>
              <w:t>规划情况</w:t>
            </w:r>
          </w:p>
        </w:tc>
        <w:tc>
          <w:tcPr>
            <w:tcW w:w="7204" w:type="dxa"/>
            <w:gridSpan w:val="3"/>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0"/>
                <w:sz w:val="24"/>
                <w:lang w:eastAsia="zh-CN"/>
              </w:rPr>
            </w:pPr>
            <w:r>
              <w:rPr>
                <w:rFonts w:hint="eastAsia" w:cs="Times New Roman"/>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64" w:type="dxa"/>
            <w:tcBorders>
              <w:top w:val="single" w:color="auto" w:sz="4" w:space="0"/>
              <w:left w:val="single" w:color="auto" w:sz="12"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ascii="Times New Roman" w:hAnsi="宋体" w:eastAsia="宋体" w:cs="Times New Roman"/>
                <w:color w:val="auto"/>
                <w:kern w:val="0"/>
                <w:sz w:val="24"/>
              </w:rPr>
            </w:pPr>
            <w:r>
              <w:rPr>
                <w:rFonts w:ascii="Times New Roman" w:hAnsi="宋体" w:eastAsia="宋体" w:cs="Times New Roman"/>
                <w:color w:val="auto"/>
                <w:kern w:val="0"/>
                <w:sz w:val="24"/>
              </w:rPr>
              <w:t>规划环境影响</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ascii="Times New Roman" w:hAnsi="宋体" w:eastAsia="宋体" w:cs="Times New Roman"/>
                <w:color w:val="auto"/>
                <w:kern w:val="0"/>
                <w:sz w:val="24"/>
              </w:rPr>
            </w:pPr>
            <w:r>
              <w:rPr>
                <w:rFonts w:ascii="Times New Roman" w:hAnsi="宋体" w:eastAsia="宋体" w:cs="Times New Roman"/>
                <w:color w:val="auto"/>
                <w:kern w:val="0"/>
                <w:sz w:val="24"/>
              </w:rPr>
              <w:t>评价情况</w:t>
            </w:r>
          </w:p>
        </w:tc>
        <w:tc>
          <w:tcPr>
            <w:tcW w:w="7204" w:type="dxa"/>
            <w:gridSpan w:val="3"/>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64" w:type="dxa"/>
            <w:tcBorders>
              <w:top w:val="single" w:color="auto" w:sz="4" w:space="0"/>
              <w:left w:val="single" w:color="auto" w:sz="12"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ascii="Times New Roman" w:hAnsi="宋体" w:eastAsia="宋体" w:cs="Times New Roman"/>
                <w:color w:val="auto"/>
                <w:kern w:val="0"/>
                <w:sz w:val="24"/>
              </w:rPr>
            </w:pPr>
            <w:r>
              <w:rPr>
                <w:rFonts w:ascii="Times New Roman" w:hAnsi="宋体" w:eastAsia="宋体" w:cs="Times New Roman"/>
                <w:color w:val="auto"/>
                <w:kern w:val="0"/>
                <w:sz w:val="24"/>
              </w:rPr>
              <w:t>规划及规划环境影响评价符合性分析</w:t>
            </w:r>
          </w:p>
        </w:tc>
        <w:tc>
          <w:tcPr>
            <w:tcW w:w="7204" w:type="dxa"/>
            <w:gridSpan w:val="3"/>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4"/>
                <w:lang w:val="en-US" w:eastAsia="zh-CN"/>
              </w:rPr>
            </w:pPr>
            <w:r>
              <w:rPr>
                <w:rFonts w:hint="eastAsia" w:cs="Times New Roman"/>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80" w:hRule="atLeast"/>
          <w:jc w:val="center"/>
        </w:trPr>
        <w:tc>
          <w:tcPr>
            <w:tcW w:w="1864" w:type="dxa"/>
            <w:tcBorders>
              <w:top w:val="single" w:color="auto" w:sz="4" w:space="0"/>
              <w:left w:val="single" w:color="auto" w:sz="12" w:space="0"/>
              <w:bottom w:val="single" w:color="auto" w:sz="12"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hAnsi="宋体" w:cs="Times New Roman"/>
                <w:color w:val="auto"/>
                <w:kern w:val="0"/>
                <w:sz w:val="24"/>
              </w:rPr>
            </w:pPr>
            <w:r>
              <w:rPr>
                <w:rFonts w:hAnsi="宋体" w:cs="Times New Roman"/>
                <w:color w:val="auto"/>
                <w:kern w:val="0"/>
                <w:sz w:val="24"/>
              </w:rPr>
              <w:t>其他符合性</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hint="eastAsia" w:ascii="Times New Roman" w:hAnsi="Times New Roman" w:cs="Times New Roman"/>
                <w:color w:val="auto"/>
                <w:sz w:val="24"/>
              </w:rPr>
            </w:pPr>
            <w:r>
              <w:rPr>
                <w:rFonts w:hAnsi="宋体" w:cs="Times New Roman"/>
                <w:color w:val="auto"/>
                <w:kern w:val="0"/>
                <w:sz w:val="24"/>
              </w:rPr>
              <w:t>分析</w:t>
            </w:r>
          </w:p>
        </w:tc>
        <w:tc>
          <w:tcPr>
            <w:tcW w:w="7204" w:type="dxa"/>
            <w:gridSpan w:val="3"/>
            <w:tcBorders>
              <w:top w:val="single" w:color="auto" w:sz="4" w:space="0"/>
              <w:left w:val="single" w:color="auto" w:sz="4" w:space="0"/>
              <w:bottom w:val="single" w:color="auto" w:sz="12" w:space="0"/>
              <w:right w:val="single" w:color="auto" w:sz="12" w:space="0"/>
            </w:tcBorders>
            <w:noWrap w:val="0"/>
            <w:vAlign w:val="center"/>
          </w:tcPr>
          <w:p>
            <w:pPr>
              <w:keepNext w:val="0"/>
              <w:keepLines w:val="0"/>
              <w:suppressLineNumbers w:val="0"/>
              <w:bidi w:val="0"/>
              <w:spacing w:before="0" w:beforeAutospacing="0" w:after="0" w:afterAutospacing="0"/>
              <w:ind w:left="0" w:right="0"/>
              <w:rPr>
                <w:rFonts w:hint="eastAsia" w:cs="Times New Roman"/>
                <w:b/>
                <w:bCs/>
                <w:color w:val="auto"/>
              </w:rPr>
            </w:pPr>
            <w:r>
              <w:rPr>
                <w:rFonts w:hint="eastAsia" w:cs="Times New Roman"/>
                <w:b/>
                <w:bCs/>
                <w:color w:val="auto"/>
              </w:rPr>
              <w:t>1、“三线一单”符合性分析</w:t>
            </w:r>
          </w:p>
          <w:p>
            <w:pPr>
              <w:keepNext w:val="0"/>
              <w:keepLines w:val="0"/>
              <w:suppressLineNumbers w:val="0"/>
              <w:bidi w:val="0"/>
              <w:spacing w:before="0" w:beforeAutospacing="0" w:after="0" w:afterAutospacing="0"/>
              <w:ind w:left="0" w:right="0"/>
              <w:rPr>
                <w:rFonts w:hint="eastAsia" w:cs="Times New Roman"/>
                <w:color w:val="auto"/>
              </w:rPr>
            </w:pPr>
            <w:r>
              <w:rPr>
                <w:rFonts w:hint="eastAsia" w:cs="Times New Roman"/>
                <w:color w:val="auto"/>
              </w:rPr>
              <w:t>本项目与“三线一单”的符合性分析如下：</w:t>
            </w:r>
          </w:p>
          <w:p>
            <w:pPr>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lang w:eastAsia="zh-CN"/>
              </w:rPr>
              <w:t>（</w:t>
            </w:r>
            <w:r>
              <w:rPr>
                <w:rFonts w:hint="default" w:cs="Times New Roman"/>
                <w:color w:val="auto"/>
                <w:lang w:val="en-US" w:eastAsia="zh-CN"/>
              </w:rPr>
              <w:t>1</w:t>
            </w:r>
            <w:r>
              <w:rPr>
                <w:rFonts w:hint="default" w:cs="Times New Roman"/>
                <w:color w:val="auto"/>
                <w:lang w:eastAsia="zh-CN"/>
              </w:rPr>
              <w:t>）</w:t>
            </w:r>
            <w:r>
              <w:rPr>
                <w:rFonts w:hint="default" w:cs="Times New Roman"/>
                <w:color w:val="auto"/>
                <w:lang w:val="en-GB"/>
              </w:rPr>
              <w:t>生态保护红线</w:t>
            </w:r>
          </w:p>
          <w:p>
            <w:pPr>
              <w:keepNext w:val="0"/>
              <w:keepLines w:val="0"/>
              <w:suppressLineNumbers w:val="0"/>
              <w:bidi w:val="0"/>
              <w:spacing w:before="0" w:beforeAutospacing="0" w:after="0" w:afterAutospacing="0"/>
              <w:ind w:left="0" w:right="0"/>
              <w:rPr>
                <w:rFonts w:cs="Times New Roman"/>
                <w:color w:val="auto"/>
              </w:rPr>
            </w:pPr>
            <w:r>
              <w:rPr>
                <w:rFonts w:hint="eastAsia" w:cs="Times New Roman"/>
                <w:color w:val="auto"/>
                <w:lang w:val="en-US" w:eastAsia="zh-CN"/>
              </w:rPr>
              <w:t>本项目位于</w:t>
            </w:r>
            <w:r>
              <w:rPr>
                <w:rFonts w:hint="eastAsia" w:ascii="Times New Roman" w:hAnsi="Times New Roman" w:eastAsia="宋体" w:cs="Times New Roman"/>
                <w:color w:val="auto"/>
                <w:sz w:val="24"/>
                <w:lang w:val="en-US" w:eastAsia="zh-CN"/>
              </w:rPr>
              <w:t>正蓝旗动物疫病预防控制中心</w:t>
            </w:r>
            <w:r>
              <w:rPr>
                <w:rFonts w:hint="eastAsia" w:cs="Times New Roman"/>
                <w:color w:val="auto"/>
                <w:sz w:val="24"/>
                <w:lang w:val="en-US" w:eastAsia="zh-CN"/>
              </w:rPr>
              <w:t>院内西南侧空地，不新增占地，</w:t>
            </w:r>
            <w:r>
              <w:rPr>
                <w:rFonts w:hint="eastAsia" w:cs="Times New Roman"/>
                <w:color w:val="auto"/>
                <w:lang w:val="en-US" w:eastAsia="zh-CN"/>
              </w:rPr>
              <w:t>厂址不处在国家法律、法规、行政规章及规划确定或县级以上人民政府批准的饮用水水源保护区、自然保护区、风景名胜区、生态功能保护区等需要特殊保护的地区范围内。根据《锡林郭勒盟生态环境保护委员会关于实施“三线一单”生态环境分区管控的意见》修改单（2023年版），“全盟生态保护红线面积130035.53平方千米，占全盟总面积的64.18%；一般生态空间面积25055.07平方千米，占全盟总面积的12.37%”修改为“全盟生态保护红线面积130034.46平方千米，占全盟总面积的64.17%；一般生态空间面积25142.87平方千米，占全盟总面积的12.41%”。对照锡林郭勒盟生态保护红线图、生态环境管控单元图，项目不在生态红线划定范围内，符合生态保护红线要求</w:t>
            </w:r>
            <w:r>
              <w:rPr>
                <w:rFonts w:hint="eastAsia" w:cs="Times New Roman"/>
                <w:color w:val="auto"/>
                <w:lang w:val="en-GB"/>
              </w:rPr>
              <w:t>。</w:t>
            </w:r>
            <w:r>
              <w:rPr>
                <w:rFonts w:hint="eastAsia" w:cs="Times New Roman"/>
                <w:color w:val="auto"/>
                <w:lang w:val="en-US" w:eastAsia="zh-CN"/>
              </w:rPr>
              <w:t>本项目在锡林郭勒盟生态保护红线图中的位置见图1</w:t>
            </w:r>
            <w:r>
              <w:rPr>
                <w:rFonts w:cs="Times New Roman"/>
                <w:color w:val="auto"/>
              </w:rPr>
              <w:t>。</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auto"/>
                <w:lang w:val="en-US" w:eastAsia="zh-CN"/>
              </w:rPr>
            </w:pPr>
          </w:p>
          <w:p>
            <w:pPr>
              <w:pStyle w:val="9"/>
              <w:keepNext/>
              <w:keepLines/>
              <w:pageBreakBefore w:val="0"/>
              <w:widowControl w:val="0"/>
              <w:suppressLineNumbers w:val="0"/>
              <w:kinsoku/>
              <w:wordWrap/>
              <w:overflowPunct/>
              <w:topLinePunct w:val="0"/>
              <w:autoSpaceDE w:val="0"/>
              <w:autoSpaceDN w:val="0"/>
              <w:bidi w:val="0"/>
              <w:adjustRightInd w:val="0"/>
              <w:snapToGrid w:val="0"/>
              <w:spacing w:before="157" w:beforeLines="50" w:beforeAutospacing="0" w:after="0" w:afterAutospacing="0" w:line="360" w:lineRule="auto"/>
              <w:ind w:left="0" w:right="0"/>
              <w:textAlignment w:val="auto"/>
              <w:rPr>
                <w:rFonts w:hint="eastAsia" w:cs="Times New Roman"/>
                <w:color w:val="auto"/>
                <w:lang w:val="en-US" w:eastAsia="zh-CN"/>
              </w:rPr>
            </w:pPr>
          </w:p>
          <w:p>
            <w:pPr>
              <w:pStyle w:val="9"/>
              <w:keepNext/>
              <w:keepLines/>
              <w:pageBreakBefore w:val="0"/>
              <w:widowControl w:val="0"/>
              <w:suppressLineNumbers w:val="0"/>
              <w:kinsoku/>
              <w:wordWrap/>
              <w:overflowPunct/>
              <w:topLinePunct w:val="0"/>
              <w:autoSpaceDE w:val="0"/>
              <w:autoSpaceDN w:val="0"/>
              <w:bidi w:val="0"/>
              <w:adjustRightInd w:val="0"/>
              <w:snapToGrid w:val="0"/>
              <w:spacing w:before="157" w:beforeLines="50" w:beforeAutospacing="0" w:after="0" w:afterAutospacing="0" w:line="360" w:lineRule="auto"/>
              <w:ind w:left="0" w:right="0"/>
              <w:textAlignment w:val="auto"/>
              <w:rPr>
                <w:rFonts w:hint="eastAsia" w:cs="Times New Roman"/>
                <w:color w:val="auto"/>
                <w:highlight w:val="yellow"/>
                <w:lang w:val="en-US" w:eastAsia="zh-CN"/>
              </w:rPr>
            </w:pPr>
          </w:p>
          <w:p>
            <w:pPr>
              <w:pStyle w:val="9"/>
              <w:keepNext/>
              <w:keepLines/>
              <w:pageBreakBefore w:val="0"/>
              <w:widowControl w:val="0"/>
              <w:suppressLineNumbers w:val="0"/>
              <w:kinsoku/>
              <w:wordWrap/>
              <w:overflowPunct/>
              <w:topLinePunct w:val="0"/>
              <w:autoSpaceDE w:val="0"/>
              <w:autoSpaceDN w:val="0"/>
              <w:bidi w:val="0"/>
              <w:adjustRightInd w:val="0"/>
              <w:snapToGrid w:val="0"/>
              <w:spacing w:before="157" w:beforeLines="50" w:beforeAutospacing="0" w:after="0" w:afterAutospacing="0" w:line="360" w:lineRule="auto"/>
              <w:ind w:left="0" w:right="0"/>
              <w:textAlignment w:val="auto"/>
              <w:rPr>
                <w:rFonts w:hint="eastAsia" w:cs="Times New Roman"/>
                <w:color w:val="auto"/>
                <w:highlight w:val="none"/>
                <w:lang w:val="en-US" w:eastAsia="zh-CN"/>
              </w:rPr>
            </w:pPr>
            <w:r>
              <w:rPr>
                <w:rFonts w:hint="default" w:ascii="Times New Roman" w:hAnsi="Times New Roman" w:cs="Times New Roman"/>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59690</wp:posOffset>
                      </wp:positionH>
                      <wp:positionV relativeFrom="paragraph">
                        <wp:posOffset>2768600</wp:posOffset>
                      </wp:positionV>
                      <wp:extent cx="807085" cy="277495"/>
                      <wp:effectExtent l="4445" t="227330" r="7620" b="9525"/>
                      <wp:wrapNone/>
                      <wp:docPr id="6" name="矩形标注 6"/>
                      <wp:cNvGraphicFramePr/>
                      <a:graphic xmlns:a="http://schemas.openxmlformats.org/drawingml/2006/main">
                        <a:graphicData uri="http://schemas.microsoft.com/office/word/2010/wordprocessingShape">
                          <wps:wsp>
                            <wps:cNvSpPr/>
                            <wps:spPr>
                              <a:xfrm>
                                <a:off x="0" y="0"/>
                                <a:ext cx="807085" cy="277495"/>
                              </a:xfrm>
                              <a:prstGeom prst="wedgeRectCallout">
                                <a:avLst>
                                  <a:gd name="adj1" fmla="val 40637"/>
                                  <a:gd name="adj2" fmla="val -127116"/>
                                </a:avLst>
                              </a:prstGeom>
                              <a:solidFill>
                                <a:srgbClr val="FFFF00"/>
                              </a:solidFill>
                              <a:ln w="9525" cap="flat" cmpd="sng">
                                <a:solidFill>
                                  <a:srgbClr val="000000"/>
                                </a:solidFill>
                                <a:prstDash val="solid"/>
                                <a:miter/>
                                <a:headEnd type="none" w="med" len="med"/>
                                <a:tailEnd type="none" w="med" len="med"/>
                              </a:ln>
                            </wps:spPr>
                            <wps:txbx>
                              <w:txbxContent>
                                <w:p>
                                  <w:pPr>
                                    <w:ind w:left="0" w:leftChars="0" w:firstLine="0" w:firstLineChars="0"/>
                                    <w:jc w:val="center"/>
                                    <w:rPr>
                                      <w:rFonts w:ascii="宋体" w:hAnsi="宋体" w:eastAsia="宋体" w:cs="宋体"/>
                                      <w:sz w:val="18"/>
                                      <w:szCs w:val="18"/>
                                    </w:rPr>
                                  </w:pPr>
                                  <w:r>
                                    <w:rPr>
                                      <w:rFonts w:hint="eastAsia" w:ascii="宋体" w:hAnsi="宋体" w:eastAsia="宋体" w:cs="宋体"/>
                                      <w:b/>
                                      <w:bCs/>
                                      <w:sz w:val="18"/>
                                      <w:szCs w:val="18"/>
                                    </w:rPr>
                                    <w:t>项目所在地</w:t>
                                  </w:r>
                                </w:p>
                              </w:txbxContent>
                            </wps:txbx>
                            <wps:bodyPr upright="1"/>
                          </wps:wsp>
                        </a:graphicData>
                      </a:graphic>
                    </wp:anchor>
                  </w:drawing>
                </mc:Choice>
                <mc:Fallback>
                  <w:pict>
                    <v:shape id="_x0000_s1026" o:spid="_x0000_s1026" o:spt="61" type="#_x0000_t61" style="position:absolute;left:0pt;margin-left:4.7pt;margin-top:218pt;height:21.85pt;width:63.55pt;z-index:251664384;mso-width-relative:page;mso-height-relative:page;" fillcolor="#FFFF00" filled="t" stroked="t" coordsize="21600,21600" o:gfxdata="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" adj="19578,-16657">
                      <v:fill on="t" focussize="0,0"/>
                      <v:stroke color="#000000" joinstyle="miter"/>
                      <v:imagedata o:title=""/>
                      <o:lock v:ext="edit" aspectratio="f"/>
                      <v:textbox>
                        <w:txbxContent>
                          <w:p>
                            <w:pPr>
                              <w:ind w:left="0" w:leftChars="0" w:firstLine="0" w:firstLineChars="0"/>
                              <w:jc w:val="center"/>
                              <w:rPr>
                                <w:rFonts w:ascii="宋体" w:hAnsi="宋体" w:eastAsia="宋体" w:cs="宋体"/>
                                <w:sz w:val="18"/>
                                <w:szCs w:val="18"/>
                              </w:rPr>
                            </w:pPr>
                            <w:r>
                              <w:rPr>
                                <w:rFonts w:hint="eastAsia" w:ascii="宋体" w:hAnsi="宋体" w:eastAsia="宋体" w:cs="宋体"/>
                                <w:b/>
                                <w:bCs/>
                                <w:sz w:val="18"/>
                                <w:szCs w:val="18"/>
                              </w:rPr>
                              <w:t>项目所在地</w:t>
                            </w:r>
                          </w:p>
                        </w:txbxContent>
                      </v:textbox>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3360" behindDoc="0" locked="0" layoutInCell="1" allowOverlap="1">
                      <wp:simplePos x="0" y="0"/>
                      <wp:positionH relativeFrom="column">
                        <wp:posOffset>90170</wp:posOffset>
                      </wp:positionH>
                      <wp:positionV relativeFrom="paragraph">
                        <wp:posOffset>1983740</wp:posOffset>
                      </wp:positionV>
                      <wp:extent cx="1397000" cy="1078865"/>
                      <wp:effectExtent l="4445" t="4445" r="484505" b="21590"/>
                      <wp:wrapNone/>
                      <wp:docPr id="7" name="圆角矩形标注 7"/>
                      <wp:cNvGraphicFramePr/>
                      <a:graphic xmlns:a="http://schemas.openxmlformats.org/drawingml/2006/main">
                        <a:graphicData uri="http://schemas.microsoft.com/office/word/2010/wordprocessingShape">
                          <wps:wsp>
                            <wps:cNvSpPr/>
                            <wps:spPr>
                              <a:xfrm>
                                <a:off x="0" y="0"/>
                                <a:ext cx="1397000" cy="1078865"/>
                              </a:xfrm>
                              <a:prstGeom prst="wedgeRoundRectCallout">
                                <a:avLst>
                                  <a:gd name="adj1" fmla="val 83363"/>
                                  <a:gd name="adj2" fmla="val 20217"/>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eastAsia" w:ascii="宋体" w:hAnsi="Times New Roman" w:eastAsia="宋体" w:cs="Times New Roman"/>
                                      <w:lang w:eastAsia="zh-CN"/>
                                    </w:rPr>
                                  </w:pPr>
                                  <w:r>
                                    <w:drawing>
                                      <wp:inline distT="0" distB="0" distL="114300" distR="114300">
                                        <wp:extent cx="1164590" cy="845185"/>
                                        <wp:effectExtent l="0" t="0" r="16510" b="12065"/>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0"/>
                                                <a:stretch>
                                                  <a:fillRect/>
                                                </a:stretch>
                                              </pic:blipFill>
                                              <pic:spPr>
                                                <a:xfrm>
                                                  <a:off x="0" y="0"/>
                                                  <a:ext cx="1164590" cy="845185"/>
                                                </a:xfrm>
                                                <a:prstGeom prst="rect">
                                                  <a:avLst/>
                                                </a:prstGeom>
                                                <a:noFill/>
                                                <a:ln>
                                                  <a:noFill/>
                                                </a:ln>
                                              </pic:spPr>
                                            </pic:pic>
                                          </a:graphicData>
                                        </a:graphic>
                                      </wp:inline>
                                    </w:drawing>
                                  </w:r>
                                </w:p>
                              </w:txbxContent>
                            </wps:txbx>
                            <wps:bodyPr upright="1">
                              <a:noAutofit/>
                            </wps:bodyPr>
                          </wps:wsp>
                        </a:graphicData>
                      </a:graphic>
                    </wp:anchor>
                  </w:drawing>
                </mc:Choice>
                <mc:Fallback>
                  <w:pict>
                    <v:shape id="_x0000_s1026" o:spid="_x0000_s1026" o:spt="62" type="#_x0000_t62" style="position:absolute;left:0pt;margin-left:7.1pt;margin-top:156.2pt;height:84.95pt;width:110pt;z-index:251663360;mso-width-relative:page;mso-height-relative:page;" fillcolor="#FFFFFF" filled="t" stroked="t" coordsize="21600,21600" o:gfxdata="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" adj="28806,15167,1440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eastAsia" w:ascii="宋体" w:hAnsi="Times New Roman" w:eastAsia="宋体" w:cs="Times New Roman"/>
                                <w:lang w:eastAsia="zh-CN"/>
                              </w:rPr>
                            </w:pPr>
                            <w:r>
                              <w:drawing>
                                <wp:inline distT="0" distB="0" distL="114300" distR="114300">
                                  <wp:extent cx="1164590" cy="845185"/>
                                  <wp:effectExtent l="0" t="0" r="16510" b="12065"/>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0"/>
                                          <a:stretch>
                                            <a:fillRect/>
                                          </a:stretch>
                                        </pic:blipFill>
                                        <pic:spPr>
                                          <a:xfrm>
                                            <a:off x="0" y="0"/>
                                            <a:ext cx="1164590" cy="845185"/>
                                          </a:xfrm>
                                          <a:prstGeom prst="rect">
                                            <a:avLst/>
                                          </a:prstGeom>
                                          <a:noFill/>
                                          <a:ln>
                                            <a:noFill/>
                                          </a:ln>
                                        </pic:spPr>
                                      </pic:pic>
                                    </a:graphicData>
                                  </a:graphic>
                                </wp:inline>
                              </w:drawing>
                            </w:r>
                          </w:p>
                        </w:txbxContent>
                      </v:textbox>
                    </v:shape>
                  </w:pict>
                </mc:Fallback>
              </mc:AlternateContent>
            </w:r>
            <w:r>
              <w:rPr>
                <w:rFonts w:hint="eastAsia" w:cs="Times New Roman"/>
                <w:color w:val="auto"/>
                <w:highlight w:val="none"/>
                <w:lang w:val="en-US" w:eastAsia="zh-CN"/>
              </w:rPr>
              <w:drawing>
                <wp:inline distT="0" distB="0" distL="114300" distR="114300">
                  <wp:extent cx="4429125" cy="3130550"/>
                  <wp:effectExtent l="0" t="0" r="9525" b="12700"/>
                  <wp:docPr id="4" name="图片 4" descr="锡林郭勒盟2023“三线一单”成果图集 9.26(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锡林郭勒盟2023“三线一单”成果图集 9.26(1)_06"/>
                          <pic:cNvPicPr>
                            <a:picLocks noChangeAspect="1"/>
                          </pic:cNvPicPr>
                        </pic:nvPicPr>
                        <pic:blipFill>
                          <a:blip r:embed="rId11"/>
                          <a:stretch>
                            <a:fillRect/>
                          </a:stretch>
                        </pic:blipFill>
                        <pic:spPr>
                          <a:xfrm>
                            <a:off x="0" y="0"/>
                            <a:ext cx="4429125" cy="3130550"/>
                          </a:xfrm>
                          <a:prstGeom prst="rect">
                            <a:avLst/>
                          </a:prstGeom>
                        </pic:spPr>
                      </pic:pic>
                    </a:graphicData>
                  </a:graphic>
                </wp:inline>
              </w:drawing>
            </w:r>
          </w:p>
          <w:p>
            <w:pPr>
              <w:pStyle w:val="9"/>
              <w:keepNext/>
              <w:keepLines/>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textAlignment w:val="auto"/>
              <w:rPr>
                <w:rFonts w:hint="eastAsia" w:cs="Times New Roman"/>
                <w:color w:val="auto"/>
                <w:highlight w:val="none"/>
                <w:lang w:val="en-US" w:eastAsia="zh-CN"/>
              </w:rPr>
            </w:pPr>
            <w:r>
              <w:rPr>
                <w:rFonts w:hint="eastAsia" w:cs="Times New Roman"/>
                <w:color w:val="auto"/>
                <w:highlight w:val="none"/>
                <w:lang w:val="en-US" w:eastAsia="zh-CN"/>
              </w:rPr>
              <w:t>图1-1  项目对照锡林郭勒盟生态保护红线相对位置关系图</w:t>
            </w:r>
          </w:p>
          <w:p>
            <w:pPr>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lang w:eastAsia="zh-CN"/>
              </w:rPr>
              <w:t>（</w:t>
            </w:r>
            <w:r>
              <w:rPr>
                <w:rFonts w:hint="default" w:cs="Times New Roman"/>
                <w:color w:val="auto"/>
                <w:lang w:val="en-US" w:eastAsia="zh-CN"/>
              </w:rPr>
              <w:t>2</w:t>
            </w:r>
            <w:r>
              <w:rPr>
                <w:rFonts w:hint="default" w:cs="Times New Roman"/>
                <w:color w:val="auto"/>
                <w:lang w:eastAsia="zh-CN"/>
              </w:rPr>
              <w:t>）</w:t>
            </w:r>
            <w:r>
              <w:rPr>
                <w:rFonts w:hint="default" w:cs="Times New Roman"/>
                <w:color w:val="auto"/>
                <w:lang w:val="en-GB"/>
              </w:rPr>
              <w:t>环境质量底线</w:t>
            </w:r>
          </w:p>
          <w:p>
            <w:pPr>
              <w:keepNext w:val="0"/>
              <w:keepLines w:val="0"/>
              <w:suppressLineNumbers w:val="0"/>
              <w:bidi w:val="0"/>
              <w:spacing w:before="0" w:beforeAutospacing="0" w:after="0" w:afterAutospacing="0"/>
              <w:ind w:left="0" w:right="0"/>
              <w:rPr>
                <w:rFonts w:hint="default" w:cs="Times New Roman"/>
                <w:color w:val="auto"/>
              </w:rPr>
            </w:pPr>
            <w:r>
              <w:rPr>
                <w:rFonts w:cs="Times New Roman"/>
                <w:color w:val="auto"/>
              </w:rPr>
              <w:t>区域环境空气</w:t>
            </w:r>
            <w:r>
              <w:rPr>
                <w:rFonts w:hint="eastAsia" w:cs="Times New Roman"/>
                <w:color w:val="auto"/>
                <w:lang w:val="en-US" w:eastAsia="zh-CN"/>
              </w:rPr>
              <w:t>质量</w:t>
            </w:r>
            <w:r>
              <w:rPr>
                <w:rFonts w:cs="Times New Roman"/>
                <w:color w:val="auto"/>
              </w:rPr>
              <w:t>属于《环境空气质量标准》（GB3095-2012）中二类功能区</w:t>
            </w:r>
            <w:r>
              <w:rPr>
                <w:rFonts w:hint="default" w:cs="Times New Roman"/>
                <w:color w:val="auto"/>
              </w:rPr>
              <w:t>，根据内蒙古自治区环境保护厅发布的《20</w:t>
            </w:r>
            <w:r>
              <w:rPr>
                <w:rFonts w:hint="default" w:cs="Times New Roman"/>
                <w:color w:val="auto"/>
                <w:lang w:val="en-US" w:eastAsia="zh-CN"/>
              </w:rPr>
              <w:t>2</w:t>
            </w:r>
            <w:r>
              <w:rPr>
                <w:rFonts w:hint="eastAsia" w:cs="Times New Roman"/>
                <w:color w:val="auto"/>
                <w:lang w:val="en-US" w:eastAsia="zh-CN"/>
              </w:rPr>
              <w:t>3</w:t>
            </w:r>
            <w:r>
              <w:rPr>
                <w:rFonts w:hint="default" w:cs="Times New Roman"/>
                <w:color w:val="auto"/>
              </w:rPr>
              <w:t>内蒙古自治区生态环境状况公报》，本项目所在区域为环境空气质量达标区</w:t>
            </w:r>
            <w:r>
              <w:rPr>
                <w:rFonts w:cs="Times New Roman"/>
                <w:color w:val="auto"/>
              </w:rPr>
              <w:t>；区域环境质量现状较好，具有环境容量，</w:t>
            </w:r>
            <w:r>
              <w:rPr>
                <w:rFonts w:hint="eastAsia" w:cs="Times New Roman"/>
                <w:color w:val="auto"/>
                <w:lang w:val="en-US" w:eastAsia="zh-CN"/>
              </w:rPr>
              <w:t>项目</w:t>
            </w:r>
            <w:r>
              <w:rPr>
                <w:rFonts w:cs="Times New Roman"/>
                <w:color w:val="auto"/>
              </w:rPr>
              <w:t>采取合理的治理措施后，在正常</w:t>
            </w:r>
            <w:r>
              <w:rPr>
                <w:rFonts w:hint="eastAsia" w:cs="Times New Roman"/>
                <w:color w:val="auto"/>
                <w:lang w:val="en-US" w:eastAsia="zh-CN"/>
              </w:rPr>
              <w:t>工</w:t>
            </w:r>
            <w:r>
              <w:rPr>
                <w:rFonts w:cs="Times New Roman"/>
                <w:color w:val="auto"/>
              </w:rPr>
              <w:t>况下，各项污染物均能达标排放，不会</w:t>
            </w:r>
            <w:r>
              <w:rPr>
                <w:rFonts w:hint="eastAsia" w:cs="Times New Roman"/>
                <w:color w:val="auto"/>
                <w:lang w:val="en-US" w:eastAsia="zh-CN"/>
              </w:rPr>
              <w:t>明显</w:t>
            </w:r>
            <w:r>
              <w:rPr>
                <w:rFonts w:cs="Times New Roman"/>
                <w:color w:val="auto"/>
              </w:rPr>
              <w:t>降低区域环境质量，</w:t>
            </w:r>
            <w:r>
              <w:rPr>
                <w:rFonts w:hint="default" w:cs="Times New Roman"/>
                <w:color w:val="auto"/>
              </w:rPr>
              <w:t>符合环境质量底线要求</w:t>
            </w:r>
            <w:r>
              <w:rPr>
                <w:rFonts w:hint="eastAsia" w:cs="Times New Roman"/>
                <w:color w:val="auto"/>
              </w:rPr>
              <w:t>。</w:t>
            </w:r>
          </w:p>
          <w:p>
            <w:pPr>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lang w:eastAsia="zh-CN"/>
              </w:rPr>
              <w:t>（</w:t>
            </w:r>
            <w:r>
              <w:rPr>
                <w:rFonts w:hint="default" w:cs="Times New Roman"/>
                <w:color w:val="auto"/>
                <w:lang w:val="en-US" w:eastAsia="zh-CN"/>
              </w:rPr>
              <w:t>3</w:t>
            </w:r>
            <w:r>
              <w:rPr>
                <w:rFonts w:hint="default" w:cs="Times New Roman"/>
                <w:color w:val="auto"/>
                <w:lang w:eastAsia="zh-CN"/>
              </w:rPr>
              <w:t>）</w:t>
            </w:r>
            <w:r>
              <w:rPr>
                <w:rFonts w:hint="default" w:cs="Times New Roman"/>
                <w:color w:val="auto"/>
                <w:lang w:val="en-GB"/>
              </w:rPr>
              <w:t>资源利用上线</w:t>
            </w:r>
          </w:p>
          <w:p>
            <w:pPr>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本项目运营过程中需要一定的资源消耗</w:t>
            </w:r>
            <w:r>
              <w:rPr>
                <w:rFonts w:hint="eastAsia" w:cs="Times New Roman"/>
                <w:color w:val="auto"/>
                <w:lang w:eastAsia="zh-CN"/>
              </w:rPr>
              <w:t>，</w:t>
            </w:r>
            <w:r>
              <w:rPr>
                <w:rFonts w:hint="eastAsia" w:cs="Times New Roman"/>
                <w:color w:val="auto"/>
                <w:lang w:val="en-US" w:eastAsia="zh-CN"/>
              </w:rPr>
              <w:t>包括土地资源、水资源、电等</w:t>
            </w:r>
            <w:r>
              <w:rPr>
                <w:rFonts w:hint="eastAsia" w:cs="Times New Roman"/>
                <w:color w:val="auto"/>
              </w:rPr>
              <w:t>，项目资源消耗量相对区域资源总量所占比例较少</w:t>
            </w:r>
            <w:r>
              <w:rPr>
                <w:rFonts w:hint="eastAsia" w:cs="Times New Roman"/>
                <w:color w:val="auto"/>
                <w:lang w:eastAsia="zh-CN"/>
              </w:rPr>
              <w:t>，</w:t>
            </w:r>
            <w:r>
              <w:rPr>
                <w:rFonts w:hint="eastAsia" w:cs="Times New Roman"/>
                <w:color w:val="auto"/>
                <w:lang w:val="en-US" w:eastAsia="zh-CN"/>
              </w:rPr>
              <w:t>项目建成运行后通过管理、设备选择、资源选用、污染治理等多方面采取可行的防治措施，有效的控制资源消耗，</w:t>
            </w:r>
            <w:r>
              <w:rPr>
                <w:rFonts w:hint="eastAsia" w:cs="Times New Roman"/>
                <w:color w:val="auto"/>
              </w:rPr>
              <w:t>资源消耗不会触及区域资源利用上线要求，</w:t>
            </w:r>
            <w:r>
              <w:rPr>
                <w:rFonts w:cs="Times New Roman"/>
                <w:color w:val="auto"/>
              </w:rPr>
              <w:t>符合资源利用上线要求</w:t>
            </w:r>
            <w:r>
              <w:rPr>
                <w:rFonts w:hint="eastAsia" w:cs="Times New Roman"/>
                <w:color w:val="auto"/>
              </w:rPr>
              <w:t>。</w:t>
            </w:r>
          </w:p>
          <w:p>
            <w:pPr>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lang w:eastAsia="zh-CN"/>
              </w:rPr>
              <w:t>（</w:t>
            </w:r>
            <w:r>
              <w:rPr>
                <w:rFonts w:hint="default" w:cs="Times New Roman"/>
                <w:color w:val="auto"/>
                <w:lang w:val="en-US" w:eastAsia="zh-CN"/>
              </w:rPr>
              <w:t>4</w:t>
            </w:r>
            <w:r>
              <w:rPr>
                <w:rFonts w:hint="default" w:cs="Times New Roman"/>
                <w:color w:val="auto"/>
                <w:lang w:eastAsia="zh-CN"/>
              </w:rPr>
              <w:t>）</w:t>
            </w:r>
            <w:r>
              <w:rPr>
                <w:rFonts w:hint="eastAsia" w:cs="Times New Roman"/>
                <w:color w:val="auto"/>
                <w:lang w:val="en-US" w:eastAsia="zh-CN"/>
              </w:rPr>
              <w:t>生态</w:t>
            </w:r>
            <w:r>
              <w:rPr>
                <w:rFonts w:hint="default" w:cs="Times New Roman"/>
                <w:color w:val="auto"/>
                <w:lang w:val="en-GB"/>
              </w:rPr>
              <w:t>环境准入清单</w:t>
            </w:r>
          </w:p>
          <w:p>
            <w:pPr>
              <w:keepNext w:val="0"/>
              <w:keepLines w:val="0"/>
              <w:suppressLineNumbers w:val="0"/>
              <w:bidi w:val="0"/>
              <w:spacing w:before="0" w:beforeAutospacing="0" w:after="0" w:afterAutospacing="0"/>
              <w:ind w:left="0" w:right="0"/>
              <w:rPr>
                <w:rFonts w:hint="eastAsia" w:cs="Times New Roman"/>
                <w:color w:val="auto"/>
                <w:lang w:val="en-GB"/>
              </w:rPr>
            </w:pPr>
            <w:r>
              <w:rPr>
                <w:rFonts w:hint="eastAsia" w:cs="Times New Roman"/>
                <w:color w:val="auto"/>
                <w:lang w:val="en-GB"/>
              </w:rPr>
              <w:t>根据《锡林郭勒盟生态环境保护委员会办公室关于印发锡林郭勒盟“三线一单”生态环境分区管控意见修改单和锡林郭勒盟生态环境准人清单的通知》（锡</w:t>
            </w:r>
            <w:r>
              <w:rPr>
                <w:rFonts w:hint="eastAsia" w:cs="Times New Roman"/>
                <w:color w:val="auto"/>
                <w:lang w:val="en-US" w:eastAsia="zh-CN"/>
              </w:rPr>
              <w:t>环委办发</w:t>
            </w:r>
            <w:r>
              <w:rPr>
                <w:rFonts w:hint="eastAsia" w:cs="Times New Roman"/>
                <w:color w:val="auto"/>
                <w:lang w:val="en-GB"/>
              </w:rPr>
              <w:t>〔202</w:t>
            </w:r>
            <w:r>
              <w:rPr>
                <w:rFonts w:hint="eastAsia" w:cs="Times New Roman"/>
                <w:color w:val="auto"/>
                <w:lang w:val="en-US" w:eastAsia="zh-CN"/>
              </w:rPr>
              <w:t>4</w:t>
            </w:r>
            <w:r>
              <w:rPr>
                <w:rFonts w:hint="eastAsia" w:cs="Times New Roman"/>
                <w:color w:val="auto"/>
                <w:lang w:val="en-GB"/>
              </w:rPr>
              <w:t>〕</w:t>
            </w:r>
            <w:r>
              <w:rPr>
                <w:rFonts w:hint="eastAsia" w:cs="Times New Roman"/>
                <w:color w:val="auto"/>
                <w:lang w:val="en-US" w:eastAsia="zh-CN"/>
              </w:rPr>
              <w:t>1</w:t>
            </w:r>
            <w:r>
              <w:rPr>
                <w:rFonts w:hint="eastAsia" w:cs="Times New Roman"/>
                <w:color w:val="auto"/>
                <w:lang w:val="en-GB"/>
              </w:rPr>
              <w:t>号），全盟环境管控单元</w:t>
            </w:r>
            <w:r>
              <w:rPr>
                <w:rFonts w:hint="eastAsia" w:cs="Times New Roman"/>
                <w:color w:val="auto"/>
                <w:lang w:val="en-US" w:eastAsia="zh-CN"/>
              </w:rPr>
              <w:t>修改为</w:t>
            </w:r>
            <w:r>
              <w:rPr>
                <w:rFonts w:hint="eastAsia" w:cs="Times New Roman"/>
                <w:color w:val="auto"/>
                <w:lang w:val="en-GB"/>
              </w:rPr>
              <w:t>15</w:t>
            </w:r>
            <w:r>
              <w:rPr>
                <w:rFonts w:hint="eastAsia" w:cs="Times New Roman"/>
                <w:color w:val="auto"/>
                <w:lang w:val="en-US" w:eastAsia="zh-CN"/>
              </w:rPr>
              <w:t>7</w:t>
            </w:r>
            <w:r>
              <w:rPr>
                <w:rFonts w:hint="eastAsia" w:cs="Times New Roman"/>
                <w:color w:val="auto"/>
                <w:lang w:val="en-GB"/>
              </w:rPr>
              <w:t>个，包括优先保护单元、重点管控单元、一般管控单元三类</w:t>
            </w:r>
            <w:r>
              <w:rPr>
                <w:rFonts w:hint="eastAsia" w:cs="Times New Roman"/>
                <w:color w:val="auto"/>
              </w:rPr>
              <w:t>，实施分类管控</w:t>
            </w:r>
            <w:r>
              <w:rPr>
                <w:rFonts w:hint="eastAsia" w:cs="Times New Roman"/>
                <w:color w:val="auto"/>
                <w:lang w:val="en-GB"/>
              </w:rPr>
              <w:t>。</w:t>
            </w:r>
          </w:p>
          <w:p>
            <w:pPr>
              <w:keepNext w:val="0"/>
              <w:keepLines w:val="0"/>
              <w:suppressLineNumbers w:val="0"/>
              <w:bidi w:val="0"/>
              <w:spacing w:before="0" w:beforeAutospacing="0" w:after="0" w:afterAutospacing="0"/>
              <w:ind w:left="0" w:right="0"/>
              <w:rPr>
                <w:rFonts w:hint="eastAsia" w:cs="Times New Roman"/>
                <w:color w:val="auto"/>
                <w:lang w:val="en-GB"/>
              </w:rPr>
            </w:pPr>
            <w:r>
              <w:rPr>
                <w:rFonts w:hint="eastAsia" w:cs="Times New Roman"/>
                <w:color w:val="auto"/>
                <w:lang w:val="en-GB"/>
              </w:rPr>
              <w:t>①优先保护单元：</w:t>
            </w:r>
            <w:r>
              <w:rPr>
                <w:rFonts w:hint="eastAsia" w:cs="Times New Roman"/>
                <w:color w:val="auto"/>
                <w:lang w:val="en-GB" w:eastAsia="zh-CN"/>
              </w:rPr>
              <w:t>“共计76个，面积为155911.13平方千米，占全盟总面积的76.95%”修改为“共计99个，面积为155318.94平方千米，占全盟总面积的76.65%”。</w:t>
            </w:r>
          </w:p>
          <w:p>
            <w:pPr>
              <w:keepNext w:val="0"/>
              <w:keepLines w:val="0"/>
              <w:suppressLineNumbers w:val="0"/>
              <w:bidi w:val="0"/>
              <w:spacing w:before="0" w:beforeAutospacing="0" w:after="0" w:afterAutospacing="0"/>
              <w:ind w:left="0" w:right="0"/>
              <w:rPr>
                <w:rFonts w:hint="eastAsia" w:cs="Times New Roman"/>
                <w:color w:val="auto"/>
                <w:lang w:val="en-GB"/>
              </w:rPr>
            </w:pPr>
            <w:r>
              <w:rPr>
                <w:rFonts w:hint="eastAsia" w:cs="Times New Roman"/>
                <w:color w:val="auto"/>
                <w:lang w:val="en-GB"/>
              </w:rPr>
              <w:t>②重点管控单元：</w:t>
            </w:r>
            <w:r>
              <w:rPr>
                <w:rFonts w:hint="eastAsia" w:cs="Times New Roman"/>
                <w:color w:val="auto"/>
                <w:lang w:val="en-GB" w:eastAsia="zh-CN"/>
              </w:rPr>
              <w:t>“共计66个，面积为43226.51平方千米，占全盟总面积的21.33%”修改为“共计46个，面积为9002.95平方千米，占全盟总面积的4.44%”。</w:t>
            </w:r>
          </w:p>
          <w:p>
            <w:pPr>
              <w:keepNext w:val="0"/>
              <w:keepLines w:val="0"/>
              <w:suppressLineNumbers w:val="0"/>
              <w:bidi w:val="0"/>
              <w:spacing w:before="0" w:beforeAutospacing="0" w:after="0" w:afterAutospacing="0"/>
              <w:ind w:left="0" w:right="0"/>
              <w:rPr>
                <w:rFonts w:hint="eastAsia" w:cs="Times New Roman"/>
                <w:color w:val="auto"/>
                <w:lang w:val="en-GB"/>
              </w:rPr>
            </w:pPr>
            <w:r>
              <w:rPr>
                <w:rFonts w:hint="eastAsia" w:cs="Times New Roman"/>
                <w:color w:val="auto"/>
                <w:lang w:val="en-GB"/>
              </w:rPr>
              <w:t>③一般管控单元：</w:t>
            </w:r>
            <w:r>
              <w:rPr>
                <w:rFonts w:hint="eastAsia" w:cs="Times New Roman"/>
                <w:color w:val="auto"/>
                <w:lang w:val="en-GB" w:eastAsia="zh-CN"/>
              </w:rPr>
              <w:t>“共计12个，面积为3488.36平方千米，占全盟总面积的1.72%”修改为“共计12个，面积为38304.1平方千米，占全盟总面积的18.91%”</w:t>
            </w:r>
            <w:r>
              <w:rPr>
                <w:rFonts w:hint="eastAsia" w:cs="Times New Roman"/>
                <w:color w:val="auto"/>
                <w:lang w:val="en-GB"/>
              </w:rPr>
              <w:t>。</w:t>
            </w:r>
          </w:p>
          <w:p>
            <w:pPr>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val="en-GB"/>
              </w:rPr>
              <w:t>本项目位于</w:t>
            </w:r>
            <w:r>
              <w:rPr>
                <w:rFonts w:hint="eastAsia" w:ascii="Times New Roman" w:hAnsi="Times New Roman" w:eastAsia="宋体" w:cs="Times New Roman"/>
                <w:color w:val="auto"/>
                <w:sz w:val="24"/>
                <w:szCs w:val="24"/>
                <w:u w:val="none"/>
                <w:lang w:eastAsia="zh-CN"/>
              </w:rPr>
              <w:t>内蒙古自治区锡林郭勒盟</w:t>
            </w:r>
            <w:r>
              <w:rPr>
                <w:rFonts w:hint="eastAsia" w:ascii="Times New Roman" w:hAnsi="Times New Roman" w:eastAsia="宋体" w:cs="Times New Roman"/>
                <w:color w:val="auto"/>
                <w:sz w:val="24"/>
                <w:szCs w:val="24"/>
                <w:u w:val="none"/>
                <w:lang w:val="en-US" w:eastAsia="zh-CN"/>
              </w:rPr>
              <w:t>正蓝旗动物疫病预防控制中心院</w:t>
            </w:r>
            <w:r>
              <w:rPr>
                <w:rFonts w:hint="default" w:ascii="Times New Roman" w:hAnsi="Times New Roman" w:eastAsia="宋体" w:cs="Times New Roman"/>
                <w:color w:val="auto"/>
                <w:sz w:val="24"/>
                <w:szCs w:val="24"/>
                <w:u w:val="none"/>
                <w:lang w:eastAsia="zh-CN"/>
              </w:rPr>
              <w:t>内</w:t>
            </w:r>
            <w:r>
              <w:rPr>
                <w:rFonts w:hint="eastAsia" w:ascii="Times New Roman" w:hAnsi="Times New Roman" w:eastAsia="宋体" w:cs="Times New Roman"/>
                <w:color w:val="auto"/>
                <w:sz w:val="24"/>
                <w:szCs w:val="24"/>
                <w:u w:val="none"/>
                <w:lang w:eastAsia="zh-CN"/>
              </w:rPr>
              <w:t>西南侧空地</w:t>
            </w:r>
            <w:r>
              <w:rPr>
                <w:rFonts w:hint="eastAsia" w:ascii="Times New Roman" w:hAnsi="Times New Roman" w:eastAsia="宋体" w:cs="Times New Roman"/>
                <w:color w:val="auto"/>
                <w:sz w:val="24"/>
                <w:szCs w:val="24"/>
                <w:u w:val="none"/>
                <w:lang w:val="en-GB" w:eastAsia="zh-CN"/>
              </w:rPr>
              <w:t>，</w:t>
            </w:r>
            <w:r>
              <w:rPr>
                <w:rFonts w:hint="eastAsia" w:ascii="Times New Roman" w:hAnsi="Times New Roman" w:eastAsia="宋体" w:cs="Times New Roman"/>
                <w:color w:val="auto"/>
                <w:sz w:val="24"/>
                <w:szCs w:val="24"/>
                <w:u w:val="none"/>
                <w:lang w:val="en-US" w:eastAsia="zh-CN"/>
              </w:rPr>
              <w:t>依据《锡林郭勒盟生态环境</w:t>
            </w:r>
            <w:r>
              <w:rPr>
                <w:rFonts w:hint="eastAsia" w:cs="Times New Roman"/>
                <w:color w:val="auto"/>
                <w:lang w:val="en-US" w:eastAsia="zh-CN"/>
              </w:rPr>
              <w:t>准入清单》（2023年版）中“锡林郭勒盟正蓝旗生态环境准入清单”：本项目位于“正蓝旗城镇开发边界”环境管控单元，管控单元类别为重点管控单元，环境管控单元编码为ZH15253020001。</w:t>
            </w:r>
            <w:r>
              <w:rPr>
                <w:rFonts w:hint="default" w:cs="Times New Roman"/>
                <w:color w:val="auto"/>
                <w:lang w:val="en-US" w:eastAsia="zh-CN"/>
              </w:rPr>
              <w:t>本项目符合该环境管控单元的空间布局约束、污染物排放管控、环境风险防控、资源利用效率要求等管控要求。因此，本项目的建设符合锡林郭勒盟生态环境准入要求。</w:t>
            </w:r>
          </w:p>
          <w:p>
            <w:pPr>
              <w:pStyle w:val="216"/>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ind w:left="0" w:right="0"/>
              <w:textAlignment w:val="auto"/>
              <w:rPr>
                <w:rFonts w:hint="eastAsia"/>
                <w:color w:val="auto"/>
                <w:kern w:val="2"/>
                <w:lang w:val="en-US" w:eastAsia="zh-CN"/>
              </w:rPr>
            </w:pPr>
            <w:r>
              <w:rPr>
                <w:rFonts w:hint="default" w:ascii="Times New Roman" w:hAnsi="Times New Roman" w:eastAsia="宋体" w:cs="Times New Roman"/>
                <w:color w:val="auto"/>
                <w:kern w:val="2"/>
                <w:sz w:val="24"/>
                <w:highlight w:val="none"/>
              </w:rPr>
              <w:drawing>
                <wp:inline distT="0" distB="0" distL="114300" distR="114300">
                  <wp:extent cx="4471670" cy="3162300"/>
                  <wp:effectExtent l="0" t="0" r="5080" b="0"/>
                  <wp:docPr id="26" name="图片 26" descr="锡林郭勒盟2023“三线一单”成果图集 9.26(1)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锡林郭勒盟2023“三线一单”成果图集 9.26(1)_35"/>
                          <pic:cNvPicPr>
                            <a:picLocks noChangeAspect="1"/>
                          </pic:cNvPicPr>
                        </pic:nvPicPr>
                        <pic:blipFill>
                          <a:blip r:embed="rId12"/>
                          <a:stretch>
                            <a:fillRect/>
                          </a:stretch>
                        </pic:blipFill>
                        <pic:spPr>
                          <a:xfrm>
                            <a:off x="0" y="0"/>
                            <a:ext cx="4471670" cy="3162300"/>
                          </a:xfrm>
                          <a:prstGeom prst="rect">
                            <a:avLst/>
                          </a:prstGeom>
                        </pic:spPr>
                      </pic:pic>
                    </a:graphicData>
                  </a:graphic>
                </wp:inline>
              </w:drawing>
            </w:r>
            <w:r>
              <w:rPr>
                <w:rFonts w:hint="default" w:ascii="Times New Roman" w:hAnsi="Times New Roman" w:eastAsia="宋体" w:cs="Times New Roman"/>
                <w:color w:val="auto"/>
                <w:kern w:val="2"/>
                <w:sz w:val="24"/>
                <w:highlight w:val="none"/>
              </w:rPr>
              <mc:AlternateContent>
                <mc:Choice Requires="wps">
                  <w:drawing>
                    <wp:anchor distT="0" distB="0" distL="114300" distR="114300" simplePos="0" relativeHeight="251665408" behindDoc="0" locked="0" layoutInCell="1" allowOverlap="1">
                      <wp:simplePos x="0" y="0"/>
                      <wp:positionH relativeFrom="column">
                        <wp:posOffset>130175</wp:posOffset>
                      </wp:positionH>
                      <wp:positionV relativeFrom="paragraph">
                        <wp:posOffset>1973580</wp:posOffset>
                      </wp:positionV>
                      <wp:extent cx="1397000" cy="1078865"/>
                      <wp:effectExtent l="4445" t="4445" r="503555" b="21590"/>
                      <wp:wrapNone/>
                      <wp:docPr id="24" name="圆角矩形标注 24"/>
                      <wp:cNvGraphicFramePr/>
                      <a:graphic xmlns:a="http://schemas.openxmlformats.org/drawingml/2006/main">
                        <a:graphicData uri="http://schemas.microsoft.com/office/word/2010/wordprocessingShape">
                          <wps:wsp>
                            <wps:cNvSpPr/>
                            <wps:spPr>
                              <a:xfrm>
                                <a:off x="0" y="0"/>
                                <a:ext cx="1397000" cy="1078865"/>
                              </a:xfrm>
                              <a:prstGeom prst="wedgeRoundRectCallout">
                                <a:avLst>
                                  <a:gd name="adj1" fmla="val 83909"/>
                                  <a:gd name="adj2" fmla="val 18746"/>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eastAsia" w:ascii="宋体" w:hAnsi="Times New Roman" w:eastAsia="宋体" w:cs="Times New Roman"/>
                                      <w:lang w:eastAsia="zh-CN"/>
                                    </w:rPr>
                                  </w:pPr>
                                  <w:r>
                                    <w:drawing>
                                      <wp:inline distT="0" distB="0" distL="114300" distR="114300">
                                        <wp:extent cx="1097280" cy="867410"/>
                                        <wp:effectExtent l="0" t="0" r="7620" b="8890"/>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13"/>
                                                <a:stretch>
                                                  <a:fillRect/>
                                                </a:stretch>
                                              </pic:blipFill>
                                              <pic:spPr>
                                                <a:xfrm>
                                                  <a:off x="0" y="0"/>
                                                  <a:ext cx="1097280" cy="867410"/>
                                                </a:xfrm>
                                                <a:prstGeom prst="rect">
                                                  <a:avLst/>
                                                </a:prstGeom>
                                                <a:noFill/>
                                                <a:ln>
                                                  <a:noFill/>
                                                </a:ln>
                                              </pic:spPr>
                                            </pic:pic>
                                          </a:graphicData>
                                        </a:graphic>
                                      </wp:inline>
                                    </w:drawing>
                                  </w:r>
                                </w:p>
                              </w:txbxContent>
                            </wps:txbx>
                            <wps:bodyPr upright="1">
                              <a:noAutofit/>
                            </wps:bodyPr>
                          </wps:wsp>
                        </a:graphicData>
                      </a:graphic>
                    </wp:anchor>
                  </w:drawing>
                </mc:Choice>
                <mc:Fallback>
                  <w:pict>
                    <v:shape id="_x0000_s1026" o:spid="_x0000_s1026" o:spt="62" type="#_x0000_t62" style="position:absolute;left:0pt;margin-left:10.25pt;margin-top:155.4pt;height:84.95pt;width:110pt;z-index:251665408;mso-width-relative:page;mso-height-relative:page;" fillcolor="#FFFFFF" filled="t" stroked="t" coordsize="21600,21600" o:gfxdata="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" adj="28924,14849,1440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eastAsia" w:ascii="宋体" w:hAnsi="Times New Roman" w:eastAsia="宋体" w:cs="Times New Roman"/>
                                <w:lang w:eastAsia="zh-CN"/>
                              </w:rPr>
                            </w:pPr>
                            <w:r>
                              <w:drawing>
                                <wp:inline distT="0" distB="0" distL="114300" distR="114300">
                                  <wp:extent cx="1097280" cy="867410"/>
                                  <wp:effectExtent l="0" t="0" r="7620" b="8890"/>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13"/>
                                          <a:stretch>
                                            <a:fillRect/>
                                          </a:stretch>
                                        </pic:blipFill>
                                        <pic:spPr>
                                          <a:xfrm>
                                            <a:off x="0" y="0"/>
                                            <a:ext cx="1097280" cy="867410"/>
                                          </a:xfrm>
                                          <a:prstGeom prst="rect">
                                            <a:avLst/>
                                          </a:prstGeom>
                                          <a:noFill/>
                                          <a:ln>
                                            <a:noFill/>
                                          </a:ln>
                                        </pic:spPr>
                                      </pic:pic>
                                    </a:graphicData>
                                  </a:graphic>
                                </wp:inline>
                              </w:drawing>
                            </w:r>
                          </w:p>
                        </w:txbxContent>
                      </v:textbox>
                    </v:shape>
                  </w:pict>
                </mc:Fallback>
              </mc:AlternateContent>
            </w:r>
            <w:r>
              <w:rPr>
                <w:rFonts w:hint="default" w:ascii="Times New Roman" w:hAnsi="Times New Roman" w:cs="Times New Roman"/>
                <w:color w:val="auto"/>
                <w:kern w:val="2"/>
                <w:highlight w:val="none"/>
              </w:rPr>
              <mc:AlternateContent>
                <mc:Choice Requires="wps">
                  <w:drawing>
                    <wp:anchor distT="0" distB="0" distL="114300" distR="114300" simplePos="0" relativeHeight="251666432" behindDoc="0" locked="0" layoutInCell="1" allowOverlap="1">
                      <wp:simplePos x="0" y="0"/>
                      <wp:positionH relativeFrom="column">
                        <wp:posOffset>109220</wp:posOffset>
                      </wp:positionH>
                      <wp:positionV relativeFrom="paragraph">
                        <wp:posOffset>2796540</wp:posOffset>
                      </wp:positionV>
                      <wp:extent cx="807085" cy="277495"/>
                      <wp:effectExtent l="4445" t="268605" r="7620" b="6350"/>
                      <wp:wrapNone/>
                      <wp:docPr id="23" name="矩形标注 23"/>
                      <wp:cNvGraphicFramePr/>
                      <a:graphic xmlns:a="http://schemas.openxmlformats.org/drawingml/2006/main">
                        <a:graphicData uri="http://schemas.microsoft.com/office/word/2010/wordprocessingShape">
                          <wps:wsp>
                            <wps:cNvSpPr/>
                            <wps:spPr>
                              <a:xfrm>
                                <a:off x="0" y="0"/>
                                <a:ext cx="807085" cy="277495"/>
                              </a:xfrm>
                              <a:prstGeom prst="wedgeRectCallout">
                                <a:avLst>
                                  <a:gd name="adj1" fmla="val 41581"/>
                                  <a:gd name="adj2" fmla="val -141533"/>
                                </a:avLst>
                              </a:prstGeom>
                              <a:solidFill>
                                <a:srgbClr val="FFFF00"/>
                              </a:solidFill>
                              <a:ln w="9525" cap="flat" cmpd="sng">
                                <a:solidFill>
                                  <a:srgbClr val="000000"/>
                                </a:solidFill>
                                <a:prstDash val="solid"/>
                                <a:miter/>
                                <a:headEnd type="none" w="med" len="med"/>
                                <a:tailEnd type="none" w="med" len="med"/>
                              </a:ln>
                            </wps:spPr>
                            <wps:txbx>
                              <w:txbxContent>
                                <w:p>
                                  <w:pPr>
                                    <w:ind w:left="0" w:leftChars="0" w:firstLine="0" w:firstLineChars="0"/>
                                    <w:jc w:val="center"/>
                                    <w:rPr>
                                      <w:rFonts w:ascii="宋体" w:hAnsi="宋体" w:eastAsia="宋体" w:cs="宋体"/>
                                      <w:sz w:val="18"/>
                                      <w:szCs w:val="18"/>
                                    </w:rPr>
                                  </w:pPr>
                                  <w:r>
                                    <w:rPr>
                                      <w:rFonts w:hint="eastAsia" w:ascii="宋体" w:hAnsi="宋体" w:eastAsia="宋体" w:cs="宋体"/>
                                      <w:b/>
                                      <w:bCs/>
                                      <w:sz w:val="18"/>
                                      <w:szCs w:val="18"/>
                                    </w:rPr>
                                    <w:t>项目所在地</w:t>
                                  </w:r>
                                </w:p>
                              </w:txbxContent>
                            </wps:txbx>
                            <wps:bodyPr upright="1"/>
                          </wps:wsp>
                        </a:graphicData>
                      </a:graphic>
                    </wp:anchor>
                  </w:drawing>
                </mc:Choice>
                <mc:Fallback>
                  <w:pict>
                    <v:shape id="_x0000_s1026" o:spid="_x0000_s1026" o:spt="61" type="#_x0000_t61" style="position:absolute;left:0pt;margin-left:8.6pt;margin-top:220.2pt;height:21.85pt;width:63.55pt;z-index:251666432;mso-width-relative:page;mso-height-relative:page;" fillcolor="#FFFF00" filled="t" stroked="t" coordsize="21600,21600" o:gfxdata="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" adj="19781,-19771">
                      <v:fill on="t" focussize="0,0"/>
                      <v:stroke color="#000000" joinstyle="miter"/>
                      <v:imagedata o:title=""/>
                      <o:lock v:ext="edit" aspectratio="f"/>
                      <v:textbox>
                        <w:txbxContent>
                          <w:p>
                            <w:pPr>
                              <w:ind w:left="0" w:leftChars="0" w:firstLine="0" w:firstLineChars="0"/>
                              <w:jc w:val="center"/>
                              <w:rPr>
                                <w:rFonts w:ascii="宋体" w:hAnsi="宋体" w:eastAsia="宋体" w:cs="宋体"/>
                                <w:sz w:val="18"/>
                                <w:szCs w:val="18"/>
                              </w:rPr>
                            </w:pPr>
                            <w:r>
                              <w:rPr>
                                <w:rFonts w:hint="eastAsia" w:ascii="宋体" w:hAnsi="宋体" w:eastAsia="宋体" w:cs="宋体"/>
                                <w:b/>
                                <w:bCs/>
                                <w:sz w:val="18"/>
                                <w:szCs w:val="18"/>
                              </w:rPr>
                              <w:t>项目所在地</w:t>
                            </w:r>
                          </w:p>
                        </w:txbxContent>
                      </v:textbox>
                    </v:shape>
                  </w:pict>
                </mc:Fallback>
              </mc:AlternateContent>
            </w:r>
          </w:p>
          <w:p>
            <w:pPr>
              <w:pStyle w:val="9"/>
              <w:keepNext/>
              <w:keepLines/>
              <w:pageBreakBefore w:val="0"/>
              <w:widowControl w:val="0"/>
              <w:suppressLineNumbers w:val="0"/>
              <w:kinsoku/>
              <w:wordWrap/>
              <w:overflowPunct/>
              <w:topLinePunct w:val="0"/>
              <w:autoSpaceDE w:val="0"/>
              <w:autoSpaceDN w:val="0"/>
              <w:bidi w:val="0"/>
              <w:adjustRightInd w:val="0"/>
              <w:snapToGrid w:val="0"/>
              <w:spacing w:before="0" w:beforeAutospacing="0" w:after="157" w:afterLines="50" w:afterAutospacing="0"/>
              <w:ind w:left="0" w:right="0"/>
              <w:textAlignment w:val="auto"/>
              <w:rPr>
                <w:rFonts w:hint="eastAsia" w:cs="Times New Roman"/>
                <w:color w:val="auto"/>
                <w:highlight w:val="none"/>
                <w:lang w:val="en-US" w:eastAsia="zh-CN"/>
              </w:rPr>
            </w:pPr>
            <w:r>
              <w:rPr>
                <w:rFonts w:hint="eastAsia" w:cs="Times New Roman"/>
                <w:color w:val="auto"/>
                <w:highlight w:val="none"/>
                <w:lang w:val="en-US" w:eastAsia="zh-CN"/>
              </w:rPr>
              <w:t>图1-2  项目对照锡林郭勒盟管控单元相对位置关系图</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157" w:beforeLines="50" w:beforeAutospacing="0" w:after="0" w:afterAutospacing="0"/>
              <w:ind w:left="0" w:right="0"/>
              <w:textAlignment w:val="auto"/>
              <w:rPr>
                <w:rFonts w:hint="eastAsia" w:cs="Times New Roman"/>
                <w:color w:val="auto"/>
                <w:lang w:val="en-GB"/>
              </w:rPr>
            </w:pPr>
            <w:r>
              <w:rPr>
                <w:rFonts w:hint="eastAsia" w:cs="Times New Roman"/>
                <w:color w:val="auto"/>
                <w:lang w:val="en-US" w:eastAsia="zh-CN"/>
              </w:rPr>
              <w:t>本项目与“锡林郭勒盟正蓝旗生态环境准入清单”生态环境准入符合性分析见下表：</w:t>
            </w:r>
          </w:p>
          <w:p>
            <w:pPr>
              <w:pStyle w:val="9"/>
              <w:suppressLineNumbers w:val="0"/>
              <w:bidi w:val="0"/>
              <w:spacing w:before="0" w:beforeAutospacing="0" w:after="0" w:afterAutospacing="0"/>
              <w:ind w:left="0" w:right="0"/>
              <w:rPr>
                <w:rFonts w:hint="default" w:cs="Times New Roman"/>
                <w:b/>
                <w:bCs/>
                <w:color w:val="auto"/>
                <w:sz w:val="21"/>
                <w:lang w:val="en-US" w:eastAsia="zh-CN"/>
              </w:rPr>
            </w:pPr>
            <w:r>
              <w:rPr>
                <w:rFonts w:hint="default" w:cs="Times New Roman"/>
                <w:b/>
                <w:bCs/>
                <w:color w:val="auto"/>
                <w:sz w:val="21"/>
                <w:lang w:val="en-US" w:eastAsia="zh-CN"/>
              </w:rPr>
              <w:t>表</w:t>
            </w:r>
            <w:r>
              <w:rPr>
                <w:rFonts w:hint="eastAsia" w:cs="Times New Roman"/>
                <w:b/>
                <w:bCs/>
                <w:color w:val="auto"/>
                <w:sz w:val="21"/>
                <w:lang w:val="en-US" w:eastAsia="zh-CN"/>
              </w:rPr>
              <w:t>1-2</w:t>
            </w:r>
            <w:r>
              <w:rPr>
                <w:rFonts w:hint="default" w:cs="Times New Roman"/>
                <w:b/>
                <w:bCs/>
                <w:color w:val="auto"/>
                <w:sz w:val="21"/>
                <w:lang w:val="en-US" w:eastAsia="zh-CN"/>
              </w:rPr>
              <w:t xml:space="preserve">  </w:t>
            </w:r>
            <w:r>
              <w:rPr>
                <w:rFonts w:hint="eastAsia" w:cs="Times New Roman"/>
                <w:b/>
                <w:bCs/>
                <w:color w:val="auto"/>
                <w:sz w:val="21"/>
                <w:lang w:val="en-US" w:eastAsia="zh-CN"/>
              </w:rPr>
              <w:t>锡林郭勒盟正蓝旗生态环境准入清单</w:t>
            </w:r>
          </w:p>
          <w:tbl>
            <w:tblPr>
              <w:tblStyle w:val="35"/>
              <w:tblW w:w="4997"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9"/>
              <w:gridCol w:w="675"/>
              <w:gridCol w:w="2934"/>
              <w:gridCol w:w="1821"/>
              <w:gridCol w:w="6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default"/>
                      <w:color w:val="auto"/>
                      <w:kern w:val="2"/>
                      <w:lang w:val="en-US" w:eastAsia="zh-CN"/>
                    </w:rPr>
                    <w:t>管控单元名称</w:t>
                  </w:r>
                </w:p>
              </w:tc>
              <w:tc>
                <w:tcPr>
                  <w:tcW w:w="2587" w:type="pct"/>
                  <w:gridSpan w:val="2"/>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default"/>
                      <w:color w:val="auto"/>
                      <w:kern w:val="2"/>
                      <w:lang w:val="en-US" w:eastAsia="zh-CN"/>
                    </w:rPr>
                    <w:t>管控要求</w:t>
                  </w:r>
                </w:p>
              </w:tc>
              <w:tc>
                <w:tcPr>
                  <w:tcW w:w="1305"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default"/>
                      <w:color w:val="auto"/>
                      <w:kern w:val="2"/>
                      <w:lang w:val="en-US" w:eastAsia="zh-CN"/>
                    </w:rPr>
                    <w:t>本项目</w:t>
                  </w:r>
                  <w:r>
                    <w:rPr>
                      <w:rFonts w:hint="eastAsia"/>
                      <w:color w:val="auto"/>
                      <w:kern w:val="2"/>
                      <w:lang w:val="en-US" w:eastAsia="zh-CN"/>
                    </w:rPr>
                    <w:t>情况</w:t>
                  </w:r>
                </w:p>
              </w:tc>
              <w:tc>
                <w:tcPr>
                  <w:tcW w:w="462"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default"/>
                      <w:color w:val="auto"/>
                      <w:kern w:val="2"/>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4" w:type="pct"/>
                  <w:vMerge w:val="restar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eastAsia"/>
                      <w:color w:val="auto"/>
                      <w:kern w:val="2"/>
                      <w:lang w:val="en-US" w:eastAsia="zh-CN"/>
                    </w:rPr>
                    <w:t>正蓝旗城镇开发边界</w:t>
                  </w:r>
                </w:p>
              </w:tc>
              <w:tc>
                <w:tcPr>
                  <w:tcW w:w="483"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default"/>
                      <w:color w:val="auto"/>
                      <w:kern w:val="2"/>
                      <w:lang w:val="en-US" w:eastAsia="zh-CN"/>
                    </w:rPr>
                    <w:t>空间布局约束</w:t>
                  </w:r>
                </w:p>
              </w:tc>
              <w:tc>
                <w:tcPr>
                  <w:tcW w:w="2103"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1.执行锡林郭勒盟总体准入要求中第一条关于空间布局约束的准入要求</w:t>
                  </w:r>
                  <w:r>
                    <w:rPr>
                      <w:rFonts w:hint="default" w:ascii="Times New Roman" w:hAnsi="Times New Roman" w:eastAsia="宋体" w:cs="Times New Roman"/>
                      <w:color w:val="auto"/>
                      <w:kern w:val="2"/>
                      <w:lang w:val="en-US" w:eastAsia="zh-CN"/>
                    </w:rPr>
                    <w:t>。</w:t>
                  </w:r>
                </w:p>
                <w:p>
                  <w:pPr>
                    <w:pStyle w:val="216"/>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2.旗县（市、区）及以上城市建成区基本淘汰每小时</w:t>
                  </w:r>
                  <w:r>
                    <w:rPr>
                      <w:rFonts w:hint="default" w:ascii="Times New Roman" w:hAnsi="Times New Roman" w:eastAsia="宋体" w:cs="Times New Roman"/>
                      <w:color w:val="auto"/>
                      <w:kern w:val="2"/>
                      <w:lang w:val="en-US" w:eastAsia="zh-CN"/>
                    </w:rPr>
                    <w:t>10</w:t>
                  </w:r>
                  <w:r>
                    <w:rPr>
                      <w:rFonts w:hint="eastAsia" w:ascii="Times New Roman" w:hAnsi="Times New Roman" w:eastAsia="宋体" w:cs="Times New Roman"/>
                      <w:color w:val="auto"/>
                      <w:kern w:val="2"/>
                      <w:lang w:val="en-US" w:eastAsia="zh-CN"/>
                    </w:rPr>
                    <w:t>蒸吨及以下燃煤锅炉及茶水炉、经营性炉灶等燃煤设施，不再新建每小时</w:t>
                  </w:r>
                  <w:r>
                    <w:rPr>
                      <w:rFonts w:hint="default" w:ascii="Times New Roman" w:hAnsi="Times New Roman" w:eastAsia="宋体" w:cs="Times New Roman"/>
                      <w:color w:val="auto"/>
                      <w:kern w:val="2"/>
                      <w:lang w:val="en-US" w:eastAsia="zh-CN"/>
                    </w:rPr>
                    <w:t>35</w:t>
                  </w:r>
                  <w:r>
                    <w:rPr>
                      <w:rFonts w:hint="eastAsia" w:ascii="Times New Roman" w:hAnsi="Times New Roman" w:eastAsia="宋体" w:cs="Times New Roman"/>
                      <w:color w:val="auto"/>
                      <w:kern w:val="2"/>
                      <w:lang w:val="en-US" w:eastAsia="zh-CN"/>
                    </w:rPr>
                    <w:t>蒸吨以下的燃煤锅炉。</w:t>
                  </w:r>
                </w:p>
                <w:p>
                  <w:pPr>
                    <w:pStyle w:val="216"/>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3.禁止在城市主导风向上风向新建涉气重污染项目，形成有利于大气污染物扩散的城市空间布局。</w:t>
                  </w:r>
                </w:p>
                <w:p>
                  <w:pPr>
                    <w:pStyle w:val="216"/>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4.推进城市建成区重污染企业退城入园，对位于城市建成区范围内的污染严重企业，限期完成搬迁、改造，逾期不退城的依法予以停产。</w:t>
                  </w:r>
                </w:p>
                <w:p>
                  <w:pPr>
                    <w:pStyle w:val="216"/>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5.大气环境受体敏感区内，加大区域大气污染物减排力度，严格控制</w:t>
                  </w:r>
                  <w:r>
                    <w:rPr>
                      <w:rFonts w:hint="default" w:ascii="Times New Roman" w:hAnsi="Times New Roman" w:eastAsia="宋体" w:cs="Times New Roman"/>
                      <w:color w:val="auto"/>
                      <w:kern w:val="2"/>
                      <w:lang w:val="en-US" w:eastAsia="zh-CN"/>
                    </w:rPr>
                    <w:t>“</w:t>
                  </w:r>
                  <w:r>
                    <w:rPr>
                      <w:rFonts w:hint="eastAsia" w:ascii="Times New Roman" w:hAnsi="Times New Roman" w:eastAsia="宋体" w:cs="Times New Roman"/>
                      <w:color w:val="auto"/>
                      <w:kern w:val="2"/>
                      <w:lang w:val="en-US" w:eastAsia="zh-CN"/>
                    </w:rPr>
                    <w:t>两高</w:t>
                  </w:r>
                  <w:r>
                    <w:rPr>
                      <w:rFonts w:hint="default" w:ascii="Times New Roman" w:hAnsi="Times New Roman" w:eastAsia="宋体" w:cs="Times New Roman"/>
                      <w:color w:val="auto"/>
                      <w:kern w:val="2"/>
                      <w:lang w:val="en-US" w:eastAsia="zh-CN"/>
                    </w:rPr>
                    <w:t>”</w:t>
                  </w:r>
                  <w:r>
                    <w:rPr>
                      <w:rFonts w:hint="eastAsia" w:ascii="Times New Roman" w:hAnsi="Times New Roman" w:eastAsia="宋体" w:cs="Times New Roman"/>
                      <w:color w:val="auto"/>
                      <w:kern w:val="2"/>
                      <w:lang w:val="en-US" w:eastAsia="zh-CN"/>
                    </w:rPr>
                    <w:t>项目建设。</w:t>
                  </w:r>
                </w:p>
                <w:p>
                  <w:pPr>
                    <w:pStyle w:val="216"/>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6.禁止不符合园区产业定位及规划环评等要求的项目入园；国家明令淘汰的落后产能和不符合国家产业政策的项目，禁止向工业园区转移。</w:t>
                  </w:r>
                </w:p>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eastAsia" w:ascii="Times New Roman" w:hAnsi="Times New Roman" w:eastAsia="宋体" w:cs="Times New Roman"/>
                      <w:color w:val="auto"/>
                      <w:kern w:val="2"/>
                      <w:lang w:val="en-US" w:eastAsia="zh-CN"/>
                    </w:rPr>
                    <w:t>7.高污染燃料禁燃区范围内禁止新建、改建、扩建燃用高污染燃料的设施；高污染燃料禁燃区范围内禁止销售、燃用高污染燃料，已建成使用高污染燃料设施的工业企业拆除高污染燃料设施或改用天然气、液化气、电等清洁能源，已使用天然气、液化气、电等清洁能源的各类设施严禁改用民用洁净型燃料或生物质成型燃料等燃料。高污染燃料禁燃区范围内居民生活类高污染燃料设施应加快改造，改用电、太阳能、天然气、民用洁净型燃料等清洁能源</w:t>
                  </w:r>
                  <w:r>
                    <w:rPr>
                      <w:rFonts w:hint="default" w:ascii="Times New Roman" w:hAnsi="Times New Roman" w:eastAsia="宋体" w:cs="Times New Roman"/>
                      <w:color w:val="auto"/>
                      <w:kern w:val="2"/>
                      <w:lang w:val="en-US" w:eastAsia="zh-CN"/>
                    </w:rPr>
                    <w:t>。</w:t>
                  </w:r>
                </w:p>
              </w:tc>
              <w:tc>
                <w:tcPr>
                  <w:tcW w:w="1305"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1</w:t>
                  </w:r>
                  <w:r>
                    <w:rPr>
                      <w:rFonts w:hint="default" w:ascii="Times New Roman" w:hAnsi="Times New Roman" w:eastAsia="宋体" w:cs="Times New Roman"/>
                      <w:color w:val="auto"/>
                      <w:kern w:val="2"/>
                      <w:lang w:val="en-US" w:eastAsia="zh-CN"/>
                    </w:rPr>
                    <w:t>.项目为</w:t>
                  </w:r>
                  <w:r>
                    <w:rPr>
                      <w:rFonts w:hint="eastAsia" w:cs="Times New Roman"/>
                      <w:color w:val="auto"/>
                      <w:kern w:val="2"/>
                      <w:lang w:val="en-US" w:eastAsia="zh-CN"/>
                    </w:rPr>
                    <w:t>医疗废物暂存间建设项目</w:t>
                  </w:r>
                  <w:r>
                    <w:rPr>
                      <w:rFonts w:hint="eastAsia" w:ascii="Times New Roman" w:hAnsi="Times New Roman" w:eastAsia="宋体" w:cs="Times New Roman"/>
                      <w:color w:val="auto"/>
                      <w:kern w:val="2"/>
                      <w:lang w:val="en-US" w:eastAsia="zh-CN"/>
                    </w:rPr>
                    <w:t>，不涉及入园，不属于“两高”项目，</w:t>
                  </w:r>
                  <w:r>
                    <w:rPr>
                      <w:rFonts w:hint="default" w:ascii="Times New Roman" w:hAnsi="Times New Roman" w:eastAsia="宋体" w:cs="Times New Roman"/>
                      <w:color w:val="auto"/>
                      <w:kern w:val="2"/>
                      <w:lang w:val="en-US" w:eastAsia="zh-CN"/>
                    </w:rPr>
                    <w:t>满足《锡林郭勒盟总体生态环境准入清单》中第一条关于空间布局约束的准入要求</w:t>
                  </w:r>
                  <w:r>
                    <w:rPr>
                      <w:rFonts w:hint="eastAsia" w:ascii="Times New Roman" w:hAnsi="Times New Roman" w:eastAsia="宋体" w:cs="Times New Roman"/>
                      <w:color w:val="auto"/>
                      <w:kern w:val="2"/>
                      <w:lang w:val="en-US" w:eastAsia="zh-CN"/>
                    </w:rPr>
                    <w:t>。</w:t>
                  </w:r>
                </w:p>
                <w:p>
                  <w:pPr>
                    <w:pStyle w:val="216"/>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kern w:val="2"/>
                      <w:highlight w:val="none"/>
                      <w:lang w:val="en-US" w:eastAsia="zh-CN"/>
                    </w:rPr>
                  </w:pPr>
                  <w:r>
                    <w:rPr>
                      <w:rFonts w:hint="eastAsia" w:ascii="Times New Roman" w:hAnsi="Times New Roman" w:eastAsia="宋体" w:cs="Times New Roman"/>
                      <w:color w:val="auto"/>
                      <w:kern w:val="2"/>
                      <w:highlight w:val="none"/>
                      <w:lang w:val="en-US" w:eastAsia="zh-CN"/>
                    </w:rPr>
                    <w:t>2.本项目不涉及锅炉。</w:t>
                  </w:r>
                </w:p>
                <w:p>
                  <w:pPr>
                    <w:pStyle w:val="216"/>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3.本项目不属于新建涉气重污染项目。</w:t>
                  </w:r>
                </w:p>
                <w:p>
                  <w:pPr>
                    <w:pStyle w:val="216"/>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4.本项目建设单位不属于重污染企业。</w:t>
                  </w:r>
                </w:p>
                <w:p>
                  <w:pPr>
                    <w:pStyle w:val="216"/>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5.本项目不属于两高项目。</w:t>
                  </w:r>
                </w:p>
                <w:p>
                  <w:pPr>
                    <w:pStyle w:val="216"/>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kern w:val="2"/>
                      <w:lang w:val="en-US" w:eastAsia="zh-CN"/>
                    </w:rPr>
                  </w:pPr>
                  <w:r>
                    <w:rPr>
                      <w:rFonts w:hint="default" w:ascii="Times New Roman" w:hAnsi="Times New Roman" w:eastAsia="宋体" w:cs="Times New Roman"/>
                      <w:color w:val="auto"/>
                      <w:kern w:val="2"/>
                      <w:lang w:val="en-US" w:eastAsia="zh-CN"/>
                    </w:rPr>
                    <w:t>6、本项目不位于园区，项目为允许类项目，项目符合国家产业政策，不属于国家明令淘汰的落后产能。</w:t>
                  </w:r>
                </w:p>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eastAsia" w:ascii="Times New Roman" w:hAnsi="Times New Roman" w:eastAsia="宋体" w:cs="Times New Roman"/>
                      <w:color w:val="auto"/>
                      <w:kern w:val="2"/>
                      <w:lang w:val="en-US" w:eastAsia="zh-CN"/>
                    </w:rPr>
                    <w:t>7.本项目</w:t>
                  </w:r>
                  <w:r>
                    <w:rPr>
                      <w:rFonts w:hint="eastAsia" w:cs="Times New Roman"/>
                      <w:color w:val="auto"/>
                      <w:kern w:val="2"/>
                      <w:lang w:val="en-US" w:eastAsia="zh-CN"/>
                    </w:rPr>
                    <w:t>不需要供热</w:t>
                  </w:r>
                  <w:r>
                    <w:rPr>
                      <w:rFonts w:hint="eastAsia" w:ascii="Times New Roman" w:hAnsi="Times New Roman" w:eastAsia="宋体" w:cs="Times New Roman"/>
                      <w:color w:val="auto"/>
                      <w:kern w:val="2"/>
                      <w:lang w:val="en-US" w:eastAsia="zh-CN"/>
                    </w:rPr>
                    <w:t>，不涉及燃用高污染燃料，不涉及高污染燃料禁燃区</w:t>
                  </w:r>
                </w:p>
              </w:tc>
              <w:tc>
                <w:tcPr>
                  <w:tcW w:w="462"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default"/>
                      <w:color w:val="auto"/>
                      <w:kern w:val="2"/>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4" w:type="pct"/>
                  <w:vMerge w:val="continue"/>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p>
              </w:tc>
              <w:tc>
                <w:tcPr>
                  <w:tcW w:w="483"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default"/>
                      <w:color w:val="auto"/>
                      <w:kern w:val="2"/>
                      <w:lang w:val="en-US" w:eastAsia="zh-CN"/>
                    </w:rPr>
                    <w:t>污染物排放管控</w:t>
                  </w:r>
                </w:p>
              </w:tc>
              <w:tc>
                <w:tcPr>
                  <w:tcW w:w="2103"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default"/>
                      <w:color w:val="auto"/>
                      <w:kern w:val="2"/>
                      <w:lang w:val="en-US" w:eastAsia="zh-CN"/>
                    </w:rPr>
                    <w:t>1.执行锡林郭勒盟总体准入要求中第二条关于污染物排放管控的准入要求。</w:t>
                  </w:r>
                </w:p>
                <w:p>
                  <w:pPr>
                    <w:pStyle w:val="216"/>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2.</w:t>
                  </w:r>
                  <w:r>
                    <w:rPr>
                      <w:rFonts w:hint="default" w:ascii="Times New Roman" w:hAnsi="Times New Roman" w:eastAsia="宋体" w:cs="Times New Roman"/>
                      <w:color w:val="auto"/>
                      <w:kern w:val="2"/>
                      <w:lang w:val="en-US" w:eastAsia="zh-CN"/>
                    </w:rPr>
                    <w:t>所有新建城镇污水处理设施要执行一级A</w:t>
                  </w:r>
                  <w:r>
                    <w:rPr>
                      <w:rFonts w:hint="eastAsia" w:ascii="Times New Roman" w:hAnsi="Times New Roman" w:eastAsia="宋体" w:cs="Times New Roman"/>
                      <w:color w:val="auto"/>
                      <w:kern w:val="2"/>
                      <w:lang w:val="en-US" w:eastAsia="zh-CN"/>
                    </w:rPr>
                    <w:t>排放标准。</w:t>
                  </w:r>
                </w:p>
                <w:p>
                  <w:pPr>
                    <w:pStyle w:val="216"/>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3.新建排放重金属污染物的建设项目全面执行重金属重点污染物排放限值要求。</w:t>
                  </w:r>
                </w:p>
                <w:p>
                  <w:pPr>
                    <w:pStyle w:val="216"/>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4.入区企业必须采用先进的、密封性能好的生产设备、化学物料存贮容器和输送管道，最大限度减少无组织废气排放；同时还要采用先进的治理和回收技术，严格按照有关规定，实现达标排放。</w:t>
                  </w:r>
                </w:p>
                <w:p>
                  <w:pPr>
                    <w:pStyle w:val="216"/>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5.优先引进污染轻、技术先进、生产规模大的项目。</w:t>
                  </w:r>
                </w:p>
                <w:p>
                  <w:pPr>
                    <w:pStyle w:val="216"/>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6.入区企业提出明确的废气污染源治理要求，必须确保其达标排放后才可批准生产。同时确保</w:t>
                  </w:r>
                  <w:r>
                    <w:rPr>
                      <w:rFonts w:hint="default" w:ascii="Times New Roman" w:hAnsi="Times New Roman" w:eastAsia="宋体" w:cs="Times New Roman"/>
                      <w:color w:val="auto"/>
                      <w:kern w:val="2"/>
                      <w:lang w:val="en-US" w:eastAsia="zh-CN"/>
                    </w:rPr>
                    <w:t>“</w:t>
                  </w:r>
                  <w:r>
                    <w:rPr>
                      <w:rFonts w:hint="eastAsia" w:ascii="Times New Roman" w:hAnsi="Times New Roman" w:eastAsia="宋体" w:cs="Times New Roman"/>
                      <w:color w:val="auto"/>
                      <w:kern w:val="2"/>
                      <w:lang w:val="en-US" w:eastAsia="zh-CN"/>
                    </w:rPr>
                    <w:t>三同时</w:t>
                  </w:r>
                  <w:r>
                    <w:rPr>
                      <w:rFonts w:hint="default" w:ascii="Times New Roman" w:hAnsi="Times New Roman" w:eastAsia="宋体" w:cs="Times New Roman"/>
                      <w:color w:val="auto"/>
                      <w:kern w:val="2"/>
                      <w:lang w:val="en-US" w:eastAsia="zh-CN"/>
                    </w:rPr>
                    <w:t>”</w:t>
                  </w:r>
                  <w:r>
                    <w:rPr>
                      <w:rFonts w:hint="eastAsia" w:ascii="Times New Roman" w:hAnsi="Times New Roman" w:eastAsia="宋体" w:cs="Times New Roman"/>
                      <w:color w:val="auto"/>
                      <w:kern w:val="2"/>
                      <w:lang w:val="en-US" w:eastAsia="zh-CN"/>
                    </w:rPr>
                    <w:t>制度的执行，对污染物排放量进行全过程</w:t>
                  </w:r>
                </w:p>
                <w:p>
                  <w:pPr>
                    <w:pStyle w:val="216"/>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控制。</w:t>
                  </w:r>
                </w:p>
                <w:p>
                  <w:pPr>
                    <w:pStyle w:val="216"/>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7.未达到国</w:t>
                  </w:r>
                  <w:r>
                    <w:rPr>
                      <w:rFonts w:hint="default" w:ascii="Times New Roman" w:hAnsi="Times New Roman" w:eastAsia="宋体" w:cs="Times New Roman"/>
                      <w:color w:val="auto"/>
                      <w:kern w:val="2"/>
                      <w:lang w:val="en-US" w:eastAsia="zh-CN"/>
                    </w:rPr>
                    <w:t>Ⅳ</w:t>
                  </w:r>
                  <w:r>
                    <w:rPr>
                      <w:rFonts w:hint="eastAsia" w:ascii="Times New Roman" w:hAnsi="Times New Roman" w:eastAsia="宋体" w:cs="Times New Roman"/>
                      <w:color w:val="auto"/>
                      <w:kern w:val="2"/>
                      <w:lang w:val="en-US" w:eastAsia="zh-CN"/>
                    </w:rPr>
                    <w:t>排放标准限值的货车禁止进入市区</w:t>
                  </w:r>
                  <w:r>
                    <w:rPr>
                      <w:rFonts w:hint="default" w:ascii="Times New Roman" w:hAnsi="Times New Roman" w:eastAsia="宋体" w:cs="Times New Roman"/>
                      <w:color w:val="auto"/>
                      <w:kern w:val="2"/>
                      <w:lang w:val="en-US" w:eastAsia="zh-CN"/>
                    </w:rPr>
                    <w:t>“</w:t>
                  </w:r>
                  <w:r>
                    <w:rPr>
                      <w:rFonts w:hint="eastAsia" w:ascii="Times New Roman" w:hAnsi="Times New Roman" w:eastAsia="宋体" w:cs="Times New Roman"/>
                      <w:color w:val="auto"/>
                      <w:kern w:val="2"/>
                      <w:lang w:val="en-US" w:eastAsia="zh-CN"/>
                    </w:rPr>
                    <w:t>禁限行</w:t>
                  </w:r>
                  <w:r>
                    <w:rPr>
                      <w:rFonts w:hint="default" w:ascii="Times New Roman" w:hAnsi="Times New Roman" w:eastAsia="宋体" w:cs="Times New Roman"/>
                      <w:color w:val="auto"/>
                      <w:kern w:val="2"/>
                      <w:lang w:val="en-US" w:eastAsia="zh-CN"/>
                    </w:rPr>
                    <w:t>”</w:t>
                  </w:r>
                  <w:r>
                    <w:rPr>
                      <w:rFonts w:hint="eastAsia" w:ascii="Times New Roman" w:hAnsi="Times New Roman" w:eastAsia="宋体" w:cs="Times New Roman"/>
                      <w:color w:val="auto"/>
                      <w:kern w:val="2"/>
                      <w:lang w:val="en-US" w:eastAsia="zh-CN"/>
                    </w:rPr>
                    <w:t>区域和路段通行。</w:t>
                  </w:r>
                </w:p>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eastAsia" w:ascii="Times New Roman" w:hAnsi="Times New Roman" w:eastAsia="宋体" w:cs="Times New Roman"/>
                      <w:color w:val="auto"/>
                      <w:kern w:val="2"/>
                      <w:lang w:val="en-US" w:eastAsia="zh-CN"/>
                    </w:rPr>
                    <w:t>8.高排放非道路移动机械禁用区范围内禁止使用《非道路移动机械用柴油机排气污染物排放限值及测量方法（中国第</w:t>
                  </w:r>
                  <w:r>
                    <w:rPr>
                      <w:rFonts w:hint="default" w:ascii="Times New Roman" w:hAnsi="Times New Roman" w:eastAsia="宋体" w:cs="Times New Roman"/>
                      <w:color w:val="auto"/>
                      <w:kern w:val="2"/>
                      <w:lang w:val="en-US" w:eastAsia="zh-CN"/>
                    </w:rPr>
                    <w:t>Ⅰ</w:t>
                  </w:r>
                  <w:r>
                    <w:rPr>
                      <w:rFonts w:hint="eastAsia" w:ascii="Times New Roman" w:hAnsi="Times New Roman" w:eastAsia="宋体" w:cs="Times New Roman"/>
                      <w:color w:val="auto"/>
                      <w:kern w:val="2"/>
                      <w:lang w:val="en-US" w:eastAsia="zh-CN"/>
                    </w:rPr>
                    <w:t>、</w:t>
                  </w:r>
                  <w:r>
                    <w:rPr>
                      <w:rFonts w:hint="default" w:ascii="Times New Roman" w:hAnsi="Times New Roman" w:eastAsia="宋体" w:cs="Times New Roman"/>
                      <w:color w:val="auto"/>
                      <w:kern w:val="2"/>
                      <w:lang w:val="en-US" w:eastAsia="zh-CN"/>
                    </w:rPr>
                    <w:t>Ⅱ</w:t>
                  </w:r>
                  <w:r>
                    <w:rPr>
                      <w:rFonts w:hint="eastAsia" w:ascii="Times New Roman" w:hAnsi="Times New Roman" w:eastAsia="宋体" w:cs="Times New Roman"/>
                      <w:color w:val="auto"/>
                      <w:kern w:val="2"/>
                      <w:lang w:val="en-US" w:eastAsia="zh-CN"/>
                    </w:rPr>
                    <w:t>阶段）》（</w:t>
                  </w:r>
                  <w:r>
                    <w:rPr>
                      <w:rFonts w:hint="default" w:ascii="Times New Roman" w:hAnsi="Times New Roman" w:eastAsia="宋体" w:cs="Times New Roman"/>
                      <w:color w:val="auto"/>
                      <w:kern w:val="2"/>
                      <w:lang w:val="en-US" w:eastAsia="zh-CN"/>
                    </w:rPr>
                    <w:t>GB20891-2007</w:t>
                  </w:r>
                  <w:r>
                    <w:rPr>
                      <w:rFonts w:hint="eastAsia" w:ascii="Times New Roman" w:hAnsi="Times New Roman" w:eastAsia="宋体" w:cs="Times New Roman"/>
                      <w:color w:val="auto"/>
                      <w:kern w:val="2"/>
                      <w:lang w:val="en-US" w:eastAsia="zh-CN"/>
                    </w:rPr>
                    <w:t>）中的国</w:t>
                  </w:r>
                  <w:r>
                    <w:rPr>
                      <w:rFonts w:hint="default" w:ascii="Times New Roman" w:hAnsi="Times New Roman" w:eastAsia="宋体" w:cs="Times New Roman"/>
                      <w:color w:val="auto"/>
                      <w:kern w:val="2"/>
                      <w:lang w:val="en-US" w:eastAsia="zh-CN"/>
                    </w:rPr>
                    <w:t>Ⅲ</w:t>
                  </w:r>
                  <w:r>
                    <w:rPr>
                      <w:rFonts w:hint="eastAsia" w:ascii="Times New Roman" w:hAnsi="Times New Roman" w:eastAsia="宋体" w:cs="Times New Roman"/>
                      <w:color w:val="auto"/>
                      <w:kern w:val="2"/>
                      <w:lang w:val="en-US" w:eastAsia="zh-CN"/>
                    </w:rPr>
                    <w:t>以前标准的非道路移动机械</w:t>
                  </w:r>
                  <w:r>
                    <w:rPr>
                      <w:rFonts w:hint="default" w:ascii="Times New Roman" w:hAnsi="Times New Roman" w:eastAsia="宋体" w:cs="Times New Roman"/>
                      <w:color w:val="auto"/>
                      <w:kern w:val="2"/>
                      <w:lang w:val="en-US" w:eastAsia="zh-CN"/>
                    </w:rPr>
                    <w:t>。</w:t>
                  </w:r>
                </w:p>
              </w:tc>
              <w:tc>
                <w:tcPr>
                  <w:tcW w:w="1305"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eastAsia"/>
                      <w:color w:val="auto"/>
                      <w:kern w:val="2"/>
                      <w:lang w:val="en-US" w:eastAsia="zh-CN"/>
                    </w:rPr>
                  </w:pPr>
                  <w:r>
                    <w:rPr>
                      <w:rFonts w:hint="default"/>
                      <w:color w:val="auto"/>
                      <w:kern w:val="2"/>
                      <w:lang w:val="en-US" w:eastAsia="zh-CN"/>
                    </w:rPr>
                    <w:t>1.本项目</w:t>
                  </w:r>
                  <w:r>
                    <w:rPr>
                      <w:rFonts w:hint="eastAsia"/>
                      <w:color w:val="auto"/>
                      <w:kern w:val="2"/>
                      <w:lang w:val="en-US" w:eastAsia="zh-CN"/>
                    </w:rPr>
                    <w:t>为</w:t>
                  </w:r>
                  <w:r>
                    <w:rPr>
                      <w:rFonts w:hint="eastAsia" w:cs="Times New Roman"/>
                      <w:color w:val="auto"/>
                      <w:kern w:val="2"/>
                      <w:lang w:val="en-US" w:eastAsia="zh-CN"/>
                    </w:rPr>
                    <w:t>医疗废物暂存间建设</w:t>
                  </w:r>
                  <w:r>
                    <w:rPr>
                      <w:rFonts w:hint="eastAsia" w:ascii="Times New Roman" w:hAnsi="Times New Roman" w:eastAsia="宋体" w:cs="Times New Roman"/>
                      <w:color w:val="auto"/>
                      <w:kern w:val="2"/>
                      <w:lang w:val="en-US" w:eastAsia="zh-CN"/>
                    </w:rPr>
                    <w:t>项目</w:t>
                  </w:r>
                  <w:r>
                    <w:rPr>
                      <w:rFonts w:hint="default"/>
                      <w:color w:val="auto"/>
                      <w:kern w:val="2"/>
                      <w:lang w:val="en-US" w:eastAsia="zh-CN"/>
                    </w:rPr>
                    <w:t>，不属于锡林郭勒盟总体准入要求中第二条关于污染物排放管控的准入要求</w:t>
                  </w:r>
                  <w:r>
                    <w:rPr>
                      <w:rFonts w:hint="eastAsia"/>
                      <w:color w:val="auto"/>
                      <w:kern w:val="2"/>
                      <w:lang w:val="en-US" w:eastAsia="zh-CN"/>
                    </w:rPr>
                    <w:t>及的行业。</w:t>
                  </w:r>
                </w:p>
                <w:p>
                  <w:pPr>
                    <w:pStyle w:val="216"/>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2.</w:t>
                  </w:r>
                  <w:r>
                    <w:rPr>
                      <w:rFonts w:hint="default" w:ascii="Times New Roman" w:hAnsi="Times New Roman" w:eastAsia="宋体" w:cs="Times New Roman"/>
                      <w:color w:val="auto"/>
                      <w:kern w:val="2"/>
                      <w:lang w:val="en-US" w:eastAsia="zh-CN"/>
                    </w:rPr>
                    <w:t>项目不涉及新建城镇污水处理设施</w:t>
                  </w:r>
                  <w:r>
                    <w:rPr>
                      <w:rFonts w:hint="eastAsia" w:ascii="Times New Roman" w:hAnsi="Times New Roman" w:eastAsia="宋体" w:cs="Times New Roman"/>
                      <w:color w:val="auto"/>
                      <w:kern w:val="2"/>
                      <w:lang w:val="en-US" w:eastAsia="zh-CN"/>
                    </w:rPr>
                    <w:t>。</w:t>
                  </w:r>
                </w:p>
                <w:p>
                  <w:pPr>
                    <w:pStyle w:val="216"/>
                    <w:keepNext w:val="0"/>
                    <w:keepLines w:val="0"/>
                    <w:widowControl/>
                    <w:suppressLineNumbers w:val="0"/>
                    <w:bidi w:val="0"/>
                    <w:spacing w:before="0" w:beforeAutospacing="0" w:after="0" w:afterAutospacing="0"/>
                    <w:ind w:left="0" w:right="0"/>
                    <w:jc w:val="center"/>
                    <w:rPr>
                      <w:rFonts w:hint="eastAsia"/>
                      <w:color w:val="auto"/>
                      <w:kern w:val="2"/>
                      <w:lang w:val="en-US" w:eastAsia="zh-CN"/>
                    </w:rPr>
                  </w:pPr>
                  <w:r>
                    <w:rPr>
                      <w:rFonts w:hint="eastAsia"/>
                      <w:color w:val="auto"/>
                      <w:spacing w:val="-6"/>
                      <w:kern w:val="2"/>
                      <w:sz w:val="21"/>
                      <w:lang w:val="en-US" w:eastAsia="zh-CN"/>
                    </w:rPr>
                    <w:t>3</w:t>
                  </w:r>
                  <w:r>
                    <w:rPr>
                      <w:rFonts w:hint="default"/>
                      <w:color w:val="auto"/>
                      <w:spacing w:val="-6"/>
                      <w:kern w:val="2"/>
                      <w:sz w:val="21"/>
                      <w:lang w:val="en-US" w:eastAsia="zh-CN"/>
                    </w:rPr>
                    <w:t>.本</w:t>
                  </w:r>
                  <w:r>
                    <w:rPr>
                      <w:rFonts w:hint="eastAsia"/>
                      <w:color w:val="auto"/>
                      <w:spacing w:val="-6"/>
                      <w:kern w:val="2"/>
                      <w:sz w:val="21"/>
                      <w:lang w:val="en-US" w:eastAsia="zh-CN"/>
                    </w:rPr>
                    <w:t>项目不涉及重金属污染物排放。</w:t>
                  </w:r>
                </w:p>
                <w:p>
                  <w:pPr>
                    <w:pStyle w:val="216"/>
                    <w:keepNext w:val="0"/>
                    <w:keepLines w:val="0"/>
                    <w:widowControl/>
                    <w:suppressLineNumbers w:val="0"/>
                    <w:bidi w:val="0"/>
                    <w:spacing w:before="0" w:beforeAutospacing="0" w:after="0" w:afterAutospacing="0"/>
                    <w:ind w:left="0" w:right="0"/>
                    <w:jc w:val="center"/>
                    <w:rPr>
                      <w:rFonts w:hint="eastAsia"/>
                      <w:color w:val="auto"/>
                      <w:kern w:val="2"/>
                      <w:lang w:val="en-US" w:eastAsia="zh-CN"/>
                    </w:rPr>
                  </w:pPr>
                  <w:r>
                    <w:rPr>
                      <w:rFonts w:hint="eastAsia"/>
                      <w:color w:val="auto"/>
                      <w:kern w:val="2"/>
                      <w:lang w:val="en-US" w:eastAsia="zh-CN"/>
                    </w:rPr>
                    <w:t>4.本项目不涉及</w:t>
                  </w:r>
                  <w:r>
                    <w:rPr>
                      <w:rFonts w:hint="eastAsia" w:ascii="Times New Roman" w:hAnsi="Times New Roman" w:eastAsia="宋体" w:cs="Times New Roman"/>
                      <w:color w:val="auto"/>
                      <w:kern w:val="2"/>
                      <w:lang w:val="en-US" w:eastAsia="zh-CN"/>
                    </w:rPr>
                    <w:t>入区</w:t>
                  </w:r>
                  <w:r>
                    <w:rPr>
                      <w:rFonts w:hint="eastAsia"/>
                      <w:color w:val="auto"/>
                      <w:kern w:val="2"/>
                      <w:lang w:val="en-US" w:eastAsia="zh-CN"/>
                    </w:rPr>
                    <w:t>。</w:t>
                  </w:r>
                </w:p>
                <w:p>
                  <w:pPr>
                    <w:pStyle w:val="216"/>
                    <w:keepNext w:val="0"/>
                    <w:keepLines w:val="0"/>
                    <w:widowControl/>
                    <w:suppressLineNumbers w:val="0"/>
                    <w:bidi w:val="0"/>
                    <w:spacing w:before="0" w:beforeAutospacing="0" w:after="0" w:afterAutospacing="0"/>
                    <w:ind w:left="0" w:right="0"/>
                    <w:jc w:val="center"/>
                    <w:rPr>
                      <w:rFonts w:hint="eastAsia"/>
                      <w:color w:val="auto"/>
                      <w:kern w:val="2"/>
                      <w:lang w:val="en-US" w:eastAsia="zh-CN"/>
                    </w:rPr>
                  </w:pPr>
                  <w:r>
                    <w:rPr>
                      <w:rFonts w:hint="eastAsia"/>
                      <w:color w:val="auto"/>
                      <w:kern w:val="2"/>
                      <w:lang w:val="en-US" w:eastAsia="zh-CN"/>
                    </w:rPr>
                    <w:t>5.本项目医疗废物暂存间采用符合要求的轻钢柜体。</w:t>
                  </w:r>
                </w:p>
                <w:p>
                  <w:pPr>
                    <w:pStyle w:val="216"/>
                    <w:keepNext w:val="0"/>
                    <w:keepLines w:val="0"/>
                    <w:widowControl/>
                    <w:suppressLineNumbers w:val="0"/>
                    <w:bidi w:val="0"/>
                    <w:spacing w:before="0" w:beforeAutospacing="0" w:after="0" w:afterAutospacing="0"/>
                    <w:ind w:left="0" w:right="0"/>
                    <w:jc w:val="center"/>
                    <w:rPr>
                      <w:rFonts w:hint="default"/>
                      <w:color w:val="auto"/>
                      <w:kern w:val="2"/>
                      <w:highlight w:val="none"/>
                      <w:lang w:val="en-US" w:eastAsia="zh-CN"/>
                    </w:rPr>
                  </w:pPr>
                  <w:r>
                    <w:rPr>
                      <w:rFonts w:hint="eastAsia"/>
                      <w:color w:val="auto"/>
                      <w:kern w:val="2"/>
                      <w:highlight w:val="none"/>
                      <w:lang w:val="en-US" w:eastAsia="zh-CN"/>
                    </w:rPr>
                    <w:t>6.本项目不涉及</w:t>
                  </w:r>
                  <w:r>
                    <w:rPr>
                      <w:rFonts w:hint="eastAsia" w:ascii="Times New Roman" w:hAnsi="Times New Roman" w:eastAsia="宋体" w:cs="Times New Roman"/>
                      <w:color w:val="auto"/>
                      <w:kern w:val="2"/>
                      <w:highlight w:val="none"/>
                      <w:lang w:val="en-US" w:eastAsia="zh-CN"/>
                    </w:rPr>
                    <w:t>入区，且严格执行</w:t>
                  </w:r>
                  <w:r>
                    <w:rPr>
                      <w:rFonts w:hint="default" w:ascii="Times New Roman" w:hAnsi="Times New Roman" w:eastAsia="宋体" w:cs="Times New Roman"/>
                      <w:color w:val="auto"/>
                      <w:kern w:val="2"/>
                      <w:highlight w:val="none"/>
                      <w:lang w:val="en-US" w:eastAsia="zh-CN"/>
                    </w:rPr>
                    <w:t>“</w:t>
                  </w:r>
                  <w:r>
                    <w:rPr>
                      <w:rFonts w:hint="eastAsia" w:ascii="Times New Roman" w:hAnsi="Times New Roman" w:eastAsia="宋体" w:cs="Times New Roman"/>
                      <w:color w:val="auto"/>
                      <w:kern w:val="2"/>
                      <w:highlight w:val="none"/>
                      <w:lang w:val="en-US" w:eastAsia="zh-CN"/>
                    </w:rPr>
                    <w:t>三同时</w:t>
                  </w:r>
                  <w:r>
                    <w:rPr>
                      <w:rFonts w:hint="default" w:ascii="Times New Roman" w:hAnsi="Times New Roman" w:eastAsia="宋体" w:cs="Times New Roman"/>
                      <w:color w:val="auto"/>
                      <w:kern w:val="2"/>
                      <w:highlight w:val="none"/>
                      <w:lang w:val="en-US" w:eastAsia="zh-CN"/>
                    </w:rPr>
                    <w:t>”</w:t>
                  </w:r>
                  <w:r>
                    <w:rPr>
                      <w:rFonts w:hint="eastAsia" w:ascii="Times New Roman" w:hAnsi="Times New Roman" w:eastAsia="宋体" w:cs="Times New Roman"/>
                      <w:color w:val="auto"/>
                      <w:kern w:val="2"/>
                      <w:highlight w:val="none"/>
                      <w:lang w:val="en-US" w:eastAsia="zh-CN"/>
                    </w:rPr>
                    <w:t>制度。</w:t>
                  </w:r>
                </w:p>
                <w:p>
                  <w:pPr>
                    <w:pStyle w:val="226"/>
                    <w:keepNext w:val="0"/>
                    <w:keepLines w:val="0"/>
                    <w:numPr>
                      <w:ilvl w:val="0"/>
                      <w:numId w:val="0"/>
                    </w:numPr>
                    <w:suppressLineNumbers w:val="0"/>
                    <w:bidi w:val="0"/>
                    <w:spacing w:before="0" w:beforeAutospacing="0" w:after="0" w:afterAutospacing="0"/>
                    <w:ind w:left="0" w:right="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lang w:val="en-US" w:eastAsia="zh-CN"/>
                    </w:rPr>
                    <w:t>项目不涉及未达到国Ⅳ排放标准限值的货车</w:t>
                  </w:r>
                  <w:r>
                    <w:rPr>
                      <w:rFonts w:hint="eastAsia" w:ascii="Times New Roman" w:hAnsi="Times New Roman" w:eastAsia="宋体" w:cs="Times New Roman"/>
                      <w:color w:val="auto"/>
                      <w:highlight w:val="none"/>
                      <w:lang w:val="en-US" w:eastAsia="zh-CN"/>
                    </w:rPr>
                    <w:t>。</w:t>
                  </w:r>
                </w:p>
                <w:p>
                  <w:pPr>
                    <w:pStyle w:val="226"/>
                    <w:keepNext w:val="0"/>
                    <w:keepLines w:val="0"/>
                    <w:numPr>
                      <w:ilvl w:val="0"/>
                      <w:numId w:val="0"/>
                    </w:numPr>
                    <w:suppressLineNumbers w:val="0"/>
                    <w:bidi w:val="0"/>
                    <w:spacing w:before="0" w:beforeAutospacing="0" w:after="0" w:afterAutospacing="0"/>
                    <w:ind w:left="0" w:right="0"/>
                    <w:jc w:val="center"/>
                    <w:rPr>
                      <w:rFonts w:hint="default"/>
                      <w:color w:val="auto"/>
                      <w:lang w:val="en-US" w:eastAsia="zh-CN"/>
                    </w:rPr>
                  </w:pPr>
                  <w:r>
                    <w:rPr>
                      <w:rFonts w:hint="eastAsia"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val="en-US" w:eastAsia="zh-CN"/>
                    </w:rPr>
                    <w:t>项目不涉及使用《非道路移动机械用柴油机排气污染物排放限值及测量方法（中国第Ⅰ、Ⅱ阶段）》（GB20891-2007）中的国Ⅲ以前标准的非道路移动机械</w:t>
                  </w:r>
                  <w:r>
                    <w:rPr>
                      <w:rFonts w:hint="eastAsia" w:ascii="Times New Roman" w:hAnsi="Times New Roman" w:eastAsia="宋体" w:cs="Times New Roman"/>
                      <w:color w:val="auto"/>
                      <w:highlight w:val="none"/>
                      <w:lang w:val="en-US" w:eastAsia="zh-CN"/>
                    </w:rPr>
                    <w:t>。</w:t>
                  </w:r>
                </w:p>
              </w:tc>
              <w:tc>
                <w:tcPr>
                  <w:tcW w:w="462"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default"/>
                      <w:color w:val="auto"/>
                      <w:kern w:val="2"/>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4" w:type="pct"/>
                  <w:vMerge w:val="continue"/>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p>
              </w:tc>
              <w:tc>
                <w:tcPr>
                  <w:tcW w:w="483"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default"/>
                      <w:color w:val="auto"/>
                      <w:kern w:val="2"/>
                      <w:lang w:val="en-US" w:eastAsia="zh-CN"/>
                    </w:rPr>
                    <w:t>环境风险防控</w:t>
                  </w:r>
                </w:p>
              </w:tc>
              <w:tc>
                <w:tcPr>
                  <w:tcW w:w="2103"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eastAsia"/>
                      <w:color w:val="auto"/>
                      <w:kern w:val="2"/>
                      <w:lang w:val="en-US" w:eastAsia="zh-CN"/>
                    </w:rPr>
                    <w:t>1.</w:t>
                  </w:r>
                  <w:r>
                    <w:rPr>
                      <w:rFonts w:hint="default"/>
                      <w:color w:val="auto"/>
                      <w:kern w:val="2"/>
                      <w:lang w:val="en-US" w:eastAsia="zh-CN"/>
                    </w:rPr>
                    <w:t>执行锡林郭勒盟总体准入要求中第三条关于环境风险防控的准入要求。</w:t>
                  </w:r>
                </w:p>
                <w:p>
                  <w:pPr>
                    <w:pStyle w:val="216"/>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2.</w:t>
                  </w:r>
                  <w:r>
                    <w:rPr>
                      <w:rFonts w:hint="default" w:ascii="Times New Roman" w:hAnsi="Times New Roman" w:eastAsia="宋体" w:cs="Times New Roman"/>
                      <w:color w:val="auto"/>
                      <w:kern w:val="2"/>
                      <w:lang w:val="en-US" w:eastAsia="zh-CN"/>
                    </w:rPr>
                    <w:t>严格高能耗、高物耗和产能过剩、低水平重复建设项目、以及涉及其他具有</w:t>
                  </w:r>
                  <w:r>
                    <w:rPr>
                      <w:rFonts w:hint="eastAsia" w:ascii="Times New Roman" w:hAnsi="Times New Roman" w:eastAsia="宋体" w:cs="Times New Roman"/>
                      <w:color w:val="auto"/>
                      <w:kern w:val="2"/>
                      <w:lang w:val="en-US" w:eastAsia="zh-CN"/>
                    </w:rPr>
                    <w:t>重大环境风险建设项目的环评审批。</w:t>
                  </w:r>
                </w:p>
                <w:p>
                  <w:pPr>
                    <w:pStyle w:val="216"/>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3.积极推进区域联防联控工作，开展空气质量中长期趋势预测，完善重度及以上污染天气的区域联合预警机制，加强各级环保与气象部门业务合作和信息共享。当预测到区域将出现大范围重污染天气时，统一发布预警信息、各地按级别启动应急响应措施，实施区域应急联动。</w:t>
                  </w:r>
                </w:p>
                <w:p>
                  <w:pPr>
                    <w:pStyle w:val="216"/>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4.园区应建立突发环境事件应急防控体系，增强突发环境事件处置能力。</w:t>
                  </w:r>
                </w:p>
                <w:p>
                  <w:pPr>
                    <w:pStyle w:val="216"/>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5.严格落实工业集聚区环境风险各项防控措施。对高风险化学品生产、使用进行严格限制，并逐步淘汰替代。</w:t>
                  </w:r>
                </w:p>
                <w:p>
                  <w:pPr>
                    <w:pStyle w:val="216"/>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6.开展涉危涉化企业、有风险隐患的渣场等风险排查和整改工作，及时消除隐患。</w:t>
                  </w:r>
                </w:p>
                <w:p>
                  <w:pPr>
                    <w:pStyle w:val="216"/>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7.按要求建设园区隔离带、绿化防护带等设施。</w:t>
                  </w:r>
                </w:p>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eastAsia" w:ascii="Times New Roman" w:hAnsi="Times New Roman" w:eastAsia="宋体" w:cs="Times New Roman"/>
                      <w:color w:val="auto"/>
                      <w:kern w:val="2"/>
                      <w:lang w:val="en-US" w:eastAsia="zh-CN"/>
                    </w:rPr>
                    <w:t>8.建立完备的事故废水调储系统。厂区分区防渗；建立区域土壤及地下水监测监控体系</w:t>
                  </w:r>
                  <w:r>
                    <w:rPr>
                      <w:rFonts w:hint="default" w:ascii="Times New Roman" w:hAnsi="Times New Roman" w:eastAsia="宋体" w:cs="Times New Roman"/>
                      <w:color w:val="auto"/>
                      <w:kern w:val="2"/>
                      <w:lang w:val="en-US" w:eastAsia="zh-CN"/>
                    </w:rPr>
                    <w:t>。</w:t>
                  </w:r>
                </w:p>
              </w:tc>
              <w:tc>
                <w:tcPr>
                  <w:tcW w:w="1305" w:type="pct"/>
                  <w:tcBorders>
                    <w:tl2br w:val="nil"/>
                    <w:tr2bl w:val="nil"/>
                  </w:tcBorders>
                  <w:noWrap w:val="0"/>
                  <w:vAlign w:val="center"/>
                </w:tcPr>
                <w:p>
                  <w:pPr>
                    <w:pStyle w:val="226"/>
                    <w:keepNext w:val="0"/>
                    <w:keepLines w:val="0"/>
                    <w:numPr>
                      <w:ilvl w:val="0"/>
                      <w:numId w:val="0"/>
                    </w:numPr>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.本项目符合锡林郭勒盟总体准入要求中第三条关于环境风险防控的准入要求。</w:t>
                  </w:r>
                </w:p>
                <w:p>
                  <w:pPr>
                    <w:pStyle w:val="226"/>
                    <w:keepNext w:val="0"/>
                    <w:keepLines w:val="0"/>
                    <w:numPr>
                      <w:ilvl w:val="0"/>
                      <w:numId w:val="0"/>
                    </w:numPr>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val="en-US" w:eastAsia="zh-CN"/>
                    </w:rPr>
                    <w:t>项目不属于</w:t>
                  </w:r>
                  <w:r>
                    <w:rPr>
                      <w:rFonts w:hint="eastAsia" w:ascii="Times New Roman" w:hAnsi="Times New Roman" w:eastAsia="宋体" w:cs="Times New Roman"/>
                      <w:color w:val="auto"/>
                      <w:highlight w:val="none"/>
                      <w:lang w:val="en-US" w:eastAsia="zh-CN"/>
                    </w:rPr>
                    <w:t>高</w:t>
                  </w:r>
                  <w:r>
                    <w:rPr>
                      <w:rFonts w:hint="default" w:ascii="Times New Roman" w:hAnsi="Times New Roman" w:eastAsia="宋体" w:cs="Times New Roman"/>
                      <w:color w:val="auto"/>
                      <w:highlight w:val="none"/>
                      <w:lang w:val="en-US" w:eastAsia="zh-CN"/>
                    </w:rPr>
                    <w:t>能耗、高物耗和产能过剩、低水平重复建设项目，不涉及重大环境风险</w:t>
                  </w:r>
                  <w:r>
                    <w:rPr>
                      <w:rFonts w:hint="eastAsia" w:ascii="Times New Roman" w:hAnsi="Times New Roman" w:eastAsia="宋体" w:cs="Times New Roman"/>
                      <w:color w:val="auto"/>
                      <w:highlight w:val="none"/>
                      <w:lang w:val="en-US" w:eastAsia="zh-CN"/>
                    </w:rPr>
                    <w:t>。</w:t>
                  </w:r>
                </w:p>
                <w:p>
                  <w:pPr>
                    <w:pStyle w:val="226"/>
                    <w:keepNext w:val="0"/>
                    <w:keepLines w:val="0"/>
                    <w:numPr>
                      <w:ilvl w:val="0"/>
                      <w:numId w:val="0"/>
                    </w:numPr>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3.本项目</w:t>
                  </w:r>
                  <w:r>
                    <w:rPr>
                      <w:rFonts w:hint="default" w:ascii="Times New Roman" w:hAnsi="Times New Roman" w:eastAsia="宋体" w:cs="Times New Roman"/>
                      <w:color w:val="auto"/>
                      <w:sz w:val="21"/>
                      <w:szCs w:val="21"/>
                      <w:lang w:val="en-US" w:eastAsia="zh-CN"/>
                    </w:rPr>
                    <w:t>积极配合</w:t>
                  </w:r>
                  <w:r>
                    <w:rPr>
                      <w:rFonts w:hint="default" w:ascii="Times New Roman" w:hAnsi="Times New Roman" w:eastAsia="宋体" w:cs="Times New Roman"/>
                      <w:color w:val="auto"/>
                      <w:kern w:val="0"/>
                      <w:sz w:val="21"/>
                      <w:szCs w:val="21"/>
                      <w:lang w:val="en-US" w:eastAsia="zh-CN" w:bidi="ar"/>
                    </w:rPr>
                    <w:t>区域联防联控工作</w:t>
                  </w:r>
                  <w:r>
                    <w:rPr>
                      <w:rFonts w:hint="eastAsia" w:ascii="Times New Roman" w:hAnsi="Times New Roman" w:eastAsia="宋体" w:cs="Times New Roman"/>
                      <w:color w:val="auto"/>
                      <w:kern w:val="0"/>
                      <w:sz w:val="21"/>
                      <w:szCs w:val="21"/>
                      <w:lang w:val="en-US" w:eastAsia="zh-CN" w:bidi="ar"/>
                    </w:rPr>
                    <w:t>，</w:t>
                  </w:r>
                  <w:r>
                    <w:rPr>
                      <w:rFonts w:hint="default" w:ascii="Times New Roman" w:hAnsi="Times New Roman" w:cs="Times New Roman"/>
                      <w:color w:val="auto"/>
                      <w:highlight w:val="none"/>
                      <w:lang w:val="en-US" w:eastAsia="zh-CN"/>
                    </w:rPr>
                    <w:t>企业</w:t>
                  </w:r>
                  <w:r>
                    <w:rPr>
                      <w:rFonts w:hint="eastAsia" w:ascii="Times New Roman" w:hAnsi="Times New Roman" w:cs="Times New Roman"/>
                      <w:color w:val="auto"/>
                      <w:highlight w:val="none"/>
                      <w:lang w:val="en-US" w:eastAsia="zh-CN"/>
                    </w:rPr>
                    <w:t>编制</w:t>
                  </w:r>
                  <w:r>
                    <w:rPr>
                      <w:rFonts w:hint="default" w:ascii="Times New Roman" w:hAnsi="Times New Roman" w:cs="Times New Roman"/>
                      <w:color w:val="auto"/>
                      <w:highlight w:val="none"/>
                      <w:lang w:val="en-US" w:eastAsia="zh-CN"/>
                    </w:rPr>
                    <w:t>应急预案与区域重污染天气应急预案</w:t>
                  </w:r>
                  <w:r>
                    <w:rPr>
                      <w:rFonts w:hint="default" w:ascii="Times New Roman" w:hAnsi="Times New Roman" w:eastAsia="宋体" w:cs="Times New Roman"/>
                      <w:color w:val="auto"/>
                      <w:highlight w:val="none"/>
                      <w:lang w:val="en-US" w:eastAsia="zh-CN"/>
                    </w:rPr>
                    <w:t>衔接。</w:t>
                  </w:r>
                </w:p>
                <w:p>
                  <w:pPr>
                    <w:pStyle w:val="226"/>
                    <w:keepNext w:val="0"/>
                    <w:keepLines w:val="0"/>
                    <w:numPr>
                      <w:ilvl w:val="0"/>
                      <w:numId w:val="0"/>
                    </w:numPr>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val="en-US" w:eastAsia="zh-CN"/>
                    </w:rPr>
                    <w:t>本项目不位于工业园区</w:t>
                  </w:r>
                  <w:r>
                    <w:rPr>
                      <w:rFonts w:hint="eastAsia" w:ascii="Times New Roman" w:hAnsi="Times New Roman" w:eastAsia="宋体" w:cs="Times New Roman"/>
                      <w:color w:val="auto"/>
                      <w:highlight w:val="none"/>
                      <w:lang w:val="en-US" w:eastAsia="zh-CN"/>
                    </w:rPr>
                    <w:t>。</w:t>
                  </w:r>
                </w:p>
                <w:p>
                  <w:pPr>
                    <w:pStyle w:val="226"/>
                    <w:keepNext w:val="0"/>
                    <w:keepLines w:val="0"/>
                    <w:numPr>
                      <w:ilvl w:val="0"/>
                      <w:numId w:val="0"/>
                    </w:numPr>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lang w:val="en-US" w:eastAsia="zh-CN"/>
                    </w:rPr>
                    <w:t>项目积极落实环境风险各项防控措施，项目不涉及高风险化学品生产、使用</w:t>
                  </w:r>
                  <w:r>
                    <w:rPr>
                      <w:rFonts w:hint="eastAsia" w:ascii="Times New Roman" w:hAnsi="Times New Roman" w:eastAsia="宋体" w:cs="Times New Roman"/>
                      <w:color w:val="auto"/>
                      <w:highlight w:val="none"/>
                      <w:lang w:val="en-US" w:eastAsia="zh-CN"/>
                    </w:rPr>
                    <w:t>。</w:t>
                  </w:r>
                </w:p>
                <w:p>
                  <w:pPr>
                    <w:pStyle w:val="226"/>
                    <w:keepNext w:val="0"/>
                    <w:keepLines w:val="0"/>
                    <w:numPr>
                      <w:ilvl w:val="0"/>
                      <w:numId w:val="0"/>
                    </w:numPr>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项目不属于涉危涉化企业，不涉及有风险隐患的渣场</w:t>
                  </w:r>
                  <w:r>
                    <w:rPr>
                      <w:rFonts w:hint="eastAsia" w:ascii="Times New Roman" w:hAnsi="Times New Roman" w:eastAsia="宋体" w:cs="Times New Roman"/>
                      <w:color w:val="auto"/>
                      <w:highlight w:val="none"/>
                      <w:lang w:val="en-US" w:eastAsia="zh-CN"/>
                    </w:rPr>
                    <w:t>。</w:t>
                  </w:r>
                </w:p>
                <w:p>
                  <w:pPr>
                    <w:pStyle w:val="226"/>
                    <w:keepNext w:val="0"/>
                    <w:keepLines w:val="0"/>
                    <w:numPr>
                      <w:ilvl w:val="0"/>
                      <w:numId w:val="0"/>
                    </w:numPr>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lang w:val="en-US" w:eastAsia="zh-CN"/>
                    </w:rPr>
                    <w:t>项目不位于园区</w:t>
                  </w:r>
                  <w:r>
                    <w:rPr>
                      <w:rFonts w:hint="eastAsia" w:ascii="Times New Roman" w:hAnsi="Times New Roman" w:eastAsia="宋体" w:cs="Times New Roman"/>
                      <w:color w:val="auto"/>
                      <w:highlight w:val="none"/>
                      <w:lang w:val="en-US" w:eastAsia="zh-CN"/>
                    </w:rPr>
                    <w:t>。</w:t>
                  </w:r>
                </w:p>
                <w:p>
                  <w:pPr>
                    <w:pStyle w:val="226"/>
                    <w:keepNext w:val="0"/>
                    <w:keepLines w:val="0"/>
                    <w:numPr>
                      <w:ilvl w:val="0"/>
                      <w:numId w:val="0"/>
                    </w:numPr>
                    <w:suppressLineNumbers w:val="0"/>
                    <w:bidi w:val="0"/>
                    <w:spacing w:before="0" w:beforeAutospacing="0" w:after="0" w:afterAutospacing="0"/>
                    <w:ind w:left="0" w:right="0"/>
                    <w:jc w:val="center"/>
                    <w:rPr>
                      <w:rFonts w:hint="default"/>
                      <w:color w:val="auto"/>
                      <w:lang w:val="en-US" w:eastAsia="zh-CN"/>
                    </w:rPr>
                  </w:pPr>
                  <w:r>
                    <w:rPr>
                      <w:rFonts w:hint="eastAsia" w:ascii="Times New Roman" w:hAnsi="Times New Roman" w:eastAsia="宋体" w:cs="Times New Roman"/>
                      <w:color w:val="auto"/>
                      <w:highlight w:val="none"/>
                      <w:lang w:val="en-US" w:eastAsia="zh-CN"/>
                    </w:rPr>
                    <w:t>8.</w:t>
                  </w:r>
                  <w:r>
                    <w:rPr>
                      <w:rFonts w:hint="eastAsia" w:cs="Times New Roman"/>
                      <w:color w:val="auto"/>
                      <w:highlight w:val="none"/>
                      <w:lang w:val="en-US" w:eastAsia="zh-CN"/>
                    </w:rPr>
                    <w:t>本项目不涉及事故废水</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医疗废物暂存间进行重点防渗</w:t>
                  </w:r>
                  <w:r>
                    <w:rPr>
                      <w:rFonts w:hint="eastAsia" w:ascii="Times New Roman" w:hAnsi="Times New Roman" w:eastAsia="宋体" w:cs="Times New Roman"/>
                      <w:color w:val="auto"/>
                      <w:highlight w:val="none"/>
                      <w:lang w:val="en-US" w:eastAsia="zh-CN"/>
                    </w:rPr>
                    <w:t>。</w:t>
                  </w:r>
                </w:p>
              </w:tc>
              <w:tc>
                <w:tcPr>
                  <w:tcW w:w="462"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default"/>
                      <w:color w:val="auto"/>
                      <w:kern w:val="2"/>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4" w:type="pct"/>
                  <w:vMerge w:val="continue"/>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p>
              </w:tc>
              <w:tc>
                <w:tcPr>
                  <w:tcW w:w="483"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default"/>
                      <w:color w:val="auto"/>
                      <w:kern w:val="2"/>
                      <w:lang w:val="en-US" w:eastAsia="zh-CN"/>
                    </w:rPr>
                    <w:t>资源利用效率要求</w:t>
                  </w:r>
                </w:p>
              </w:tc>
              <w:tc>
                <w:tcPr>
                  <w:tcW w:w="2103"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kern w:val="2"/>
                      <w:lang w:val="en-US" w:eastAsia="zh-CN"/>
                    </w:rPr>
                  </w:pPr>
                  <w:r>
                    <w:rPr>
                      <w:rFonts w:hint="default" w:ascii="Times New Roman" w:hAnsi="Times New Roman" w:eastAsia="宋体" w:cs="Times New Roman"/>
                      <w:color w:val="auto"/>
                      <w:kern w:val="2"/>
                      <w:lang w:val="en-US" w:eastAsia="zh-CN"/>
                    </w:rPr>
                    <w:t>1.</w:t>
                  </w:r>
                  <w:r>
                    <w:rPr>
                      <w:rFonts w:hint="eastAsia" w:ascii="Times New Roman" w:hAnsi="Times New Roman" w:eastAsia="宋体" w:cs="Times New Roman"/>
                      <w:color w:val="auto"/>
                      <w:kern w:val="2"/>
                      <w:lang w:val="en-US" w:eastAsia="zh-CN"/>
                    </w:rPr>
                    <w:t>严控地下水超采。严格执行《地下水超采区和重要地下水水源地水位与水量双控方案》，落实压减灌溉面积、节水改造、水源置换及监测等各项措施，超采区内不予审批工农业生产及服务业新增取用地下水</w:t>
                  </w:r>
                  <w:r>
                    <w:rPr>
                      <w:rFonts w:hint="default" w:ascii="Times New Roman" w:hAnsi="Times New Roman" w:eastAsia="宋体" w:cs="Times New Roman"/>
                      <w:color w:val="auto"/>
                      <w:kern w:val="2"/>
                      <w:lang w:val="en-US" w:eastAsia="zh-CN"/>
                    </w:rPr>
                    <w:t>。</w:t>
                  </w:r>
                </w:p>
                <w:p>
                  <w:pPr>
                    <w:pStyle w:val="216"/>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kern w:val="2"/>
                      <w:lang w:val="en-US" w:eastAsia="zh-CN"/>
                    </w:rPr>
                  </w:pPr>
                  <w:r>
                    <w:rPr>
                      <w:rFonts w:hint="default" w:ascii="Times New Roman" w:hAnsi="Times New Roman" w:eastAsia="宋体" w:cs="Times New Roman"/>
                      <w:color w:val="auto"/>
                      <w:kern w:val="2"/>
                      <w:lang w:val="en-US" w:eastAsia="zh-CN"/>
                    </w:rPr>
                    <w:t>2.</w:t>
                  </w:r>
                  <w:r>
                    <w:rPr>
                      <w:rFonts w:hint="eastAsia" w:ascii="Times New Roman" w:hAnsi="Times New Roman" w:eastAsia="宋体" w:cs="Times New Roman"/>
                      <w:color w:val="auto"/>
                      <w:kern w:val="2"/>
                      <w:lang w:val="en-US" w:eastAsia="zh-CN"/>
                    </w:rPr>
                    <w:t>加强超采区压采和替代水源建设，确保按治理方案落实压减灌溉面积、节水改造、水源置换及监测等各项措施</w:t>
                  </w:r>
                  <w:r>
                    <w:rPr>
                      <w:rFonts w:hint="default" w:ascii="Times New Roman" w:hAnsi="Times New Roman" w:eastAsia="宋体" w:cs="Times New Roman"/>
                      <w:color w:val="auto"/>
                      <w:kern w:val="2"/>
                      <w:lang w:val="en-US" w:eastAsia="zh-CN"/>
                    </w:rPr>
                    <w:t>。</w:t>
                  </w:r>
                </w:p>
                <w:p>
                  <w:pPr>
                    <w:pStyle w:val="216"/>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3.实行地下水</w:t>
                  </w:r>
                  <w:r>
                    <w:rPr>
                      <w:rFonts w:hint="default" w:ascii="Times New Roman" w:hAnsi="Times New Roman" w:eastAsia="宋体" w:cs="Times New Roman"/>
                      <w:color w:val="auto"/>
                      <w:kern w:val="2"/>
                      <w:lang w:val="en-US" w:eastAsia="zh-CN"/>
                    </w:rPr>
                    <w:t>“</w:t>
                  </w:r>
                  <w:r>
                    <w:rPr>
                      <w:rFonts w:hint="eastAsia" w:ascii="Times New Roman" w:hAnsi="Times New Roman" w:eastAsia="宋体" w:cs="Times New Roman"/>
                      <w:color w:val="auto"/>
                      <w:kern w:val="2"/>
                      <w:lang w:val="en-US" w:eastAsia="zh-CN"/>
                    </w:rPr>
                    <w:t>五控</w:t>
                  </w:r>
                  <w:r>
                    <w:rPr>
                      <w:rFonts w:hint="default" w:ascii="Times New Roman" w:hAnsi="Times New Roman" w:eastAsia="宋体" w:cs="Times New Roman"/>
                      <w:color w:val="auto"/>
                      <w:kern w:val="2"/>
                      <w:lang w:val="en-US" w:eastAsia="zh-CN"/>
                    </w:rPr>
                    <w:t>”</w:t>
                  </w:r>
                  <w:r>
                    <w:rPr>
                      <w:rFonts w:hint="eastAsia" w:ascii="Times New Roman" w:hAnsi="Times New Roman" w:eastAsia="宋体" w:cs="Times New Roman"/>
                      <w:color w:val="auto"/>
                      <w:kern w:val="2"/>
                      <w:lang w:val="en-US" w:eastAsia="zh-CN"/>
                    </w:rPr>
                    <w:t>制度。</w:t>
                  </w:r>
                  <w:r>
                    <w:rPr>
                      <w:rFonts w:hint="default" w:ascii="Times New Roman" w:hAnsi="Times New Roman" w:eastAsia="宋体" w:cs="Times New Roman"/>
                      <w:color w:val="auto"/>
                      <w:kern w:val="2"/>
                      <w:lang w:val="en-US" w:eastAsia="zh-CN"/>
                    </w:rPr>
                    <w:t>“</w:t>
                  </w:r>
                  <w:r>
                    <w:rPr>
                      <w:rFonts w:hint="eastAsia" w:ascii="Times New Roman" w:hAnsi="Times New Roman" w:eastAsia="宋体" w:cs="Times New Roman"/>
                      <w:color w:val="auto"/>
                      <w:kern w:val="2"/>
                      <w:lang w:val="en-US" w:eastAsia="zh-CN"/>
                    </w:rPr>
                    <w:t>五控</w:t>
                  </w:r>
                  <w:r>
                    <w:rPr>
                      <w:rFonts w:hint="default" w:ascii="Times New Roman" w:hAnsi="Times New Roman" w:eastAsia="宋体" w:cs="Times New Roman"/>
                      <w:color w:val="auto"/>
                      <w:kern w:val="2"/>
                      <w:lang w:val="en-US" w:eastAsia="zh-CN"/>
                    </w:rPr>
                    <w:t>”</w:t>
                  </w:r>
                  <w:r>
                    <w:rPr>
                      <w:rFonts w:hint="eastAsia" w:ascii="Times New Roman" w:hAnsi="Times New Roman" w:eastAsia="宋体" w:cs="Times New Roman"/>
                      <w:color w:val="auto"/>
                      <w:kern w:val="2"/>
                      <w:lang w:val="en-US" w:eastAsia="zh-CN"/>
                    </w:rPr>
                    <w:t>即严格管控地下水开发利用总量、水位、用途、水质及机电井数量。</w:t>
                  </w:r>
                </w:p>
                <w:p>
                  <w:pPr>
                    <w:pStyle w:val="216"/>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4.加强城镇节约用水。推广节水器具和节水产品，加强城镇供水管网改造、降低公共供水管网漏损率。推进城镇生活、绿化、水景观及第三产业节水改造。城镇园林绿化要选用节水耐旱型植物，注重雨水的回收利用，提倡使用再生水浇灌</w:t>
                  </w:r>
                </w:p>
                <w:p>
                  <w:pPr>
                    <w:pStyle w:val="216"/>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，采用微喷、滴灌等节水设施。积极开展公共机构节水型单位创建工作。</w:t>
                  </w:r>
                </w:p>
                <w:p>
                  <w:pPr>
                    <w:pStyle w:val="216"/>
                    <w:keepNext w:val="0"/>
                    <w:keepLines w:val="0"/>
                    <w:widowControl/>
                    <w:numPr>
                      <w:ilvl w:val="0"/>
                      <w:numId w:val="0"/>
                    </w:numPr>
                    <w:suppressLineNumbers w:val="0"/>
                    <w:bidi w:val="0"/>
                    <w:spacing w:before="0" w:beforeAutospacing="0" w:after="0" w:afterAutospacing="0"/>
                    <w:ind w:left="0" w:right="0" w:rightChars="0"/>
                    <w:jc w:val="both"/>
                    <w:rPr>
                      <w:rFonts w:hint="eastAsia" w:ascii="Times New Roman" w:hAnsi="Times New Roman" w:eastAsia="宋体" w:cs="Times New Roman"/>
                      <w:color w:val="auto"/>
                      <w:kern w:val="2"/>
                      <w:lang w:val="en-US" w:eastAsia="zh-CN"/>
                    </w:rPr>
                  </w:pPr>
                  <w:r>
                    <w:rPr>
                      <w:rFonts w:hint="eastAsia" w:cs="Times New Roman"/>
                      <w:color w:val="auto"/>
                      <w:kern w:val="2"/>
                      <w:lang w:val="en-US" w:eastAsia="zh-CN"/>
                    </w:rPr>
                    <w:t>5.</w:t>
                  </w:r>
                  <w:r>
                    <w:rPr>
                      <w:rFonts w:hint="eastAsia" w:ascii="Times New Roman" w:hAnsi="Times New Roman" w:eastAsia="宋体" w:cs="Times New Roman"/>
                      <w:color w:val="auto"/>
                      <w:kern w:val="2"/>
                      <w:lang w:val="en-US" w:eastAsia="zh-CN"/>
                    </w:rPr>
                    <w:t>严格落实节水</w:t>
                  </w:r>
                  <w:r>
                    <w:rPr>
                      <w:rFonts w:hint="default" w:ascii="Times New Roman" w:hAnsi="Times New Roman" w:eastAsia="宋体" w:cs="Times New Roman"/>
                      <w:color w:val="auto"/>
                      <w:kern w:val="2"/>
                      <w:lang w:val="en-US" w:eastAsia="zh-CN"/>
                    </w:rPr>
                    <w:t>“</w:t>
                  </w:r>
                  <w:r>
                    <w:rPr>
                      <w:rFonts w:hint="eastAsia" w:ascii="Times New Roman" w:hAnsi="Times New Roman" w:eastAsia="宋体" w:cs="Times New Roman"/>
                      <w:color w:val="auto"/>
                      <w:kern w:val="2"/>
                      <w:lang w:val="en-US" w:eastAsia="zh-CN"/>
                    </w:rPr>
                    <w:t>三同时</w:t>
                  </w:r>
                  <w:r>
                    <w:rPr>
                      <w:rFonts w:hint="default" w:ascii="Times New Roman" w:hAnsi="Times New Roman" w:eastAsia="宋体" w:cs="Times New Roman"/>
                      <w:color w:val="auto"/>
                      <w:kern w:val="2"/>
                      <w:lang w:val="en-US" w:eastAsia="zh-CN"/>
                    </w:rPr>
                    <w:t>”</w:t>
                  </w:r>
                  <w:r>
                    <w:rPr>
                      <w:rFonts w:hint="eastAsia" w:ascii="Times New Roman" w:hAnsi="Times New Roman" w:eastAsia="宋体" w:cs="Times New Roman"/>
                      <w:color w:val="auto"/>
                      <w:kern w:val="2"/>
                      <w:lang w:val="en-US" w:eastAsia="zh-CN"/>
                    </w:rPr>
                    <w:t>制度。</w:t>
                  </w:r>
                </w:p>
                <w:p>
                  <w:pPr>
                    <w:pStyle w:val="216"/>
                    <w:keepNext w:val="0"/>
                    <w:keepLines w:val="0"/>
                    <w:widowControl/>
                    <w:numPr>
                      <w:ilvl w:val="0"/>
                      <w:numId w:val="0"/>
                    </w:numPr>
                    <w:suppressLineNumbers w:val="0"/>
                    <w:bidi w:val="0"/>
                    <w:spacing w:before="0" w:beforeAutospacing="0" w:after="0" w:afterAutospacing="0"/>
                    <w:ind w:left="0" w:right="0" w:rightChars="0"/>
                    <w:jc w:val="both"/>
                    <w:rPr>
                      <w:rFonts w:hint="default" w:ascii="Times New Roman" w:hAnsi="Times New Roman" w:eastAsia="宋体" w:cs="Times New Roman"/>
                      <w:color w:val="auto"/>
                      <w:kern w:val="2"/>
                      <w:lang w:val="en-US" w:eastAsia="zh-CN"/>
                    </w:rPr>
                  </w:pPr>
                  <w:r>
                    <w:rPr>
                      <w:rFonts w:hint="eastAsia" w:cs="Times New Roman"/>
                      <w:color w:val="auto"/>
                      <w:kern w:val="2"/>
                      <w:lang w:val="en-US" w:eastAsia="zh-CN"/>
                    </w:rPr>
                    <w:t>6.</w:t>
                  </w:r>
                  <w:r>
                    <w:rPr>
                      <w:rFonts w:hint="eastAsia" w:ascii="Times New Roman" w:hAnsi="Times New Roman" w:eastAsia="宋体" w:cs="Times New Roman"/>
                      <w:color w:val="auto"/>
                      <w:kern w:val="2"/>
                      <w:lang w:val="en-US" w:eastAsia="zh-CN"/>
                    </w:rPr>
                    <w:t>新建、改建、扩建的高耗水工业项目，禁止擅自使用地下水。已建高耗水工业项目使用地下水的，应当采取节水措施，逐步减少地下水开采量。有条件的，应当将地下水水源替换为非常规水源或者地表水水源。食品、制药等符合取用地下水的项目，须经有管理权限的水行政主管部门批准。</w:t>
                  </w:r>
                </w:p>
              </w:tc>
              <w:tc>
                <w:tcPr>
                  <w:tcW w:w="1305"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highlight w:val="none"/>
                      <w:lang w:val="en-US" w:eastAsia="zh-CN"/>
                    </w:rPr>
                    <w:t>1.</w:t>
                  </w:r>
                  <w:r>
                    <w:rPr>
                      <w:rFonts w:hint="default" w:ascii="Times New Roman" w:hAnsi="Times New Roman" w:eastAsia="宋体" w:cs="Times New Roman"/>
                      <w:color w:val="auto"/>
                      <w:kern w:val="2"/>
                      <w:highlight w:val="none"/>
                      <w:lang w:val="en-US" w:eastAsia="zh-CN"/>
                    </w:rPr>
                    <w:t>本项目</w:t>
                  </w:r>
                  <w:r>
                    <w:rPr>
                      <w:rFonts w:hint="eastAsia" w:ascii="Times New Roman" w:hAnsi="Times New Roman" w:eastAsia="宋体" w:cs="Times New Roman"/>
                      <w:color w:val="auto"/>
                      <w:kern w:val="2"/>
                      <w:lang w:val="en-US" w:eastAsia="zh-CN"/>
                    </w:rPr>
                    <w:t>不涉及地下水资源开采；</w:t>
                  </w:r>
                </w:p>
                <w:p>
                  <w:pPr>
                    <w:pStyle w:val="216"/>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2.</w:t>
                  </w:r>
                  <w:r>
                    <w:rPr>
                      <w:rFonts w:hint="default" w:ascii="Times New Roman" w:hAnsi="Times New Roman" w:eastAsia="宋体" w:cs="Times New Roman"/>
                      <w:color w:val="auto"/>
                      <w:kern w:val="2"/>
                      <w:lang w:val="en-US" w:eastAsia="zh-CN"/>
                    </w:rPr>
                    <w:t>项目不涉及超采区压采和替代水源建设</w:t>
                  </w:r>
                  <w:r>
                    <w:rPr>
                      <w:rFonts w:hint="eastAsia" w:ascii="Times New Roman" w:hAnsi="Times New Roman" w:eastAsia="宋体" w:cs="Times New Roman"/>
                      <w:color w:val="auto"/>
                      <w:kern w:val="2"/>
                      <w:lang w:val="en-US" w:eastAsia="zh-CN"/>
                    </w:rPr>
                    <w:t>。</w:t>
                  </w:r>
                </w:p>
                <w:p>
                  <w:pPr>
                    <w:pStyle w:val="216"/>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3.</w:t>
                  </w:r>
                  <w:r>
                    <w:rPr>
                      <w:rFonts w:hint="default" w:ascii="Times New Roman" w:hAnsi="Times New Roman" w:eastAsia="宋体" w:cs="Times New Roman"/>
                      <w:color w:val="auto"/>
                      <w:kern w:val="2"/>
                      <w:lang w:val="en-US" w:eastAsia="zh-CN"/>
                    </w:rPr>
                    <w:t>本项目</w:t>
                  </w:r>
                  <w:r>
                    <w:rPr>
                      <w:rFonts w:hint="eastAsia" w:cs="Times New Roman"/>
                      <w:color w:val="auto"/>
                      <w:kern w:val="2"/>
                      <w:lang w:val="en-US" w:eastAsia="zh-CN"/>
                    </w:rPr>
                    <w:t>不涉及利用地下水</w:t>
                  </w:r>
                  <w:r>
                    <w:rPr>
                      <w:rFonts w:hint="default" w:ascii="Times New Roman" w:hAnsi="Times New Roman" w:eastAsia="宋体" w:cs="Times New Roman"/>
                      <w:color w:val="auto"/>
                      <w:kern w:val="2"/>
                      <w:lang w:val="en-US" w:eastAsia="zh-CN"/>
                    </w:rPr>
                    <w:t>。</w:t>
                  </w:r>
                </w:p>
                <w:p>
                  <w:pPr>
                    <w:pStyle w:val="216"/>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kern w:val="2"/>
                      <w:lang w:val="en-US" w:eastAsia="zh-CN"/>
                    </w:rPr>
                  </w:pPr>
                  <w:r>
                    <w:rPr>
                      <w:rFonts w:hint="eastAsia" w:ascii="Times New Roman" w:hAnsi="Times New Roman" w:eastAsia="宋体" w:cs="Times New Roman"/>
                      <w:color w:val="auto"/>
                      <w:kern w:val="2"/>
                      <w:lang w:val="en-US" w:eastAsia="zh-CN"/>
                    </w:rPr>
                    <w:t>4.</w:t>
                  </w:r>
                  <w:r>
                    <w:rPr>
                      <w:rFonts w:hint="default" w:ascii="Times New Roman" w:hAnsi="Times New Roman" w:eastAsia="宋体" w:cs="Times New Roman"/>
                      <w:color w:val="auto"/>
                      <w:kern w:val="2"/>
                      <w:highlight w:val="none"/>
                      <w:lang w:val="en-US" w:eastAsia="zh-CN"/>
                    </w:rPr>
                    <w:t>本项目</w:t>
                  </w:r>
                  <w:r>
                    <w:rPr>
                      <w:rFonts w:hint="eastAsia" w:cs="Times New Roman"/>
                      <w:color w:val="auto"/>
                      <w:kern w:val="2"/>
                      <w:highlight w:val="none"/>
                      <w:lang w:val="en-US" w:eastAsia="zh-CN"/>
                    </w:rPr>
                    <w:t>依托控制中心现有职工</w:t>
                  </w:r>
                  <w:r>
                    <w:rPr>
                      <w:rFonts w:hint="eastAsia" w:ascii="Times New Roman" w:hAnsi="Times New Roman" w:eastAsia="宋体" w:cs="Times New Roman"/>
                      <w:color w:val="auto"/>
                      <w:kern w:val="2"/>
                      <w:highlight w:val="none"/>
                      <w:lang w:val="en-US" w:eastAsia="zh-CN"/>
                    </w:rPr>
                    <w:t>，</w:t>
                  </w:r>
                  <w:r>
                    <w:rPr>
                      <w:rFonts w:hint="eastAsia" w:cs="Times New Roman"/>
                      <w:color w:val="auto"/>
                      <w:kern w:val="2"/>
                      <w:highlight w:val="none"/>
                      <w:lang w:val="en-US" w:eastAsia="zh-CN"/>
                    </w:rPr>
                    <w:t>不新增生活用水</w:t>
                  </w:r>
                  <w:r>
                    <w:rPr>
                      <w:rFonts w:hint="eastAsia" w:ascii="Times New Roman" w:hAnsi="Times New Roman" w:eastAsia="宋体" w:cs="Times New Roman"/>
                      <w:color w:val="auto"/>
                      <w:kern w:val="2"/>
                      <w:lang w:val="en-US" w:eastAsia="zh-CN"/>
                    </w:rPr>
                    <w:t>。</w:t>
                  </w:r>
                </w:p>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eastAsia"/>
                      <w:color w:val="auto"/>
                      <w:kern w:val="2"/>
                      <w:lang w:val="en-US" w:eastAsia="zh-CN"/>
                    </w:rPr>
                    <w:t>5</w:t>
                  </w:r>
                  <w:r>
                    <w:rPr>
                      <w:rFonts w:hint="default"/>
                      <w:color w:val="auto"/>
                      <w:kern w:val="2"/>
                      <w:lang w:val="en-US" w:eastAsia="zh-CN"/>
                    </w:rPr>
                    <w:t>.</w:t>
                  </w:r>
                  <w:r>
                    <w:rPr>
                      <w:rFonts w:hint="eastAsia"/>
                      <w:color w:val="auto"/>
                      <w:kern w:val="2"/>
                      <w:lang w:val="en-US" w:eastAsia="zh-CN"/>
                    </w:rPr>
                    <w:t>本项目不涉及新增用水</w:t>
                  </w:r>
                  <w:r>
                    <w:rPr>
                      <w:rFonts w:hint="default"/>
                      <w:color w:val="auto"/>
                      <w:kern w:val="2"/>
                      <w:lang w:val="en-US" w:eastAsia="zh-CN"/>
                    </w:rPr>
                    <w:t>。</w:t>
                  </w:r>
                </w:p>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firstLine="0" w:firstLineChars="0"/>
                    <w:jc w:val="center"/>
                    <w:textAlignment w:val="auto"/>
                    <w:rPr>
                      <w:rFonts w:hint="default"/>
                      <w:lang w:val="en-US" w:eastAsia="zh-CN"/>
                    </w:rPr>
                  </w:pPr>
                  <w:r>
                    <w:rPr>
                      <w:rFonts w:hint="eastAsia" w:ascii="Times New Roman" w:hAnsi="Times New Roman" w:eastAsia="宋体" w:cs="Times New Roman"/>
                      <w:color w:val="auto"/>
                      <w:kern w:val="2"/>
                      <w:sz w:val="21"/>
                      <w:szCs w:val="21"/>
                      <w:lang w:val="en-US" w:eastAsia="zh-CN" w:bidi="ar-SA"/>
                    </w:rPr>
                    <w:t>6.本项目不属于高耗水项目。</w:t>
                  </w:r>
                </w:p>
              </w:tc>
              <w:tc>
                <w:tcPr>
                  <w:tcW w:w="462"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jc w:val="center"/>
                    <w:rPr>
                      <w:rFonts w:hint="default"/>
                      <w:color w:val="auto"/>
                      <w:kern w:val="2"/>
                      <w:lang w:val="en-US" w:eastAsia="zh-CN"/>
                    </w:rPr>
                  </w:pPr>
                  <w:r>
                    <w:rPr>
                      <w:rFonts w:hint="default"/>
                      <w:color w:val="auto"/>
                      <w:kern w:val="2"/>
                      <w:lang w:val="en-US" w:eastAsia="zh-CN"/>
                    </w:rPr>
                    <w:t>符合</w:t>
                  </w:r>
                </w:p>
              </w:tc>
            </w:tr>
          </w:tbl>
          <w:p>
            <w:pPr>
              <w:keepNext w:val="0"/>
              <w:keepLines w:val="0"/>
              <w:suppressLineNumbers w:val="0"/>
              <w:bidi w:val="0"/>
              <w:spacing w:before="0" w:beforeAutospacing="0" w:after="0" w:afterAutospacing="0"/>
              <w:ind w:left="0" w:right="0"/>
              <w:rPr>
                <w:rFonts w:hint="eastAsia" w:cs="Times New Roman"/>
                <w:color w:val="auto"/>
                <w:lang w:val="en-US" w:eastAsia="zh-CN"/>
              </w:rPr>
            </w:pPr>
            <w:r>
              <w:rPr>
                <w:rFonts w:hint="default" w:cs="Times New Roman"/>
                <w:color w:val="auto"/>
                <w:lang w:val="en-US" w:eastAsia="zh-CN"/>
              </w:rPr>
              <w:t>综上所述，</w:t>
            </w:r>
            <w:r>
              <w:rPr>
                <w:rFonts w:hint="eastAsia" w:cs="Times New Roman"/>
                <w:color w:val="auto"/>
                <w:lang w:val="en-US" w:eastAsia="zh-CN"/>
              </w:rPr>
              <w:t>项目的建设符合“生态保护红线、环境质量底线、资源利用上线及锡林郭勒盟生态环境准入清单”的相关</w:t>
            </w:r>
            <w:r>
              <w:rPr>
                <w:rFonts w:hint="default" w:cs="Times New Roman"/>
                <w:color w:val="auto"/>
                <w:lang w:val="en-US" w:eastAsia="zh-CN"/>
              </w:rPr>
              <w:t>管控要求。</w:t>
            </w:r>
          </w:p>
          <w:p>
            <w:pPr>
              <w:keepNext w:val="0"/>
              <w:keepLines w:val="0"/>
              <w:suppressLineNumbers w:val="0"/>
              <w:bidi w:val="0"/>
              <w:spacing w:before="0" w:beforeAutospacing="0" w:after="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（5）</w:t>
            </w:r>
            <w:r>
              <w:rPr>
                <w:rFonts w:hint="eastAsia" w:cs="Times New Roman"/>
                <w:color w:val="auto"/>
                <w:highlight w:val="none"/>
              </w:rPr>
              <w:t>生态功能区产业准入负面清单</w:t>
            </w:r>
          </w:p>
          <w:p>
            <w:pPr>
              <w:keepNext w:val="0"/>
              <w:keepLines w:val="0"/>
              <w:suppressLineNumbers w:val="0"/>
              <w:bidi w:val="0"/>
              <w:spacing w:before="0" w:beforeAutospacing="0" w:after="0" w:afterAutospacing="0"/>
              <w:ind w:left="0" w:right="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根据《内蒙古自治区国家重点生态功能区产业准入负面清单（试行）》（内政发〔2018〕11号）要求“关于国家重点生态功能区点状开发城镇。落实《内蒙古自治区主体功能区规划》等要求，坚持和完善点上开发、面上保护原则，在保证生态功能的前提下，国家重点生态功能区点状开发的城镇比照重点开发区域享受相关政策。今后，《内蒙古自治区主体功能区规划》作出调整修订，负面清单与修订后的《内蒙古自治区主体功能区规划》直接衔接。”</w:t>
            </w:r>
          </w:p>
          <w:p>
            <w:pPr>
              <w:keepNext w:val="0"/>
              <w:keepLines w:val="0"/>
              <w:suppressLineNumbers w:val="0"/>
              <w:bidi w:val="0"/>
              <w:spacing w:before="0" w:beforeAutospacing="0" w:after="0" w:afterAutospacing="0"/>
              <w:ind w:left="0" w:right="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GB" w:eastAsia="zh-CN"/>
              </w:rPr>
              <w:t>本项目</w:t>
            </w:r>
            <w:r>
              <w:rPr>
                <w:rFonts w:hint="eastAsia" w:ascii="Times New Roman" w:hAnsi="Times New Roman" w:eastAsia="宋体" w:cs="Times New Roman"/>
                <w:color w:val="auto"/>
                <w:highlight w:val="none"/>
                <w:lang w:val="en-US" w:eastAsia="zh-CN"/>
              </w:rPr>
              <w:t>位于内蒙古自治区锡林郭勒盟正蓝旗上都镇</w:t>
            </w:r>
            <w:r>
              <w:rPr>
                <w:rFonts w:hint="eastAsia" w:ascii="Times New Roman" w:hAnsi="Times New Roman" w:eastAsia="宋体" w:cs="Times New Roman"/>
                <w:color w:val="auto"/>
                <w:highlight w:val="none"/>
                <w:lang w:val="en-GB" w:eastAsia="zh-CN"/>
              </w:rPr>
              <w:t>，</w:t>
            </w:r>
            <w:r>
              <w:rPr>
                <w:rFonts w:hint="eastAsia" w:ascii="Times New Roman" w:hAnsi="Times New Roman" w:eastAsia="宋体" w:cs="Times New Roman"/>
                <w:color w:val="auto"/>
                <w:highlight w:val="none"/>
                <w:lang w:val="en-US" w:eastAsia="zh-CN"/>
              </w:rPr>
              <w:t>属于《内蒙古自治区主体功能区规划》中点状开发城镇，等同重点开发区域主体功能定位，比照重点开发区域享受相关政策，是县域人口和经济的集聚区。故本项目满足负面清单中要求</w:t>
            </w:r>
            <w:r>
              <w:rPr>
                <w:rFonts w:hint="eastAsia" w:ascii="Times New Roman" w:hAnsi="Times New Roman" w:eastAsia="宋体" w:cs="Times New Roman"/>
                <w:color w:val="auto"/>
                <w:highlight w:val="none"/>
                <w:lang w:val="en-GB" w:eastAsia="zh-CN"/>
              </w:rPr>
              <w:t>。</w:t>
            </w:r>
          </w:p>
          <w:p>
            <w:pPr>
              <w:keepNext w:val="0"/>
              <w:keepLines w:val="0"/>
              <w:suppressLineNumbers w:val="0"/>
              <w:bidi w:val="0"/>
              <w:spacing w:before="0" w:beforeAutospacing="0" w:after="0" w:afterAutospacing="0"/>
              <w:ind w:left="0" w:right="0"/>
              <w:rPr>
                <w:rFonts w:hint="eastAsia" w:cs="Times New Roman"/>
                <w:b/>
                <w:bCs/>
                <w:color w:val="auto"/>
              </w:rPr>
            </w:pPr>
            <w:r>
              <w:rPr>
                <w:rFonts w:hint="eastAsia" w:cs="Times New Roman"/>
                <w:b/>
                <w:bCs/>
                <w:color w:val="auto"/>
              </w:rPr>
              <w:t>2、产业政策相符性分析</w:t>
            </w:r>
          </w:p>
          <w:p>
            <w:pPr>
              <w:keepNext w:val="0"/>
              <w:keepLines w:val="0"/>
              <w:suppressLineNumbers w:val="0"/>
              <w:spacing w:before="0" w:beforeAutospacing="0" w:after="0" w:afterAutospacing="0"/>
              <w:ind w:left="0" w:right="0"/>
              <w:rPr>
                <w:rFonts w:hint="eastAsia" w:cs="Times New Roman"/>
                <w:color w:val="auto"/>
                <w:lang w:val="en-US" w:eastAsia="zh-CN"/>
              </w:rPr>
            </w:pPr>
            <w:r>
              <w:rPr>
                <w:rFonts w:hint="eastAsia" w:cs="Times New Roman"/>
                <w:color w:val="auto"/>
                <w:lang w:val="en-US" w:eastAsia="zh-CN"/>
              </w:rPr>
              <w:t>根据中华人民共和国国家发展和改革委员会令第7号《产业结构调整指导目录（2024年本）》，本项目未列入产业目录中的限制类和淘汰类，为允许类，符合国家相关法律法规及政策规定，属于允许类建设项目。对照国家发改委、商务部关于印发《市场准入负面清单（</w:t>
            </w:r>
            <w:r>
              <w:rPr>
                <w:rFonts w:hint="default" w:cs="Times New Roman"/>
                <w:color w:val="auto"/>
                <w:lang w:val="en-US" w:eastAsia="zh-CN"/>
              </w:rPr>
              <w:t>202</w:t>
            </w:r>
            <w:r>
              <w:rPr>
                <w:rFonts w:hint="eastAsia" w:cs="Times New Roman"/>
                <w:color w:val="auto"/>
                <w:lang w:val="en-US" w:eastAsia="zh-CN"/>
              </w:rPr>
              <w:t>5年版）》的通知（发改体改规</w:t>
            </w:r>
            <w:r>
              <w:rPr>
                <w:rFonts w:hint="eastAsia" w:cs="Times New Roman"/>
                <w:color w:val="auto"/>
              </w:rPr>
              <w:t>〔20</w:t>
            </w:r>
            <w:r>
              <w:rPr>
                <w:rFonts w:hint="eastAsia" w:cs="Times New Roman"/>
                <w:color w:val="auto"/>
                <w:lang w:val="en-US" w:eastAsia="zh-CN"/>
              </w:rPr>
              <w:t>25</w:t>
            </w:r>
            <w:r>
              <w:rPr>
                <w:rFonts w:hint="eastAsia" w:cs="Times New Roman"/>
                <w:color w:val="auto"/>
              </w:rPr>
              <w:t>〕</w:t>
            </w:r>
            <w:r>
              <w:rPr>
                <w:rFonts w:hint="eastAsia" w:cs="Times New Roman"/>
                <w:color w:val="auto"/>
                <w:lang w:val="en-US" w:eastAsia="zh-CN"/>
              </w:rPr>
              <w:t>466号），本项目不在该负面清单内，属于许可准入类项目。</w:t>
            </w:r>
          </w:p>
          <w:p>
            <w:pPr>
              <w:keepNext w:val="0"/>
              <w:keepLines w:val="0"/>
              <w:suppressLineNumbers w:val="0"/>
              <w:spacing w:before="0" w:beforeAutospacing="0" w:after="0" w:afterAutospacing="0"/>
              <w:ind w:left="0" w:right="0"/>
              <w:rPr>
                <w:rFonts w:hint="eastAsia" w:cs="Times New Roman"/>
                <w:color w:val="auto"/>
                <w:lang w:val="en-US" w:eastAsia="zh-CN"/>
              </w:rPr>
            </w:pPr>
            <w:r>
              <w:rPr>
                <w:rFonts w:hint="eastAsia" w:cs="Times New Roman"/>
                <w:color w:val="auto"/>
                <w:lang w:val="en-US" w:eastAsia="zh-CN"/>
              </w:rPr>
              <w:t>因此，本项目符合国家相关产业政策要求。</w:t>
            </w:r>
          </w:p>
          <w:p>
            <w:pPr>
              <w:keepNext w:val="0"/>
              <w:keepLines w:val="0"/>
              <w:suppressLineNumbers w:val="0"/>
              <w:bidi w:val="0"/>
              <w:spacing w:before="0" w:beforeAutospacing="0" w:after="0" w:afterAutospacing="0"/>
              <w:ind w:left="0" w:right="0"/>
              <w:rPr>
                <w:rFonts w:hint="eastAsia" w:cs="Times New Roman"/>
                <w:b/>
                <w:bCs/>
                <w:color w:val="auto"/>
                <w:lang w:eastAsia="zh-CN"/>
              </w:rPr>
            </w:pPr>
            <w:r>
              <w:rPr>
                <w:rFonts w:hint="eastAsia" w:cs="Times New Roman"/>
                <w:b/>
                <w:bCs/>
                <w:color w:val="auto"/>
                <w:lang w:val="en-US" w:eastAsia="zh-CN"/>
              </w:rPr>
              <w:t>3</w:t>
            </w:r>
            <w:r>
              <w:rPr>
                <w:rFonts w:hint="eastAsia" w:cs="Times New Roman"/>
                <w:b/>
                <w:bCs/>
                <w:color w:val="auto"/>
              </w:rPr>
              <w:t>、项目</w:t>
            </w:r>
            <w:r>
              <w:rPr>
                <w:rFonts w:hint="eastAsia" w:cs="Times New Roman"/>
                <w:b/>
                <w:bCs/>
                <w:color w:val="auto"/>
                <w:lang w:val="en-US" w:eastAsia="zh-CN"/>
              </w:rPr>
              <w:t>选址合理性分析</w:t>
            </w:r>
          </w:p>
          <w:p>
            <w:pPr>
              <w:keepNext w:val="0"/>
              <w:keepLines w:val="0"/>
              <w:suppressLineNumbers w:val="0"/>
              <w:bidi w:val="0"/>
              <w:spacing w:before="0" w:beforeAutospacing="0" w:after="0" w:afterAutospacing="0"/>
              <w:ind w:left="0" w:right="0"/>
              <w:rPr>
                <w:rFonts w:hint="eastAsia" w:cs="Times New Roman"/>
                <w:color w:val="auto"/>
              </w:rPr>
            </w:pPr>
            <w:r>
              <w:rPr>
                <w:rFonts w:hint="eastAsia" w:cs="Times New Roman"/>
                <w:color w:val="auto"/>
                <w:lang w:val="en-US" w:eastAsia="zh-CN"/>
              </w:rPr>
              <w:t>本项目位于</w:t>
            </w:r>
            <w:r>
              <w:rPr>
                <w:rFonts w:hint="eastAsia" w:ascii="Times New Roman" w:hAnsi="Times New Roman" w:eastAsia="宋体" w:cs="Times New Roman"/>
                <w:color w:val="auto"/>
                <w:sz w:val="24"/>
                <w:lang w:val="en-US" w:eastAsia="zh-CN"/>
              </w:rPr>
              <w:t>正蓝旗动物疫病预防控制中心</w:t>
            </w:r>
            <w:r>
              <w:rPr>
                <w:rFonts w:hint="eastAsia" w:cs="Times New Roman"/>
                <w:color w:val="auto"/>
                <w:sz w:val="24"/>
                <w:lang w:val="en-US" w:eastAsia="zh-CN"/>
              </w:rPr>
              <w:t>院内西南侧空地，不新增占地</w:t>
            </w:r>
            <w:r>
              <w:rPr>
                <w:rFonts w:hint="eastAsia" w:cs="Times New Roman"/>
                <w:color w:val="auto"/>
                <w:highlight w:val="none"/>
                <w:lang w:val="en-US" w:eastAsia="zh-CN"/>
              </w:rPr>
              <w:t>，</w:t>
            </w:r>
            <w:r>
              <w:rPr>
                <w:rFonts w:hint="default" w:ascii="Times New Roman" w:hAnsi="Times New Roman" w:cs="Times New Roman"/>
                <w:color w:val="auto"/>
                <w:lang w:val="en-US" w:eastAsia="zh-CN"/>
              </w:rPr>
              <w:t>项目区</w:t>
            </w:r>
            <w:r>
              <w:rPr>
                <w:rFonts w:hint="eastAsia" w:cs="Times New Roman"/>
                <w:color w:val="auto"/>
                <w:lang w:val="en-US" w:eastAsia="zh-CN"/>
              </w:rPr>
              <w:t>厂界500m范围内涉</w:t>
            </w:r>
            <w:r>
              <w:rPr>
                <w:rFonts w:hint="eastAsia" w:cs="Times New Roman"/>
                <w:color w:val="auto"/>
                <w:highlight w:val="none"/>
                <w:lang w:val="en-US" w:eastAsia="zh-CN"/>
              </w:rPr>
              <w:t>及居住区，</w:t>
            </w:r>
            <w:r>
              <w:rPr>
                <w:rFonts w:hint="eastAsia" w:cs="Times New Roman"/>
                <w:color w:val="auto"/>
                <w:lang w:val="en-US" w:eastAsia="zh-CN"/>
              </w:rPr>
              <w:t>不涉及</w:t>
            </w:r>
            <w:r>
              <w:rPr>
                <w:rFonts w:hint="default" w:cs="Times New Roman"/>
                <w:color w:val="auto"/>
              </w:rPr>
              <w:t>自然保护区、风景名胜区等特别保护区域，</w:t>
            </w:r>
            <w:r>
              <w:rPr>
                <w:rFonts w:hint="eastAsia" w:cs="Times New Roman"/>
                <w:color w:val="auto"/>
              </w:rPr>
              <w:t>项目</w:t>
            </w:r>
            <w:r>
              <w:rPr>
                <w:rFonts w:hint="eastAsia" w:cs="Times New Roman"/>
                <w:color w:val="auto"/>
                <w:lang w:val="en-US" w:eastAsia="zh-CN"/>
              </w:rPr>
              <w:t>建成</w:t>
            </w:r>
            <w:r>
              <w:rPr>
                <w:rFonts w:hint="eastAsia" w:cs="Times New Roman"/>
                <w:color w:val="auto"/>
              </w:rPr>
              <w:t>运营</w:t>
            </w:r>
            <w:r>
              <w:rPr>
                <w:rFonts w:hint="eastAsia" w:cs="Times New Roman"/>
                <w:color w:val="auto"/>
                <w:lang w:val="en-US" w:eastAsia="zh-CN"/>
              </w:rPr>
              <w:t>后</w:t>
            </w:r>
            <w:r>
              <w:rPr>
                <w:rFonts w:hint="eastAsia" w:cs="Times New Roman"/>
                <w:color w:val="auto"/>
                <w:lang w:eastAsia="zh-CN"/>
              </w:rPr>
              <w:t>，</w:t>
            </w:r>
            <w:r>
              <w:rPr>
                <w:rFonts w:hint="eastAsia" w:cs="Times New Roman"/>
                <w:color w:val="auto"/>
              </w:rPr>
              <w:t>经采取</w:t>
            </w:r>
            <w:r>
              <w:rPr>
                <w:rFonts w:hint="eastAsia" w:cs="Times New Roman"/>
                <w:color w:val="auto"/>
                <w:lang w:val="en-US" w:eastAsia="zh-CN"/>
              </w:rPr>
              <w:t>相应的污染防治</w:t>
            </w:r>
            <w:r>
              <w:rPr>
                <w:rFonts w:hint="eastAsia" w:cs="Times New Roman"/>
                <w:color w:val="auto"/>
              </w:rPr>
              <w:t>措施后</w:t>
            </w:r>
            <w:r>
              <w:rPr>
                <w:rFonts w:hint="eastAsia" w:cs="Times New Roman"/>
                <w:color w:val="auto"/>
                <w:lang w:val="en-US" w:eastAsia="zh-CN"/>
              </w:rPr>
              <w:t>各项污染物</w:t>
            </w:r>
            <w:r>
              <w:rPr>
                <w:rFonts w:hint="eastAsia" w:cs="Times New Roman"/>
                <w:color w:val="auto"/>
              </w:rPr>
              <w:t>均能达标排放，其对周边的环境影响在可接受范围内。因此，从环境保护角度来讲，本项目的选址合理可行的。</w:t>
            </w:r>
          </w:p>
          <w:p>
            <w:pPr>
              <w:keepNext w:val="0"/>
              <w:keepLines w:val="0"/>
              <w:suppressLineNumbers w:val="0"/>
              <w:bidi w:val="0"/>
              <w:spacing w:before="0" w:beforeAutospacing="0" w:after="0" w:afterAutospacing="0"/>
              <w:ind w:left="0" w:right="0"/>
              <w:rPr>
                <w:rFonts w:hint="eastAsia" w:cs="Times New Roman"/>
                <w:b/>
                <w:bCs/>
                <w:color w:val="auto"/>
                <w:lang w:val="en-US" w:eastAsia="zh-CN"/>
              </w:rPr>
            </w:pPr>
            <w:r>
              <w:rPr>
                <w:rFonts w:hint="eastAsia" w:cs="Times New Roman"/>
                <w:b/>
                <w:bCs/>
                <w:color w:val="auto"/>
                <w:lang w:val="en-US" w:eastAsia="zh-CN"/>
              </w:rPr>
              <w:t>4、与锡林郭勒盟“十四五”环保规划的符合性分析</w:t>
            </w:r>
          </w:p>
          <w:p>
            <w:pPr>
              <w:keepNext w:val="0"/>
              <w:keepLines w:val="0"/>
              <w:suppressLineNumbers w:val="0"/>
              <w:bidi w:val="0"/>
              <w:spacing w:before="0" w:beforeAutospacing="0" w:after="0" w:afterAutospacing="0"/>
              <w:ind w:left="0" w:right="0"/>
              <w:rPr>
                <w:rFonts w:hint="eastAsia" w:cs="Times New Roman"/>
                <w:color w:val="auto"/>
                <w:lang w:val="en-US" w:eastAsia="zh-CN"/>
              </w:rPr>
            </w:pPr>
            <w:r>
              <w:rPr>
                <w:rFonts w:hint="eastAsia" w:cs="Times New Roman"/>
                <w:color w:val="auto"/>
                <w:lang w:val="en-US" w:eastAsia="zh-CN"/>
              </w:rPr>
              <w:t>根据《锡林郭勒盟“十四五”生态环境保护规划》第二节指出：坚持绿色产业发展导向，推进化工产业转型发展，结合产业发展趋势和全盟化工产业发展的资源禀赋和产业基础，促进新型化工与装备制造、轻工、建材、新材料等产业融合发展。坚持大型化、基地化、园区化方向，优化产品结构，提升产品附加值。</w:t>
            </w:r>
          </w:p>
          <w:p>
            <w:pPr>
              <w:keepNext w:val="0"/>
              <w:keepLines w:val="0"/>
              <w:suppressLineNumbers w:val="0"/>
              <w:bidi w:val="0"/>
              <w:spacing w:before="0" w:beforeAutospacing="0" w:after="0" w:afterAutospacing="0"/>
              <w:ind w:left="0" w:right="0"/>
              <w:rPr>
                <w:rFonts w:hint="eastAsia" w:cs="Times New Roman"/>
                <w:color w:val="auto"/>
                <w:lang w:val="en-US" w:eastAsia="zh-CN"/>
              </w:rPr>
            </w:pPr>
            <w:r>
              <w:rPr>
                <w:rFonts w:hint="eastAsia" w:cs="Times New Roman"/>
                <w:color w:val="auto"/>
                <w:lang w:val="en-US" w:eastAsia="zh-CN"/>
              </w:rPr>
              <w:t>本项目位于</w:t>
            </w:r>
            <w:r>
              <w:rPr>
                <w:rFonts w:hint="eastAsia" w:ascii="Times New Roman" w:hAnsi="Times New Roman" w:eastAsia="宋体" w:cs="Times New Roman"/>
                <w:color w:val="auto"/>
                <w:sz w:val="24"/>
                <w:lang w:val="en-US" w:eastAsia="zh-CN"/>
              </w:rPr>
              <w:t>正蓝旗动物疫病预防控制中心</w:t>
            </w:r>
            <w:r>
              <w:rPr>
                <w:rFonts w:hint="eastAsia" w:cs="Times New Roman"/>
                <w:color w:val="auto"/>
                <w:sz w:val="24"/>
                <w:lang w:val="en-US" w:eastAsia="zh-CN"/>
              </w:rPr>
              <w:t>院内西南侧空地，不新增占地</w:t>
            </w:r>
            <w:r>
              <w:rPr>
                <w:rFonts w:hint="eastAsia" w:cs="Times New Roman"/>
                <w:color w:val="auto"/>
                <w:lang w:val="en-US" w:eastAsia="zh-CN"/>
              </w:rPr>
              <w:t>，为医疗废物暂存间建设项目，主要用于企业</w:t>
            </w:r>
            <w:r>
              <w:rPr>
                <w:rFonts w:hint="eastAsia" w:cs="Times New Roman"/>
                <w:color w:val="auto"/>
                <w:sz w:val="24"/>
                <w:lang w:val="en-US" w:eastAsia="zh-CN"/>
              </w:rPr>
              <w:t>防疫过程产生的医疗</w:t>
            </w:r>
            <w:r>
              <w:rPr>
                <w:rFonts w:hint="eastAsia" w:ascii="Times New Roman" w:hAnsi="Times New Roman" w:eastAsia="宋体" w:cs="Times New Roman"/>
                <w:color w:val="auto"/>
                <w:sz w:val="24"/>
                <w:lang w:val="en-US" w:eastAsia="zh-CN"/>
              </w:rPr>
              <w:t>废物，不涉及危险废物的处置和利用</w:t>
            </w:r>
            <w:r>
              <w:rPr>
                <w:rFonts w:hint="eastAsia" w:cs="Times New Roman"/>
                <w:color w:val="auto"/>
                <w:lang w:val="en-US" w:eastAsia="zh-CN"/>
              </w:rPr>
              <w:t>。项目运行期间对产生的各项污染物采取相应治理措施，均能实现达标排放，从而实现绿色发展理念。项目建设符合《锡林郭勒盟“十四五”生态环境保护规划》的要求。</w:t>
            </w:r>
          </w:p>
          <w:p>
            <w:pPr>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textAlignment w:val="auto"/>
              <w:rPr>
                <w:rFonts w:hint="eastAsia" w:cs="Times New Roman"/>
                <w:b/>
                <w:bCs/>
                <w:color w:val="auto"/>
                <w:highlight w:val="yellow"/>
                <w:lang w:val="en-US" w:eastAsia="zh-CN"/>
              </w:rPr>
            </w:pPr>
            <w:r>
              <w:rPr>
                <w:rFonts w:hint="eastAsia" w:cs="Times New Roman"/>
                <w:b/>
                <w:bCs/>
                <w:color w:val="auto"/>
                <w:lang w:val="en-US" w:eastAsia="zh-CN"/>
              </w:rPr>
              <w:t>5、与《正蓝旗国土空间总体规划（2021-2035年）》的符合性分析</w:t>
            </w:r>
          </w:p>
          <w:p>
            <w:pPr>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textAlignment w:val="auto"/>
              <w:rPr>
                <w:rFonts w:hint="eastAsia" w:cs="Times New Roman"/>
                <w:b w:val="0"/>
                <w:bCs w:val="0"/>
                <w:color w:val="auto"/>
                <w:highlight w:val="none"/>
                <w:lang w:val="en-US" w:eastAsia="zh-CN"/>
              </w:rPr>
            </w:pPr>
            <w:r>
              <w:rPr>
                <w:rFonts w:hint="eastAsia" w:cs="Times New Roman"/>
                <w:b w:val="0"/>
                <w:bCs w:val="0"/>
                <w:color w:val="auto"/>
                <w:highlight w:val="none"/>
                <w:lang w:val="en-US" w:eastAsia="zh-CN"/>
              </w:rPr>
              <w:t>根据正蓝旗国土空间总体规划（2021-2035年），正蓝旗构建“一核三心，一带一环，两区多点”产业发展格局。一核三心：以上都镇城区和工业园区为主的产业集聚核；以桑根达来镇、哈毕日嘎镇和五一种畜场为重点的产业副核心。一带一环：由哈毕日嘎镇新能源产业、上都镇上都产业园和五一种畜场文化旅游产业构成的旗域南部产业综合发展带；依托精品旅游线路，打造正蓝旗旅游大环线。两区多点：生态牧旅融合发展区、农牧旅融合发展区；良种肉牛繁育基地、乡村振兴点、特色旅游项目点等。</w:t>
            </w:r>
          </w:p>
          <w:p>
            <w:pPr>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textAlignment w:val="auto"/>
              <w:rPr>
                <w:rFonts w:hint="default" w:cs="Times New Roman"/>
                <w:b w:val="0"/>
                <w:bCs w:val="0"/>
                <w:color w:val="auto"/>
                <w:highlight w:val="yellow"/>
                <w:lang w:val="en-US" w:eastAsia="zh-CN"/>
              </w:rPr>
            </w:pPr>
            <w:r>
              <w:rPr>
                <w:rFonts w:hint="eastAsia" w:ascii="Times New Roman" w:hAnsi="Times New Roman" w:eastAsia="宋体" w:cs="Times New Roman"/>
                <w:color w:val="auto"/>
                <w:highlight w:val="none"/>
                <w:lang w:val="en-GB" w:eastAsia="zh-CN"/>
              </w:rPr>
              <w:t>本项目</w:t>
            </w:r>
            <w:r>
              <w:rPr>
                <w:rFonts w:hint="eastAsia" w:cs="Times New Roman"/>
                <w:color w:val="auto"/>
                <w:lang w:val="en-US" w:eastAsia="zh-CN"/>
              </w:rPr>
              <w:t>位于</w:t>
            </w:r>
            <w:r>
              <w:rPr>
                <w:rFonts w:hint="eastAsia" w:ascii="Times New Roman" w:hAnsi="Times New Roman" w:eastAsia="宋体" w:cs="Times New Roman"/>
                <w:color w:val="auto"/>
                <w:sz w:val="24"/>
                <w:lang w:val="en-US" w:eastAsia="zh-CN"/>
              </w:rPr>
              <w:t>正蓝旗动物疫病预防控制中心</w:t>
            </w:r>
            <w:r>
              <w:rPr>
                <w:rFonts w:hint="eastAsia" w:cs="Times New Roman"/>
                <w:color w:val="auto"/>
                <w:sz w:val="24"/>
                <w:lang w:val="en-US" w:eastAsia="zh-CN"/>
              </w:rPr>
              <w:t>院内西南侧空地，不新增占地</w:t>
            </w:r>
            <w:r>
              <w:rPr>
                <w:rFonts w:hint="eastAsia" w:cs="Times New Roman"/>
                <w:color w:val="auto"/>
                <w:lang w:val="en-US" w:eastAsia="zh-CN"/>
              </w:rPr>
              <w:t>，符合《正蓝旗国土空间总体规划（2021-2035年）》的要求。</w:t>
            </w:r>
          </w:p>
          <w:p>
            <w:pPr>
              <w:pStyle w:val="231"/>
              <w:keepNext w:val="0"/>
              <w:keepLines w:val="0"/>
              <w:pageBreakBefore w:val="0"/>
              <w:widowControl w:val="0"/>
              <w:numPr>
                <w:ilvl w:val="0"/>
                <w:numId w:val="2"/>
              </w:numPr>
              <w:suppressLineNumbers w:val="0"/>
              <w:kinsoku/>
              <w:wordWrap/>
              <w:overflowPunct/>
              <w:topLinePunct w:val="0"/>
              <w:bidi w:val="0"/>
              <w:adjustRightInd/>
              <w:snapToGrid/>
              <w:spacing w:before="0" w:beforeAutospacing="0" w:after="0" w:afterAutospacing="0" w:line="360" w:lineRule="auto"/>
              <w:ind w:left="0" w:right="0" w:firstLine="482"/>
              <w:textAlignment w:val="auto"/>
              <w:rPr>
                <w:rFonts w:hint="eastAsia" w:cs="Times New Roman"/>
              </w:rPr>
            </w:pPr>
            <w:r>
              <w:rPr>
                <w:rFonts w:hint="eastAsia" w:cs="Times New Roman"/>
                <w:b/>
                <w:bCs/>
                <w:color w:val="auto"/>
                <w:kern w:val="2"/>
                <w:sz w:val="24"/>
                <w:szCs w:val="24"/>
                <w:lang w:val="en-US" w:eastAsia="zh-CN" w:bidi="ar-SA"/>
              </w:rPr>
              <w:t>与</w:t>
            </w:r>
            <w:r>
              <w:rPr>
                <w:rFonts w:hint="eastAsia" w:cs="Times New Roman"/>
              </w:rPr>
              <w:t>《医疗废物管理条例》（中华人民共和国国务院令第380号）及2011年修订版</w:t>
            </w:r>
            <w:r>
              <w:rPr>
                <w:rFonts w:hint="eastAsia" w:cs="Times New Roman"/>
                <w:lang w:eastAsia="zh-CN"/>
              </w:rPr>
              <w:t>的符合性分析</w:t>
            </w:r>
          </w:p>
          <w:p>
            <w:pPr>
              <w:pStyle w:val="9"/>
              <w:suppressLineNumbers w:val="0"/>
              <w:bidi w:val="0"/>
              <w:spacing w:before="0" w:beforeAutospacing="0" w:after="0" w:afterAutospacing="0"/>
              <w:ind w:left="0" w:right="0"/>
              <w:rPr>
                <w:rFonts w:hint="eastAsia" w:ascii="Times New Roman" w:hAnsi="Times New Roman" w:eastAsia="宋体" w:cs="Times New Roman"/>
                <w:b/>
                <w:bCs/>
                <w:color w:val="auto"/>
                <w:sz w:val="21"/>
                <w:lang w:val="en-US" w:eastAsia="zh-CN"/>
              </w:rPr>
            </w:pPr>
            <w:r>
              <w:rPr>
                <w:rFonts w:hint="default" w:ascii="Times New Roman" w:hAnsi="Times New Roman" w:eastAsia="宋体" w:cs="Times New Roman"/>
                <w:b/>
                <w:bCs/>
                <w:color w:val="auto"/>
                <w:sz w:val="21"/>
                <w:lang w:val="en-US" w:eastAsia="zh-CN"/>
              </w:rPr>
              <w:t>表</w:t>
            </w:r>
            <w:r>
              <w:rPr>
                <w:rFonts w:hint="eastAsia" w:ascii="Times New Roman" w:hAnsi="Times New Roman" w:eastAsia="宋体" w:cs="Times New Roman"/>
                <w:b/>
                <w:bCs/>
                <w:color w:val="auto"/>
                <w:sz w:val="21"/>
                <w:lang w:val="en-US" w:eastAsia="zh-CN"/>
              </w:rPr>
              <w:t>1</w:t>
            </w:r>
            <w:r>
              <w:rPr>
                <w:rFonts w:hint="default" w:ascii="Times New Roman" w:hAnsi="Times New Roman" w:eastAsia="宋体" w:cs="Times New Roman"/>
                <w:b/>
                <w:bCs/>
                <w:color w:val="auto"/>
                <w:sz w:val="21"/>
                <w:lang w:val="en-US" w:eastAsia="zh-CN"/>
              </w:rPr>
              <w:t>-</w:t>
            </w:r>
            <w:r>
              <w:rPr>
                <w:rFonts w:hint="eastAsia" w:ascii="Times New Roman" w:hAnsi="Times New Roman" w:eastAsia="宋体" w:cs="Times New Roman"/>
                <w:b/>
                <w:bCs/>
                <w:color w:val="auto"/>
                <w:sz w:val="21"/>
                <w:lang w:val="en-US" w:eastAsia="zh-CN"/>
              </w:rPr>
              <w:t>3</w:t>
            </w:r>
            <w:r>
              <w:rPr>
                <w:rFonts w:hint="default" w:ascii="Times New Roman" w:hAnsi="Times New Roman" w:eastAsia="宋体" w:cs="Times New Roman"/>
                <w:b/>
                <w:bCs/>
                <w:color w:val="auto"/>
                <w:sz w:val="21"/>
                <w:lang w:val="en-US" w:eastAsia="zh-CN"/>
              </w:rPr>
              <w:t xml:space="preserve">  </w:t>
            </w:r>
            <w:r>
              <w:rPr>
                <w:rFonts w:hint="eastAsia" w:ascii="Times New Roman" w:hAnsi="Times New Roman" w:eastAsia="宋体" w:cs="Times New Roman"/>
                <w:b/>
                <w:bCs/>
                <w:color w:val="auto"/>
                <w:sz w:val="21"/>
                <w:lang w:val="en-US" w:eastAsia="zh-CN"/>
              </w:rPr>
              <w:t>与</w:t>
            </w:r>
            <w:r>
              <w:rPr>
                <w:rFonts w:hint="eastAsia" w:cs="Times New Roman"/>
                <w:color w:val="auto"/>
              </w:rPr>
              <w:t>《医疗废物管理条例》</w:t>
            </w:r>
            <w:r>
              <w:rPr>
                <w:rFonts w:hint="default" w:ascii="Times New Roman" w:hAnsi="Times New Roman" w:eastAsia="宋体" w:cs="Times New Roman"/>
                <w:b/>
                <w:bCs/>
                <w:color w:val="auto"/>
                <w:sz w:val="21"/>
                <w:lang w:val="en-US" w:eastAsia="zh-CN"/>
              </w:rPr>
              <w:t>的符合性分析一栏表</w:t>
            </w:r>
          </w:p>
          <w:tbl>
            <w:tblPr>
              <w:tblStyle w:val="34"/>
              <w:tblW w:w="4997" w:type="pct"/>
              <w:tblInd w:w="-5"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630"/>
              <w:gridCol w:w="3147"/>
              <w:gridCol w:w="2378"/>
              <w:gridCol w:w="819"/>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b/>
                    </w:rPr>
                  </w:pPr>
                  <w:r>
                    <w:rPr>
                      <w:b/>
                    </w:rPr>
                    <w:t>序号</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b/>
                    </w:rPr>
                  </w:pPr>
                  <w:r>
                    <w:rPr>
                      <w:rFonts w:hint="eastAsia"/>
                      <w:b/>
                    </w:rPr>
                    <w:t>标准</w:t>
                  </w:r>
                  <w:r>
                    <w:rPr>
                      <w:b/>
                    </w:rPr>
                    <w:t>要求</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b/>
                    </w:rPr>
                  </w:pPr>
                  <w:r>
                    <w:rPr>
                      <w:b/>
                    </w:rPr>
                    <w:t>本项目情况</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b/>
                    </w:rPr>
                  </w:pPr>
                  <w:r>
                    <w:rPr>
                      <w:b/>
                    </w:rPr>
                    <w:t>符合性</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7" w:hRule="atLeast"/>
              </w:trPr>
              <w:tc>
                <w:tcPr>
                  <w:tcW w:w="5000" w:type="pct"/>
                  <w:gridSpan w:val="4"/>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医疗废物管理的一般规定</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1</w:t>
                  </w:r>
                </w:p>
              </w:tc>
              <w:tc>
                <w:tcPr>
                  <w:tcW w:w="2256" w:type="pct"/>
                  <w:tcBorders>
                    <w:bottom w:val="single" w:color="auto" w:sz="4" w:space="0"/>
                  </w:tcBorders>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医疗卫生机构和医疗废物集中处置单位，应当建立、健全医疗废物管理责任制，其法定代表人为第一责任人，切实履行职责，防止因医疗废物导致传染病传播和环境污染事故</w:t>
                  </w:r>
                </w:p>
              </w:tc>
              <w:tc>
                <w:tcPr>
                  <w:tcW w:w="1704" w:type="pct"/>
                  <w:tcBorders>
                    <w:bottom w:val="single" w:color="auto" w:sz="4" w:space="0"/>
                  </w:tcBorders>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lang w:val="en-US" w:eastAsia="zh-CN"/>
                    </w:rPr>
                  </w:pPr>
                  <w:r>
                    <w:rPr>
                      <w:rFonts w:hint="eastAsia"/>
                      <w:lang w:eastAsia="zh-CN"/>
                    </w:rPr>
                    <w:t>本项目按要求</w:t>
                  </w:r>
                  <w:r>
                    <w:t>建立、健全医疗废物管理责任制，其法定代表人为第一责任人</w:t>
                  </w:r>
                </w:p>
              </w:tc>
              <w:tc>
                <w:tcPr>
                  <w:tcW w:w="587" w:type="pct"/>
                  <w:tcBorders>
                    <w:bottom w:val="single" w:color="auto" w:sz="4" w:space="0"/>
                  </w:tcBorders>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rPr>
                      <w:rFonts w:hint="eastAsia"/>
                    </w:rPr>
                    <w:t>2</w:t>
                  </w:r>
                </w:p>
              </w:tc>
              <w:tc>
                <w:tcPr>
                  <w:tcW w:w="2256" w:type="pct"/>
                  <w:tcBorders>
                    <w:top w:val="single" w:color="auto" w:sz="4" w:space="0"/>
                    <w:bottom w:val="single" w:color="auto" w:sz="4" w:space="0"/>
                  </w:tcBorders>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rPr>
                  </w:pPr>
                  <w:r>
                    <w:t>医疗卫生机构和医疗废物集中处置单位，应当制定与医疗废物安全处置有关的规章制度和在发生意外事故时的应急方案；设置监控部门或者专（兼）职人员，负责检查、督促、落实本单位医疗废物的管理工作，防止违反本条例的行为发生</w:t>
                  </w:r>
                </w:p>
              </w:tc>
              <w:tc>
                <w:tcPr>
                  <w:tcW w:w="1704" w:type="pct"/>
                  <w:tcBorders>
                    <w:top w:val="single" w:color="auto" w:sz="4" w:space="0"/>
                    <w:bottom w:val="single" w:color="auto" w:sz="4" w:space="0"/>
                  </w:tcBorders>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lang w:eastAsia="zh-CN"/>
                    </w:rPr>
                  </w:pPr>
                  <w:r>
                    <w:rPr>
                      <w:rFonts w:hint="eastAsia"/>
                      <w:lang w:eastAsia="zh-CN"/>
                    </w:rPr>
                    <w:t>本项目按要求</w:t>
                  </w:r>
                  <w:r>
                    <w:t>制定医疗废物安全处置规章制度和</w:t>
                  </w:r>
                  <w:r>
                    <w:rPr>
                      <w:rFonts w:hint="eastAsia"/>
                      <w:lang w:eastAsia="zh-CN"/>
                    </w:rPr>
                    <w:t>风险</w:t>
                  </w:r>
                  <w:r>
                    <w:t>应急方案</w:t>
                  </w:r>
                </w:p>
              </w:tc>
              <w:tc>
                <w:tcPr>
                  <w:tcW w:w="587" w:type="pct"/>
                  <w:tcBorders>
                    <w:top w:val="single" w:color="auto" w:sz="4" w:space="0"/>
                  </w:tcBorders>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rPr>
                      <w:rFonts w:hint="eastAsia"/>
                    </w:rPr>
                    <w:t>3</w:t>
                  </w:r>
                </w:p>
              </w:tc>
              <w:tc>
                <w:tcPr>
                  <w:tcW w:w="2256" w:type="pct"/>
                  <w:tcBorders>
                    <w:top w:val="single" w:color="auto" w:sz="4" w:space="0"/>
                    <w:bottom w:val="single" w:color="auto" w:sz="4" w:space="0"/>
                  </w:tcBorders>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rPr>
                  </w:pPr>
                  <w:r>
                    <w:t>医疗卫生机构和医疗废物集中处置单位，应当对本单位从事医疗废物收集、运送、贮存、处置等工作的人员和管理人员，进行相关法律和专业技术、安全防护以及紧急处理等知识的培训。</w:t>
                  </w:r>
                </w:p>
              </w:tc>
              <w:tc>
                <w:tcPr>
                  <w:tcW w:w="1704" w:type="pct"/>
                  <w:tcBorders>
                    <w:top w:val="single" w:color="auto" w:sz="4" w:space="0"/>
                    <w:bottom w:val="single" w:color="auto" w:sz="4" w:space="0"/>
                  </w:tcBorders>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lang w:eastAsia="zh-CN"/>
                    </w:rPr>
                  </w:pPr>
                  <w:r>
                    <w:rPr>
                      <w:rFonts w:hint="eastAsia"/>
                      <w:lang w:eastAsia="zh-CN"/>
                    </w:rPr>
                    <w:t>本项目对相关人员进行相关</w:t>
                  </w:r>
                  <w:r>
                    <w:t>法律和专业技术、安全防护以及紧急处理等知识的培训</w:t>
                  </w:r>
                </w:p>
              </w:tc>
              <w:tc>
                <w:tcPr>
                  <w:tcW w:w="587" w:type="pct"/>
                  <w:tcBorders>
                    <w:bottom w:val="single" w:color="auto" w:sz="4" w:space="0"/>
                  </w:tcBorders>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rPr>
                      <w:rFonts w:hint="eastAsia"/>
                    </w:rPr>
                    <w:t>4</w:t>
                  </w:r>
                </w:p>
              </w:tc>
              <w:tc>
                <w:tcPr>
                  <w:tcW w:w="2256" w:type="pct"/>
                  <w:tcBorders>
                    <w:top w:val="single" w:color="auto" w:sz="4" w:space="0"/>
                    <w:bottom w:val="single" w:color="auto" w:sz="4" w:space="0"/>
                  </w:tcBorders>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rPr>
                  </w:pPr>
                  <w:r>
                    <w:t>医疗卫生机构和医疗废物集中处置单位，应当采取有效的职业卫生防护措施，为从事医疗废物收集、运送、贮存、处置等工作的人员和管理人员，配备必要的防护用品，定期进行健康检查；必要时，对有关人员进行免疫接种，防止其受到健康损害。</w:t>
                  </w:r>
                </w:p>
              </w:tc>
              <w:tc>
                <w:tcPr>
                  <w:tcW w:w="1704" w:type="pct"/>
                  <w:tcBorders>
                    <w:top w:val="single" w:color="auto" w:sz="4" w:space="0"/>
                    <w:bottom w:val="single" w:color="auto" w:sz="4" w:space="0"/>
                  </w:tcBorders>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rPr>
                  </w:pPr>
                  <w:r>
                    <w:rPr>
                      <w:rFonts w:hint="eastAsia"/>
                      <w:lang w:eastAsia="zh-CN"/>
                    </w:rPr>
                    <w:t>本项目按要求对</w:t>
                  </w:r>
                  <w:r>
                    <w:t>工作人员和管理人员，配备必要的防护用品，定期进行健康检查</w:t>
                  </w:r>
                </w:p>
              </w:tc>
              <w:tc>
                <w:tcPr>
                  <w:tcW w:w="587" w:type="pct"/>
                  <w:tcBorders>
                    <w:top w:val="single" w:color="auto" w:sz="4" w:space="0"/>
                  </w:tcBorders>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rPr>
                      <w:rFonts w:hint="eastAsia"/>
                    </w:rPr>
                    <w:t>5</w:t>
                  </w:r>
                </w:p>
              </w:tc>
              <w:tc>
                <w:tcPr>
                  <w:tcW w:w="2256" w:type="pct"/>
                  <w:tcBorders>
                    <w:top w:val="single" w:color="auto" w:sz="4" w:space="0"/>
                    <w:bottom w:val="single" w:color="auto" w:sz="4" w:space="0"/>
                  </w:tcBorders>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rPr>
                  </w:pPr>
                  <w:r>
                    <w:t>医疗卫生机构和医疗废物集中处置单位，应当依照《中华人民共和国固体废物污染环境防治法》的规定，执行危险废物转移联单管理制度</w:t>
                  </w:r>
                </w:p>
              </w:tc>
              <w:tc>
                <w:tcPr>
                  <w:tcW w:w="1704" w:type="pct"/>
                  <w:tcBorders>
                    <w:top w:val="single" w:color="auto" w:sz="4" w:space="0"/>
                    <w:bottom w:val="single" w:color="auto" w:sz="4" w:space="0"/>
                  </w:tcBorders>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lang w:eastAsia="zh-CN"/>
                    </w:rPr>
                  </w:pPr>
                  <w:r>
                    <w:rPr>
                      <w:rFonts w:hint="eastAsia"/>
                      <w:lang w:eastAsia="zh-CN"/>
                    </w:rPr>
                    <w:t>本项目</w:t>
                  </w:r>
                  <w:r>
                    <w:t>依照《中华人民共和国固体废物污染环境防治法》的规定，执行危险废物转移联单管理制度</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rPr>
                      <w:rFonts w:hint="eastAsia"/>
                    </w:rPr>
                    <w:t>6</w:t>
                  </w:r>
                </w:p>
              </w:tc>
              <w:tc>
                <w:tcPr>
                  <w:tcW w:w="2256" w:type="pct"/>
                  <w:tcBorders>
                    <w:top w:val="single" w:color="auto" w:sz="4" w:space="0"/>
                    <w:bottom w:val="single" w:color="auto" w:sz="4" w:space="0"/>
                  </w:tcBorders>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rPr>
                  </w:pPr>
                  <w:r>
                    <w:t>医疗卫生机构和医疗废物集中处置单位，应当对医疗废物进行登记，登记内容应当包括医疗废物的来源、种类、重量或者数量、交接时间、处置方法、最终去向以及经办人签名等项目。登记资料至少保存3年。</w:t>
                  </w:r>
                </w:p>
              </w:tc>
              <w:tc>
                <w:tcPr>
                  <w:tcW w:w="1704" w:type="pct"/>
                  <w:tcBorders>
                    <w:top w:val="single" w:color="auto" w:sz="4" w:space="0"/>
                    <w:bottom w:val="single" w:color="auto" w:sz="4" w:space="0"/>
                  </w:tcBorders>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rPr>
                  </w:pPr>
                  <w:r>
                    <w:rPr>
                      <w:rFonts w:hint="eastAsia"/>
                      <w:lang w:eastAsia="zh-CN"/>
                    </w:rPr>
                    <w:t>本项目</w:t>
                  </w:r>
                  <w:r>
                    <w:t>对医疗废物进行登记，包括医疗废物的来源、种类、重量或者数量、交接时间、处置方法、最终去向以及经办人签名等项目。登记资料至少保存3年。</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rPr>
                      <w:rFonts w:hint="eastAsia"/>
                    </w:rPr>
                    <w:t>7</w:t>
                  </w:r>
                </w:p>
              </w:tc>
              <w:tc>
                <w:tcPr>
                  <w:tcW w:w="2256" w:type="pct"/>
                  <w:tcBorders>
                    <w:top w:val="single" w:color="auto" w:sz="4" w:space="0"/>
                  </w:tcBorders>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医疗卫生机构和医疗废物集中处置单位，应当采取有效措施，防止医疗废物流失、泄漏、扩散。</w:t>
                  </w:r>
                </w:p>
              </w:tc>
              <w:tc>
                <w:tcPr>
                  <w:tcW w:w="1704" w:type="pct"/>
                  <w:tcBorders>
                    <w:top w:val="single" w:color="auto" w:sz="4" w:space="0"/>
                  </w:tcBorders>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lang w:eastAsia="zh-CN"/>
                    </w:rPr>
                  </w:pPr>
                  <w:r>
                    <w:rPr>
                      <w:rFonts w:hint="eastAsia"/>
                      <w:lang w:eastAsia="zh-CN"/>
                    </w:rPr>
                    <w:t>本项目</w:t>
                  </w:r>
                  <w:r>
                    <w:t>采取有效措施，防止医疗废物流失、泄漏、扩散</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rPr>
                      <w:rFonts w:hint="eastAsia"/>
                    </w:rPr>
                    <w:t>8</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rPr>
                  </w:pPr>
                  <w:r>
                    <w:t>禁止任何单位和个人转让、买卖医疗废物。</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lang w:eastAsia="zh-CN"/>
                    </w:rPr>
                  </w:pPr>
                  <w:r>
                    <w:rPr>
                      <w:rFonts w:hint="eastAsia"/>
                      <w:lang w:eastAsia="zh-CN"/>
                    </w:rPr>
                    <w:t>本项目不</w:t>
                  </w:r>
                  <w:r>
                    <w:t>转让、买卖医疗废物</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rPr>
                      <w:rFonts w:hint="eastAsia"/>
                    </w:rPr>
                    <w:t>9</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rPr>
                  </w:pPr>
                  <w:r>
                    <w:t>禁止邮寄医疗废物</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lang w:eastAsia="zh-CN"/>
                    </w:rPr>
                  </w:pPr>
                  <w:r>
                    <w:rPr>
                      <w:rFonts w:hint="eastAsia"/>
                      <w:lang w:eastAsia="zh-CN"/>
                    </w:rPr>
                    <w:t>本项目不邮寄医疗废物</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5000" w:type="pct"/>
                  <w:gridSpan w:val="4"/>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医疗卫生机构对医疗废物的管理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1</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eastAsia="zh-CN"/>
                    </w:rPr>
                  </w:pPr>
                  <w:r>
                    <w:t>医疗卫生机构应当及时收集本单位产生的医疗废物，并按照类别分置于防渗漏、防锐器穿透的专用包装物或者密闭的容器内</w:t>
                  </w:r>
                  <w:r>
                    <w:rPr>
                      <w:rFonts w:hint="eastAsia"/>
                      <w:lang w:eastAsia="zh-CN"/>
                    </w:rPr>
                    <w:t>；</w:t>
                  </w:r>
                  <w:r>
                    <w:t>医疗废物专用包装物、容器，应当有明显的警示标识和警示说明。</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rPr>
                  </w:pPr>
                  <w:r>
                    <w:rPr>
                      <w:rFonts w:hint="eastAsia"/>
                      <w:lang w:eastAsia="zh-CN"/>
                    </w:rPr>
                    <w:t>本项目</w:t>
                  </w:r>
                  <w:r>
                    <w:t>及时收集本单位产生的医疗废物，并按照类别分置于防渗漏、防锐器穿透的专用包装物或者密闭的容器内</w:t>
                  </w:r>
                  <w:r>
                    <w:rPr>
                      <w:rFonts w:hint="eastAsia"/>
                      <w:lang w:eastAsia="zh-CN"/>
                    </w:rPr>
                    <w:t>；</w:t>
                  </w:r>
                  <w:r>
                    <w:t>医疗废物</w:t>
                  </w:r>
                  <w:r>
                    <w:rPr>
                      <w:rFonts w:hint="eastAsia"/>
                      <w:lang w:eastAsia="zh-CN"/>
                    </w:rPr>
                    <w:t>采用</w:t>
                  </w:r>
                  <w:r>
                    <w:t>专用包装物、容器，</w:t>
                  </w:r>
                  <w:r>
                    <w:rPr>
                      <w:rFonts w:hint="eastAsia"/>
                      <w:lang w:eastAsia="zh-CN"/>
                    </w:rPr>
                    <w:t>并</w:t>
                  </w:r>
                  <w:r>
                    <w:t>有明显的警示标识和警示说明</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2</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rPr>
                  </w:pPr>
                  <w:r>
                    <w:rPr>
                      <w:rFonts w:hint="eastAsia"/>
                      <w:lang w:eastAsia="zh-CN"/>
                    </w:rPr>
                    <w:t>医</w:t>
                  </w:r>
                  <w:r>
                    <w:t>疗卫生机构应当建立医疗废物的暂时贮存设施、设备，不得露天存放医疗废物；医疗废物暂时贮存的时间不得超过2天。</w:t>
                  </w:r>
                  <w:r>
                    <w:rPr>
                      <w:rFonts w:hint="default"/>
                      <w:lang w:val="en-US" w:eastAsia="zh-CN"/>
                    </w:rPr>
                    <w:t>医疗废物的暂时贮存设施、设备，应当远离医疗区、食品加工区和人员活动区以及生活垃圾存放场所，并设置明显的警示标识和防渗漏、防鼠、防蚊蝇、防蟑螂、防盗以及预防儿童接触等安全措施。医疗废物的暂时贮存设施、设备应当定期消毒和清洁。</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lang w:eastAsia="zh-CN"/>
                    </w:rPr>
                  </w:pPr>
                  <w:r>
                    <w:rPr>
                      <w:rFonts w:hint="eastAsia"/>
                      <w:lang w:eastAsia="zh-CN"/>
                    </w:rPr>
                    <w:t>本项目建立医疗废物暂存间，</w:t>
                  </w:r>
                  <w:r>
                    <w:t>不露天存放医疗废物</w:t>
                  </w:r>
                  <w:r>
                    <w:rPr>
                      <w:rFonts w:hint="eastAsia"/>
                      <w:lang w:eastAsia="zh-CN"/>
                    </w:rPr>
                    <w:t>；</w:t>
                  </w:r>
                  <w:r>
                    <w:t>医疗废物暂时贮存的时间不超过2天</w:t>
                  </w:r>
                  <w:r>
                    <w:rPr>
                      <w:rFonts w:hint="eastAsia"/>
                      <w:lang w:eastAsia="zh-CN"/>
                    </w:rPr>
                    <w:t>；医疗废物暂存间</w:t>
                  </w:r>
                  <w:r>
                    <w:rPr>
                      <w:rFonts w:hint="default"/>
                      <w:lang w:val="en-US" w:eastAsia="zh-CN"/>
                    </w:rPr>
                    <w:t>远离医疗区、食品加工区和人员活动区以及生活垃圾存放场所</w:t>
                  </w:r>
                  <w:r>
                    <w:rPr>
                      <w:rFonts w:hint="eastAsia"/>
                      <w:lang w:val="en-US" w:eastAsia="zh-CN"/>
                    </w:rPr>
                    <w:t>；</w:t>
                  </w:r>
                  <w:r>
                    <w:rPr>
                      <w:rFonts w:hint="default"/>
                      <w:lang w:val="en-US" w:eastAsia="zh-CN"/>
                    </w:rPr>
                    <w:t>设置明显的警示标识和防渗漏、防鼠、防蚊蝇、防蟑螂、防盗以及预防儿童接触等安全措施。</w:t>
                  </w:r>
                  <w:r>
                    <w:rPr>
                      <w:rFonts w:hint="eastAsia"/>
                      <w:lang w:eastAsia="zh-CN"/>
                    </w:rPr>
                    <w:t>医疗废物暂存间</w:t>
                  </w:r>
                  <w:r>
                    <w:rPr>
                      <w:rFonts w:hint="default"/>
                      <w:lang w:val="en-US" w:eastAsia="zh-CN"/>
                    </w:rPr>
                    <w:t>定期消毒和清洁</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3</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rPr>
                      <w:rFonts w:hint="default"/>
                      <w:lang w:val="en-US" w:eastAsia="zh-CN"/>
                    </w:rPr>
                    <w:t>医疗卫生机构应当使用防渗漏、防遗撒的专用运送工具，按照本单位确定的内部医疗废物运送时间、路线，将医疗废物收集、运送至暂时贮存地点。运送工具使用后应当在医疗卫生机构内指定的地点及时消毒和清洁。</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rPr>
                  </w:pPr>
                  <w:r>
                    <w:rPr>
                      <w:rFonts w:hint="eastAsia"/>
                      <w:lang w:val="en-US" w:eastAsia="zh-CN"/>
                    </w:rPr>
                    <w:t>本项目</w:t>
                  </w:r>
                  <w:r>
                    <w:rPr>
                      <w:rFonts w:hint="default"/>
                      <w:lang w:val="en-US" w:eastAsia="zh-CN"/>
                    </w:rPr>
                    <w:t>使用防渗漏、防遗撒的专用运送工具，按照本单位确定的内部医疗废物运送时间、路线，将医疗废物收集、运送至暂时贮存地点</w:t>
                  </w:r>
                  <w:r>
                    <w:t>。</w:t>
                  </w:r>
                  <w:r>
                    <w:rPr>
                      <w:rFonts w:hint="default"/>
                      <w:lang w:val="en-US" w:eastAsia="zh-CN"/>
                    </w:rPr>
                    <w:t>运送工具在</w:t>
                  </w:r>
                  <w:r>
                    <w:rPr>
                      <w:rFonts w:hint="eastAsia"/>
                      <w:lang w:val="en-US" w:eastAsia="zh-CN"/>
                    </w:rPr>
                    <w:t>企业</w:t>
                  </w:r>
                  <w:r>
                    <w:rPr>
                      <w:rFonts w:hint="default"/>
                      <w:lang w:val="en-US" w:eastAsia="zh-CN"/>
                    </w:rPr>
                    <w:t>指定的地点及时消毒和清洁</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4</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rPr>
                      <w:rFonts w:hint="default"/>
                      <w:lang w:val="en-US" w:eastAsia="zh-CN"/>
                    </w:rPr>
                    <w:t>医疗卫生机构应当根据就近集中处置的原则，及时将医疗废物交由医疗废物集中处置单位处置。医疗废物中病原体的培养基、标本和菌种、毒种保存液等高危险废物，在交医疗废物集中处置单位处置前应当就地消毒。</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lang w:eastAsia="zh-CN"/>
                    </w:rPr>
                  </w:pPr>
                  <w:r>
                    <w:rPr>
                      <w:rFonts w:hint="eastAsia"/>
                      <w:lang w:eastAsia="zh-CN"/>
                    </w:rPr>
                    <w:t>企业及时</w:t>
                  </w:r>
                  <w:r>
                    <w:rPr>
                      <w:rFonts w:hint="default"/>
                      <w:lang w:val="en-US" w:eastAsia="zh-CN"/>
                    </w:rPr>
                    <w:t>将医疗废物交由医疗废物集中处置单位处置</w:t>
                  </w:r>
                  <w:r>
                    <w:t>。</w:t>
                  </w:r>
                  <w:r>
                    <w:rPr>
                      <w:rFonts w:hint="eastAsia"/>
                      <w:lang w:eastAsia="zh-CN"/>
                    </w:rPr>
                    <w:t>本项目不涉及</w:t>
                  </w:r>
                  <w:r>
                    <w:rPr>
                      <w:rFonts w:hint="default"/>
                      <w:lang w:val="en-US" w:eastAsia="zh-CN"/>
                    </w:rPr>
                    <w:t>病原体的培养基、标本和菌种、毒种保存液等高危险废物</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5</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医疗卫生机构产生的污水、传染病病人或者疑似传染病病人的排泄物，应当按照国家规定严格消毒；达到国家规定的排放标准后，方可排入污水处理系</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lang w:eastAsia="zh-CN"/>
                    </w:rPr>
                  </w:pPr>
                  <w:r>
                    <w:rPr>
                      <w:rFonts w:hint="eastAsia"/>
                      <w:lang w:eastAsia="zh-CN"/>
                    </w:rPr>
                    <w:t>本项目不涉及</w:t>
                  </w:r>
                  <w:r>
                    <w:t>污水、传染病病人或者疑似传染病病人的排泄物</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r>
                    <w:t>符合</w:t>
                  </w:r>
                </w:p>
              </w:tc>
            </w:tr>
          </w:tbl>
          <w:p>
            <w:pPr>
              <w:pStyle w:val="231"/>
              <w:keepNext w:val="0"/>
              <w:keepLines w:val="0"/>
              <w:pageBreakBefore w:val="0"/>
              <w:widowControl w:val="0"/>
              <w:numPr>
                <w:ilvl w:val="0"/>
                <w:numId w:val="2"/>
              </w:numPr>
              <w:suppressLineNumbers w:val="0"/>
              <w:kinsoku/>
              <w:wordWrap/>
              <w:overflowPunct/>
              <w:topLinePunct w:val="0"/>
              <w:bidi w:val="0"/>
              <w:adjustRightInd/>
              <w:snapToGrid/>
              <w:spacing w:before="0" w:beforeAutospacing="0" w:after="0" w:afterAutospacing="0" w:line="360" w:lineRule="auto"/>
              <w:ind w:left="0" w:right="0" w:firstLine="482"/>
              <w:textAlignment w:val="auto"/>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与《</w:t>
            </w:r>
            <w:r>
              <w:rPr>
                <w:rFonts w:hint="eastAsia" w:cs="Times New Roman"/>
                <w:b/>
                <w:bCs/>
                <w:color w:val="auto"/>
                <w:kern w:val="2"/>
                <w:sz w:val="24"/>
                <w:szCs w:val="24"/>
                <w:lang w:val="en-US" w:eastAsia="zh-CN" w:bidi="ar-SA"/>
              </w:rPr>
              <w:t>医疗废物集中处置规范（试行）</w:t>
            </w:r>
            <w:r>
              <w:rPr>
                <w:rFonts w:hint="eastAsia" w:ascii="Times New Roman" w:hAnsi="Times New Roman" w:eastAsia="宋体" w:cs="Times New Roman"/>
                <w:b/>
                <w:bCs/>
                <w:color w:val="auto"/>
                <w:kern w:val="2"/>
                <w:sz w:val="24"/>
                <w:szCs w:val="24"/>
                <w:lang w:val="en-US" w:eastAsia="zh-CN" w:bidi="ar-SA"/>
              </w:rPr>
              <w:t>》（</w:t>
            </w:r>
            <w:r>
              <w:rPr>
                <w:rFonts w:hint="eastAsia" w:cs="Times New Roman"/>
                <w:b/>
                <w:bCs/>
                <w:color w:val="auto"/>
                <w:kern w:val="2"/>
                <w:sz w:val="24"/>
                <w:szCs w:val="24"/>
                <w:lang w:val="en-US" w:eastAsia="zh-CN" w:bidi="ar-SA"/>
              </w:rPr>
              <w:t>环发[2003]206号</w:t>
            </w:r>
            <w:r>
              <w:rPr>
                <w:rFonts w:hint="eastAsia" w:ascii="Times New Roman" w:hAnsi="Times New Roman" w:eastAsia="宋体" w:cs="Times New Roman"/>
                <w:b/>
                <w:bCs/>
                <w:color w:val="auto"/>
                <w:kern w:val="2"/>
                <w:sz w:val="24"/>
                <w:szCs w:val="24"/>
                <w:lang w:val="en-US" w:eastAsia="zh-CN" w:bidi="ar-SA"/>
              </w:rPr>
              <w:t>）的符合性分析</w:t>
            </w:r>
          </w:p>
          <w:p>
            <w:pPr>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textAlignment w:val="auto"/>
              <w:rPr>
                <w:rFonts w:hint="eastAsia"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本项目与</w:t>
            </w:r>
            <w:r>
              <w:rPr>
                <w:rFonts w:hint="eastAsia" w:ascii="Times New Roman" w:hAnsi="Times New Roman" w:eastAsia="宋体" w:cs="Times New Roman"/>
                <w:b w:val="0"/>
                <w:bCs w:val="0"/>
                <w:color w:val="auto"/>
                <w:kern w:val="2"/>
                <w:sz w:val="24"/>
                <w:szCs w:val="24"/>
                <w:lang w:val="en-US" w:eastAsia="zh-CN" w:bidi="ar-SA"/>
              </w:rPr>
              <w:t>《</w:t>
            </w:r>
            <w:r>
              <w:rPr>
                <w:rFonts w:hint="eastAsia" w:cs="Times New Roman"/>
                <w:b w:val="0"/>
                <w:bCs w:val="0"/>
                <w:color w:val="auto"/>
                <w:kern w:val="2"/>
                <w:sz w:val="24"/>
                <w:szCs w:val="24"/>
                <w:lang w:val="en-US" w:eastAsia="zh-CN" w:bidi="ar-SA"/>
              </w:rPr>
              <w:t>医疗废物集中处置规范（试行）</w:t>
            </w:r>
            <w:r>
              <w:rPr>
                <w:rFonts w:hint="eastAsia" w:ascii="Times New Roman" w:hAnsi="Times New Roman" w:eastAsia="宋体" w:cs="Times New Roman"/>
                <w:b w:val="0"/>
                <w:bCs w:val="0"/>
                <w:color w:val="auto"/>
                <w:kern w:val="2"/>
                <w:sz w:val="24"/>
                <w:szCs w:val="24"/>
                <w:lang w:val="en-US" w:eastAsia="zh-CN" w:bidi="ar-SA"/>
              </w:rPr>
              <w:t>》（</w:t>
            </w:r>
            <w:r>
              <w:rPr>
                <w:rFonts w:hint="eastAsia" w:cs="Times New Roman"/>
                <w:b w:val="0"/>
                <w:bCs w:val="0"/>
                <w:color w:val="auto"/>
                <w:kern w:val="2"/>
                <w:sz w:val="24"/>
                <w:szCs w:val="24"/>
                <w:lang w:val="en-US" w:eastAsia="zh-CN" w:bidi="ar-SA"/>
              </w:rPr>
              <w:t>环发[2003]206号</w:t>
            </w:r>
            <w:r>
              <w:rPr>
                <w:rFonts w:hint="eastAsia" w:ascii="Times New Roman" w:hAnsi="Times New Roman" w:eastAsia="宋体" w:cs="Times New Roman"/>
                <w:b w:val="0"/>
                <w:bCs w:val="0"/>
                <w:color w:val="auto"/>
                <w:kern w:val="2"/>
                <w:sz w:val="24"/>
                <w:szCs w:val="24"/>
                <w:lang w:val="en-US" w:eastAsia="zh-CN" w:bidi="ar-SA"/>
              </w:rPr>
              <w:t>）</w:t>
            </w:r>
            <w:r>
              <w:rPr>
                <w:rFonts w:hint="eastAsia" w:ascii="Times New Roman" w:hAnsi="Times New Roman" w:eastAsia="宋体" w:cs="Times New Roman"/>
                <w:b w:val="0"/>
                <w:bCs w:val="0"/>
                <w:color w:val="auto"/>
                <w:highlight w:val="none"/>
                <w:lang w:val="en-US" w:eastAsia="zh-CN"/>
              </w:rPr>
              <w:t>的符合性分析见表1-</w:t>
            </w:r>
            <w:r>
              <w:rPr>
                <w:rFonts w:hint="eastAsia" w:cs="Times New Roman"/>
                <w:b w:val="0"/>
                <w:bCs w:val="0"/>
                <w:color w:val="auto"/>
                <w:highlight w:val="none"/>
                <w:lang w:val="en-US" w:eastAsia="zh-CN"/>
              </w:rPr>
              <w:t>4</w:t>
            </w:r>
            <w:r>
              <w:rPr>
                <w:rFonts w:hint="eastAsia" w:ascii="Times New Roman" w:hAnsi="Times New Roman" w:eastAsia="宋体" w:cs="Times New Roman"/>
                <w:b w:val="0"/>
                <w:bCs w:val="0"/>
                <w:color w:val="auto"/>
                <w:highlight w:val="none"/>
                <w:lang w:val="en-US" w:eastAsia="zh-CN"/>
              </w:rPr>
              <w:t>。</w:t>
            </w:r>
          </w:p>
          <w:p>
            <w:pPr>
              <w:pStyle w:val="9"/>
              <w:suppressLineNumbers w:val="0"/>
              <w:bidi w:val="0"/>
              <w:spacing w:before="0" w:beforeAutospacing="0" w:after="0" w:afterAutospacing="0"/>
              <w:ind w:left="0" w:right="0"/>
              <w:rPr>
                <w:rFonts w:hint="eastAsia" w:ascii="Times New Roman" w:hAnsi="Times New Roman" w:eastAsia="宋体" w:cs="Times New Roman"/>
                <w:b/>
                <w:bCs/>
                <w:color w:val="auto"/>
                <w:sz w:val="21"/>
                <w:lang w:val="en-US" w:eastAsia="zh-CN"/>
              </w:rPr>
            </w:pPr>
            <w:r>
              <w:rPr>
                <w:rFonts w:hint="default" w:ascii="Times New Roman" w:hAnsi="Times New Roman" w:eastAsia="宋体" w:cs="Times New Roman"/>
                <w:b/>
                <w:bCs/>
                <w:color w:val="auto"/>
                <w:sz w:val="21"/>
                <w:lang w:val="en-US" w:eastAsia="zh-CN"/>
              </w:rPr>
              <w:t>表</w:t>
            </w:r>
            <w:r>
              <w:rPr>
                <w:rFonts w:hint="eastAsia" w:ascii="Times New Roman" w:hAnsi="Times New Roman" w:eastAsia="宋体" w:cs="Times New Roman"/>
                <w:b/>
                <w:bCs/>
                <w:color w:val="auto"/>
                <w:sz w:val="21"/>
                <w:lang w:val="en-US" w:eastAsia="zh-CN"/>
              </w:rPr>
              <w:t>1</w:t>
            </w:r>
            <w:r>
              <w:rPr>
                <w:rFonts w:hint="default" w:ascii="Times New Roman" w:hAnsi="Times New Roman" w:eastAsia="宋体" w:cs="Times New Roman"/>
                <w:b/>
                <w:bCs/>
                <w:color w:val="auto"/>
                <w:sz w:val="21"/>
                <w:lang w:val="en-US" w:eastAsia="zh-CN"/>
              </w:rPr>
              <w:t>-</w:t>
            </w:r>
            <w:r>
              <w:rPr>
                <w:rFonts w:hint="eastAsia" w:cs="Times New Roman"/>
                <w:b/>
                <w:bCs/>
                <w:color w:val="auto"/>
                <w:sz w:val="21"/>
                <w:lang w:val="en-US" w:eastAsia="zh-CN"/>
              </w:rPr>
              <w:t>4</w:t>
            </w:r>
            <w:r>
              <w:rPr>
                <w:rFonts w:hint="default" w:ascii="Times New Roman" w:hAnsi="Times New Roman" w:eastAsia="宋体" w:cs="Times New Roman"/>
                <w:b/>
                <w:bCs/>
                <w:color w:val="auto"/>
                <w:sz w:val="21"/>
                <w:lang w:val="en-US" w:eastAsia="zh-CN"/>
              </w:rPr>
              <w:t xml:space="preserve">  </w:t>
            </w:r>
            <w:r>
              <w:rPr>
                <w:rFonts w:hint="eastAsia" w:ascii="Times New Roman" w:hAnsi="Times New Roman" w:eastAsia="宋体" w:cs="Times New Roman"/>
                <w:b/>
                <w:bCs/>
                <w:color w:val="auto"/>
                <w:sz w:val="21"/>
                <w:lang w:val="en-US" w:eastAsia="zh-CN"/>
              </w:rPr>
              <w:t>与《医疗废物集中处置规范（试行）》（环发[2003]206号）</w:t>
            </w:r>
            <w:r>
              <w:rPr>
                <w:rFonts w:hint="default" w:ascii="Times New Roman" w:hAnsi="Times New Roman" w:eastAsia="宋体" w:cs="Times New Roman"/>
                <w:b/>
                <w:bCs/>
                <w:color w:val="auto"/>
                <w:sz w:val="21"/>
                <w:lang w:val="en-US" w:eastAsia="zh-CN"/>
              </w:rPr>
              <w:t>的符合性分析一栏表</w:t>
            </w:r>
          </w:p>
          <w:tbl>
            <w:tblPr>
              <w:tblStyle w:val="34"/>
              <w:tblW w:w="4997" w:type="pct"/>
              <w:tblInd w:w="-5"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630"/>
              <w:gridCol w:w="3147"/>
              <w:gridCol w:w="2378"/>
              <w:gridCol w:w="819"/>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b/>
                    </w:rPr>
                  </w:pPr>
                  <w:r>
                    <w:rPr>
                      <w:b/>
                    </w:rPr>
                    <w:t>序号</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b/>
                    </w:rPr>
                  </w:pPr>
                  <w:r>
                    <w:rPr>
                      <w:rFonts w:hint="eastAsia"/>
                      <w:b/>
                    </w:rPr>
                    <w:t>标准</w:t>
                  </w:r>
                  <w:r>
                    <w:rPr>
                      <w:b/>
                    </w:rPr>
                    <w:t>要求</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b/>
                    </w:rPr>
                  </w:pPr>
                  <w:r>
                    <w:rPr>
                      <w:b/>
                    </w:rPr>
                    <w:t>本项目情况</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b/>
                    </w:rPr>
                  </w:pPr>
                  <w:r>
                    <w:rPr>
                      <w:b/>
                    </w:rPr>
                    <w:t>符合性</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7" w:hRule="atLeast"/>
              </w:trPr>
              <w:tc>
                <w:tcPr>
                  <w:tcW w:w="5000" w:type="pct"/>
                  <w:gridSpan w:val="4"/>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default"/>
                      <w:lang w:val="en-US" w:eastAsia="zh-CN"/>
                    </w:rPr>
                    <w:t>医疗废物的暂时贮存</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1</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医疗废物暂时贮存柜（箱）必须与生活垃圾存放地分开，并有防雨淋、防扬散措施，同时符合消防安全要求；</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eastAsia"/>
                      <w:lang w:val="en-US" w:eastAsia="zh-CN"/>
                    </w:rPr>
                    <w:t>本项目</w:t>
                  </w:r>
                  <w:r>
                    <w:rPr>
                      <w:rFonts w:hint="default"/>
                      <w:lang w:val="en-US" w:eastAsia="zh-CN"/>
                    </w:rPr>
                    <w:t>医疗废物暂时贮存柜（箱）</w:t>
                  </w:r>
                  <w:r>
                    <w:rPr>
                      <w:rFonts w:hint="eastAsia"/>
                      <w:lang w:val="en-US" w:eastAsia="zh-CN"/>
                    </w:rPr>
                    <w:t>与</w:t>
                  </w:r>
                  <w:r>
                    <w:rPr>
                      <w:rFonts w:hint="default"/>
                      <w:lang w:val="en-US" w:eastAsia="zh-CN"/>
                    </w:rPr>
                    <w:t>生活垃圾存放地分开</w:t>
                  </w:r>
                  <w:r>
                    <w:rPr>
                      <w:rFonts w:hint="eastAsia"/>
                      <w:lang w:val="en-US" w:eastAsia="zh-CN"/>
                    </w:rPr>
                    <w:t>，具有</w:t>
                  </w:r>
                  <w:r>
                    <w:rPr>
                      <w:rFonts w:hint="default"/>
                      <w:lang w:val="en-US" w:eastAsia="zh-CN"/>
                    </w:rPr>
                    <w:t>防雨淋、防扬散措施，同时符合消防安全要求</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eastAsia"/>
                      <w:lang w:val="en-US" w:eastAsia="zh-CN"/>
                    </w:rPr>
                    <w:t>2</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default"/>
                      <w:lang w:val="en-US" w:eastAsia="zh-CN"/>
                    </w:rPr>
                    <w:t>将分类包装的医疗废物盛放在周转箱内后，置于专用暂时贮存柜（箱）中。柜（箱）应密闭并采取安全措施，如加锁和固定装置，做到无关人员不可移动，外部应按照GB15562.2和附录A要求设置警示标识；</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eastAsia"/>
                      <w:lang w:val="en-US" w:eastAsia="zh-CN"/>
                    </w:rPr>
                    <w:t>本项目</w:t>
                  </w:r>
                  <w:r>
                    <w:rPr>
                      <w:rFonts w:hint="default"/>
                      <w:lang w:val="en-US" w:eastAsia="zh-CN"/>
                    </w:rPr>
                    <w:t>将分类包装的医疗废物盛放在周转箱内后，置于专用暂时贮存柜（箱）中。柜（箱）密闭并采取安全措施</w:t>
                  </w:r>
                  <w:r>
                    <w:rPr>
                      <w:rFonts w:hint="eastAsia"/>
                      <w:lang w:val="en-US" w:eastAsia="zh-CN"/>
                    </w:rPr>
                    <w:t>，</w:t>
                  </w:r>
                  <w:r>
                    <w:rPr>
                      <w:rFonts w:hint="default"/>
                      <w:lang w:val="en-US" w:eastAsia="zh-CN"/>
                    </w:rPr>
                    <w:t>外部按照GB15562.2和附录A要求设置警示标识</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eastAsia"/>
                      <w:lang w:val="en-US" w:eastAsia="zh-CN"/>
                    </w:rPr>
                    <w:t>3</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default"/>
                      <w:lang w:val="en-US" w:eastAsia="zh-CN"/>
                    </w:rPr>
                    <w:t>可用冷藏柜（箱）作为医疗废物专用暂时贮存柜（箱）；也可用金属或硬制塑料制作，具有一定的强度，防渗漏。</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eastAsia"/>
                      <w:lang w:val="en-US" w:eastAsia="zh-CN"/>
                    </w:rPr>
                    <w:t>本项目用</w:t>
                  </w:r>
                  <w:r>
                    <w:rPr>
                      <w:rFonts w:hint="eastAsia" w:ascii="Times New Roman" w:hAnsi="Times New Roman" w:eastAsia="宋体" w:cs="Times New Roman"/>
                      <w:color w:val="auto"/>
                      <w:kern w:val="2"/>
                      <w:lang w:val="en-US" w:eastAsia="zh-CN"/>
                    </w:rPr>
                    <w:t>轻钢柜体作为</w:t>
                  </w:r>
                  <w:r>
                    <w:rPr>
                      <w:rFonts w:hint="eastAsia" w:cs="Times New Roman"/>
                      <w:color w:val="auto"/>
                      <w:kern w:val="2"/>
                      <w:lang w:val="en-US" w:eastAsia="zh-CN"/>
                    </w:rPr>
                    <w:t>医疗废物暂存间，</w:t>
                  </w:r>
                  <w:r>
                    <w:rPr>
                      <w:rFonts w:hint="default"/>
                      <w:lang w:val="en-US" w:eastAsia="zh-CN"/>
                    </w:rPr>
                    <w:t>具有一定的强度，防渗漏</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eastAsia"/>
                      <w:lang w:val="en-US" w:eastAsia="zh-CN"/>
                    </w:rPr>
                    <w:t>4</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default"/>
                      <w:lang w:val="en-US" w:eastAsia="zh-CN"/>
                    </w:rPr>
                    <w:t>医疗废物暂时贮存库房每天应在废物清运之后消毒冲洗，冲洗液应排入医疗卫生机构内的医疗废水消毒、处理系统。</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eastAsia"/>
                      <w:lang w:val="en-US" w:eastAsia="zh-CN"/>
                    </w:rPr>
                    <w:t>本项目每天在</w:t>
                  </w:r>
                  <w:r>
                    <w:rPr>
                      <w:rFonts w:hint="default"/>
                      <w:lang w:val="en-US" w:eastAsia="zh-CN"/>
                    </w:rPr>
                    <w:t>废物清运之后</w:t>
                  </w:r>
                  <w:r>
                    <w:rPr>
                      <w:rFonts w:hint="eastAsia"/>
                      <w:lang w:val="en-US" w:eastAsia="zh-CN"/>
                    </w:rPr>
                    <w:t>采用复合亚氯酸钠或酒精进行消毒，消毒废液收集后与医疗废物一同委托有资质单位处理</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eastAsia"/>
                      <w:lang w:val="en-US" w:eastAsia="zh-CN"/>
                    </w:rPr>
                    <w:t>5</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default"/>
                      <w:lang w:val="en-US" w:eastAsia="zh-CN"/>
                    </w:rPr>
                    <w:t>医疗废物暂时贮存柜（箱）应每天消毒一次。</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eastAsia"/>
                      <w:lang w:val="en-US" w:eastAsia="zh-CN"/>
                    </w:rPr>
                    <w:t>本项目按要求每天消毒一次。</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eastAsia"/>
                      <w:lang w:val="en-US" w:eastAsia="zh-CN"/>
                    </w:rPr>
                    <w:t>6</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default"/>
                      <w:lang w:val="en-US" w:eastAsia="zh-CN"/>
                    </w:rPr>
                    <w:t>应防止医疗废物在暂时贮存库房和专用暂时贮存柜（箱）中腐败散发恶臭，尽量做到日产日清。</w:t>
                  </w:r>
                </w:p>
              </w:tc>
              <w:tc>
                <w:tcPr>
                  <w:tcW w:w="1704" w:type="pct"/>
                  <w:vMerge w:val="restar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eastAsia"/>
                      <w:lang w:val="en-US" w:eastAsia="zh-CN"/>
                    </w:rPr>
                    <w:t>本项目医疗废物暂存时间最长不超过48小时</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eastAsia"/>
                      <w:lang w:val="en-US" w:eastAsia="zh-CN"/>
                    </w:rPr>
                    <w:t>7</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确实不能做到日产日清，且当地最高气温高于25℃时，应将医疗废物低温暂时贮存，暂时贮存温度应低于20℃，时间最长不超过48小时。</w:t>
                  </w:r>
                </w:p>
              </w:tc>
              <w:tc>
                <w:tcPr>
                  <w:tcW w:w="1704" w:type="pct"/>
                  <w:vMerge w:val="continue"/>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eastAsia"/>
                      <w:lang w:val="en-US" w:eastAsia="zh-CN"/>
                    </w:rPr>
                    <w:t>8</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default"/>
                      <w:lang w:val="en-US" w:eastAsia="zh-CN"/>
                    </w:rPr>
                    <w:t>医疗卫生机构应制定医疗废物暂时贮存管理的有关规章制度、工作程序及应急处理措施。</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eastAsia"/>
                      <w:lang w:val="en-US" w:eastAsia="zh-CN"/>
                    </w:rPr>
                    <w:t>本项目按要求</w:t>
                  </w:r>
                  <w:r>
                    <w:rPr>
                      <w:rFonts w:hint="default"/>
                      <w:lang w:val="en-US" w:eastAsia="zh-CN"/>
                    </w:rPr>
                    <w:t>制定医疗废物暂时贮存管理的有关规章制度、工作程序及应急处理措施。</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eastAsia"/>
                      <w:lang w:val="en-US" w:eastAsia="zh-CN"/>
                    </w:rPr>
                    <w:t>9</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default"/>
                      <w:lang w:val="en-US" w:eastAsia="zh-CN"/>
                    </w:rPr>
                    <w:t>医疗卫生机构的暂时贮存库房和医疗废物专用暂时贮存柜（箱）存放地，应当接受当地环保和卫生主管部门的监督检查。</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eastAsia"/>
                      <w:lang w:val="en-US" w:eastAsia="zh-CN"/>
                    </w:rPr>
                    <w:t>本项目</w:t>
                  </w:r>
                  <w:r>
                    <w:rPr>
                      <w:rFonts w:hint="default"/>
                      <w:lang w:val="en-US" w:eastAsia="zh-CN"/>
                    </w:rPr>
                    <w:t>接受当地环保和卫生主管部门的监督检查</w:t>
                  </w:r>
                  <w:r>
                    <w:rPr>
                      <w:rFonts w:hint="eastAsia"/>
                      <w:lang w:val="en-US" w:eastAsia="zh-CN"/>
                    </w:rPr>
                    <w:t>。</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符合</w:t>
                  </w:r>
                </w:p>
              </w:tc>
            </w:tr>
          </w:tbl>
          <w:p>
            <w:pPr>
              <w:keepNext w:val="0"/>
              <w:keepLines w:val="0"/>
              <w:numPr>
                <w:ilvl w:val="0"/>
                <w:numId w:val="2"/>
              </w:numPr>
              <w:suppressLineNumbers w:val="0"/>
              <w:autoSpaceDE w:val="0"/>
              <w:autoSpaceDN w:val="0"/>
              <w:spacing w:before="0" w:beforeAutospacing="0" w:after="0" w:afterAutospacing="0" w:line="360" w:lineRule="auto"/>
              <w:ind w:left="0" w:leftChars="0" w:right="0" w:firstLine="481" w:firstLineChars="200"/>
              <w:rPr>
                <w:rFonts w:hint="eastAsia"/>
                <w:b/>
                <w:color w:val="auto"/>
                <w:sz w:val="24"/>
              </w:rPr>
            </w:pPr>
            <w:r>
              <w:rPr>
                <w:rFonts w:hint="eastAsia"/>
                <w:b/>
                <w:color w:val="auto"/>
                <w:sz w:val="24"/>
              </w:rPr>
              <w:t>与《</w:t>
            </w:r>
            <w:r>
              <w:rPr>
                <w:rFonts w:hint="eastAsia"/>
                <w:b/>
                <w:color w:val="auto"/>
                <w:sz w:val="24"/>
                <w:lang w:eastAsia="zh-CN"/>
              </w:rPr>
              <w:t>医疗废物处理处置</w:t>
            </w:r>
            <w:r>
              <w:rPr>
                <w:rFonts w:hint="eastAsia"/>
                <w:b/>
                <w:color w:val="auto"/>
                <w:sz w:val="24"/>
              </w:rPr>
              <w:t>污染控制标准》（GB</w:t>
            </w:r>
            <w:r>
              <w:rPr>
                <w:rFonts w:hint="eastAsia"/>
                <w:b/>
                <w:color w:val="auto"/>
                <w:sz w:val="24"/>
                <w:lang w:val="en-US" w:eastAsia="zh-CN"/>
              </w:rPr>
              <w:t>3970</w:t>
            </w:r>
            <w:r>
              <w:rPr>
                <w:rFonts w:hint="eastAsia"/>
                <w:b/>
                <w:color w:val="auto"/>
                <w:sz w:val="24"/>
              </w:rPr>
              <w:t>7-20</w:t>
            </w:r>
            <w:r>
              <w:rPr>
                <w:rFonts w:hint="eastAsia"/>
                <w:b/>
                <w:color w:val="auto"/>
                <w:sz w:val="24"/>
                <w:lang w:val="en-US" w:eastAsia="zh-CN"/>
              </w:rPr>
              <w:t>20</w:t>
            </w:r>
            <w:r>
              <w:rPr>
                <w:rFonts w:hint="eastAsia"/>
                <w:b/>
                <w:color w:val="auto"/>
                <w:sz w:val="24"/>
              </w:rPr>
              <w:t>）符合性分析</w:t>
            </w:r>
          </w:p>
          <w:p>
            <w:pPr>
              <w:pStyle w:val="9"/>
              <w:suppressLineNumbers w:val="0"/>
              <w:bidi w:val="0"/>
              <w:spacing w:before="0" w:beforeAutospacing="0" w:after="0" w:afterAutospacing="0"/>
              <w:ind w:left="0" w:right="0"/>
              <w:rPr>
                <w:rFonts w:hint="eastAsia" w:ascii="Times New Roman" w:hAnsi="Times New Roman" w:eastAsia="宋体" w:cs="Times New Roman"/>
                <w:b/>
                <w:bCs/>
                <w:color w:val="auto"/>
                <w:sz w:val="21"/>
                <w:lang w:val="en-US" w:eastAsia="zh-CN"/>
              </w:rPr>
            </w:pPr>
            <w:r>
              <w:rPr>
                <w:rFonts w:hint="default" w:ascii="Times New Roman" w:hAnsi="Times New Roman" w:eastAsia="宋体" w:cs="Times New Roman"/>
                <w:b/>
                <w:bCs/>
                <w:color w:val="auto"/>
                <w:sz w:val="21"/>
                <w:lang w:val="en-US" w:eastAsia="zh-CN"/>
              </w:rPr>
              <w:t>表</w:t>
            </w:r>
            <w:r>
              <w:rPr>
                <w:rFonts w:hint="eastAsia" w:ascii="Times New Roman" w:hAnsi="Times New Roman" w:eastAsia="宋体" w:cs="Times New Roman"/>
                <w:b/>
                <w:bCs/>
                <w:color w:val="auto"/>
                <w:sz w:val="21"/>
                <w:lang w:val="en-US" w:eastAsia="zh-CN"/>
              </w:rPr>
              <w:t>1</w:t>
            </w:r>
            <w:r>
              <w:rPr>
                <w:rFonts w:hint="default" w:ascii="Times New Roman" w:hAnsi="Times New Roman" w:eastAsia="宋体" w:cs="Times New Roman"/>
                <w:b/>
                <w:bCs/>
                <w:color w:val="auto"/>
                <w:sz w:val="21"/>
                <w:lang w:val="en-US" w:eastAsia="zh-CN"/>
              </w:rPr>
              <w:t>-</w:t>
            </w:r>
            <w:r>
              <w:rPr>
                <w:rFonts w:hint="eastAsia" w:cs="Times New Roman"/>
                <w:b/>
                <w:bCs/>
                <w:color w:val="auto"/>
                <w:sz w:val="21"/>
                <w:lang w:val="en-US" w:eastAsia="zh-CN"/>
              </w:rPr>
              <w:t>5</w:t>
            </w:r>
            <w:r>
              <w:rPr>
                <w:rFonts w:hint="default" w:ascii="Times New Roman" w:hAnsi="Times New Roman" w:eastAsia="宋体" w:cs="Times New Roman"/>
                <w:b/>
                <w:bCs/>
                <w:color w:val="auto"/>
                <w:sz w:val="21"/>
                <w:lang w:val="en-US" w:eastAsia="zh-CN"/>
              </w:rPr>
              <w:t xml:space="preserve">  </w:t>
            </w:r>
            <w:r>
              <w:rPr>
                <w:rFonts w:hint="eastAsia" w:ascii="Times New Roman" w:hAnsi="Times New Roman" w:eastAsia="宋体" w:cs="Times New Roman"/>
                <w:b/>
                <w:bCs/>
                <w:color w:val="auto"/>
                <w:sz w:val="21"/>
                <w:lang w:val="en-US" w:eastAsia="zh-CN"/>
              </w:rPr>
              <w:t>与《医疗废物处理处置污染控制标准》（GB39707-2020）</w:t>
            </w:r>
            <w:r>
              <w:rPr>
                <w:rFonts w:hint="default" w:ascii="Times New Roman" w:hAnsi="Times New Roman" w:eastAsia="宋体" w:cs="Times New Roman"/>
                <w:b/>
                <w:bCs/>
                <w:color w:val="auto"/>
                <w:sz w:val="21"/>
                <w:lang w:val="en-US" w:eastAsia="zh-CN"/>
              </w:rPr>
              <w:t>的符合性分析一栏表</w:t>
            </w:r>
          </w:p>
          <w:tbl>
            <w:tblPr>
              <w:tblStyle w:val="34"/>
              <w:tblW w:w="4997" w:type="pct"/>
              <w:tblInd w:w="-5"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630"/>
              <w:gridCol w:w="3147"/>
              <w:gridCol w:w="2378"/>
              <w:gridCol w:w="819"/>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b/>
                    </w:rPr>
                  </w:pPr>
                  <w:r>
                    <w:rPr>
                      <w:b/>
                    </w:rPr>
                    <w:t>序号</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b/>
                    </w:rPr>
                  </w:pPr>
                  <w:r>
                    <w:rPr>
                      <w:rFonts w:hint="eastAsia"/>
                      <w:b/>
                    </w:rPr>
                    <w:t>标准</w:t>
                  </w:r>
                  <w:r>
                    <w:rPr>
                      <w:b/>
                    </w:rPr>
                    <w:t>要求</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b/>
                    </w:rPr>
                  </w:pPr>
                  <w:r>
                    <w:rPr>
                      <w:b/>
                    </w:rPr>
                    <w:t>本项目情况</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b/>
                    </w:rPr>
                  </w:pPr>
                  <w:r>
                    <w:rPr>
                      <w:b/>
                    </w:rPr>
                    <w:t>符合性</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7" w:hRule="atLeast"/>
              </w:trPr>
              <w:tc>
                <w:tcPr>
                  <w:tcW w:w="5000" w:type="pct"/>
                  <w:gridSpan w:val="4"/>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default"/>
                      <w:lang w:val="en-US" w:eastAsia="zh-CN"/>
                    </w:rPr>
                    <w:t>5.4贮存</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1</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医疗废物处理处置单位应设置感染性、损伤性、病理性废物的贮存设施；若收集化学性、药物性废物还应设置专用贮存设施。贮存设施内应设置不同类别医疗废物的贮存区。</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eastAsia"/>
                      <w:lang w:val="en-US" w:eastAsia="zh-CN"/>
                    </w:rPr>
                    <w:t>本项目只进行医疗废物暂存，不进行处理处置，</w:t>
                  </w:r>
                  <w:r>
                    <w:rPr>
                      <w:rFonts w:hint="default"/>
                      <w:lang w:val="en-US" w:eastAsia="zh-CN"/>
                    </w:rPr>
                    <w:t>贮存设施内设置不同类别医疗废物的贮存区</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eastAsia"/>
                      <w:lang w:val="en-US" w:eastAsia="zh-CN"/>
                    </w:rPr>
                    <w:t>2</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default"/>
                      <w:lang w:val="en-US" w:eastAsia="zh-CN"/>
                    </w:rPr>
                    <w:t>贮存设施地面防渗应满足国家和地方有关重点污染源防渗要求。墙面应做防渗处理，感染性、损伤性、病理性废物贮存设施的地面、墙面材料应易于清洗和消毒。</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eastAsia"/>
                      <w:lang w:val="en-US" w:eastAsia="zh-CN"/>
                    </w:rPr>
                    <w:t>本项目</w:t>
                  </w:r>
                  <w:r>
                    <w:rPr>
                      <w:rFonts w:hint="default"/>
                      <w:lang w:val="en-US" w:eastAsia="zh-CN"/>
                    </w:rPr>
                    <w:t>贮存设施地面</w:t>
                  </w:r>
                  <w:r>
                    <w:rPr>
                      <w:rFonts w:hint="default" w:ascii="Times New Roman" w:hAnsi="Times New Roman" w:eastAsia="宋体" w:cs="Times New Roman"/>
                      <w:sz w:val="21"/>
                      <w:szCs w:val="21"/>
                    </w:rPr>
                    <w:t>采用</w:t>
                  </w:r>
                  <w:r>
                    <w:rPr>
                      <w:rFonts w:hint="default" w:ascii="Times New Roman" w:hAnsi="Times New Roman" w:eastAsia="宋体" w:cs="Times New Roman"/>
                      <w:kern w:val="0"/>
                      <w:sz w:val="21"/>
                      <w:szCs w:val="21"/>
                    </w:rPr>
                    <w:t>2mm厚高密度聚乙烯膜等人工防渗材料（渗透系数不大于10</w:t>
                  </w:r>
                  <w:r>
                    <w:rPr>
                      <w:rFonts w:hint="default" w:ascii="Times New Roman" w:hAnsi="Times New Roman" w:eastAsia="宋体" w:cs="Times New Roman"/>
                      <w:kern w:val="0"/>
                      <w:sz w:val="21"/>
                      <w:szCs w:val="21"/>
                      <w:vertAlign w:val="superscript"/>
                    </w:rPr>
                    <w:t>-10</w:t>
                  </w:r>
                  <w:r>
                    <w:rPr>
                      <w:rFonts w:hint="default" w:ascii="Times New Roman" w:hAnsi="Times New Roman" w:eastAsia="宋体" w:cs="Times New Roman"/>
                      <w:kern w:val="0"/>
                      <w:sz w:val="21"/>
                      <w:szCs w:val="21"/>
                    </w:rPr>
                    <w:t>cm/s）</w:t>
                  </w:r>
                  <w:r>
                    <w:rPr>
                      <w:rFonts w:hint="default"/>
                      <w:lang w:val="en-US" w:eastAsia="zh-CN"/>
                    </w:rPr>
                    <w:t>。墙面</w:t>
                  </w:r>
                  <w:r>
                    <w:rPr>
                      <w:rFonts w:hint="eastAsia"/>
                      <w:lang w:val="en-US" w:eastAsia="zh-CN"/>
                    </w:rPr>
                    <w:t>为金属柜体易于清洗和消毒</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eastAsia"/>
                      <w:lang w:val="en-US" w:eastAsia="zh-CN"/>
                    </w:rPr>
                    <w:t>3</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default"/>
                      <w:lang w:val="en-US" w:eastAsia="zh-CN"/>
                    </w:rPr>
                    <w:t>贮存设施应设置废水收集设施，收集的废水应导入废水处理设施。</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eastAsia"/>
                      <w:lang w:val="en-US" w:eastAsia="zh-CN"/>
                    </w:rPr>
                    <w:t>本项目无渗滤液和废水产生</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eastAsia"/>
                      <w:lang w:val="en-US" w:eastAsia="zh-CN"/>
                    </w:rPr>
                    <w:t>5</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default"/>
                      <w:lang w:val="en-US" w:eastAsia="zh-CN"/>
                    </w:rPr>
                    <w:t>医疗废物不能及时处理处置时，应置于贮存设施内贮存。感染性、损伤性、病理性废物应盛装于医疗废物周转箱/桶内一并置于贮存设施内暂时贮存。</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eastAsia"/>
                      <w:lang w:val="en-US" w:eastAsia="zh-CN"/>
                    </w:rPr>
                    <w:t>本项目</w:t>
                  </w:r>
                  <w:r>
                    <w:rPr>
                      <w:rFonts w:hint="default"/>
                      <w:lang w:val="en-US" w:eastAsia="zh-CN"/>
                    </w:rPr>
                    <w:t>感染性、损伤性、病理性废物盛装于医疗废物周转箱/桶内一并置于贮存设施内暂时贮存</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eastAsia"/>
                      <w:lang w:val="en-US" w:eastAsia="zh-CN"/>
                    </w:rPr>
                    <w:t>6</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default"/>
                      <w:lang w:val="en-US" w:eastAsia="zh-CN"/>
                    </w:rPr>
                    <w:t>处理处置单位对感染性、损伤性、病理性废物的贮存应符合以下要求：a）贮存温度≥5℃，贮存时间不得超过24小时；b）贮存温度＜5℃，贮存时间不得超过72小时</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eastAsia"/>
                      <w:lang w:val="en-US" w:eastAsia="zh-CN"/>
                    </w:rPr>
                    <w:t>本项目只进行医疗废物暂存，不进行处理处置</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451"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eastAsia"/>
                      <w:lang w:val="en-US" w:eastAsia="zh-CN"/>
                    </w:rPr>
                    <w:t>7</w:t>
                  </w:r>
                </w:p>
              </w:tc>
              <w:tc>
                <w:tcPr>
                  <w:tcW w:w="2256"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化学性、药物性废物贮存应符合GB18597的要求。</w:t>
                  </w:r>
                </w:p>
              </w:tc>
              <w:tc>
                <w:tcPr>
                  <w:tcW w:w="1704"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lang w:val="en-US" w:eastAsia="zh-CN"/>
                    </w:rPr>
                  </w:pPr>
                  <w:r>
                    <w:rPr>
                      <w:rFonts w:hint="eastAsia"/>
                      <w:lang w:val="en-US" w:eastAsia="zh-CN"/>
                    </w:rPr>
                    <w:t>本项目</w:t>
                  </w:r>
                  <w:r>
                    <w:rPr>
                      <w:rFonts w:hint="default"/>
                      <w:lang w:val="en-US" w:eastAsia="zh-CN"/>
                    </w:rPr>
                    <w:t>化学性、药物性废物贮存应符合GB18597的要求</w:t>
                  </w:r>
                </w:p>
              </w:tc>
              <w:tc>
                <w:tcPr>
                  <w:tcW w:w="587" w:type="pct"/>
                  <w:noWrap w:val="0"/>
                  <w:vAlign w:val="center"/>
                </w:tcPr>
                <w:p>
                  <w:pPr>
                    <w:pStyle w:val="2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lang w:val="en-US" w:eastAsia="zh-CN"/>
                    </w:rPr>
                  </w:pPr>
                  <w:r>
                    <w:rPr>
                      <w:rFonts w:hint="default"/>
                      <w:lang w:val="en-US" w:eastAsia="zh-CN"/>
                    </w:rPr>
                    <w:t>符合</w:t>
                  </w:r>
                </w:p>
              </w:tc>
            </w:tr>
          </w:tbl>
          <w:p>
            <w:pPr>
              <w:keepNext w:val="0"/>
              <w:keepLines w:val="0"/>
              <w:suppressLineNumbers w:val="0"/>
              <w:autoSpaceDE w:val="0"/>
              <w:autoSpaceDN w:val="0"/>
              <w:spacing w:before="0" w:beforeAutospacing="0" w:after="0" w:afterAutospacing="0" w:line="360" w:lineRule="auto"/>
              <w:ind w:left="0" w:right="0" w:firstLine="481" w:firstLineChars="200"/>
              <w:rPr>
                <w:b/>
                <w:color w:val="auto"/>
                <w:sz w:val="24"/>
              </w:rPr>
            </w:pPr>
            <w:r>
              <w:rPr>
                <w:rFonts w:hint="eastAsia"/>
                <w:b/>
                <w:color w:val="auto"/>
                <w:sz w:val="24"/>
                <w:lang w:val="en-US" w:eastAsia="zh-CN"/>
              </w:rPr>
              <w:t>9、</w:t>
            </w:r>
            <w:r>
              <w:rPr>
                <w:rFonts w:hint="eastAsia"/>
                <w:b/>
                <w:color w:val="auto"/>
                <w:sz w:val="24"/>
              </w:rPr>
              <w:t>与《危险废物贮存污染控制标准》（GB18597-2023）符合性分析</w:t>
            </w:r>
          </w:p>
          <w:p>
            <w:pPr>
              <w:pStyle w:val="225"/>
              <w:keepNext w:val="0"/>
              <w:keepLines w:val="0"/>
              <w:suppressLineNumbers w:val="0"/>
              <w:spacing w:before="0" w:beforeAutospacing="0" w:after="0" w:afterAutospacing="0" w:line="359" w:lineRule="auto"/>
              <w:ind w:left="110" w:right="96" w:firstLine="478"/>
              <w:rPr>
                <w:color w:val="auto"/>
                <w:sz w:val="24"/>
                <w:szCs w:val="24"/>
                <w:lang w:eastAsia="zh-CN"/>
              </w:rPr>
            </w:pPr>
            <w:r>
              <w:rPr>
                <w:color w:val="auto"/>
                <w:spacing w:val="-3"/>
                <w:sz w:val="24"/>
                <w:szCs w:val="24"/>
                <w:lang w:eastAsia="zh-CN"/>
              </w:rPr>
              <w:t>本项目与《危险废物贮存污染控制标准》（</w:t>
            </w:r>
            <w:r>
              <w:rPr>
                <w:rFonts w:ascii="Times New Roman" w:hAnsi="Times New Roman" w:eastAsia="Times New Roman" w:cs="Times New Roman"/>
                <w:color w:val="auto"/>
                <w:spacing w:val="-3"/>
                <w:sz w:val="24"/>
                <w:szCs w:val="24"/>
                <w:lang w:eastAsia="zh-CN"/>
              </w:rPr>
              <w:t>GB18597-2023</w:t>
            </w:r>
            <w:r>
              <w:rPr>
                <w:color w:val="auto"/>
                <w:spacing w:val="-3"/>
                <w:sz w:val="24"/>
                <w:szCs w:val="24"/>
                <w:lang w:eastAsia="zh-CN"/>
              </w:rPr>
              <w:t>）</w:t>
            </w:r>
            <w:r>
              <w:rPr>
                <w:color w:val="auto"/>
                <w:spacing w:val="-4"/>
                <w:sz w:val="24"/>
                <w:szCs w:val="24"/>
                <w:lang w:eastAsia="zh-CN"/>
              </w:rPr>
              <w:t>符合性</w:t>
            </w:r>
            <w:r>
              <w:rPr>
                <w:color w:val="auto"/>
                <w:spacing w:val="-2"/>
                <w:sz w:val="24"/>
                <w:szCs w:val="24"/>
                <w:lang w:eastAsia="zh-CN"/>
              </w:rPr>
              <w:t>分析见下表</w:t>
            </w:r>
            <w:r>
              <w:rPr>
                <w:rFonts w:hint="eastAsia" w:ascii="Times New Roman" w:hAnsi="Times New Roman" w:cs="Times New Roman"/>
                <w:color w:val="auto"/>
                <w:spacing w:val="-2"/>
                <w:sz w:val="24"/>
                <w:szCs w:val="24"/>
                <w:lang w:eastAsia="zh-CN"/>
              </w:rPr>
              <w:t>1-</w:t>
            </w:r>
            <w:r>
              <w:rPr>
                <w:rFonts w:hint="eastAsia" w:ascii="Times New Roman" w:hAnsi="Times New Roman" w:cs="Times New Roman"/>
                <w:color w:val="auto"/>
                <w:spacing w:val="-2"/>
                <w:sz w:val="24"/>
                <w:szCs w:val="24"/>
                <w:lang w:val="en-US" w:eastAsia="zh-CN"/>
              </w:rPr>
              <w:t>6</w:t>
            </w:r>
            <w:r>
              <w:rPr>
                <w:color w:val="auto"/>
                <w:spacing w:val="-2"/>
                <w:sz w:val="24"/>
                <w:szCs w:val="24"/>
                <w:lang w:eastAsia="zh-CN"/>
              </w:rPr>
              <w:t>。</w:t>
            </w:r>
          </w:p>
          <w:p>
            <w:pPr>
              <w:pStyle w:val="225"/>
              <w:keepNext w:val="0"/>
              <w:keepLines w:val="0"/>
              <w:suppressLineNumbers w:val="0"/>
              <w:spacing w:before="0" w:beforeAutospacing="0" w:after="0" w:afterAutospacing="0" w:line="212" w:lineRule="auto"/>
              <w:ind w:left="1064" w:right="0"/>
              <w:rPr>
                <w:rFonts w:hint="eastAsia" w:ascii="Times New Roman" w:hAnsi="Times New Roman" w:eastAsia="宋体" w:cs="Times New Roman"/>
                <w:b/>
                <w:bCs/>
                <w:color w:val="auto"/>
                <w:kern w:val="2"/>
                <w:sz w:val="21"/>
                <w:szCs w:val="28"/>
                <w:lang w:val="en-US" w:eastAsia="zh-CN" w:bidi="ar-SA"/>
              </w:rPr>
            </w:pPr>
            <w:r>
              <w:rPr>
                <w:rFonts w:hint="eastAsia" w:ascii="Times New Roman" w:hAnsi="Times New Roman" w:eastAsia="宋体" w:cs="Times New Roman"/>
                <w:b/>
                <w:bCs/>
                <w:color w:val="auto"/>
                <w:kern w:val="2"/>
                <w:sz w:val="21"/>
                <w:szCs w:val="28"/>
                <w:lang w:val="en-US" w:eastAsia="zh-CN" w:bidi="ar-SA"/>
              </w:rPr>
              <w:t>表1-</w:t>
            </w:r>
            <w:r>
              <w:rPr>
                <w:rFonts w:hint="eastAsia" w:ascii="Times New Roman" w:hAnsi="Times New Roman" w:cs="Times New Roman"/>
                <w:b/>
                <w:bCs/>
                <w:color w:val="auto"/>
                <w:kern w:val="2"/>
                <w:sz w:val="21"/>
                <w:szCs w:val="28"/>
                <w:lang w:val="en-US" w:eastAsia="zh-CN" w:bidi="ar-SA"/>
              </w:rPr>
              <w:t>6</w:t>
            </w:r>
            <w:r>
              <w:rPr>
                <w:rFonts w:hint="eastAsia" w:ascii="Times New Roman" w:hAnsi="Times New Roman" w:eastAsia="宋体" w:cs="Times New Roman"/>
                <w:b/>
                <w:bCs/>
                <w:color w:val="auto"/>
                <w:kern w:val="2"/>
                <w:sz w:val="21"/>
                <w:szCs w:val="28"/>
                <w:lang w:val="en-US" w:eastAsia="zh-CN" w:bidi="ar-SA"/>
              </w:rPr>
              <w:t xml:space="preserve">  本项目与（GB18597-2023）符合性分析一览表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742"/>
              <w:gridCol w:w="3160"/>
              <w:gridCol w:w="2379"/>
              <w:gridCol w:w="697"/>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序号</w:t>
                  </w:r>
                </w:p>
              </w:tc>
              <w:tc>
                <w:tcPr>
                  <w:tcW w:w="226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标准要求</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本项目情况</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7" w:hRule="atLeast"/>
                <w:jc w:val="center"/>
              </w:trPr>
              <w:tc>
                <w:tcPr>
                  <w:tcW w:w="5000" w:type="pct"/>
                  <w:gridSpan w:val="4"/>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4、总体要求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4.1</w:t>
                  </w:r>
                </w:p>
              </w:tc>
              <w:tc>
                <w:tcPr>
                  <w:tcW w:w="226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产生、收集、贮存、利用、处置危险废物的单位应建造危险废物贮存设施或设置贮存场所，并根据需要选择贮存设施类型。</w:t>
                  </w:r>
                </w:p>
              </w:tc>
              <w:tc>
                <w:tcPr>
                  <w:tcW w:w="1704" w:type="pct"/>
                  <w:vAlign w:val="center"/>
                </w:tcPr>
                <w:p>
                  <w:pPr>
                    <w:pStyle w:val="225"/>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pacing w:val="8"/>
                      <w:sz w:val="21"/>
                      <w:szCs w:val="21"/>
                      <w:lang w:eastAsia="zh-CN"/>
                    </w:rPr>
                    <w:t>本项目建造</w:t>
                  </w:r>
                  <w:r>
                    <w:rPr>
                      <w:rFonts w:hint="eastAsia" w:ascii="Times New Roman" w:hAnsi="Times New Roman" w:cs="Times New Roman"/>
                      <w:spacing w:val="8"/>
                      <w:sz w:val="21"/>
                      <w:szCs w:val="21"/>
                      <w:lang w:eastAsia="zh-CN"/>
                    </w:rPr>
                    <w:t>医疗废物</w:t>
                  </w:r>
                  <w:r>
                    <w:rPr>
                      <w:rFonts w:hint="default" w:ascii="Times New Roman" w:hAnsi="Times New Roman" w:eastAsia="宋体" w:cs="Times New Roman"/>
                      <w:spacing w:val="8"/>
                      <w:sz w:val="21"/>
                      <w:szCs w:val="21"/>
                      <w:lang w:eastAsia="zh-CN"/>
                    </w:rPr>
                    <w:t>贮存间</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4.2</w:t>
                  </w:r>
                </w:p>
              </w:tc>
              <w:tc>
                <w:tcPr>
                  <w:tcW w:w="226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贮存危险废物应根据危险废物的类别、数量、形态、物理化学性质和环境风险等因素，确定贮存设施或场所类型和规模。</w:t>
                  </w:r>
                </w:p>
              </w:tc>
              <w:tc>
                <w:tcPr>
                  <w:tcW w:w="1704" w:type="pct"/>
                  <w:vAlign w:val="center"/>
                </w:tcPr>
                <w:p>
                  <w:pPr>
                    <w:pStyle w:val="225"/>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pacing w:val="3"/>
                      <w:sz w:val="21"/>
                      <w:szCs w:val="21"/>
                      <w:lang w:eastAsia="zh-CN"/>
                    </w:rPr>
                    <w:t>本项目建造</w:t>
                  </w:r>
                  <w:r>
                    <w:rPr>
                      <w:rFonts w:hint="eastAsia" w:ascii="Times New Roman" w:hAnsi="Times New Roman" w:cs="Times New Roman"/>
                      <w:spacing w:val="8"/>
                      <w:sz w:val="21"/>
                      <w:szCs w:val="21"/>
                      <w:lang w:eastAsia="zh-CN"/>
                    </w:rPr>
                    <w:t>医疗废物</w:t>
                  </w:r>
                  <w:r>
                    <w:rPr>
                      <w:rFonts w:hint="default" w:ascii="Times New Roman" w:hAnsi="Times New Roman" w:eastAsia="宋体" w:cs="Times New Roman"/>
                      <w:spacing w:val="8"/>
                      <w:sz w:val="21"/>
                      <w:szCs w:val="21"/>
                      <w:lang w:eastAsia="zh-CN"/>
                    </w:rPr>
                    <w:t>贮存间</w:t>
                  </w:r>
                  <w:r>
                    <w:rPr>
                      <w:rFonts w:hint="default" w:ascii="Times New Roman" w:hAnsi="Times New Roman" w:eastAsia="宋体" w:cs="Times New Roman"/>
                      <w:spacing w:val="3"/>
                      <w:sz w:val="21"/>
                      <w:szCs w:val="21"/>
                      <w:lang w:eastAsia="zh-CN"/>
                    </w:rPr>
                    <w:t>，占地</w:t>
                  </w:r>
                  <w:r>
                    <w:rPr>
                      <w:rFonts w:hint="default" w:ascii="Times New Roman" w:hAnsi="Times New Roman" w:eastAsia="宋体" w:cs="Times New Roman"/>
                      <w:spacing w:val="2"/>
                      <w:sz w:val="21"/>
                      <w:szCs w:val="21"/>
                      <w:lang w:eastAsia="zh-CN"/>
                    </w:rPr>
                    <w:t>面积</w:t>
                  </w:r>
                  <w:r>
                    <w:rPr>
                      <w:rFonts w:hint="eastAsia" w:ascii="Times New Roman" w:hAnsi="Times New Roman" w:eastAsia="宋体" w:cs="Times New Roman"/>
                      <w:spacing w:val="2"/>
                      <w:sz w:val="21"/>
                      <w:szCs w:val="21"/>
                      <w:lang w:val="en-US" w:eastAsia="zh-CN"/>
                    </w:rPr>
                    <w:t>12</w:t>
                  </w:r>
                  <w:r>
                    <w:rPr>
                      <w:rFonts w:hint="default" w:ascii="Times New Roman" w:hAnsi="Times New Roman" w:eastAsia="宋体" w:cs="Times New Roman"/>
                      <w:spacing w:val="2"/>
                      <w:sz w:val="21"/>
                      <w:szCs w:val="21"/>
                      <w:lang w:eastAsia="zh-CN"/>
                    </w:rPr>
                    <w:t>m</w:t>
                  </w:r>
                  <w:r>
                    <w:rPr>
                      <w:rFonts w:hint="default" w:ascii="Times New Roman" w:hAnsi="Times New Roman" w:eastAsia="宋体" w:cs="Times New Roman"/>
                      <w:spacing w:val="2"/>
                      <w:sz w:val="21"/>
                      <w:szCs w:val="21"/>
                      <w:vertAlign w:val="superscript"/>
                      <w:lang w:eastAsia="zh-CN"/>
                    </w:rPr>
                    <w:t>2</w:t>
                  </w:r>
                  <w:r>
                    <w:rPr>
                      <w:rFonts w:hint="default" w:ascii="Times New Roman" w:hAnsi="Times New Roman" w:eastAsia="宋体" w:cs="Times New Roman"/>
                      <w:spacing w:val="2"/>
                      <w:sz w:val="21"/>
                      <w:szCs w:val="21"/>
                      <w:lang w:eastAsia="zh-CN"/>
                    </w:rPr>
                    <w:t>，场所类型和规模</w:t>
                  </w:r>
                  <w:r>
                    <w:rPr>
                      <w:rFonts w:hint="default" w:ascii="Times New Roman" w:hAnsi="Times New Roman" w:eastAsia="宋体" w:cs="Times New Roman"/>
                      <w:spacing w:val="8"/>
                      <w:sz w:val="21"/>
                      <w:szCs w:val="21"/>
                      <w:lang w:eastAsia="zh-CN"/>
                    </w:rPr>
                    <w:t>满足本项目需求</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4.3</w:t>
                  </w:r>
                </w:p>
              </w:tc>
              <w:tc>
                <w:tcPr>
                  <w:tcW w:w="226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贮存危险废物应根据危险废物的类别、形态、物理化学性质和污染防治要求进行分类贮存，且应避免危险废物与不相容的物质或材料接触。</w:t>
                  </w:r>
                </w:p>
              </w:tc>
              <w:tc>
                <w:tcPr>
                  <w:tcW w:w="1704" w:type="pct"/>
                  <w:vAlign w:val="center"/>
                </w:tcPr>
                <w:p>
                  <w:pPr>
                    <w:pStyle w:val="225"/>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pacing w:val="3"/>
                      <w:sz w:val="21"/>
                      <w:szCs w:val="21"/>
                      <w:lang w:eastAsia="zh-CN"/>
                    </w:rPr>
                    <w:t>本项目根据</w:t>
                  </w:r>
                  <w:r>
                    <w:rPr>
                      <w:rFonts w:hint="default" w:ascii="Times New Roman" w:hAnsi="Times New Roman" w:eastAsia="宋体" w:cs="Times New Roman"/>
                      <w:spacing w:val="8"/>
                      <w:sz w:val="21"/>
                      <w:szCs w:val="21"/>
                      <w:lang w:eastAsia="zh-CN"/>
                    </w:rPr>
                    <w:t>危险废物的类</w:t>
                  </w:r>
                  <w:r>
                    <w:rPr>
                      <w:rFonts w:hint="default" w:ascii="Times New Roman" w:hAnsi="Times New Roman" w:eastAsia="宋体" w:cs="Times New Roman"/>
                      <w:spacing w:val="3"/>
                      <w:sz w:val="21"/>
                      <w:szCs w:val="21"/>
                      <w:lang w:eastAsia="zh-CN"/>
                    </w:rPr>
                    <w:t>别、形态、物理化学性质和污染防治要求分</w:t>
                  </w:r>
                  <w:r>
                    <w:rPr>
                      <w:rFonts w:hint="eastAsia" w:ascii="Times New Roman" w:hAnsi="Times New Roman" w:cs="Times New Roman"/>
                      <w:spacing w:val="3"/>
                      <w:sz w:val="21"/>
                      <w:szCs w:val="21"/>
                      <w:lang w:eastAsia="zh-CN"/>
                    </w:rPr>
                    <w:t>五个</w:t>
                  </w:r>
                  <w:r>
                    <w:rPr>
                      <w:rFonts w:hint="default" w:ascii="Times New Roman" w:hAnsi="Times New Roman" w:eastAsia="宋体" w:cs="Times New Roman"/>
                      <w:spacing w:val="3"/>
                      <w:sz w:val="21"/>
                      <w:szCs w:val="21"/>
                      <w:lang w:eastAsia="zh-CN"/>
                    </w:rPr>
                    <w:t>区域分别贮存</w:t>
                  </w:r>
                  <w:r>
                    <w:rPr>
                      <w:rFonts w:hint="eastAsia" w:ascii="Times New Roman" w:hAnsi="Times New Roman" w:eastAsia="宋体" w:cs="Times New Roman"/>
                      <w:spacing w:val="3"/>
                      <w:sz w:val="21"/>
                      <w:szCs w:val="21"/>
                      <w:lang w:val="en-US" w:eastAsia="zh-CN"/>
                    </w:rPr>
                    <w:t>HW01医疗废物</w:t>
                  </w:r>
                  <w:r>
                    <w:rPr>
                      <w:rFonts w:hint="eastAsia" w:ascii="Times New Roman" w:hAnsi="Times New Roman" w:cs="Times New Roman"/>
                      <w:spacing w:val="3"/>
                      <w:sz w:val="21"/>
                      <w:szCs w:val="21"/>
                      <w:lang w:val="en-US" w:eastAsia="zh-CN"/>
                    </w:rPr>
                    <w:t>，</w:t>
                  </w:r>
                  <w:r>
                    <w:rPr>
                      <w:rFonts w:hint="default" w:ascii="Times New Roman" w:hAnsi="Times New Roman" w:eastAsia="宋体" w:cs="Times New Roman"/>
                      <w:spacing w:val="3"/>
                      <w:sz w:val="21"/>
                      <w:szCs w:val="21"/>
                      <w:lang w:eastAsia="zh-CN"/>
                    </w:rPr>
                    <w:t>避免危</w:t>
                  </w:r>
                  <w:r>
                    <w:rPr>
                      <w:rFonts w:hint="default" w:ascii="Times New Roman" w:hAnsi="Times New Roman" w:eastAsia="宋体" w:cs="Times New Roman"/>
                      <w:spacing w:val="8"/>
                      <w:sz w:val="21"/>
                      <w:szCs w:val="21"/>
                      <w:lang w:eastAsia="zh-CN"/>
                    </w:rPr>
                    <w:t>险废物与不相容的物质或材</w:t>
                  </w:r>
                  <w:r>
                    <w:rPr>
                      <w:rFonts w:hint="default" w:ascii="Times New Roman" w:hAnsi="Times New Roman" w:eastAsia="宋体" w:cs="Times New Roman"/>
                      <w:spacing w:val="6"/>
                      <w:sz w:val="21"/>
                      <w:szCs w:val="21"/>
                      <w:lang w:eastAsia="zh-CN"/>
                    </w:rPr>
                    <w:t>料接触</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4.4</w:t>
                  </w:r>
                </w:p>
              </w:tc>
              <w:tc>
                <w:tcPr>
                  <w:tcW w:w="226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贮存危险废物应根据危险废物的形态、物理化学性质、包装形式和污染物迁移途径，采取措施减少渗滤液及其衍生废物、渗漏的液态废物（简称渗漏液）、粉尘、VOCs、酸雾、有毒有害大气污染物和刺激性气味气体等污染物的产生，防止其污染环境。</w:t>
                  </w:r>
                </w:p>
              </w:tc>
              <w:tc>
                <w:tcPr>
                  <w:tcW w:w="170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9"/>
                      <w:sz w:val="21"/>
                      <w:szCs w:val="21"/>
                    </w:rPr>
                    <w:t>本项目</w:t>
                  </w:r>
                  <w:r>
                    <w:rPr>
                      <w:rFonts w:hint="eastAsia" w:cs="Times New Roman"/>
                      <w:spacing w:val="9"/>
                      <w:sz w:val="21"/>
                      <w:szCs w:val="21"/>
                      <w:lang w:eastAsia="zh-CN"/>
                    </w:rPr>
                    <w:t>医用</w:t>
                  </w:r>
                  <w:r>
                    <w:rPr>
                      <w:rFonts w:hint="default" w:ascii="Times New Roman" w:hAnsi="Times New Roman" w:eastAsia="宋体" w:cs="Times New Roman"/>
                      <w:spacing w:val="9"/>
                      <w:sz w:val="21"/>
                      <w:szCs w:val="21"/>
                    </w:rPr>
                    <w:t>均采用密闭桶</w:t>
                  </w:r>
                  <w:r>
                    <w:rPr>
                      <w:rFonts w:hint="eastAsia" w:cs="Times New Roman"/>
                      <w:spacing w:val="9"/>
                      <w:sz w:val="21"/>
                      <w:szCs w:val="21"/>
                      <w:lang w:val="en-US" w:eastAsia="zh-CN"/>
                    </w:rPr>
                    <w:t>/袋</w:t>
                  </w:r>
                  <w:r>
                    <w:rPr>
                      <w:rFonts w:hint="default" w:ascii="Times New Roman" w:hAnsi="Times New Roman" w:eastAsia="宋体" w:cs="Times New Roman"/>
                      <w:spacing w:val="9"/>
                      <w:sz w:val="21"/>
                      <w:szCs w:val="21"/>
                    </w:rPr>
                    <w:t>装。防止其污染环境</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4.5</w:t>
                  </w:r>
                </w:p>
              </w:tc>
              <w:tc>
                <w:tcPr>
                  <w:tcW w:w="226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危险废物贮存过程产生的液态废物和固态废物应分类收集，按其环境管理要求妥善处理。</w:t>
                  </w:r>
                </w:p>
              </w:tc>
              <w:tc>
                <w:tcPr>
                  <w:tcW w:w="1704" w:type="pct"/>
                  <w:vAlign w:val="center"/>
                </w:tcPr>
                <w:p>
                  <w:pPr>
                    <w:pStyle w:val="225"/>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pacing w:val="9"/>
                      <w:sz w:val="21"/>
                      <w:szCs w:val="21"/>
                      <w:lang w:eastAsia="zh-CN"/>
                    </w:rPr>
                    <w:t>本项目液态和固态危险废物</w:t>
                  </w:r>
                  <w:r>
                    <w:rPr>
                      <w:rFonts w:hint="default" w:ascii="Times New Roman" w:hAnsi="Times New Roman" w:eastAsia="宋体" w:cs="Times New Roman"/>
                      <w:spacing w:val="6"/>
                      <w:sz w:val="21"/>
                      <w:szCs w:val="21"/>
                      <w:lang w:eastAsia="zh-CN"/>
                    </w:rPr>
                    <w:t>分类收集</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4.6</w:t>
                  </w:r>
                </w:p>
              </w:tc>
              <w:tc>
                <w:tcPr>
                  <w:tcW w:w="226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贮存设施或场所、容器和包装物应按HJ1276要求设置危险废物贮存设施或场所标志、危险废物贮存分区标志和危险废物标签等危险废物识别标志。</w:t>
                  </w:r>
                </w:p>
              </w:tc>
              <w:tc>
                <w:tcPr>
                  <w:tcW w:w="1704" w:type="pct"/>
                  <w:vAlign w:val="center"/>
                </w:tcPr>
                <w:p>
                  <w:pPr>
                    <w:pStyle w:val="225"/>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pacing w:val="3"/>
                      <w:sz w:val="21"/>
                      <w:szCs w:val="21"/>
                      <w:lang w:eastAsia="zh-CN"/>
                    </w:rPr>
                    <w:t>本项目</w:t>
                  </w:r>
                  <w:r>
                    <w:rPr>
                      <w:rFonts w:hint="eastAsia" w:ascii="Times New Roman" w:hAnsi="Times New Roman" w:cs="Times New Roman"/>
                      <w:spacing w:val="3"/>
                      <w:sz w:val="21"/>
                      <w:szCs w:val="21"/>
                      <w:lang w:eastAsia="zh-CN"/>
                    </w:rPr>
                    <w:t>医疗废物</w:t>
                  </w:r>
                  <w:r>
                    <w:rPr>
                      <w:rFonts w:hint="default" w:ascii="Times New Roman" w:hAnsi="Times New Roman" w:eastAsia="宋体" w:cs="Times New Roman"/>
                      <w:spacing w:val="3"/>
                      <w:sz w:val="21"/>
                      <w:szCs w:val="21"/>
                      <w:lang w:eastAsia="zh-CN"/>
                    </w:rPr>
                    <w:t>贮存间、容器和包装物按</w:t>
                  </w:r>
                  <w:r>
                    <w:rPr>
                      <w:rFonts w:hint="default" w:ascii="Times New Roman" w:hAnsi="Times New Roman" w:eastAsia="宋体" w:cs="Times New Roman"/>
                      <w:sz w:val="21"/>
                      <w:szCs w:val="21"/>
                      <w:lang w:eastAsia="zh-CN"/>
                    </w:rPr>
                    <w:t>HJ</w:t>
                  </w:r>
                  <w:r>
                    <w:rPr>
                      <w:rFonts w:hint="default" w:ascii="Times New Roman" w:hAnsi="Times New Roman" w:eastAsia="宋体" w:cs="Times New Roman"/>
                      <w:spacing w:val="8"/>
                      <w:sz w:val="21"/>
                      <w:szCs w:val="21"/>
                      <w:lang w:eastAsia="zh-CN"/>
                    </w:rPr>
                    <w:t>1276要求设置危险废物贮</w:t>
                  </w:r>
                  <w:r>
                    <w:rPr>
                      <w:rFonts w:hint="default" w:ascii="Times New Roman" w:hAnsi="Times New Roman" w:eastAsia="宋体" w:cs="Times New Roman"/>
                      <w:spacing w:val="3"/>
                      <w:sz w:val="21"/>
                      <w:szCs w:val="21"/>
                      <w:lang w:eastAsia="zh-CN"/>
                    </w:rPr>
                    <w:t>存设施或场所标志、危险废物</w:t>
                  </w:r>
                  <w:r>
                    <w:rPr>
                      <w:rFonts w:hint="default" w:ascii="Times New Roman" w:hAnsi="Times New Roman" w:eastAsia="宋体" w:cs="Times New Roman"/>
                      <w:spacing w:val="9"/>
                      <w:sz w:val="21"/>
                      <w:szCs w:val="21"/>
                      <w:lang w:eastAsia="zh-CN"/>
                    </w:rPr>
                    <w:t>贮存分区标志和危险废物标</w:t>
                  </w:r>
                  <w:r>
                    <w:rPr>
                      <w:rFonts w:hint="default" w:ascii="Times New Roman" w:hAnsi="Times New Roman" w:eastAsia="宋体" w:cs="Times New Roman"/>
                      <w:spacing w:val="8"/>
                      <w:sz w:val="21"/>
                      <w:szCs w:val="21"/>
                      <w:lang w:eastAsia="zh-CN"/>
                    </w:rPr>
                    <w:t>签等危险废物识别标志</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4.7</w:t>
                  </w:r>
                </w:p>
              </w:tc>
              <w:tc>
                <w:tcPr>
                  <w:tcW w:w="226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J1259规定的危险废物环境重点监管单位，应采用电子地磅、电子标签、电子管理台账等技术手段对危险废物贮存过程进行信息化管理，确保数据完整、真实、准确；采用视频监控的应确保监控画面清晰，视频记录保存时间至少为3个月。</w:t>
                  </w:r>
                </w:p>
              </w:tc>
              <w:tc>
                <w:tcPr>
                  <w:tcW w:w="1704" w:type="pct"/>
                  <w:vAlign w:val="center"/>
                </w:tcPr>
                <w:p>
                  <w:pPr>
                    <w:pStyle w:val="225"/>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pacing w:val="9"/>
                      <w:sz w:val="21"/>
                      <w:szCs w:val="21"/>
                      <w:lang w:eastAsia="zh-CN"/>
                    </w:rPr>
                    <w:t>本单位不属于危险废物重点管</w:t>
                  </w:r>
                  <w:r>
                    <w:rPr>
                      <w:rFonts w:hint="default" w:ascii="Times New Roman" w:hAnsi="Times New Roman" w:eastAsia="宋体" w:cs="Times New Roman"/>
                      <w:spacing w:val="3"/>
                      <w:sz w:val="21"/>
                      <w:szCs w:val="21"/>
                      <w:lang w:eastAsia="zh-CN"/>
                    </w:rPr>
                    <w:t>理单位</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4.8</w:t>
                  </w:r>
                </w:p>
              </w:tc>
              <w:tc>
                <w:tcPr>
                  <w:tcW w:w="226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贮存设施退役时，所有者或运营者应依法履行环境保护责任，退役前应妥善处理处置贮存设施内剩余的危险废物，并对贮存设施进行清理，消除污染；还应依据土壤污染防治相关法律法规履行场地环境风险防控责任</w:t>
                  </w:r>
                </w:p>
              </w:tc>
              <w:tc>
                <w:tcPr>
                  <w:tcW w:w="1704" w:type="pct"/>
                  <w:vAlign w:val="center"/>
                </w:tcPr>
                <w:p>
                  <w:pPr>
                    <w:pStyle w:val="225"/>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pacing w:val="9"/>
                      <w:sz w:val="21"/>
                      <w:szCs w:val="21"/>
                      <w:lang w:eastAsia="zh-CN"/>
                    </w:rPr>
                  </w:pPr>
                  <w:r>
                    <w:rPr>
                      <w:rFonts w:hint="default" w:ascii="Times New Roman" w:hAnsi="Times New Roman" w:eastAsia="宋体" w:cs="Times New Roman"/>
                      <w:spacing w:val="9"/>
                      <w:sz w:val="21"/>
                      <w:szCs w:val="21"/>
                      <w:lang w:eastAsia="zh-CN"/>
                    </w:rPr>
                    <w:t>本项目不涉及</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4.9</w:t>
                  </w:r>
                </w:p>
              </w:tc>
              <w:tc>
                <w:tcPr>
                  <w:tcW w:w="226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在常温常压下易爆、易燃及排出有毒气体的危险废物应进行预处理，使之稳定后贮存，否则应按易爆、易燃危险品贮存</w:t>
                  </w:r>
                </w:p>
              </w:tc>
              <w:tc>
                <w:tcPr>
                  <w:tcW w:w="1704" w:type="pct"/>
                  <w:vAlign w:val="center"/>
                </w:tcPr>
                <w:p>
                  <w:pPr>
                    <w:pStyle w:val="225"/>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pacing w:val="9"/>
                      <w:sz w:val="21"/>
                      <w:szCs w:val="21"/>
                      <w:lang w:eastAsia="zh-CN"/>
                    </w:rPr>
                  </w:pPr>
                  <w:r>
                    <w:rPr>
                      <w:rFonts w:hint="default" w:ascii="Times New Roman" w:hAnsi="Times New Roman" w:eastAsia="宋体" w:cs="Times New Roman"/>
                      <w:color w:val="000000"/>
                      <w:kern w:val="0"/>
                      <w:sz w:val="21"/>
                      <w:szCs w:val="21"/>
                      <w:lang w:eastAsia="zh-CN" w:bidi="ar"/>
                    </w:rPr>
                    <w:t>本</w:t>
                  </w:r>
                  <w:r>
                    <w:rPr>
                      <w:rFonts w:hint="default" w:ascii="Times New Roman" w:hAnsi="Times New Roman" w:eastAsia="宋体" w:cs="Times New Roman"/>
                      <w:spacing w:val="9"/>
                      <w:sz w:val="21"/>
                      <w:szCs w:val="21"/>
                      <w:lang w:eastAsia="zh-CN"/>
                    </w:rPr>
                    <w:t>项目</w:t>
                  </w:r>
                  <w:r>
                    <w:rPr>
                      <w:rFonts w:hint="eastAsia" w:ascii="Times New Roman" w:hAnsi="Times New Roman" w:cs="Times New Roman"/>
                      <w:spacing w:val="9"/>
                      <w:sz w:val="21"/>
                      <w:szCs w:val="21"/>
                      <w:lang w:eastAsia="zh-CN"/>
                    </w:rPr>
                    <w:t>医疗废物</w:t>
                  </w:r>
                  <w:r>
                    <w:rPr>
                      <w:rFonts w:hint="default" w:ascii="Times New Roman" w:hAnsi="Times New Roman" w:eastAsia="宋体" w:cs="Times New Roman"/>
                      <w:spacing w:val="9"/>
                      <w:sz w:val="21"/>
                      <w:szCs w:val="21"/>
                      <w:lang w:eastAsia="zh-CN"/>
                    </w:rPr>
                    <w:t>产生量较小，均采用密闭桶</w:t>
                  </w:r>
                  <w:r>
                    <w:rPr>
                      <w:rFonts w:hint="eastAsia" w:ascii="Times New Roman" w:hAnsi="Times New Roman" w:cs="Times New Roman"/>
                      <w:spacing w:val="9"/>
                      <w:sz w:val="21"/>
                      <w:szCs w:val="21"/>
                      <w:lang w:val="en-US" w:eastAsia="zh-CN"/>
                    </w:rPr>
                    <w:t>/袋</w:t>
                  </w:r>
                  <w:r>
                    <w:rPr>
                      <w:rFonts w:hint="default" w:ascii="Times New Roman" w:hAnsi="Times New Roman" w:eastAsia="宋体" w:cs="Times New Roman"/>
                      <w:spacing w:val="9"/>
                      <w:sz w:val="21"/>
                      <w:szCs w:val="21"/>
                      <w:lang w:eastAsia="zh-CN"/>
                    </w:rPr>
                    <w:t>装</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4.8</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危险废物贮存除应满足环境保护相关要求外，还应执行国家安全生产、职业健康、交通运输、消防等法律法规和标准的相关要求。</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本项目按</w:t>
                  </w:r>
                  <w:r>
                    <w:rPr>
                      <w:rFonts w:hint="default" w:ascii="Times New Roman" w:hAnsi="Times New Roman" w:eastAsia="宋体" w:cs="Times New Roman"/>
                      <w:kern w:val="0"/>
                      <w:sz w:val="21"/>
                      <w:szCs w:val="21"/>
                    </w:rPr>
                    <w:t>国家安全生产、职业健康、交通运输、消防等法律法规和标准的相关要求执行。</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4"/>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b/>
                      <w:sz w:val="21"/>
                      <w:szCs w:val="21"/>
                    </w:rPr>
                    <w:t>5、贮存设施选址要求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5.1</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贮存设施选址应满足生态环境保护法律法规、规划和“三线一单”生态环境分区管控的要求，建设项目应依法进行环境影响评价。</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本项目选址符合</w:t>
                  </w:r>
                  <w:r>
                    <w:rPr>
                      <w:rFonts w:hint="default" w:ascii="Times New Roman" w:hAnsi="Times New Roman" w:eastAsia="宋体" w:cs="Times New Roman"/>
                      <w:kern w:val="0"/>
                      <w:sz w:val="21"/>
                      <w:szCs w:val="21"/>
                    </w:rPr>
                    <w:t>生态环境保护法律法规、规划和“三线一单”生态环境分区管控的要求。本项目编制环境影响报告表</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5.2</w:t>
                  </w:r>
                </w:p>
              </w:tc>
              <w:tc>
                <w:tcPr>
                  <w:tcW w:w="226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集中贮存设施不应选在生态保护红线区域、永久基本农田和其他需要特别保护的区域内，不应建在溶洞区或易遭受洪水、滑坡、泥石流、潮汐等严重自然灾害影响的地区。</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本项目选址位于</w:t>
                  </w:r>
                  <w:r>
                    <w:rPr>
                      <w:rFonts w:hint="eastAsia" w:ascii="Times New Roman" w:hAnsi="Times New Roman" w:eastAsia="宋体" w:cs="Times New Roman"/>
                      <w:sz w:val="21"/>
                      <w:szCs w:val="21"/>
                      <w:lang w:val="en-US" w:eastAsia="zh-CN"/>
                    </w:rPr>
                    <w:t>正蓝旗动物疫病预防控制中心</w:t>
                  </w:r>
                  <w:r>
                    <w:rPr>
                      <w:rFonts w:hint="eastAsia" w:cs="Times New Roman"/>
                      <w:sz w:val="21"/>
                      <w:szCs w:val="21"/>
                      <w:lang w:val="en-US" w:eastAsia="zh-CN"/>
                    </w:rPr>
                    <w:t>院</w:t>
                  </w:r>
                  <w:r>
                    <w:rPr>
                      <w:rFonts w:hint="default" w:ascii="Times New Roman" w:hAnsi="Times New Roman" w:eastAsia="宋体" w:cs="Times New Roman"/>
                      <w:sz w:val="21"/>
                      <w:szCs w:val="21"/>
                    </w:rPr>
                    <w:t>内</w:t>
                  </w:r>
                  <w:r>
                    <w:rPr>
                      <w:rFonts w:hint="eastAsia" w:cs="Times New Roman"/>
                      <w:sz w:val="21"/>
                      <w:szCs w:val="21"/>
                      <w:lang w:eastAsia="zh-CN"/>
                    </w:rPr>
                    <w:t>西南侧空地</w:t>
                  </w:r>
                  <w:r>
                    <w:rPr>
                      <w:rFonts w:hint="default" w:ascii="Times New Roman" w:hAnsi="Times New Roman" w:eastAsia="宋体" w:cs="Times New Roman"/>
                      <w:sz w:val="21"/>
                      <w:szCs w:val="21"/>
                    </w:rPr>
                    <w:t>，不在生态保护红线区域、永久基本农田和其他需要特别保护的区域内，不在溶洞区或易遭受洪水、滑坡、泥石流、潮汐等严重自然灾害影响的地区</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5.3</w:t>
                  </w:r>
                </w:p>
              </w:tc>
              <w:tc>
                <w:tcPr>
                  <w:tcW w:w="226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贮存设施不应选在江河、湖泊、运河、渠道、水库及其最高水位线以下的滩地和岸坡，以及法律法规规定禁止贮存危险废物的其他地点。</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本项目选址位于</w:t>
                  </w:r>
                  <w:r>
                    <w:rPr>
                      <w:rFonts w:hint="eastAsia" w:ascii="Times New Roman" w:hAnsi="Times New Roman" w:eastAsia="宋体" w:cs="Times New Roman"/>
                      <w:sz w:val="21"/>
                      <w:szCs w:val="21"/>
                      <w:lang w:val="en-US" w:eastAsia="zh-CN"/>
                    </w:rPr>
                    <w:t>正蓝旗动物疫病预防控制中心</w:t>
                  </w:r>
                  <w:r>
                    <w:rPr>
                      <w:rFonts w:hint="eastAsia" w:cs="Times New Roman"/>
                      <w:sz w:val="21"/>
                      <w:szCs w:val="21"/>
                      <w:lang w:val="en-US" w:eastAsia="zh-CN"/>
                    </w:rPr>
                    <w:t>院</w:t>
                  </w:r>
                  <w:r>
                    <w:rPr>
                      <w:rFonts w:hint="default" w:ascii="Times New Roman" w:hAnsi="Times New Roman" w:eastAsia="宋体" w:cs="Times New Roman"/>
                      <w:sz w:val="21"/>
                      <w:szCs w:val="21"/>
                    </w:rPr>
                    <w:t>内</w:t>
                  </w:r>
                  <w:r>
                    <w:rPr>
                      <w:rFonts w:hint="eastAsia" w:cs="Times New Roman"/>
                      <w:sz w:val="21"/>
                      <w:szCs w:val="21"/>
                      <w:lang w:eastAsia="zh-CN"/>
                    </w:rPr>
                    <w:t>西南侧空地</w:t>
                  </w:r>
                  <w:r>
                    <w:rPr>
                      <w:rFonts w:hint="default" w:ascii="Times New Roman" w:hAnsi="Times New Roman" w:eastAsia="宋体" w:cs="Times New Roman"/>
                      <w:sz w:val="21"/>
                      <w:szCs w:val="21"/>
                    </w:rPr>
                    <w:t>，不在江河、湖泊、运河、渠道、水库及其最高水位线以下的滩地和岸坡，以及法律法规规定禁止贮存危险废物的其他地点</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5.4</w:t>
                  </w:r>
                </w:p>
              </w:tc>
              <w:tc>
                <w:tcPr>
                  <w:tcW w:w="226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贮存设施场址的位置以及其与周围环境敏感目标的距离应依据环境影响评价文件确定。</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w:t>
                  </w:r>
                  <w:r>
                    <w:rPr>
                      <w:rFonts w:hint="eastAsia" w:ascii="Times New Roman" w:hAnsi="Times New Roman" w:eastAsia="宋体" w:cs="Times New Roman"/>
                      <w:sz w:val="21"/>
                      <w:szCs w:val="21"/>
                      <w:lang w:eastAsia="zh-CN"/>
                    </w:rPr>
                    <w:t>不涉及废气的排放，与</w:t>
                  </w:r>
                  <w:r>
                    <w:rPr>
                      <w:rFonts w:hint="default" w:ascii="Times New Roman" w:hAnsi="Times New Roman" w:eastAsia="宋体" w:cs="Times New Roman"/>
                      <w:sz w:val="21"/>
                      <w:szCs w:val="21"/>
                    </w:rPr>
                    <w:t>周围</w:t>
                  </w:r>
                  <w:r>
                    <w:rPr>
                      <w:rFonts w:hint="eastAsia" w:cs="Times New Roman"/>
                      <w:sz w:val="21"/>
                      <w:szCs w:val="21"/>
                      <w:lang w:eastAsia="zh-CN"/>
                    </w:rPr>
                    <w:t>最近</w:t>
                  </w:r>
                  <w:r>
                    <w:rPr>
                      <w:rFonts w:hint="default" w:ascii="Times New Roman" w:hAnsi="Times New Roman" w:eastAsia="宋体" w:cs="Times New Roman"/>
                      <w:sz w:val="21"/>
                      <w:szCs w:val="21"/>
                    </w:rPr>
                    <w:t>环境敏感目标</w:t>
                  </w:r>
                  <w:r>
                    <w:rPr>
                      <w:rFonts w:hint="eastAsia" w:cs="Times New Roman"/>
                      <w:sz w:val="21"/>
                      <w:szCs w:val="21"/>
                      <w:lang w:eastAsia="zh-CN"/>
                    </w:rPr>
                    <w:t>西侧金莲花酒店</w:t>
                  </w:r>
                  <w:r>
                    <w:rPr>
                      <w:rFonts w:hint="default" w:ascii="Times New Roman" w:hAnsi="Times New Roman" w:eastAsia="宋体" w:cs="Times New Roman"/>
                      <w:sz w:val="21"/>
                      <w:szCs w:val="21"/>
                    </w:rPr>
                    <w:t>的距离</w:t>
                  </w:r>
                  <w:r>
                    <w:rPr>
                      <w:rFonts w:hint="eastAsia" w:cs="Times New Roman"/>
                      <w:sz w:val="21"/>
                      <w:szCs w:val="21"/>
                      <w:lang w:eastAsia="zh-CN"/>
                    </w:rPr>
                    <w:t>为</w:t>
                  </w:r>
                  <w:r>
                    <w:rPr>
                      <w:rFonts w:hint="eastAsia" w:cs="Times New Roman"/>
                      <w:sz w:val="21"/>
                      <w:szCs w:val="21"/>
                      <w:lang w:val="en-US" w:eastAsia="zh-CN"/>
                    </w:rPr>
                    <w:t>10m，符合要求</w:t>
                  </w:r>
                  <w:r>
                    <w:rPr>
                      <w:rFonts w:hint="default" w:ascii="Times New Roman" w:hAnsi="Times New Roman" w:eastAsia="宋体" w:cs="Times New Roman"/>
                      <w:sz w:val="21"/>
                      <w:szCs w:val="21"/>
                    </w:rPr>
                    <w:t>。</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4"/>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b/>
                      <w:sz w:val="21"/>
                      <w:szCs w:val="21"/>
                    </w:rPr>
                    <w:t>6、贮存设施污染控制要求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4"/>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6.1一般规定</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6.1.1</w:t>
                  </w:r>
                </w:p>
              </w:tc>
              <w:tc>
                <w:tcPr>
                  <w:tcW w:w="226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贮存设施应根据危险废物的形态、物理化学性质、包装形式和污染物迁移途径，采取必要的防风、防晒、防雨、防漏、防渗、防腐以及其他环境污染防治措施，不应露天堆放危险废物。</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w:t>
                  </w:r>
                  <w:r>
                    <w:rPr>
                      <w:rFonts w:hint="eastAsia" w:cs="Times New Roman"/>
                      <w:color w:val="auto"/>
                      <w:sz w:val="21"/>
                      <w:szCs w:val="21"/>
                      <w:lang w:eastAsia="zh-CN"/>
                    </w:rPr>
                    <w:t>医疗废物</w:t>
                  </w:r>
                  <w:r>
                    <w:rPr>
                      <w:rFonts w:hint="default" w:ascii="Times New Roman" w:hAnsi="Times New Roman" w:eastAsia="宋体" w:cs="Times New Roman"/>
                      <w:color w:val="auto"/>
                      <w:sz w:val="21"/>
                      <w:szCs w:val="21"/>
                    </w:rPr>
                    <w:t>暂存间为密闭间，</w:t>
                  </w:r>
                  <w:r>
                    <w:rPr>
                      <w:rFonts w:hint="default" w:ascii="Times New Roman" w:hAnsi="Times New Roman" w:eastAsia="宋体" w:cs="Times New Roman"/>
                      <w:sz w:val="21"/>
                      <w:szCs w:val="21"/>
                    </w:rPr>
                    <w:t>进行防风、防晒、防雨、防漏、防渗、防腐等措施。不露天堆放</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6.1.2</w:t>
                  </w:r>
                </w:p>
              </w:tc>
              <w:tc>
                <w:tcPr>
                  <w:tcW w:w="226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贮存设施应根据危险废物的类别、数量、形态、物理化学性质和污染防治等要求设置必要的贮存分区，避免不相容的危险废物接触、混合。</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本项目分</w:t>
                  </w:r>
                  <w:r>
                    <w:rPr>
                      <w:rFonts w:hint="eastAsia" w:cs="Times New Roman"/>
                      <w:spacing w:val="3"/>
                      <w:sz w:val="21"/>
                      <w:szCs w:val="21"/>
                      <w:lang w:eastAsia="zh-CN"/>
                    </w:rPr>
                    <w:t>五</w:t>
                  </w:r>
                  <w:r>
                    <w:rPr>
                      <w:rFonts w:hint="default" w:ascii="Times New Roman" w:hAnsi="Times New Roman" w:eastAsia="宋体" w:cs="Times New Roman"/>
                      <w:spacing w:val="3"/>
                      <w:sz w:val="21"/>
                      <w:szCs w:val="21"/>
                    </w:rPr>
                    <w:t>个区域贮存</w:t>
                  </w:r>
                  <w:r>
                    <w:rPr>
                      <w:rFonts w:hint="eastAsia" w:ascii="Times New Roman" w:hAnsi="Times New Roman" w:eastAsia="宋体" w:cs="Times New Roman"/>
                      <w:spacing w:val="3"/>
                      <w:sz w:val="21"/>
                      <w:szCs w:val="21"/>
                      <w:lang w:val="en-US" w:eastAsia="zh-CN"/>
                    </w:rPr>
                    <w:t>HW01医疗废物</w:t>
                  </w:r>
                  <w:r>
                    <w:rPr>
                      <w:rFonts w:hint="default" w:ascii="Times New Roman" w:hAnsi="Times New Roman" w:eastAsia="宋体" w:cs="Times New Roman"/>
                      <w:sz w:val="21"/>
                      <w:szCs w:val="21"/>
                    </w:rPr>
                    <w:t>不相容的危废不接触、混合。</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6.1.3</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贮存设施或贮存分区内地面、墙面裙脚、堵截泄漏的围堰、接触危险废物的隔板和墙体等应采用坚固的材料建造，表面无裂缝。</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w:t>
                  </w:r>
                  <w:r>
                    <w:rPr>
                      <w:rFonts w:hint="eastAsia" w:cs="Times New Roman"/>
                      <w:color w:val="auto"/>
                      <w:sz w:val="21"/>
                      <w:szCs w:val="21"/>
                      <w:lang w:eastAsia="zh-CN"/>
                    </w:rPr>
                    <w:t>医疗废物</w:t>
                  </w:r>
                  <w:r>
                    <w:rPr>
                      <w:rFonts w:hint="default" w:ascii="Times New Roman" w:hAnsi="Times New Roman" w:eastAsia="宋体" w:cs="Times New Roman"/>
                      <w:color w:val="auto"/>
                      <w:sz w:val="21"/>
                      <w:szCs w:val="21"/>
                    </w:rPr>
                    <w:t>暂存间地</w:t>
                  </w:r>
                  <w:r>
                    <w:rPr>
                      <w:rFonts w:hint="default" w:ascii="Times New Roman" w:hAnsi="Times New Roman" w:eastAsia="宋体" w:cs="Times New Roman"/>
                      <w:sz w:val="21"/>
                      <w:szCs w:val="21"/>
                    </w:rPr>
                    <w:t>面、墙面裙脚、接触危险废物的隔板和墙体等采用坚固的材料建造，表面无裂缝。</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6.1.4</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default" w:ascii="Times New Roman" w:hAnsi="Times New Roman" w:eastAsia="宋体" w:cs="Times New Roman"/>
                      <w:color w:val="000000"/>
                      <w:kern w:val="0"/>
                      <w:sz w:val="21"/>
                      <w:szCs w:val="21"/>
                      <w:vertAlign w:val="superscript"/>
                    </w:rPr>
                    <w:t>-7</w:t>
                  </w:r>
                  <w:r>
                    <w:rPr>
                      <w:rFonts w:hint="default" w:ascii="Times New Roman" w:hAnsi="Times New Roman" w:eastAsia="宋体" w:cs="Times New Roman"/>
                      <w:color w:val="000000"/>
                      <w:kern w:val="0"/>
                      <w:sz w:val="21"/>
                      <w:szCs w:val="21"/>
                    </w:rPr>
                    <w:t>cm/s），或至少2mm厚高密度聚乙烯膜等人工防渗材料（渗透系数不大于10</w:t>
                  </w:r>
                  <w:r>
                    <w:rPr>
                      <w:rFonts w:hint="default" w:ascii="Times New Roman" w:hAnsi="Times New Roman" w:eastAsia="宋体" w:cs="Times New Roman"/>
                      <w:color w:val="000000"/>
                      <w:kern w:val="0"/>
                      <w:sz w:val="21"/>
                      <w:szCs w:val="21"/>
                      <w:vertAlign w:val="superscript"/>
                    </w:rPr>
                    <w:t>-10</w:t>
                  </w:r>
                  <w:r>
                    <w:rPr>
                      <w:rFonts w:hint="default" w:ascii="Times New Roman" w:hAnsi="Times New Roman" w:eastAsia="宋体" w:cs="Times New Roman"/>
                      <w:color w:val="000000"/>
                      <w:kern w:val="0"/>
                      <w:sz w:val="21"/>
                      <w:szCs w:val="21"/>
                    </w:rPr>
                    <w:t>cm/s），或其他防渗性能等效的材料。</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本项目严格按照《危险废物贮存污染控制标准》（GB18597-2023）的要求进行</w:t>
                  </w:r>
                  <w:r>
                    <w:rPr>
                      <w:rFonts w:hint="eastAsia" w:cs="Times New Roman"/>
                      <w:sz w:val="21"/>
                      <w:szCs w:val="21"/>
                      <w:lang w:eastAsia="zh-CN"/>
                    </w:rPr>
                    <w:t>医疗废物</w:t>
                  </w:r>
                  <w:r>
                    <w:rPr>
                      <w:rFonts w:hint="default" w:ascii="Times New Roman" w:hAnsi="Times New Roman" w:eastAsia="宋体" w:cs="Times New Roman"/>
                      <w:sz w:val="21"/>
                      <w:szCs w:val="21"/>
                    </w:rPr>
                    <w:t>暂存间地面与裙脚的防渗，采用</w:t>
                  </w:r>
                  <w:r>
                    <w:rPr>
                      <w:rFonts w:hint="default" w:ascii="Times New Roman" w:hAnsi="Times New Roman" w:eastAsia="宋体" w:cs="Times New Roman"/>
                      <w:kern w:val="0"/>
                      <w:sz w:val="21"/>
                      <w:szCs w:val="21"/>
                    </w:rPr>
                    <w:t>2mm厚高密度聚乙烯膜等人工防渗材料（渗透系数不大于10</w:t>
                  </w:r>
                  <w:r>
                    <w:rPr>
                      <w:rFonts w:hint="default" w:ascii="Times New Roman" w:hAnsi="Times New Roman" w:eastAsia="宋体" w:cs="Times New Roman"/>
                      <w:kern w:val="0"/>
                      <w:sz w:val="21"/>
                      <w:szCs w:val="21"/>
                      <w:vertAlign w:val="superscript"/>
                    </w:rPr>
                    <w:t>-10</w:t>
                  </w:r>
                  <w:r>
                    <w:rPr>
                      <w:rFonts w:hint="default" w:ascii="Times New Roman" w:hAnsi="Times New Roman" w:eastAsia="宋体" w:cs="Times New Roman"/>
                      <w:kern w:val="0"/>
                      <w:sz w:val="21"/>
                      <w:szCs w:val="21"/>
                    </w:rPr>
                    <w:t>cm/s）。</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6.1.5</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同一贮存设施宜采用相同的防渗、防腐工艺（包括防渗、防腐结构或材料），防渗、防腐材料应覆盖所有可能与废物及其渗滤液、渗漏液等接触的构筑物表面；采用不同防渗、防腐工艺应分别建设贮存分区。</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本项目采用相同的防渗、防腐工艺；</w:t>
                  </w:r>
                  <w:r>
                    <w:rPr>
                      <w:rFonts w:hint="default" w:ascii="Times New Roman" w:hAnsi="Times New Roman" w:eastAsia="宋体" w:cs="Times New Roman"/>
                      <w:kern w:val="0"/>
                      <w:sz w:val="21"/>
                      <w:szCs w:val="21"/>
                    </w:rPr>
                    <w:t>防渗、防腐材料覆盖所有可能与废物及其渗滤液、渗漏液等接触的构筑物表面</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6.1.6</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贮存设施应采取技术和管理措施防止无关人员进入。</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w:t>
                  </w:r>
                  <w:r>
                    <w:rPr>
                      <w:rFonts w:hint="eastAsia" w:cs="Times New Roman"/>
                      <w:color w:val="auto"/>
                      <w:sz w:val="21"/>
                      <w:szCs w:val="21"/>
                      <w:lang w:eastAsia="zh-CN"/>
                    </w:rPr>
                    <w:t>医疗废物</w:t>
                  </w:r>
                  <w:r>
                    <w:rPr>
                      <w:rFonts w:hint="default" w:ascii="Times New Roman" w:hAnsi="Times New Roman" w:eastAsia="宋体" w:cs="Times New Roman"/>
                      <w:color w:val="auto"/>
                      <w:sz w:val="21"/>
                      <w:szCs w:val="21"/>
                    </w:rPr>
                    <w:t>暂存间的管理采用专人负责，严禁不</w:t>
                  </w:r>
                  <w:r>
                    <w:rPr>
                      <w:rFonts w:hint="default" w:ascii="Times New Roman" w:hAnsi="Times New Roman" w:eastAsia="宋体" w:cs="Times New Roman"/>
                      <w:sz w:val="21"/>
                      <w:szCs w:val="21"/>
                    </w:rPr>
                    <w:t>相关的人员进入</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4"/>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6.2贮存库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6.2.1</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贮存库内不同贮存分区之间应采取隔离措施。隔离措施可根据危险废物特性采用过道、隔板或隔墙等方式。</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本项目分区暂存，不同分区之间采取</w:t>
                  </w:r>
                  <w:r>
                    <w:rPr>
                      <w:rFonts w:hint="eastAsia" w:ascii="Times New Roman" w:hAnsi="Times New Roman" w:eastAsia="宋体" w:cs="Times New Roman"/>
                      <w:kern w:val="0"/>
                      <w:sz w:val="21"/>
                      <w:szCs w:val="21"/>
                      <w:lang w:eastAsia="zh-CN"/>
                    </w:rPr>
                    <w:t>隔板</w:t>
                  </w:r>
                  <w:r>
                    <w:rPr>
                      <w:rFonts w:hint="default" w:ascii="Times New Roman" w:hAnsi="Times New Roman" w:eastAsia="宋体" w:cs="Times New Roman"/>
                      <w:sz w:val="21"/>
                      <w:szCs w:val="21"/>
                    </w:rPr>
                    <w:t>措施区分</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6.2.2</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本项目设置1个0.</w:t>
                  </w:r>
                  <w:r>
                    <w:rPr>
                      <w:rFonts w:hint="eastAsia"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的集液池，可满足要求（最大液态废物容积0.</w:t>
                  </w:r>
                  <w:r>
                    <w:rPr>
                      <w:rFonts w:hint="eastAsia" w:cs="Times New Roman"/>
                      <w:sz w:val="21"/>
                      <w:szCs w:val="21"/>
                      <w:lang w:val="en-US" w:eastAsia="zh-CN"/>
                    </w:rPr>
                    <w:t>05</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，液态废物最大储量</w:t>
                  </w:r>
                  <w:r>
                    <w:rPr>
                      <w:rFonts w:hint="eastAsia" w:ascii="Times New Roman" w:hAnsi="Times New Roman" w:eastAsia="宋体" w:cs="Times New Roman"/>
                      <w:sz w:val="21"/>
                      <w:szCs w:val="21"/>
                      <w:lang w:val="en-US" w:eastAsia="zh-CN"/>
                    </w:rPr>
                    <w:t>0.5</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4"/>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b/>
                      <w:sz w:val="21"/>
                      <w:szCs w:val="21"/>
                    </w:rPr>
                    <w:t>7、容器和包装物污染控制要求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7.1</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容器和包装物材质、内衬应与盛装的危险废物相容。</w:t>
                  </w:r>
                </w:p>
              </w:tc>
              <w:tc>
                <w:tcPr>
                  <w:tcW w:w="1704" w:type="pct"/>
                  <w:vMerge w:val="restar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w:t>
                  </w:r>
                  <w:r>
                    <w:rPr>
                      <w:rFonts w:hint="eastAsia" w:cs="Times New Roman"/>
                      <w:sz w:val="21"/>
                      <w:szCs w:val="21"/>
                      <w:lang w:eastAsia="zh-CN"/>
                    </w:rPr>
                    <w:t>医疗</w:t>
                  </w:r>
                  <w:r>
                    <w:rPr>
                      <w:rFonts w:hint="default" w:ascii="Times New Roman" w:hAnsi="Times New Roman" w:eastAsia="宋体" w:cs="Times New Roman"/>
                      <w:sz w:val="21"/>
                      <w:szCs w:val="21"/>
                    </w:rPr>
                    <w:t>废物均采用密闭桶</w:t>
                  </w:r>
                  <w:r>
                    <w:rPr>
                      <w:rFonts w:hint="eastAsia" w:cs="Times New Roman"/>
                      <w:sz w:val="21"/>
                      <w:szCs w:val="21"/>
                      <w:lang w:val="en-US" w:eastAsia="zh-CN"/>
                    </w:rPr>
                    <w:t>/袋</w:t>
                  </w:r>
                  <w:r>
                    <w:rPr>
                      <w:rFonts w:hint="default" w:ascii="Times New Roman" w:hAnsi="Times New Roman" w:eastAsia="宋体" w:cs="Times New Roman"/>
                      <w:sz w:val="21"/>
                      <w:szCs w:val="21"/>
                    </w:rPr>
                    <w:t>装</w:t>
                  </w:r>
                  <w:r>
                    <w:rPr>
                      <w:rFonts w:hint="default" w:ascii="Times New Roman" w:hAnsi="Times New Roman" w:eastAsia="宋体" w:cs="Times New Roman"/>
                      <w:spacing w:val="9"/>
                      <w:sz w:val="21"/>
                      <w:szCs w:val="21"/>
                    </w:rPr>
                    <w:t>。</w:t>
                  </w:r>
                  <w:r>
                    <w:rPr>
                      <w:rFonts w:hint="default" w:ascii="Times New Roman" w:hAnsi="Times New Roman" w:eastAsia="宋体" w:cs="Times New Roman"/>
                      <w:sz w:val="21"/>
                      <w:szCs w:val="21"/>
                    </w:rPr>
                    <w:t>所有容器和包装物材质、内衬均与盛装的危险废物相容</w:t>
                  </w:r>
                  <w:r>
                    <w:rPr>
                      <w:rFonts w:hint="default" w:ascii="Times New Roman" w:hAnsi="Times New Roman" w:eastAsia="宋体" w:cs="Times New Roman"/>
                      <w:kern w:val="0"/>
                      <w:sz w:val="21"/>
                      <w:szCs w:val="21"/>
                    </w:rPr>
                    <w:t>且表面保持清洁，满足相应的防渗、防漏、防腐和强度要求；盛装液态废物，容器内部留有适当的空间。</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7.2</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针对不同类别、形态、物理化学性质的危险废物，其容器和包装物应满足相应的防渗、防漏、防腐和强度等要求。</w:t>
                  </w:r>
                </w:p>
              </w:tc>
              <w:tc>
                <w:tcPr>
                  <w:tcW w:w="1704" w:type="pct"/>
                  <w:vMerge w:val="continue"/>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7.3</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rPr>
                    <w:t>硬质容器和包装物及其支护结构堆叠码放时不应有明显变形，无破损泄漏。</w:t>
                  </w:r>
                </w:p>
              </w:tc>
              <w:tc>
                <w:tcPr>
                  <w:tcW w:w="1704" w:type="pct"/>
                  <w:vMerge w:val="continue"/>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7.4</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rPr>
                    <w:t>柔性容器和包装物堆叠码放时应封口严密，无破损泄漏。</w:t>
                  </w:r>
                </w:p>
              </w:tc>
              <w:tc>
                <w:tcPr>
                  <w:tcW w:w="1704" w:type="pct"/>
                  <w:vMerge w:val="continue"/>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7.5</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使用容器盛装液态、半固态危险废物时，容器内部应留有适当的空间，以适应因温度变化等可能引发的收缩和膨胀，防止其导致容器渗漏或永久变形。</w:t>
                  </w:r>
                </w:p>
              </w:tc>
              <w:tc>
                <w:tcPr>
                  <w:tcW w:w="1704" w:type="pct"/>
                  <w:vMerge w:val="continue"/>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7.6</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rPr>
                    <w:t>容器和包装物外表面应保持清洁。</w:t>
                  </w:r>
                </w:p>
              </w:tc>
              <w:tc>
                <w:tcPr>
                  <w:tcW w:w="1704" w:type="pct"/>
                  <w:vMerge w:val="continue"/>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4"/>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8、贮存过程污染控制要求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4"/>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8.1一般规定</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8.1.1</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在常温常压下不易水解、不易挥发的固态危险废物可分类堆放贮存，其他固态危险废物应装入容器或包装物内贮存。</w:t>
                  </w:r>
                </w:p>
              </w:tc>
              <w:tc>
                <w:tcPr>
                  <w:tcW w:w="1704" w:type="pct"/>
                  <w:vMerge w:val="restar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w:t>
                  </w:r>
                  <w:r>
                    <w:rPr>
                      <w:rFonts w:hint="eastAsia" w:cs="Times New Roman"/>
                      <w:sz w:val="21"/>
                      <w:szCs w:val="21"/>
                      <w:lang w:eastAsia="zh-CN"/>
                    </w:rPr>
                    <w:t>医疗</w:t>
                  </w:r>
                  <w:r>
                    <w:rPr>
                      <w:rFonts w:hint="default" w:ascii="Times New Roman" w:hAnsi="Times New Roman" w:eastAsia="宋体" w:cs="Times New Roman"/>
                      <w:sz w:val="21"/>
                      <w:szCs w:val="21"/>
                    </w:rPr>
                    <w:t>废物均采用密闭桶</w:t>
                  </w:r>
                  <w:r>
                    <w:rPr>
                      <w:rFonts w:hint="eastAsia" w:cs="Times New Roman"/>
                      <w:sz w:val="21"/>
                      <w:szCs w:val="21"/>
                      <w:lang w:val="en-US" w:eastAsia="zh-CN"/>
                    </w:rPr>
                    <w:t>/袋</w:t>
                  </w:r>
                  <w:r>
                    <w:rPr>
                      <w:rFonts w:hint="default" w:ascii="Times New Roman" w:hAnsi="Times New Roman" w:eastAsia="宋体" w:cs="Times New Roman"/>
                      <w:sz w:val="21"/>
                      <w:szCs w:val="21"/>
                    </w:rPr>
                    <w:t>装</w:t>
                  </w:r>
                  <w:r>
                    <w:rPr>
                      <w:rFonts w:hint="default" w:ascii="Times New Roman" w:hAnsi="Times New Roman" w:eastAsia="宋体" w:cs="Times New Roman"/>
                      <w:spacing w:val="9"/>
                      <w:sz w:val="21"/>
                      <w:szCs w:val="21"/>
                    </w:rPr>
                    <w:t>。</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8.1.2</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rPr>
                    <w:t>液态危险废物应装入容器内贮存，或直接采用贮存池、贮存罐区贮存。</w:t>
                  </w:r>
                </w:p>
              </w:tc>
              <w:tc>
                <w:tcPr>
                  <w:tcW w:w="1704" w:type="pct"/>
                  <w:vMerge w:val="continue"/>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8.1.3</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rPr>
                    <w:t>半固态危险废物应装入容器或包装袋内贮存，或直接采用贮存池贮存。</w:t>
                  </w:r>
                </w:p>
              </w:tc>
              <w:tc>
                <w:tcPr>
                  <w:tcW w:w="1704" w:type="pct"/>
                  <w:vMerge w:val="continue"/>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8.1.4</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rPr>
                    <w:t>具有热塑性的危险废物应装入容器或包装袋内进行贮存。</w:t>
                  </w:r>
                </w:p>
              </w:tc>
              <w:tc>
                <w:tcPr>
                  <w:tcW w:w="1704" w:type="pct"/>
                  <w:vMerge w:val="continue"/>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8.1.5</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易产生粉尘、VOCs、酸雾、有毒有害大气污染物和刺激性气味气体的危险废物应装入闭口容器或包装物内贮存。</w:t>
                  </w:r>
                </w:p>
              </w:tc>
              <w:tc>
                <w:tcPr>
                  <w:tcW w:w="1704" w:type="pct"/>
                  <w:vMerge w:val="continue"/>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4"/>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b/>
                      <w:sz w:val="21"/>
                      <w:szCs w:val="21"/>
                    </w:rPr>
                    <w:t>8.2贮存设施运行环境管理要求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8.2.1</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危险废物存入贮存设施前应对危险废物类别和特性与危险废物标签等危险废物识别标志的一致性进行核验，不一致的或类别、特性不明的不应存入。</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本项目在危废入库前对危废类别和特性与危废标签等识别标志的一致性进行核验，确保一致。不一致的或类别、特性不明的危废严禁入库。</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8.2.2</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应定期检查危险废物的贮存状况，及时清理贮存设施地面，更换破损泄漏的危险废物贮存容器和包装物，保证堆存危险废物的防雨、防风、防扬尘等设施功能完好。</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本项目管理人员定期检查，保证保证堆存危险废物的防雨、防风、防扬尘等设施功能完好。</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8.2.3</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作业设备及车辆等结束作业离开贮存设施时，应对其残留的危险废物进行清理，清理的废物或清洗废水应收集处理。</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本项目对作业设备及车辆等结束作业离开贮存设施时，对其残留的危险废物进行清理，清理的废物按照要求收集处理。</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8.2.4</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贮存设施运行期间，应按国家有关标准和规定建立危险废物管理台账并保存。</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本项目按国家有关标准和规定建立危险废物管理台账并保。</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8.2.5</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贮存设施所有者或运营者应建立贮存设施环境管理制度、管理人员岗位职责制度、设施运行操作制度、人员岗位培训制度等。</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本项目建立完善的管理制度，组织管理人员定期培训。</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8.2.6</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贮存设施所有者或运营者应依据国家土壤和地下水污染防治的有关规定，结合贮存设施特点建立土壤和地下水污染隐患排查制度，并定期开展隐患排查；发现隐患应及时采取措施消除隐患，并建立档案。</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建设单位将依据国家土壤和地下水污染防治的有关规定，结合本危险废物贮存库的特点建立土壤和地下水污染隐患排查制度，并定期开展隐患排查；发现隐患应及时采取措施消除隐患，并建立档案。</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8.2.7</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贮存设施所有者或运营者应建立贮存设施全部档案，包括设计、施工、验收、运行、监测和环境应急等，应按国家有关档案管理的法律法规进行整理和归档。</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本项目建立贮存设施全部档案，并进行归档。</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4"/>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9、污染物排放控制要求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9.1</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贮存设施产生的废水（包括贮存设施、作业设备、车辆等清洗废水，贮存罐区积存雨水，贮存事故废水等）应进行收集处理，废水排放应符合GB8978规定的要求。</w:t>
                  </w:r>
                </w:p>
              </w:tc>
              <w:tc>
                <w:tcPr>
                  <w:tcW w:w="1704"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本项目不涉及。</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9.2</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rPr>
                    <w:t>贮存设施产生的废气（含无组织废气）的排放应符合GB16297和GB37822规定的要求。</w:t>
                  </w:r>
                </w:p>
              </w:tc>
              <w:tc>
                <w:tcPr>
                  <w:tcW w:w="1704" w:type="pct"/>
                  <w:vMerge w:val="restar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eastAsia" w:cs="Times New Roman"/>
                      <w:sz w:val="21"/>
                      <w:szCs w:val="21"/>
                      <w:lang w:eastAsia="zh-CN"/>
                    </w:rPr>
                    <w:t>本项目产生少量异味，通过</w:t>
                  </w:r>
                  <w:r>
                    <w:rPr>
                      <w:rFonts w:hint="eastAsia" w:cs="Times New Roman"/>
                      <w:color w:val="auto"/>
                      <w:kern w:val="2"/>
                      <w:highlight w:val="none"/>
                      <w:lang w:val="en-US" w:eastAsia="zh-CN"/>
                    </w:rPr>
                    <w:t>定期消毒和</w:t>
                  </w:r>
                  <w:r>
                    <w:rPr>
                      <w:rFonts w:hint="eastAsia" w:ascii="Times New Roman" w:hAnsi="Times New Roman" w:eastAsia="宋体" w:cs="Times New Roman"/>
                      <w:color w:val="auto"/>
                      <w:kern w:val="2"/>
                      <w:highlight w:val="none"/>
                      <w:lang w:val="en-US" w:eastAsia="zh-CN"/>
                    </w:rPr>
                    <w:t>安装排气扇加强通风</w:t>
                  </w:r>
                  <w:r>
                    <w:rPr>
                      <w:rFonts w:hint="eastAsia" w:cs="Times New Roman"/>
                      <w:color w:val="auto"/>
                      <w:kern w:val="2"/>
                      <w:highlight w:val="none"/>
                      <w:lang w:val="en-US" w:eastAsia="zh-CN"/>
                    </w:rPr>
                    <w:t>处理，</w:t>
                  </w:r>
                  <w:r>
                    <w:rPr>
                      <w:rFonts w:hint="default" w:ascii="Times New Roman" w:hAnsi="Times New Roman" w:eastAsia="宋体" w:cs="Times New Roman"/>
                      <w:color w:val="000000"/>
                      <w:sz w:val="21"/>
                      <w:szCs w:val="21"/>
                    </w:rPr>
                    <w:t>符合GB14554规定的要求</w:t>
                  </w:r>
                  <w:r>
                    <w:rPr>
                      <w:rFonts w:hint="default" w:ascii="Times New Roman" w:hAnsi="Times New Roman" w:eastAsia="宋体" w:cs="Times New Roman"/>
                      <w:sz w:val="21"/>
                      <w:szCs w:val="21"/>
                    </w:rPr>
                    <w:t>。</w:t>
                  </w: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1"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9.3</w:t>
                  </w:r>
                </w:p>
              </w:tc>
              <w:tc>
                <w:tcPr>
                  <w:tcW w:w="226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rPr>
                    <w:t>贮存设施产生的恶臭气体的排放应符合GB14554规定的要求。</w:t>
                  </w:r>
                </w:p>
              </w:tc>
              <w:tc>
                <w:tcPr>
                  <w:tcW w:w="1704" w:type="pct"/>
                  <w:vMerge w:val="continue"/>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p>
              </w:tc>
              <w:tc>
                <w:tcPr>
                  <w:tcW w:w="499" w:type="pct"/>
                  <w:vAlign w:val="center"/>
                </w:tcPr>
                <w:p>
                  <w:pPr>
                    <w:pStyle w:val="230"/>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bl>
          <w:p>
            <w:pPr>
              <w:keepNext w:val="0"/>
              <w:keepLines w:val="0"/>
              <w:suppressLineNumbers w:val="0"/>
              <w:bidi w:val="0"/>
              <w:spacing w:before="0" w:beforeAutospacing="0" w:after="0" w:afterAutospacing="0"/>
              <w:ind w:left="0" w:leftChars="0" w:right="0" w:firstLine="0" w:firstLineChars="0"/>
              <w:rPr>
                <w:rFonts w:hint="default" w:ascii="Times New Roman" w:hAnsi="Times New Roman" w:eastAsia="宋体" w:cs="Times New Roman"/>
                <w:b w:val="0"/>
                <w:bCs w:val="0"/>
                <w:color w:val="auto"/>
                <w:kern w:val="0"/>
                <w:sz w:val="24"/>
                <w:szCs w:val="24"/>
                <w:lang w:val="en-US" w:eastAsia="zh-CN" w:bidi="en-US"/>
              </w:rPr>
            </w:pPr>
          </w:p>
        </w:tc>
      </w:tr>
    </w:tbl>
    <w:p>
      <w:pPr>
        <w:pStyle w:val="2"/>
        <w:rPr>
          <w:rFonts w:hint="eastAsia"/>
          <w:color w:val="000000"/>
          <w:sz w:val="24"/>
          <w:szCs w:val="24"/>
          <w:lang w:eastAsia="zh-CN"/>
        </w:rPr>
        <w:sectPr>
          <w:footerReference r:id="rId5" w:type="default"/>
          <w:pgSz w:w="11906" w:h="16838"/>
          <w:pgMar w:top="1418" w:right="1418" w:bottom="1417" w:left="1418"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4"/>
        <w:bidi w:val="0"/>
        <w:rPr>
          <w:color w:val="000000"/>
        </w:rPr>
      </w:pPr>
      <w:r>
        <w:rPr>
          <w:rFonts w:hint="eastAsia"/>
          <w:color w:val="000000"/>
        </w:rPr>
        <w:t>二、建设项目工程分析</w:t>
      </w:r>
    </w:p>
    <w:tbl>
      <w:tblPr>
        <w:tblStyle w:val="34"/>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04"/>
        <w:gridCol w:w="868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67" w:hRule="atLeast"/>
          <w:jc w:val="center"/>
        </w:trPr>
        <w:tc>
          <w:tcPr>
            <w:tcW w:w="604" w:type="dxa"/>
            <w:noWrap w:val="0"/>
            <w:vAlign w:val="center"/>
          </w:tcPr>
          <w:p>
            <w:pPr>
              <w:pStyle w:val="2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ascii="Times New Roman" w:hAnsi="Times New Roman" w:cs="Times New Roman"/>
                <w:color w:val="000000"/>
                <w:szCs w:val="24"/>
                <w:lang w:val="en-US" w:eastAsia="zh-CN"/>
              </w:rPr>
            </w:pPr>
            <w:r>
              <w:rPr>
                <w:rFonts w:ascii="Times New Roman" w:cs="Times New Roman"/>
                <w:color w:val="000000"/>
                <w:szCs w:val="24"/>
                <w:lang w:val="en-US" w:eastAsia="zh-CN"/>
              </w:rPr>
              <w:t>建设内容</w:t>
            </w:r>
          </w:p>
        </w:tc>
        <w:tc>
          <w:tcPr>
            <w:tcW w:w="8682" w:type="dxa"/>
            <w:noWrap w:val="0"/>
            <w:vAlign w:val="top"/>
          </w:tcPr>
          <w:p>
            <w:pPr>
              <w:pStyle w:val="5"/>
              <w:keepNext/>
              <w:keepLines/>
              <w:pageBreakBefore w:val="0"/>
              <w:widowControl w:val="0"/>
              <w:suppressLineNumbers w:val="0"/>
              <w:kinsoku/>
              <w:wordWrap/>
              <w:overflowPunct/>
              <w:topLinePunct w:val="0"/>
              <w:autoSpaceDE w:val="0"/>
              <w:autoSpaceDN w:val="0"/>
              <w:bidi w:val="0"/>
              <w:adjustRightInd w:val="0"/>
              <w:snapToGrid w:val="0"/>
              <w:spacing w:before="157" w:beforeLines="50" w:beforeAutospacing="0" w:after="0" w:afterAutospacing="0"/>
              <w:ind w:left="0" w:right="0"/>
              <w:textAlignment w:val="auto"/>
              <w:rPr>
                <w:rFonts w:hint="default" w:eastAsia="宋体" w:cs="Times New Roman"/>
                <w:color w:val="000000"/>
                <w:lang w:val="en-US" w:eastAsia="zh-CN"/>
              </w:rPr>
            </w:pPr>
            <w:r>
              <w:rPr>
                <w:rFonts w:hint="eastAsia" w:cs="Times New Roman"/>
                <w:color w:val="000000"/>
              </w:rPr>
              <w:t>1</w:t>
            </w:r>
            <w:r>
              <w:rPr>
                <w:rFonts w:cs="Times New Roman"/>
                <w:color w:val="000000"/>
              </w:rPr>
              <w:t>、</w:t>
            </w:r>
            <w:r>
              <w:rPr>
                <w:rFonts w:hint="eastAsia" w:cs="Times New Roman"/>
                <w:color w:val="000000"/>
                <w:lang w:val="en-US" w:eastAsia="zh-CN"/>
              </w:rPr>
              <w:t>项目由来</w:t>
            </w:r>
          </w:p>
          <w:p>
            <w:pPr>
              <w:keepNext w:val="0"/>
              <w:keepLines w:val="0"/>
              <w:suppressLineNumbers w:val="0"/>
              <w:spacing w:before="0" w:beforeAutospacing="0" w:after="0" w:afterAutospacing="0"/>
              <w:ind w:left="0" w:right="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正蓝旗动物疫病预防控制中心成立于2021年6月，主要从事动物疫病防控，动物检疫技术服务工作，企业位于正蓝旗动物疫病预防控制中心院</w:t>
            </w:r>
            <w:r>
              <w:rPr>
                <w:rFonts w:hint="default" w:ascii="Times New Roman" w:hAnsi="Times New Roman" w:eastAsia="宋体" w:cs="Times New Roman"/>
                <w:color w:val="auto"/>
                <w:lang w:val="en-US" w:eastAsia="zh-CN"/>
              </w:rPr>
              <w:t>内</w:t>
            </w:r>
            <w:r>
              <w:rPr>
                <w:rFonts w:hint="eastAsia" w:ascii="Times New Roman" w:hAnsi="Times New Roman" w:eastAsia="宋体" w:cs="Times New Roman"/>
                <w:color w:val="auto"/>
                <w:lang w:val="en-US" w:eastAsia="zh-CN"/>
              </w:rPr>
              <w:t>西南侧空地。</w:t>
            </w:r>
          </w:p>
          <w:p>
            <w:pPr>
              <w:keepNext w:val="0"/>
              <w:keepLines w:val="0"/>
              <w:suppressLineNumbers w:val="0"/>
              <w:spacing w:before="0" w:beforeAutospacing="0" w:after="0" w:afterAutospacing="0"/>
              <w:ind w:left="0" w:right="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FF0000"/>
                <w:lang w:val="en-US" w:eastAsia="zh-CN"/>
              </w:rPr>
              <w:t>目前企业产生的医疗废物主要存放于其检疫室的医疗废物包装桶中，并委托内蒙古白洁物业管理有限责任公司负责处理（委托协议见附件），为了提高危废管理水平，更好的分区储存不同种类的危废及对其进行合理委托处理（未来根据盟里规划，拟将全旗医疗废物统一委托锡林郭勒盟环建医疗废弃资源处置有限公司处理），企业拟在厂区西南侧空地新建一个医疗废物暂存间，占地面积12m</w:t>
            </w:r>
            <w:r>
              <w:rPr>
                <w:rFonts w:hint="eastAsia" w:ascii="Times New Roman" w:hAnsi="Times New Roman" w:eastAsia="宋体" w:cs="Times New Roman"/>
                <w:color w:val="FF0000"/>
                <w:vertAlign w:val="superscript"/>
                <w:lang w:val="en-US" w:eastAsia="zh-CN"/>
              </w:rPr>
              <w:t>2</w:t>
            </w:r>
            <w:r>
              <w:rPr>
                <w:rFonts w:hint="eastAsia" w:ascii="Times New Roman" w:hAnsi="Times New Roman" w:eastAsia="宋体" w:cs="Times New Roman"/>
                <w:color w:val="FF0000"/>
                <w:lang w:val="en-US" w:eastAsia="zh-CN"/>
              </w:rPr>
              <w:t>，总投资20万元，医疗废物暂存间长4m，宽3m，采用轻钢柜体，用于暂存企业动物疫病防控和检疫过程中产生的各类危险废物，项目不涉及危废处置和利用。项目依托企业现有职工，不新增劳动定员，</w:t>
            </w:r>
            <w:r>
              <w:rPr>
                <w:rFonts w:hint="eastAsia" w:cs="Times New Roman"/>
                <w:color w:val="FF0000"/>
                <w:lang w:val="en-US" w:eastAsia="zh-CN"/>
              </w:rPr>
              <w:t>医疗废物暂存间</w:t>
            </w:r>
            <w:r>
              <w:rPr>
                <w:rFonts w:hint="eastAsia" w:ascii="Times New Roman" w:hAnsi="Times New Roman" w:eastAsia="宋体" w:cs="Times New Roman"/>
                <w:color w:val="FF0000"/>
                <w:lang w:val="en-US" w:eastAsia="zh-CN"/>
              </w:rPr>
              <w:t>每天使用</w:t>
            </w:r>
            <w:r>
              <w:rPr>
                <w:rFonts w:hint="default" w:ascii="Times New Roman" w:hAnsi="Times New Roman" w:eastAsia="宋体" w:cs="Times New Roman"/>
                <w:color w:val="FF0000"/>
                <w:lang w:val="en-US" w:eastAsia="zh-CN"/>
              </w:rPr>
              <w:t>24</w:t>
            </w:r>
            <w:r>
              <w:rPr>
                <w:rFonts w:hint="eastAsia" w:ascii="Times New Roman" w:hAnsi="Times New Roman" w:eastAsia="宋体" w:cs="Times New Roman"/>
                <w:color w:val="FF0000"/>
                <w:lang w:val="en-US" w:eastAsia="zh-CN"/>
              </w:rPr>
              <w:t>小时，年运行时间</w:t>
            </w:r>
            <w:r>
              <w:rPr>
                <w:rFonts w:hint="default" w:ascii="Times New Roman" w:hAnsi="Times New Roman" w:eastAsia="宋体" w:cs="Times New Roman"/>
                <w:color w:val="FF0000"/>
                <w:lang w:val="en-US" w:eastAsia="zh-CN"/>
              </w:rPr>
              <w:t>365</w:t>
            </w:r>
            <w:r>
              <w:rPr>
                <w:rFonts w:hint="eastAsia" w:ascii="Times New Roman" w:hAnsi="Times New Roman" w:eastAsia="宋体" w:cs="Times New Roman"/>
                <w:color w:val="FF0000"/>
                <w:lang w:val="en-US" w:eastAsia="zh-CN"/>
              </w:rPr>
              <w:t>天。</w:t>
            </w:r>
            <w:r>
              <w:rPr>
                <w:rFonts w:hint="eastAsia" w:ascii="Times New Roman" w:hAnsi="Times New Roman" w:eastAsia="宋体" w:cs="Times New Roman"/>
                <w:color w:val="auto"/>
                <w:lang w:val="en-US" w:eastAsia="zh-CN"/>
              </w:rPr>
              <w:t xml:space="preserve"> </w:t>
            </w:r>
          </w:p>
          <w:p>
            <w:pPr>
              <w:keepNext w:val="0"/>
              <w:keepLines w:val="0"/>
              <w:suppressLineNumbers w:val="0"/>
              <w:bidi w:val="0"/>
              <w:spacing w:before="0" w:beforeAutospacing="0" w:after="0" w:afterAutospacing="0"/>
              <w:ind w:left="0" w:right="0"/>
              <w:rPr>
                <w:rFonts w:hint="eastAsia" w:ascii="Times New Roman" w:hAnsi="Times New Roman" w:eastAsia="宋体" w:cs="Times New Roman"/>
                <w:color w:val="FF0000"/>
                <w:lang w:val="en-US" w:eastAsia="zh-CN"/>
              </w:rPr>
            </w:pPr>
            <w:r>
              <w:rPr>
                <w:rFonts w:hint="default" w:ascii="Times New Roman" w:hAnsi="Times New Roman" w:cs="Times New Roman"/>
                <w:color w:val="auto"/>
                <w:sz w:val="24"/>
                <w:szCs w:val="24"/>
                <w:highlight w:val="none"/>
                <w:lang w:val="en-US" w:eastAsia="zh-CN"/>
              </w:rPr>
              <w:t>根据《中华人民共和国环境保护法》</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《中华人民共和国环境影响评价法》及《建设项目环境影响评价管理名录》等有关法律、法规规定，本项目应进行环境影响评价，根据对照环境影响评价行业类别，</w:t>
            </w:r>
            <w:r>
              <w:rPr>
                <w:rFonts w:hint="eastAsia" w:ascii="Times New Roman" w:hAnsi="Times New Roman" w:cs="Times New Roman"/>
                <w:color w:val="auto"/>
                <w:sz w:val="24"/>
                <w:szCs w:val="24"/>
                <w:highlight w:val="none"/>
                <w:lang w:val="en-US" w:eastAsia="zh-CN"/>
              </w:rPr>
              <w:t>本</w:t>
            </w:r>
            <w:r>
              <w:rPr>
                <w:rFonts w:hint="default" w:ascii="Times New Roman" w:hAnsi="Times New Roman" w:cs="Times New Roman"/>
                <w:color w:val="auto"/>
                <w:sz w:val="24"/>
                <w:szCs w:val="24"/>
                <w:highlight w:val="none"/>
                <w:lang w:val="en-US" w:eastAsia="zh-CN"/>
              </w:rPr>
              <w:t>项目属于</w:t>
            </w:r>
            <w:r>
              <w:rPr>
                <w:rFonts w:hint="eastAsia"/>
                <w:bCs/>
                <w:color w:val="auto"/>
                <w:sz w:val="24"/>
              </w:rPr>
              <w:t>四十七、生态保护和环境治理业10</w:t>
            </w:r>
            <w:r>
              <w:rPr>
                <w:rFonts w:hint="eastAsia"/>
                <w:bCs/>
                <w:color w:val="auto"/>
                <w:sz w:val="24"/>
                <w:lang w:val="en-US" w:eastAsia="zh-CN"/>
              </w:rPr>
              <w:t>2</w:t>
            </w:r>
            <w:r>
              <w:rPr>
                <w:rFonts w:hint="eastAsia"/>
                <w:bCs/>
                <w:color w:val="auto"/>
                <w:sz w:val="24"/>
                <w:lang w:eastAsia="zh-CN"/>
              </w:rPr>
              <w:t>医疗废物处置、病死及病害动物无害化处理</w:t>
            </w:r>
            <w:r>
              <w:rPr>
                <w:rFonts w:hint="eastAsia"/>
                <w:bCs/>
                <w:color w:val="auto"/>
                <w:sz w:val="24"/>
              </w:rPr>
              <w:t>中其他，应编制环境影响报告表</w:t>
            </w:r>
            <w:r>
              <w:rPr>
                <w:rFonts w:hint="eastAsia" w:ascii="Times New Roman" w:hAnsi="Times New Roman" w:cs="Times New Roman"/>
                <w:color w:val="auto"/>
                <w:sz w:val="24"/>
                <w:szCs w:val="24"/>
                <w:highlight w:val="none"/>
                <w:lang w:val="en-US" w:eastAsia="zh-CN"/>
              </w:rPr>
              <w:t>应编制。</w:t>
            </w:r>
            <w:r>
              <w:rPr>
                <w:rFonts w:hint="default" w:ascii="Times New Roman" w:hAnsi="Times New Roman" w:cs="Times New Roman"/>
                <w:color w:val="auto"/>
                <w:sz w:val="24"/>
                <w:szCs w:val="24"/>
                <w:highlight w:val="none"/>
                <w:lang w:val="en-US" w:eastAsia="zh-CN"/>
              </w:rPr>
              <w:t>受</w:t>
            </w:r>
            <w:r>
              <w:rPr>
                <w:rFonts w:hint="eastAsia" w:ascii="Times New Roman" w:hAnsi="Times New Roman" w:eastAsia="宋体" w:cs="Times New Roman"/>
                <w:color w:val="auto"/>
                <w:lang w:val="en-US" w:eastAsia="zh-CN"/>
              </w:rPr>
              <w:t>正蓝旗动物疫病预防控制中心</w:t>
            </w:r>
            <w:r>
              <w:rPr>
                <w:rFonts w:hint="default" w:ascii="Times New Roman" w:hAnsi="Times New Roman" w:cs="Times New Roman"/>
                <w:color w:val="auto"/>
                <w:sz w:val="24"/>
                <w:szCs w:val="24"/>
                <w:highlight w:val="none"/>
                <w:lang w:val="en-US" w:eastAsia="zh-CN"/>
              </w:rPr>
              <w:t>委托，我公司承担了本项目环境影响报告表的编制工作。接受委托后，我</w:t>
            </w:r>
            <w:r>
              <w:rPr>
                <w:rFonts w:hint="eastAsia" w:ascii="Times New Roman" w:hAnsi="Times New Roman" w:cs="Times New Roman"/>
                <w:color w:val="auto"/>
                <w:sz w:val="24"/>
                <w:szCs w:val="24"/>
                <w:highlight w:val="none"/>
                <w:lang w:val="en-US" w:eastAsia="zh-CN"/>
              </w:rPr>
              <w:t>公司</w:t>
            </w:r>
            <w:r>
              <w:rPr>
                <w:rFonts w:hint="default" w:ascii="Times New Roman" w:hAnsi="Times New Roman" w:cs="Times New Roman"/>
                <w:color w:val="auto"/>
                <w:sz w:val="24"/>
                <w:szCs w:val="24"/>
                <w:highlight w:val="none"/>
                <w:lang w:val="en-US" w:eastAsia="zh-CN"/>
              </w:rPr>
              <w:t>有关工程技术人员对本项目进行了的详细的现场踏勘、资料收集，在对有关环境现状和可能造成的环境影响进行初步分析的基础上，编制</w:t>
            </w:r>
            <w:r>
              <w:rPr>
                <w:rFonts w:hint="eastAsia" w:ascii="Times New Roman" w:hAnsi="Times New Roman" w:cs="Times New Roman"/>
                <w:color w:val="auto"/>
                <w:sz w:val="24"/>
                <w:szCs w:val="24"/>
                <w:highlight w:val="none"/>
                <w:lang w:val="en-US" w:eastAsia="zh-CN"/>
              </w:rPr>
              <w:t>完成</w:t>
            </w:r>
            <w:r>
              <w:rPr>
                <w:rFonts w:hint="default" w:ascii="Times New Roman" w:hAnsi="Times New Roman" w:cs="Times New Roman"/>
                <w:color w:val="auto"/>
                <w:sz w:val="24"/>
                <w:szCs w:val="24"/>
                <w:highlight w:val="none"/>
                <w:lang w:val="en-US" w:eastAsia="zh-CN"/>
              </w:rPr>
              <w:t>该</w:t>
            </w:r>
            <w:r>
              <w:rPr>
                <w:rFonts w:hint="eastAsia" w:ascii="Times New Roman" w:hAnsi="Times New Roman" w:cs="Times New Roman"/>
                <w:color w:val="auto"/>
                <w:sz w:val="24"/>
                <w:szCs w:val="24"/>
                <w:highlight w:val="none"/>
                <w:lang w:val="en-US" w:eastAsia="zh-CN"/>
              </w:rPr>
              <w:t>建设</w:t>
            </w:r>
            <w:r>
              <w:rPr>
                <w:rFonts w:hint="default" w:ascii="Times New Roman" w:hAnsi="Times New Roman" w:cs="Times New Roman"/>
                <w:color w:val="auto"/>
                <w:sz w:val="24"/>
                <w:szCs w:val="24"/>
                <w:highlight w:val="none"/>
                <w:lang w:val="en-US" w:eastAsia="zh-CN"/>
              </w:rPr>
              <w:t>项目环境影响评价报告表。</w:t>
            </w:r>
          </w:p>
          <w:p>
            <w:pPr>
              <w:pStyle w:val="5"/>
              <w:suppressLineNumbers w:val="0"/>
              <w:bidi w:val="0"/>
              <w:spacing w:before="0" w:beforeAutospacing="0" w:after="0" w:afterAutospacing="0"/>
              <w:ind w:left="0" w:right="0"/>
              <w:rPr>
                <w:rFonts w:hint="default" w:ascii="Times New Roman" w:hAnsi="Times New Roman" w:eastAsia="宋体" w:cs="Times New Roman"/>
                <w:b/>
                <w:bCs/>
                <w:color w:val="000000"/>
                <w:lang w:val="en-US" w:eastAsia="zh-CN"/>
              </w:rPr>
            </w:pPr>
            <w:r>
              <w:rPr>
                <w:rFonts w:hint="eastAsia" w:ascii="Times New Roman" w:hAnsi="Times New Roman" w:eastAsia="宋体" w:cs="Times New Roman"/>
                <w:b/>
                <w:bCs/>
                <w:color w:val="000000"/>
                <w:lang w:val="en-US" w:eastAsia="zh-CN"/>
              </w:rPr>
              <w:t>2、工程概况</w:t>
            </w:r>
          </w:p>
          <w:p>
            <w:pPr>
              <w:keepNext w:val="0"/>
              <w:keepLines w:val="0"/>
              <w:suppressLineNumbers w:val="0"/>
              <w:bidi w:val="0"/>
              <w:spacing w:before="0" w:beforeAutospacing="0" w:after="0" w:afterAutospacing="0"/>
              <w:ind w:left="0" w:right="0"/>
              <w:rPr>
                <w:rFonts w:hint="eastAsia" w:cs="Times New Roman"/>
                <w:color w:val="000000"/>
                <w:lang w:val="en-US" w:eastAsia="zh-CN"/>
              </w:rPr>
            </w:pPr>
            <w:r>
              <w:rPr>
                <w:rFonts w:hint="eastAsia" w:cs="Times New Roman"/>
                <w:color w:val="000000"/>
                <w:lang w:val="en-US" w:eastAsia="zh-CN"/>
              </w:rPr>
              <w:t>项目名称：</w:t>
            </w:r>
            <w:r>
              <w:rPr>
                <w:rFonts w:hint="eastAsia" w:ascii="Times New Roman" w:hAnsi="Times New Roman" w:eastAsia="宋体" w:cs="Times New Roman"/>
                <w:color w:val="auto"/>
                <w:lang w:val="en-US" w:eastAsia="zh-CN"/>
              </w:rPr>
              <w:t>正蓝旗动物疫病预防控制中心</w:t>
            </w:r>
            <w:r>
              <w:rPr>
                <w:rFonts w:hint="eastAsia" w:cs="Times New Roman"/>
                <w:color w:val="auto"/>
                <w:lang w:val="en-US" w:eastAsia="zh-CN"/>
              </w:rPr>
              <w:t>医疗废物</w:t>
            </w:r>
            <w:r>
              <w:rPr>
                <w:rFonts w:hint="eastAsia" w:ascii="Times New Roman" w:hAnsi="Times New Roman" w:eastAsia="宋体" w:cs="Times New Roman"/>
                <w:color w:val="auto"/>
                <w:lang w:val="en-US" w:eastAsia="zh-CN"/>
              </w:rPr>
              <w:t>暂存间建设</w:t>
            </w:r>
            <w:r>
              <w:rPr>
                <w:rFonts w:hint="eastAsia" w:cs="Times New Roman"/>
                <w:color w:val="auto"/>
                <w:sz w:val="24"/>
              </w:rPr>
              <w:t>项目</w:t>
            </w:r>
          </w:p>
          <w:p>
            <w:pPr>
              <w:keepNext w:val="0"/>
              <w:keepLines w:val="0"/>
              <w:suppressLineNumbers w:val="0"/>
              <w:bidi w:val="0"/>
              <w:spacing w:before="0" w:beforeAutospacing="0" w:after="0" w:afterAutospacing="0"/>
              <w:ind w:left="0" w:right="0"/>
              <w:rPr>
                <w:rFonts w:hint="eastAsia" w:ascii="Times New Roman" w:hAnsi="Times New Roman" w:eastAsia="宋体" w:cs="Times New Roman"/>
                <w:color w:val="auto"/>
                <w:lang w:val="en-US" w:eastAsia="zh-CN"/>
              </w:rPr>
            </w:pPr>
            <w:r>
              <w:rPr>
                <w:rFonts w:hint="eastAsia" w:cs="Times New Roman"/>
                <w:color w:val="000000"/>
                <w:lang w:val="en-US" w:eastAsia="zh-CN"/>
              </w:rPr>
              <w:t>建设单位：</w:t>
            </w:r>
            <w:r>
              <w:rPr>
                <w:rFonts w:hint="eastAsia" w:ascii="Times New Roman" w:hAnsi="Times New Roman" w:eastAsia="宋体" w:cs="Times New Roman"/>
                <w:color w:val="auto"/>
                <w:lang w:val="en-US" w:eastAsia="zh-CN"/>
              </w:rPr>
              <w:t>正蓝旗动物疫病预防控制中心</w:t>
            </w:r>
          </w:p>
          <w:p>
            <w:pPr>
              <w:keepNext w:val="0"/>
              <w:keepLines w:val="0"/>
              <w:suppressLineNumbers w:val="0"/>
              <w:bidi w:val="0"/>
              <w:spacing w:before="0" w:beforeAutospacing="0" w:after="0" w:afterAutospacing="0"/>
              <w:ind w:left="0" w:right="0"/>
              <w:rPr>
                <w:rFonts w:hint="eastAsia" w:eastAsia="宋体"/>
                <w:b w:val="0"/>
                <w:bCs w:val="0"/>
                <w:color w:val="000000"/>
                <w:lang w:eastAsia="zh-CN"/>
              </w:rPr>
            </w:pPr>
            <w:r>
              <w:rPr>
                <w:rFonts w:hint="eastAsia" w:cs="Times New Roman"/>
                <w:color w:val="000000"/>
                <w:lang w:val="en-US" w:eastAsia="zh-CN"/>
              </w:rPr>
              <w:t>建设地点：</w:t>
            </w:r>
            <w:r>
              <w:rPr>
                <w:rFonts w:hint="eastAsia" w:ascii="Times New Roman" w:hAnsi="Times New Roman" w:eastAsia="宋体" w:cs="Times New Roman"/>
                <w:color w:val="auto"/>
                <w:sz w:val="24"/>
                <w:szCs w:val="24"/>
                <w:u w:val="none"/>
                <w:lang w:eastAsia="zh-CN"/>
              </w:rPr>
              <w:t>内蒙古自治区锡林郭勒</w:t>
            </w:r>
            <w:r>
              <w:rPr>
                <w:rFonts w:hint="eastAsia" w:ascii="Times New Roman" w:hAnsi="Times New Roman" w:eastAsia="宋体" w:cs="Times New Roman"/>
                <w:color w:val="auto"/>
                <w:lang w:val="en-US" w:eastAsia="zh-CN"/>
              </w:rPr>
              <w:t>盟正蓝旗动物疫病预防控制中心院</w:t>
            </w:r>
            <w:r>
              <w:rPr>
                <w:rFonts w:hint="default" w:ascii="Times New Roman" w:hAnsi="Times New Roman" w:eastAsia="宋体" w:cs="Times New Roman"/>
                <w:color w:val="auto"/>
                <w:lang w:val="en-US" w:eastAsia="zh-CN"/>
              </w:rPr>
              <w:t>内</w:t>
            </w:r>
            <w:r>
              <w:rPr>
                <w:rFonts w:hint="eastAsia" w:ascii="Times New Roman" w:hAnsi="Times New Roman" w:eastAsia="宋体" w:cs="Times New Roman"/>
                <w:color w:val="auto"/>
                <w:lang w:val="en-US" w:eastAsia="zh-CN"/>
              </w:rPr>
              <w:t>西南侧空地</w:t>
            </w:r>
            <w:r>
              <w:rPr>
                <w:rFonts w:hint="eastAsia" w:cs="Times New Roman"/>
                <w:color w:val="auto"/>
                <w:sz w:val="24"/>
                <w:szCs w:val="24"/>
                <w:u w:val="none"/>
                <w:lang w:eastAsia="zh-CN"/>
              </w:rPr>
              <w:t>，</w:t>
            </w:r>
            <w:r>
              <w:rPr>
                <w:rFonts w:hint="eastAsia"/>
                <w:b w:val="0"/>
                <w:bCs w:val="0"/>
                <w:color w:val="000000"/>
              </w:rPr>
              <w:t>中心点坐标：E11</w:t>
            </w:r>
            <w:r>
              <w:rPr>
                <w:rFonts w:hint="eastAsia"/>
                <w:b w:val="0"/>
                <w:bCs w:val="0"/>
                <w:color w:val="000000"/>
                <w:lang w:val="en-US" w:eastAsia="zh-CN"/>
              </w:rPr>
              <w:t>5</w:t>
            </w:r>
            <w:r>
              <w:rPr>
                <w:rFonts w:hint="eastAsia"/>
                <w:b w:val="0"/>
                <w:bCs w:val="0"/>
                <w:color w:val="000000"/>
              </w:rPr>
              <w:t>°</w:t>
            </w:r>
            <w:r>
              <w:rPr>
                <w:rFonts w:hint="eastAsia"/>
                <w:b w:val="0"/>
                <w:bCs w:val="0"/>
                <w:color w:val="000000"/>
                <w:lang w:val="en-US" w:eastAsia="zh-CN"/>
              </w:rPr>
              <w:t>59</w:t>
            </w:r>
            <w:r>
              <w:rPr>
                <w:rFonts w:hint="eastAsia"/>
                <w:b w:val="0"/>
                <w:bCs w:val="0"/>
                <w:color w:val="000000"/>
              </w:rPr>
              <w:t>′</w:t>
            </w:r>
            <w:r>
              <w:rPr>
                <w:rFonts w:hint="eastAsia"/>
                <w:b w:val="0"/>
                <w:bCs w:val="0"/>
                <w:color w:val="000000"/>
                <w:lang w:val="en-US" w:eastAsia="zh-CN"/>
              </w:rPr>
              <w:t>42.000</w:t>
            </w:r>
            <w:r>
              <w:rPr>
                <w:rFonts w:hint="eastAsia"/>
                <w:b w:val="0"/>
                <w:bCs w:val="0"/>
                <w:color w:val="000000"/>
              </w:rPr>
              <w:t>″</w:t>
            </w:r>
            <w:r>
              <w:rPr>
                <w:b w:val="0"/>
                <w:bCs w:val="0"/>
                <w:color w:val="000000"/>
              </w:rPr>
              <w:t>，</w:t>
            </w:r>
            <w:r>
              <w:rPr>
                <w:rFonts w:hint="eastAsia"/>
                <w:b w:val="0"/>
                <w:bCs w:val="0"/>
                <w:color w:val="000000"/>
              </w:rPr>
              <w:t>N4</w:t>
            </w:r>
            <w:r>
              <w:rPr>
                <w:rFonts w:hint="eastAsia"/>
                <w:b w:val="0"/>
                <w:bCs w:val="0"/>
                <w:color w:val="000000"/>
                <w:lang w:val="en-US" w:eastAsia="zh-CN"/>
              </w:rPr>
              <w:t>2</w:t>
            </w:r>
            <w:r>
              <w:rPr>
                <w:rFonts w:hint="eastAsia"/>
                <w:b w:val="0"/>
                <w:bCs w:val="0"/>
                <w:color w:val="000000"/>
              </w:rPr>
              <w:t>°</w:t>
            </w:r>
            <w:r>
              <w:rPr>
                <w:rFonts w:hint="eastAsia"/>
                <w:b w:val="0"/>
                <w:bCs w:val="0"/>
                <w:color w:val="000000"/>
                <w:lang w:val="en-US" w:eastAsia="zh-CN"/>
              </w:rPr>
              <w:t>13</w:t>
            </w:r>
            <w:r>
              <w:rPr>
                <w:rFonts w:hint="eastAsia"/>
                <w:b w:val="0"/>
                <w:bCs w:val="0"/>
                <w:color w:val="000000"/>
              </w:rPr>
              <w:t>′</w:t>
            </w:r>
            <w:r>
              <w:rPr>
                <w:rFonts w:hint="eastAsia"/>
                <w:b w:val="0"/>
                <w:bCs w:val="0"/>
                <w:color w:val="000000"/>
                <w:lang w:val="en-US" w:eastAsia="zh-CN"/>
              </w:rPr>
              <w:t>41.670</w:t>
            </w:r>
            <w:r>
              <w:rPr>
                <w:rFonts w:hint="eastAsia"/>
                <w:b w:val="0"/>
                <w:bCs w:val="0"/>
                <w:color w:val="000000"/>
              </w:rPr>
              <w:t>″</w:t>
            </w:r>
            <w:r>
              <w:rPr>
                <w:rFonts w:hint="eastAsia"/>
                <w:b w:val="0"/>
                <w:bCs w:val="0"/>
                <w:color w:val="000000"/>
                <w:lang w:eastAsia="zh-CN"/>
              </w:rPr>
              <w:t>。</w:t>
            </w:r>
          </w:p>
          <w:p>
            <w:pPr>
              <w:keepNext w:val="0"/>
              <w:keepLines w:val="0"/>
              <w:suppressLineNumbers w:val="0"/>
              <w:bidi w:val="0"/>
              <w:spacing w:before="0" w:beforeAutospacing="0" w:after="0" w:afterAutospacing="0"/>
              <w:ind w:left="0" w:right="0"/>
              <w:rPr>
                <w:rFonts w:hint="eastAsia" w:cs="Times New Roman"/>
                <w:color w:val="000000"/>
                <w:lang w:val="en-US" w:eastAsia="zh-CN"/>
              </w:rPr>
            </w:pPr>
            <w:r>
              <w:rPr>
                <w:rFonts w:hint="eastAsia" w:cs="Times New Roman"/>
                <w:color w:val="000000"/>
                <w:lang w:val="en-US" w:eastAsia="zh-CN"/>
              </w:rPr>
              <w:t>建设性质：新建</w:t>
            </w:r>
          </w:p>
          <w:p>
            <w:pPr>
              <w:keepNext w:val="0"/>
              <w:keepLines w:val="0"/>
              <w:suppressLineNumbers w:val="0"/>
              <w:bidi w:val="0"/>
              <w:spacing w:before="0" w:beforeAutospacing="0" w:after="0" w:afterAutospacing="0"/>
              <w:ind w:left="0" w:right="0"/>
              <w:rPr>
                <w:rFonts w:hint="eastAsia" w:cs="Times New Roman"/>
                <w:color w:val="000000"/>
                <w:highlight w:val="none"/>
                <w:lang w:val="en-US" w:eastAsia="zh-CN"/>
              </w:rPr>
            </w:pPr>
            <w:r>
              <w:rPr>
                <w:rFonts w:hint="eastAsia" w:cs="Times New Roman"/>
                <w:color w:val="000000"/>
                <w:lang w:val="en-US" w:eastAsia="zh-CN"/>
              </w:rPr>
              <w:t>项目投资：项目总投资20万元</w:t>
            </w:r>
            <w:r>
              <w:rPr>
                <w:rFonts w:hint="eastAsia" w:cs="Times New Roman"/>
                <w:color w:val="000000"/>
                <w:highlight w:val="none"/>
                <w:lang w:val="en-US" w:eastAsia="zh-CN"/>
              </w:rPr>
              <w:t>，其中环保投资20万元，占总投资的100%。</w:t>
            </w:r>
          </w:p>
          <w:p>
            <w:pPr>
              <w:keepNext w:val="0"/>
              <w:keepLines w:val="0"/>
              <w:suppressLineNumbers w:val="0"/>
              <w:bidi w:val="0"/>
              <w:spacing w:before="0" w:beforeAutospacing="0" w:after="0" w:afterAutospacing="0"/>
              <w:ind w:left="0" w:right="0"/>
              <w:rPr>
                <w:rFonts w:hint="eastAsia" w:cs="Times New Roman"/>
                <w:color w:val="000000"/>
                <w:lang w:val="en-US" w:eastAsia="zh-CN"/>
              </w:rPr>
            </w:pPr>
            <w:r>
              <w:rPr>
                <w:rFonts w:hint="eastAsia" w:cs="Times New Roman"/>
                <w:color w:val="000000"/>
                <w:lang w:val="en-US" w:eastAsia="zh-CN"/>
              </w:rPr>
              <w:t>建设内容及规模：本项目</w:t>
            </w:r>
            <w:r>
              <w:rPr>
                <w:rFonts w:hint="eastAsia" w:ascii="Times New Roman" w:hAnsi="Times New Roman" w:eastAsia="宋体" w:cs="Times New Roman"/>
                <w:color w:val="auto"/>
                <w:lang w:val="en-US" w:eastAsia="zh-CN"/>
              </w:rPr>
              <w:t>占地面积</w:t>
            </w:r>
            <w:r>
              <w:rPr>
                <w:rFonts w:hint="eastAsia" w:cs="Times New Roman"/>
                <w:color w:val="auto"/>
                <w:sz w:val="24"/>
                <w:lang w:val="en-US" w:eastAsia="zh-CN"/>
              </w:rPr>
              <w:t>12</w:t>
            </w:r>
            <w:r>
              <w:rPr>
                <w:rFonts w:hint="eastAsia" w:ascii="Times New Roman" w:hAnsi="Times New Roman" w:eastAsia="宋体" w:cs="Times New Roman"/>
                <w:color w:val="auto"/>
                <w:lang w:val="en-US" w:eastAsia="zh-CN"/>
              </w:rPr>
              <w:t>平方米，</w:t>
            </w:r>
            <w:r>
              <w:rPr>
                <w:rFonts w:hint="eastAsia" w:cs="Times New Roman"/>
                <w:color w:val="auto"/>
                <w:highlight w:val="none"/>
                <w:lang w:val="en-US" w:eastAsia="zh-CN"/>
              </w:rPr>
              <w:t>建设1个医疗废物暂存间</w:t>
            </w:r>
            <w:r>
              <w:rPr>
                <w:rFonts w:hint="eastAsia" w:cs="Times New Roman"/>
                <w:color w:val="000000"/>
                <w:lang w:val="en-US" w:eastAsia="zh-CN"/>
              </w:rPr>
              <w:t>用于暂存企业产生的</w:t>
            </w:r>
            <w:r>
              <w:rPr>
                <w:rFonts w:hint="eastAsia" w:ascii="Times New Roman" w:hAnsi="Times New Roman" w:eastAsia="宋体" w:cs="Times New Roman"/>
                <w:color w:val="auto"/>
                <w:lang w:val="en-US" w:eastAsia="zh-CN"/>
              </w:rPr>
              <w:t>各类危险废物</w:t>
            </w:r>
            <w:r>
              <w:rPr>
                <w:rFonts w:hint="eastAsia" w:ascii="Times New Roman" w:hAnsi="Times New Roman" w:eastAsia="宋体" w:cs="Times New Roman"/>
                <w:color w:val="auto"/>
                <w:highlight w:val="none"/>
                <w:lang w:val="en-US" w:eastAsia="zh-CN"/>
              </w:rPr>
              <w:t>。</w:t>
            </w:r>
          </w:p>
          <w:p>
            <w:pPr>
              <w:keepNext w:val="0"/>
              <w:keepLines w:val="0"/>
              <w:suppressLineNumbers w:val="0"/>
              <w:bidi w:val="0"/>
              <w:spacing w:before="0" w:beforeAutospacing="0" w:after="0" w:afterAutospacing="0"/>
              <w:ind w:left="0" w:right="0"/>
              <w:rPr>
                <w:rFonts w:cs="Times New Roman"/>
                <w:color w:val="000000"/>
              </w:rPr>
            </w:pPr>
            <w:r>
              <w:rPr>
                <w:rFonts w:hint="eastAsia" w:cs="Times New Roman"/>
                <w:color w:val="000000"/>
              </w:rPr>
              <w:t>本项目</w:t>
            </w:r>
            <w:r>
              <w:rPr>
                <w:rFonts w:hint="eastAsia" w:cs="Times New Roman"/>
                <w:color w:val="000000"/>
                <w:lang w:val="en-US" w:eastAsia="zh-CN"/>
              </w:rPr>
              <w:t>工程组成详见表2-1</w:t>
            </w:r>
            <w:r>
              <w:rPr>
                <w:rFonts w:cs="Times New Roman"/>
                <w:color w:val="000000"/>
              </w:rPr>
              <w:t>。</w:t>
            </w:r>
          </w:p>
          <w:p>
            <w:pPr>
              <w:pStyle w:val="9"/>
              <w:keepNext/>
              <w:keepLines/>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textAlignment w:val="auto"/>
              <w:rPr>
                <w:rFonts w:cs="Times New Roman"/>
                <w:color w:val="000000"/>
              </w:rPr>
            </w:pPr>
            <w:r>
              <w:rPr>
                <w:rFonts w:cs="Times New Roman"/>
                <w:color w:val="000000"/>
              </w:rPr>
              <w:t>表</w:t>
            </w:r>
            <w:r>
              <w:rPr>
                <w:rFonts w:hint="eastAsia" w:cs="Times New Roman"/>
                <w:color w:val="000000"/>
                <w:lang w:val="en-US" w:eastAsia="zh-CN"/>
              </w:rPr>
              <w:t>2-1</w:t>
            </w:r>
            <w:r>
              <w:rPr>
                <w:rFonts w:hint="eastAsia" w:cs="Times New Roman"/>
                <w:color w:val="000000"/>
              </w:rPr>
              <w:t xml:space="preserve"> </w:t>
            </w:r>
            <w:r>
              <w:rPr>
                <w:rFonts w:hint="eastAsia" w:cs="Times New Roman"/>
                <w:color w:val="000000"/>
                <w:lang w:val="en-US" w:eastAsia="zh-CN"/>
              </w:rPr>
              <w:t xml:space="preserve"> </w:t>
            </w:r>
            <w:r>
              <w:rPr>
                <w:rFonts w:hint="eastAsia" w:cs="Times New Roman"/>
                <w:color w:val="000000"/>
              </w:rPr>
              <w:t>本项目工程建设</w:t>
            </w:r>
            <w:r>
              <w:rPr>
                <w:rFonts w:cs="Times New Roman"/>
                <w:color w:val="000000"/>
              </w:rPr>
              <w:t>内容一览表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7"/>
              <w:gridCol w:w="1038"/>
              <w:gridCol w:w="5580"/>
              <w:gridCol w:w="11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4" w:type="pct"/>
                  <w:gridSpan w:val="2"/>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color w:val="000000"/>
                      <w:kern w:val="2"/>
                      <w:lang w:val="en-US" w:eastAsia="zh-CN"/>
                    </w:rPr>
                    <w:t>工程类别</w:t>
                  </w:r>
                </w:p>
              </w:tc>
              <w:tc>
                <w:tcPr>
                  <w:tcW w:w="3300" w:type="pct"/>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color w:val="000000"/>
                      <w:kern w:val="2"/>
                      <w:lang w:val="en-US" w:eastAsia="zh-CN"/>
                    </w:rPr>
                    <w:t>建设内容</w:t>
                  </w:r>
                </w:p>
              </w:tc>
              <w:tc>
                <w:tcPr>
                  <w:tcW w:w="655"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000000"/>
                      <w:kern w:val="2"/>
                      <w:lang w:val="en-US" w:eastAsia="zh-CN"/>
                    </w:rPr>
                  </w:pPr>
                  <w:r>
                    <w:rPr>
                      <w:rFonts w:hint="eastAsia"/>
                      <w:color w:val="000000"/>
                      <w:kern w:val="2"/>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color w:val="000000"/>
                      <w:kern w:val="2"/>
                      <w:lang w:val="en-US" w:eastAsia="zh-CN"/>
                    </w:rPr>
                    <w:t>主体工程</w:t>
                  </w:r>
                </w:p>
              </w:tc>
              <w:tc>
                <w:tcPr>
                  <w:tcW w:w="613" w:type="pct"/>
                  <w:noWrap w:val="0"/>
                  <w:vAlign w:val="center"/>
                </w:tcPr>
                <w:p>
                  <w:pPr>
                    <w:pStyle w:val="216"/>
                    <w:keepNext w:val="0"/>
                    <w:keepLines w:val="0"/>
                    <w:widowControl/>
                    <w:suppressLineNumbers w:val="0"/>
                    <w:bidi w:val="0"/>
                    <w:spacing w:before="0" w:beforeAutospacing="0" w:after="0" w:afterAutospacing="0"/>
                    <w:ind w:left="0" w:right="0"/>
                    <w:rPr>
                      <w:rFonts w:hint="default" w:eastAsia="宋体"/>
                      <w:color w:val="000000"/>
                      <w:kern w:val="2"/>
                      <w:lang w:val="en-US" w:eastAsia="zh-CN"/>
                    </w:rPr>
                  </w:pPr>
                  <w:r>
                    <w:rPr>
                      <w:rFonts w:hint="eastAsia"/>
                      <w:color w:val="000000"/>
                      <w:kern w:val="2"/>
                      <w:lang w:val="en-US" w:eastAsia="zh-CN"/>
                    </w:rPr>
                    <w:t>医疗废物暂存间</w:t>
                  </w:r>
                </w:p>
              </w:tc>
              <w:tc>
                <w:tcPr>
                  <w:tcW w:w="3300" w:type="pct"/>
                  <w:noWrap w:val="0"/>
                  <w:vAlign w:val="center"/>
                </w:tcPr>
                <w:p>
                  <w:pPr>
                    <w:pStyle w:val="216"/>
                    <w:keepNext w:val="0"/>
                    <w:keepLines w:val="0"/>
                    <w:widowControl/>
                    <w:suppressLineNumbers w:val="0"/>
                    <w:bidi w:val="0"/>
                    <w:spacing w:before="0" w:beforeAutospacing="0" w:after="0" w:afterAutospacing="0"/>
                    <w:ind w:left="0" w:right="0"/>
                    <w:rPr>
                      <w:rFonts w:hint="default" w:eastAsia="宋体"/>
                      <w:color w:val="000000"/>
                      <w:kern w:val="2"/>
                      <w:lang w:val="en-US" w:eastAsia="zh-CN"/>
                    </w:rPr>
                  </w:pPr>
                  <w:r>
                    <w:rPr>
                      <w:rFonts w:hint="eastAsia" w:ascii="Times New Roman" w:hAnsi="Times New Roman"/>
                      <w:color w:val="auto"/>
                      <w:kern w:val="2"/>
                    </w:rPr>
                    <w:t>1F，</w:t>
                  </w:r>
                  <w:r>
                    <w:rPr>
                      <w:rFonts w:ascii="Times New Roman" w:hAnsi="Times New Roman"/>
                      <w:color w:val="auto"/>
                      <w:kern w:val="2"/>
                    </w:rPr>
                    <w:t>位于</w:t>
                  </w:r>
                  <w:r>
                    <w:rPr>
                      <w:rFonts w:hint="eastAsia" w:ascii="Times New Roman" w:hAnsi="Times New Roman"/>
                      <w:color w:val="auto"/>
                      <w:kern w:val="2"/>
                      <w:lang w:eastAsia="zh-CN"/>
                    </w:rPr>
                    <w:t>企业厂区西南侧空地</w:t>
                  </w:r>
                  <w:r>
                    <w:rPr>
                      <w:rFonts w:ascii="Times New Roman" w:hAnsi="Times New Roman"/>
                      <w:color w:val="auto"/>
                      <w:kern w:val="2"/>
                    </w:rPr>
                    <w:t>，占地面积</w:t>
                  </w:r>
                  <w:r>
                    <w:rPr>
                      <w:rFonts w:hint="eastAsia" w:ascii="Times New Roman" w:hAnsi="Times New Roman"/>
                      <w:color w:val="auto"/>
                      <w:kern w:val="2"/>
                      <w:lang w:val="en-US" w:eastAsia="zh-CN"/>
                    </w:rPr>
                    <w:t>12</w:t>
                  </w:r>
                  <w:r>
                    <w:rPr>
                      <w:rFonts w:ascii="Times New Roman" w:hAnsi="Times New Roman"/>
                      <w:color w:val="auto"/>
                      <w:kern w:val="2"/>
                    </w:rPr>
                    <w:t>m</w:t>
                  </w:r>
                  <w:r>
                    <w:rPr>
                      <w:rFonts w:ascii="Times New Roman" w:hAnsi="Times New Roman"/>
                      <w:color w:val="auto"/>
                      <w:kern w:val="2"/>
                      <w:vertAlign w:val="superscript"/>
                    </w:rPr>
                    <w:t>2</w:t>
                  </w:r>
                  <w:r>
                    <w:rPr>
                      <w:rFonts w:ascii="Times New Roman" w:hAnsi="Times New Roman"/>
                      <w:color w:val="auto"/>
                      <w:kern w:val="2"/>
                    </w:rPr>
                    <w:t>，</w:t>
                  </w:r>
                  <w:r>
                    <w:rPr>
                      <w:rFonts w:hint="eastAsia" w:ascii="Times New Roman" w:hAnsi="Times New Roman" w:eastAsia="宋体" w:cs="Times New Roman"/>
                      <w:color w:val="auto"/>
                      <w:kern w:val="2"/>
                      <w:lang w:val="en-US" w:eastAsia="zh-CN"/>
                    </w:rPr>
                    <w:t>采用轻钢柜体</w:t>
                  </w:r>
                  <w:r>
                    <w:rPr>
                      <w:rFonts w:ascii="Times New Roman" w:hAnsi="Times New Roman"/>
                      <w:color w:val="auto"/>
                      <w:kern w:val="2"/>
                      <w:szCs w:val="21"/>
                      <w:lang w:bidi="ar"/>
                    </w:rPr>
                    <w:t>，</w:t>
                  </w:r>
                  <w:r>
                    <w:rPr>
                      <w:rFonts w:ascii="Times New Roman" w:hAnsi="Times New Roman"/>
                      <w:color w:val="auto"/>
                      <w:spacing w:val="3"/>
                      <w:kern w:val="2"/>
                      <w:szCs w:val="21"/>
                    </w:rPr>
                    <w:t>分</w:t>
                  </w:r>
                  <w:r>
                    <w:rPr>
                      <w:rFonts w:hint="eastAsia"/>
                      <w:color w:val="auto"/>
                      <w:spacing w:val="3"/>
                      <w:kern w:val="2"/>
                      <w:szCs w:val="21"/>
                      <w:lang w:eastAsia="zh-CN"/>
                    </w:rPr>
                    <w:t>五</w:t>
                  </w:r>
                  <w:r>
                    <w:rPr>
                      <w:rFonts w:ascii="Times New Roman" w:hAnsi="Times New Roman"/>
                      <w:color w:val="auto"/>
                      <w:spacing w:val="3"/>
                      <w:kern w:val="2"/>
                      <w:szCs w:val="21"/>
                    </w:rPr>
                    <w:t>个区域分别</w:t>
                  </w:r>
                  <w:r>
                    <w:rPr>
                      <w:rFonts w:hint="eastAsia" w:ascii="Times New Roman" w:hAnsi="Times New Roman" w:eastAsia="宋体" w:cs="Times New Roman"/>
                      <w:color w:val="auto"/>
                      <w:kern w:val="2"/>
                      <w:lang w:val="en-US" w:eastAsia="zh-CN"/>
                    </w:rPr>
                    <w:t>HW01医疗废物</w:t>
                  </w:r>
                  <w:r>
                    <w:rPr>
                      <w:rFonts w:hint="default" w:ascii="Times New Roman" w:hAnsi="Times New Roman" w:eastAsia="宋体" w:cs="Times New Roman"/>
                      <w:color w:val="auto"/>
                      <w:kern w:val="2"/>
                      <w:lang w:val="en-US" w:eastAsia="zh-CN"/>
                    </w:rPr>
                    <w:t>，</w:t>
                  </w:r>
                  <w:r>
                    <w:rPr>
                      <w:rFonts w:hint="eastAsia" w:cs="Times New Roman"/>
                      <w:color w:val="auto"/>
                      <w:kern w:val="2"/>
                      <w:lang w:val="en-US" w:eastAsia="zh-CN"/>
                    </w:rPr>
                    <w:t>四周设置导流槽，</w:t>
                  </w:r>
                  <w:r>
                    <w:rPr>
                      <w:rFonts w:hint="eastAsia" w:ascii="Times New Roman" w:hAnsi="Times New Roman"/>
                      <w:color w:val="auto"/>
                      <w:kern w:val="2"/>
                      <w:szCs w:val="21"/>
                    </w:rPr>
                    <w:t>在东南角</w:t>
                  </w:r>
                  <w:r>
                    <w:rPr>
                      <w:rFonts w:hint="eastAsia"/>
                      <w:color w:val="auto"/>
                      <w:kern w:val="2"/>
                      <w:szCs w:val="21"/>
                      <w:lang w:eastAsia="zh-CN"/>
                    </w:rPr>
                    <w:t>设</w:t>
                  </w:r>
                  <w:r>
                    <w:rPr>
                      <w:rFonts w:hint="eastAsia" w:ascii="Times New Roman" w:hAnsi="Times New Roman"/>
                      <w:color w:val="auto"/>
                      <w:kern w:val="2"/>
                      <w:szCs w:val="21"/>
                    </w:rPr>
                    <w:t>1</w:t>
                  </w:r>
                  <w:r>
                    <w:rPr>
                      <w:rFonts w:ascii="Times New Roman" w:hAnsi="Times New Roman"/>
                      <w:color w:val="auto"/>
                      <w:kern w:val="2"/>
                      <w:szCs w:val="21"/>
                    </w:rPr>
                    <w:t>个</w:t>
                  </w:r>
                  <w:r>
                    <w:rPr>
                      <w:rFonts w:hint="eastAsia" w:ascii="Times New Roman" w:hAnsi="Times New Roman"/>
                      <w:color w:val="auto"/>
                      <w:kern w:val="2"/>
                      <w:szCs w:val="21"/>
                    </w:rPr>
                    <w:t>0.</w:t>
                  </w:r>
                  <w:r>
                    <w:rPr>
                      <w:rFonts w:hint="eastAsia"/>
                      <w:color w:val="auto"/>
                      <w:kern w:val="2"/>
                      <w:szCs w:val="21"/>
                      <w:lang w:val="en-US" w:eastAsia="zh-CN"/>
                    </w:rPr>
                    <w:t>1</w:t>
                  </w:r>
                  <w:r>
                    <w:rPr>
                      <w:rFonts w:ascii="Times New Roman" w:hAnsi="Times New Roman"/>
                      <w:color w:val="auto"/>
                      <w:kern w:val="2"/>
                      <w:szCs w:val="21"/>
                    </w:rPr>
                    <w:t>m</w:t>
                  </w:r>
                  <w:r>
                    <w:rPr>
                      <w:rFonts w:ascii="Times New Roman" w:hAnsi="Times New Roman"/>
                      <w:color w:val="auto"/>
                      <w:kern w:val="2"/>
                      <w:szCs w:val="21"/>
                      <w:vertAlign w:val="superscript"/>
                    </w:rPr>
                    <w:t>3</w:t>
                  </w:r>
                  <w:r>
                    <w:rPr>
                      <w:rFonts w:ascii="Times New Roman" w:hAnsi="Times New Roman"/>
                      <w:color w:val="auto"/>
                      <w:kern w:val="2"/>
                      <w:szCs w:val="21"/>
                    </w:rPr>
                    <w:t>的集液</w:t>
                  </w:r>
                  <w:r>
                    <w:rPr>
                      <w:rFonts w:hint="eastAsia"/>
                      <w:color w:val="auto"/>
                      <w:kern w:val="2"/>
                      <w:szCs w:val="21"/>
                      <w:lang w:eastAsia="zh-CN"/>
                    </w:rPr>
                    <w:t>池</w:t>
                  </w:r>
                  <w:r>
                    <w:rPr>
                      <w:rFonts w:ascii="Times New Roman" w:hAnsi="Times New Roman"/>
                      <w:color w:val="auto"/>
                      <w:kern w:val="2"/>
                      <w:szCs w:val="21"/>
                    </w:rPr>
                    <w:t>，</w:t>
                  </w:r>
                  <w:r>
                    <w:rPr>
                      <w:rFonts w:hint="eastAsia" w:ascii="Times New Roman" w:hAnsi="Times New Roman"/>
                      <w:color w:val="auto"/>
                      <w:kern w:val="2"/>
                      <w:szCs w:val="21"/>
                    </w:rPr>
                    <w:t>可满足收集要求</w:t>
                  </w:r>
                  <w:r>
                    <w:rPr>
                      <w:rFonts w:hint="eastAsia" w:ascii="Times New Roman" w:hAnsi="Times New Roman"/>
                      <w:color w:val="FF0000"/>
                      <w:kern w:val="2"/>
                      <w:szCs w:val="21"/>
                    </w:rPr>
                    <w:t>（最大液态废物容积0.</w:t>
                  </w:r>
                  <w:r>
                    <w:rPr>
                      <w:rFonts w:hint="eastAsia"/>
                      <w:color w:val="FF0000"/>
                      <w:kern w:val="2"/>
                      <w:szCs w:val="21"/>
                      <w:lang w:val="en-US" w:eastAsia="zh-CN"/>
                    </w:rPr>
                    <w:t>05</w:t>
                  </w:r>
                  <w:r>
                    <w:rPr>
                      <w:rFonts w:hint="eastAsia" w:ascii="Times New Roman" w:hAnsi="Times New Roman"/>
                      <w:color w:val="FF0000"/>
                      <w:kern w:val="2"/>
                      <w:szCs w:val="21"/>
                    </w:rPr>
                    <w:t>m</w:t>
                  </w:r>
                  <w:r>
                    <w:rPr>
                      <w:rFonts w:hint="eastAsia" w:ascii="Times New Roman" w:hAnsi="Times New Roman"/>
                      <w:color w:val="FF0000"/>
                      <w:kern w:val="2"/>
                      <w:szCs w:val="21"/>
                      <w:vertAlign w:val="superscript"/>
                    </w:rPr>
                    <w:t>3</w:t>
                  </w:r>
                  <w:r>
                    <w:rPr>
                      <w:rFonts w:hint="eastAsia" w:ascii="Times New Roman" w:hAnsi="Times New Roman"/>
                      <w:color w:val="FF0000"/>
                      <w:kern w:val="2"/>
                      <w:szCs w:val="21"/>
                    </w:rPr>
                    <w:t>，液态废物最大储量</w:t>
                  </w:r>
                  <w:r>
                    <w:rPr>
                      <w:rFonts w:hint="eastAsia" w:ascii="Times New Roman" w:hAnsi="Times New Roman"/>
                      <w:color w:val="FF0000"/>
                      <w:kern w:val="2"/>
                      <w:szCs w:val="21"/>
                      <w:lang w:val="en-US" w:eastAsia="zh-CN"/>
                    </w:rPr>
                    <w:t>0.</w:t>
                  </w:r>
                  <w:r>
                    <w:rPr>
                      <w:rFonts w:hint="eastAsia"/>
                      <w:color w:val="FF0000"/>
                      <w:kern w:val="2"/>
                      <w:szCs w:val="21"/>
                      <w:lang w:val="en-US" w:eastAsia="zh-CN"/>
                    </w:rPr>
                    <w:t>5</w:t>
                  </w:r>
                  <w:r>
                    <w:rPr>
                      <w:rFonts w:hint="eastAsia" w:ascii="Times New Roman" w:hAnsi="Times New Roman"/>
                      <w:color w:val="FF0000"/>
                      <w:kern w:val="2"/>
                      <w:szCs w:val="21"/>
                    </w:rPr>
                    <w:t>m</w:t>
                  </w:r>
                  <w:r>
                    <w:rPr>
                      <w:rFonts w:hint="eastAsia" w:ascii="Times New Roman" w:hAnsi="Times New Roman"/>
                      <w:color w:val="FF0000"/>
                      <w:kern w:val="2"/>
                      <w:szCs w:val="21"/>
                      <w:vertAlign w:val="superscript"/>
                    </w:rPr>
                    <w:t>3</w:t>
                  </w:r>
                  <w:r>
                    <w:rPr>
                      <w:rFonts w:hint="eastAsia" w:ascii="Times New Roman" w:hAnsi="Times New Roman"/>
                      <w:color w:val="FF0000"/>
                      <w:kern w:val="2"/>
                      <w:szCs w:val="21"/>
                    </w:rPr>
                    <w:t>）</w:t>
                  </w:r>
                  <w:r>
                    <w:rPr>
                      <w:rFonts w:hint="eastAsia" w:ascii="Times New Roman" w:hAnsi="Times New Roman"/>
                      <w:color w:val="auto"/>
                      <w:kern w:val="2"/>
                      <w:szCs w:val="21"/>
                    </w:rPr>
                    <w:t>，</w:t>
                  </w:r>
                  <w:r>
                    <w:rPr>
                      <w:rFonts w:ascii="Times New Roman" w:hAnsi="Times New Roman"/>
                      <w:color w:val="auto"/>
                      <w:kern w:val="2"/>
                      <w:szCs w:val="21"/>
                    </w:rPr>
                    <w:t>按照《危险废物贮存污染控制标准》（GB18597-2023）的要求进行</w:t>
                  </w:r>
                  <w:r>
                    <w:rPr>
                      <w:rFonts w:hint="eastAsia"/>
                      <w:color w:val="auto"/>
                      <w:kern w:val="2"/>
                      <w:szCs w:val="21"/>
                      <w:lang w:eastAsia="zh-CN"/>
                    </w:rPr>
                    <w:t>医疗废物暂存间</w:t>
                  </w:r>
                  <w:r>
                    <w:rPr>
                      <w:rFonts w:ascii="Times New Roman" w:hAnsi="Times New Roman"/>
                      <w:color w:val="auto"/>
                      <w:kern w:val="2"/>
                      <w:szCs w:val="21"/>
                    </w:rPr>
                    <w:t>地面与裙脚的防渗</w:t>
                  </w:r>
                  <w:r>
                    <w:rPr>
                      <w:rFonts w:hint="eastAsia"/>
                      <w:color w:val="auto"/>
                      <w:kern w:val="2"/>
                      <w:szCs w:val="21"/>
                      <w:lang w:eastAsia="zh-CN"/>
                    </w:rPr>
                    <w:t>、防腐</w:t>
                  </w:r>
                  <w:r>
                    <w:rPr>
                      <w:rFonts w:ascii="Times New Roman" w:hAnsi="Times New Roman"/>
                      <w:color w:val="auto"/>
                      <w:kern w:val="2"/>
                      <w:szCs w:val="21"/>
                    </w:rPr>
                    <w:t>，</w:t>
                  </w:r>
                  <w:r>
                    <w:rPr>
                      <w:rFonts w:ascii="Times New Roman" w:hAnsi="Times New Roman"/>
                      <w:color w:val="FF0000"/>
                      <w:kern w:val="2"/>
                      <w:szCs w:val="21"/>
                    </w:rPr>
                    <w:t>采用</w:t>
                  </w:r>
                  <w:r>
                    <w:rPr>
                      <w:rFonts w:ascii="Times New Roman" w:hAnsi="Times New Roman"/>
                      <w:color w:val="FF0000"/>
                      <w:kern w:val="0"/>
                      <w:szCs w:val="21"/>
                    </w:rPr>
                    <w:t>2mm厚高密度聚乙烯膜等人工防渗材料（渗透系数不大于10</w:t>
                  </w:r>
                  <w:r>
                    <w:rPr>
                      <w:rFonts w:ascii="Times New Roman" w:hAnsi="Times New Roman"/>
                      <w:color w:val="FF0000"/>
                      <w:kern w:val="0"/>
                      <w:szCs w:val="21"/>
                      <w:vertAlign w:val="superscript"/>
                    </w:rPr>
                    <w:t>-10</w:t>
                  </w:r>
                  <w:r>
                    <w:rPr>
                      <w:rFonts w:ascii="Times New Roman" w:hAnsi="Times New Roman"/>
                      <w:color w:val="FF0000"/>
                      <w:kern w:val="0"/>
                      <w:szCs w:val="21"/>
                    </w:rPr>
                    <w:t>cm/s）</w:t>
                  </w:r>
                  <w:r>
                    <w:rPr>
                      <w:rFonts w:hint="eastAsia"/>
                      <w:color w:val="FF0000"/>
                      <w:kern w:val="0"/>
                      <w:szCs w:val="21"/>
                      <w:lang w:eastAsia="zh-CN"/>
                    </w:rPr>
                    <w:t>，并在表面铺设一层环氧树脂进行防腐</w:t>
                  </w:r>
                  <w:r>
                    <w:rPr>
                      <w:rFonts w:hint="eastAsia" w:ascii="Times New Roman" w:hAnsi="Times New Roman" w:eastAsia="宋体" w:cs="Times New Roman"/>
                      <w:color w:val="auto"/>
                      <w:kern w:val="2"/>
                      <w:highlight w:val="none"/>
                      <w:lang w:val="en-US" w:eastAsia="zh-CN"/>
                    </w:rPr>
                    <w:t>。</w:t>
                  </w:r>
                </w:p>
              </w:tc>
              <w:tc>
                <w:tcPr>
                  <w:tcW w:w="655" w:type="pct"/>
                  <w:noWrap w:val="0"/>
                  <w:vAlign w:val="center"/>
                </w:tcPr>
                <w:p>
                  <w:pPr>
                    <w:pStyle w:val="216"/>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kern w:val="2"/>
                      <w:highlight w:val="none"/>
                      <w:lang w:val="en-US" w:eastAsia="zh-CN"/>
                    </w:rPr>
                  </w:pPr>
                  <w:r>
                    <w:rPr>
                      <w:rFonts w:hint="eastAsia" w:cs="Times New Roman"/>
                      <w:color w:val="auto"/>
                      <w:kern w:val="2"/>
                      <w:highlight w:val="none"/>
                      <w:lang w:val="en-US" w:eastAsia="zh-CN"/>
                    </w:rPr>
                    <w:t>企业购买符合要求的</w:t>
                  </w:r>
                  <w:r>
                    <w:rPr>
                      <w:rFonts w:hint="eastAsia" w:ascii="Times New Roman" w:hAnsi="Times New Roman" w:eastAsia="宋体" w:cs="Times New Roman"/>
                      <w:color w:val="auto"/>
                      <w:kern w:val="2"/>
                      <w:lang w:val="en-US" w:eastAsia="zh-CN"/>
                    </w:rPr>
                    <w:t>轻钢柜体作为</w:t>
                  </w:r>
                  <w:r>
                    <w:rPr>
                      <w:rFonts w:hint="eastAsia" w:cs="Times New Roman"/>
                      <w:color w:val="auto"/>
                      <w:kern w:val="2"/>
                      <w:lang w:val="en-US" w:eastAsia="zh-CN"/>
                    </w:rPr>
                    <w:t>医疗废物暂存间</w:t>
                  </w:r>
                  <w:r>
                    <w:rPr>
                      <w:rFonts w:hint="eastAsia" w:ascii="Times New Roman" w:hAnsi="Times New Roman" w:eastAsia="宋体" w:cs="Times New Roman"/>
                      <w:color w:val="auto"/>
                      <w:kern w:val="2"/>
                      <w:lang w:val="en-US" w:eastAsia="zh-CN"/>
                    </w:rPr>
                    <w:t>，内部进行分区、防渗</w:t>
                  </w:r>
                  <w:r>
                    <w:rPr>
                      <w:rFonts w:hint="eastAsia" w:cs="Times New Roman"/>
                      <w:color w:val="auto"/>
                      <w:kern w:val="2"/>
                      <w:lang w:val="en-US" w:eastAsia="zh-CN"/>
                    </w:rPr>
                    <w:t>防腐</w:t>
                  </w:r>
                  <w:r>
                    <w:rPr>
                      <w:rFonts w:hint="eastAsia" w:ascii="Times New Roman" w:hAnsi="Times New Roman" w:eastAsia="宋体" w:cs="Times New Roman"/>
                      <w:color w:val="auto"/>
                      <w:kern w:val="2"/>
                      <w:lang w:val="en-US" w:eastAsia="zh-CN"/>
                    </w:rPr>
                    <w:t>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restart"/>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color w:val="000000"/>
                      <w:kern w:val="2"/>
                      <w:lang w:val="en-US" w:eastAsia="zh-CN"/>
                    </w:rPr>
                    <w:t>公用工程</w:t>
                  </w:r>
                </w:p>
              </w:tc>
              <w:tc>
                <w:tcPr>
                  <w:tcW w:w="613" w:type="pct"/>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color w:val="000000"/>
                      <w:kern w:val="2"/>
                      <w:lang w:val="en-US" w:eastAsia="zh-CN"/>
                    </w:rPr>
                    <w:t>供电</w:t>
                  </w:r>
                </w:p>
              </w:tc>
              <w:tc>
                <w:tcPr>
                  <w:tcW w:w="3300" w:type="pct"/>
                  <w:noWrap w:val="0"/>
                  <w:vAlign w:val="center"/>
                </w:tcPr>
                <w:p>
                  <w:pPr>
                    <w:pStyle w:val="216"/>
                    <w:keepNext w:val="0"/>
                    <w:keepLines w:val="0"/>
                    <w:widowControl/>
                    <w:suppressLineNumbers w:val="0"/>
                    <w:bidi w:val="0"/>
                    <w:spacing w:before="0" w:beforeAutospacing="0" w:after="0" w:afterAutospacing="0"/>
                    <w:ind w:left="0" w:right="0"/>
                    <w:rPr>
                      <w:rFonts w:hint="default" w:eastAsia="宋体"/>
                      <w:color w:val="000000"/>
                      <w:kern w:val="2"/>
                      <w:lang w:val="en-US" w:eastAsia="zh-CN"/>
                    </w:rPr>
                  </w:pPr>
                  <w:r>
                    <w:rPr>
                      <w:rFonts w:hint="eastAsia"/>
                      <w:color w:val="000000"/>
                      <w:kern w:val="2"/>
                      <w:lang w:val="en-US" w:eastAsia="zh-CN"/>
                    </w:rPr>
                    <w:t>本项目供电电源由市政供电系统提供</w:t>
                  </w:r>
                </w:p>
              </w:tc>
              <w:tc>
                <w:tcPr>
                  <w:tcW w:w="655" w:type="pct"/>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lang w:val="en-US" w:eastAsia="zh-CN"/>
                    </w:rPr>
                  </w:pPr>
                  <w:r>
                    <w:rPr>
                      <w:rFonts w:hint="eastAsia"/>
                      <w:color w:val="000000"/>
                      <w:kern w:val="2"/>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continue"/>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p>
              </w:tc>
              <w:tc>
                <w:tcPr>
                  <w:tcW w:w="613" w:type="pct"/>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color w:val="000000"/>
                      <w:kern w:val="2"/>
                      <w:lang w:val="en-US" w:eastAsia="zh-CN"/>
                    </w:rPr>
                    <w:t>供水</w:t>
                  </w:r>
                </w:p>
              </w:tc>
              <w:tc>
                <w:tcPr>
                  <w:tcW w:w="3300" w:type="pct"/>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rFonts w:hint="eastAsia" w:ascii="Times New Roman" w:hAnsi="Times New Roman" w:eastAsia="宋体" w:cs="Times New Roman"/>
                      <w:color w:val="auto"/>
                      <w:kern w:val="2"/>
                      <w:lang w:val="en-US" w:eastAsia="zh-CN"/>
                    </w:rPr>
                    <w:t>项目依托企业现有职工，不新增劳动定员，不新增生活用水</w:t>
                  </w:r>
                </w:p>
              </w:tc>
              <w:tc>
                <w:tcPr>
                  <w:tcW w:w="655" w:type="pct"/>
                  <w:noWrap w:val="0"/>
                  <w:vAlign w:val="center"/>
                </w:tcPr>
                <w:p>
                  <w:pPr>
                    <w:pStyle w:val="216"/>
                    <w:keepNext w:val="0"/>
                    <w:keepLines w:val="0"/>
                    <w:widowControl/>
                    <w:suppressLineNumbers w:val="0"/>
                    <w:bidi w:val="0"/>
                    <w:spacing w:before="0" w:beforeAutospacing="0" w:after="0" w:afterAutospacing="0"/>
                    <w:ind w:left="0" w:right="0"/>
                    <w:rPr>
                      <w:rFonts w:hint="default"/>
                      <w:color w:val="000000"/>
                      <w:kern w:val="2"/>
                      <w:lang w:val="en-US" w:eastAsia="zh-CN"/>
                    </w:rPr>
                  </w:pPr>
                  <w:r>
                    <w:rPr>
                      <w:rFonts w:hint="eastAsia"/>
                      <w:color w:val="000000"/>
                      <w:kern w:val="2"/>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continue"/>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p>
              </w:tc>
              <w:tc>
                <w:tcPr>
                  <w:tcW w:w="613" w:type="pct"/>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highlight w:val="none"/>
                    </w:rPr>
                  </w:pPr>
                  <w:r>
                    <w:rPr>
                      <w:color w:val="000000"/>
                      <w:kern w:val="2"/>
                      <w:highlight w:val="none"/>
                      <w:lang w:val="en-US" w:eastAsia="zh-CN"/>
                    </w:rPr>
                    <w:t>供热</w:t>
                  </w:r>
                </w:p>
              </w:tc>
              <w:tc>
                <w:tcPr>
                  <w:tcW w:w="3300" w:type="pct"/>
                  <w:noWrap w:val="0"/>
                  <w:vAlign w:val="center"/>
                </w:tcPr>
                <w:p>
                  <w:pPr>
                    <w:pStyle w:val="216"/>
                    <w:keepNext w:val="0"/>
                    <w:keepLines w:val="0"/>
                    <w:widowControl/>
                    <w:suppressLineNumbers w:val="0"/>
                    <w:bidi w:val="0"/>
                    <w:spacing w:before="0" w:beforeAutospacing="0" w:after="0" w:afterAutospacing="0"/>
                    <w:ind w:left="0" w:right="0"/>
                    <w:rPr>
                      <w:rFonts w:hint="default" w:eastAsia="宋体"/>
                      <w:color w:val="000000"/>
                      <w:kern w:val="2"/>
                      <w:highlight w:val="none"/>
                      <w:lang w:val="en-US" w:eastAsia="zh-CN"/>
                    </w:rPr>
                  </w:pPr>
                  <w:r>
                    <w:rPr>
                      <w:rFonts w:hint="eastAsia"/>
                      <w:color w:val="000000"/>
                      <w:kern w:val="2"/>
                      <w:highlight w:val="none"/>
                      <w:lang w:val="en-US" w:eastAsia="zh-CN"/>
                    </w:rPr>
                    <w:t>本项目不需供热</w:t>
                  </w:r>
                </w:p>
              </w:tc>
              <w:tc>
                <w:tcPr>
                  <w:tcW w:w="655" w:type="pct"/>
                  <w:noWrap w:val="0"/>
                  <w:vAlign w:val="center"/>
                </w:tcPr>
                <w:p>
                  <w:pPr>
                    <w:pStyle w:val="216"/>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color w:val="000000"/>
                      <w:kern w:val="2"/>
                      <w:highlight w:val="none"/>
                      <w:lang w:val="en-US" w:eastAsia="zh-CN"/>
                    </w:rPr>
                  </w:pPr>
                  <w:r>
                    <w:rPr>
                      <w:rFonts w:hint="eastAsia"/>
                      <w:color w:val="000000"/>
                      <w:kern w:val="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continue"/>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p>
              </w:tc>
              <w:tc>
                <w:tcPr>
                  <w:tcW w:w="613" w:type="pct"/>
                  <w:noWrap w:val="0"/>
                  <w:vAlign w:val="center"/>
                </w:tcPr>
                <w:p>
                  <w:pPr>
                    <w:pStyle w:val="216"/>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000000"/>
                      <w:kern w:val="2"/>
                      <w:lang w:val="en-US" w:eastAsia="zh-CN"/>
                    </w:rPr>
                  </w:pPr>
                  <w:r>
                    <w:rPr>
                      <w:rFonts w:hint="eastAsia" w:ascii="Times New Roman" w:hAnsi="Times New Roman" w:eastAsia="宋体" w:cs="Times New Roman"/>
                      <w:color w:val="000000"/>
                      <w:kern w:val="2"/>
                      <w:lang w:val="en-US" w:eastAsia="zh-CN"/>
                    </w:rPr>
                    <w:t>排水</w:t>
                  </w:r>
                </w:p>
              </w:tc>
              <w:tc>
                <w:tcPr>
                  <w:tcW w:w="3300" w:type="pct"/>
                  <w:noWrap w:val="0"/>
                  <w:vAlign w:val="center"/>
                </w:tcPr>
                <w:p>
                  <w:pPr>
                    <w:pStyle w:val="216"/>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000000"/>
                      <w:kern w:val="2"/>
                      <w:lang w:val="en-US" w:eastAsia="zh-CN"/>
                    </w:rPr>
                  </w:pPr>
                  <w:r>
                    <w:rPr>
                      <w:rFonts w:hint="eastAsia" w:ascii="Times New Roman" w:hAnsi="Times New Roman" w:eastAsia="宋体" w:cs="Times New Roman"/>
                      <w:color w:val="000000"/>
                      <w:kern w:val="2"/>
                      <w:highlight w:val="none"/>
                      <w:lang w:val="en-US" w:eastAsia="zh-CN"/>
                    </w:rPr>
                    <w:t>本项目不新增劳动定员，不新增生活污水，本项目不产生生产废水</w:t>
                  </w:r>
                </w:p>
              </w:tc>
              <w:tc>
                <w:tcPr>
                  <w:tcW w:w="655" w:type="pct"/>
                  <w:noWrap w:val="0"/>
                  <w:vAlign w:val="center"/>
                </w:tcPr>
                <w:p>
                  <w:pPr>
                    <w:pStyle w:val="216"/>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kern w:val="2"/>
                      <w:lang w:val="en-US" w:eastAsia="zh-CN"/>
                    </w:rPr>
                  </w:pPr>
                  <w:r>
                    <w:rPr>
                      <w:rFonts w:hint="eastAsia"/>
                      <w:color w:val="000000"/>
                      <w:kern w:val="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restart"/>
                  <w:noWrap w:val="0"/>
                  <w:vAlign w:val="center"/>
                </w:tcPr>
                <w:p>
                  <w:pPr>
                    <w:pStyle w:val="216"/>
                    <w:keepNext w:val="0"/>
                    <w:keepLines w:val="0"/>
                    <w:widowControl/>
                    <w:suppressLineNumbers w:val="0"/>
                    <w:bidi w:val="0"/>
                    <w:spacing w:before="0" w:beforeAutospacing="0" w:after="0" w:afterAutospacing="0"/>
                    <w:ind w:left="0" w:right="0"/>
                    <w:rPr>
                      <w:rFonts w:hint="default" w:eastAsia="宋体"/>
                      <w:color w:val="000000"/>
                      <w:kern w:val="2"/>
                      <w:lang w:val="en-US" w:eastAsia="zh-CN"/>
                    </w:rPr>
                  </w:pPr>
                  <w:r>
                    <w:rPr>
                      <w:rFonts w:hint="eastAsia"/>
                      <w:color w:val="000000"/>
                      <w:kern w:val="2"/>
                      <w:lang w:val="en-US" w:eastAsia="zh-CN"/>
                    </w:rPr>
                    <w:t>环保工程</w:t>
                  </w:r>
                </w:p>
              </w:tc>
              <w:tc>
                <w:tcPr>
                  <w:tcW w:w="613" w:type="pct"/>
                  <w:vMerge w:val="restart"/>
                  <w:noWrap w:val="0"/>
                  <w:vAlign w:val="center"/>
                </w:tcPr>
                <w:p>
                  <w:pPr>
                    <w:pStyle w:val="216"/>
                    <w:keepNext w:val="0"/>
                    <w:keepLines w:val="0"/>
                    <w:widowControl/>
                    <w:suppressLineNumbers w:val="0"/>
                    <w:bidi w:val="0"/>
                    <w:spacing w:before="0" w:beforeAutospacing="0" w:after="0" w:afterAutospacing="0"/>
                    <w:ind w:left="0" w:right="0"/>
                    <w:rPr>
                      <w:rFonts w:hint="default"/>
                      <w:color w:val="000000"/>
                      <w:kern w:val="2"/>
                      <w:lang w:val="en-US" w:eastAsia="zh-CN"/>
                    </w:rPr>
                  </w:pPr>
                  <w:r>
                    <w:rPr>
                      <w:rFonts w:hint="eastAsia"/>
                      <w:color w:val="000000"/>
                      <w:kern w:val="2"/>
                      <w:lang w:val="en-US" w:eastAsia="zh-CN"/>
                    </w:rPr>
                    <w:t>废气</w:t>
                  </w:r>
                </w:p>
              </w:tc>
              <w:tc>
                <w:tcPr>
                  <w:tcW w:w="3300" w:type="pct"/>
                  <w:vMerge w:val="restart"/>
                  <w:noWrap w:val="0"/>
                  <w:vAlign w:val="center"/>
                </w:tcPr>
                <w:p>
                  <w:pPr>
                    <w:pStyle w:val="216"/>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000000"/>
                      <w:kern w:val="2"/>
                      <w:lang w:val="en-US" w:eastAsia="zh-CN"/>
                    </w:rPr>
                  </w:pPr>
                  <w:r>
                    <w:rPr>
                      <w:rFonts w:hint="eastAsia" w:ascii="Times New Roman" w:hAnsi="Times New Roman" w:eastAsia="宋体" w:cs="Times New Roman"/>
                      <w:color w:val="FF0000"/>
                      <w:kern w:val="2"/>
                      <w:highlight w:val="none"/>
                      <w:lang w:val="en-US" w:eastAsia="zh-CN"/>
                    </w:rPr>
                    <w:t>项目</w:t>
                  </w:r>
                  <w:r>
                    <w:rPr>
                      <w:rFonts w:hint="eastAsia" w:cs="Times New Roman"/>
                      <w:color w:val="FF0000"/>
                      <w:kern w:val="2"/>
                      <w:highlight w:val="none"/>
                      <w:lang w:val="en-US" w:eastAsia="zh-CN"/>
                    </w:rPr>
                    <w:t>会产生少量的异味</w:t>
                  </w:r>
                  <w:r>
                    <w:rPr>
                      <w:rFonts w:hint="eastAsia" w:ascii="Times New Roman" w:hAnsi="Times New Roman" w:eastAsia="宋体" w:cs="Times New Roman"/>
                      <w:color w:val="FF0000"/>
                      <w:kern w:val="2"/>
                      <w:highlight w:val="none"/>
                      <w:lang w:val="en-US" w:eastAsia="zh-CN"/>
                    </w:rPr>
                    <w:t>，通过</w:t>
                  </w:r>
                  <w:r>
                    <w:rPr>
                      <w:rFonts w:hint="eastAsia" w:cs="Times New Roman"/>
                      <w:color w:val="FF0000"/>
                      <w:kern w:val="2"/>
                      <w:highlight w:val="none"/>
                      <w:lang w:val="en-US" w:eastAsia="zh-CN"/>
                    </w:rPr>
                    <w:t>定期消毒和</w:t>
                  </w:r>
                  <w:r>
                    <w:rPr>
                      <w:rFonts w:hint="eastAsia" w:ascii="Times New Roman" w:hAnsi="Times New Roman" w:eastAsia="宋体" w:cs="Times New Roman"/>
                      <w:color w:val="FF0000"/>
                      <w:kern w:val="2"/>
                      <w:highlight w:val="none"/>
                      <w:lang w:val="en-US" w:eastAsia="zh-CN"/>
                    </w:rPr>
                    <w:t>安装排气扇来加强通风</w:t>
                  </w:r>
                  <w:r>
                    <w:rPr>
                      <w:rFonts w:hint="eastAsia" w:cs="Times New Roman"/>
                      <w:color w:val="FF0000"/>
                      <w:kern w:val="2"/>
                      <w:highlight w:val="none"/>
                      <w:lang w:val="en-US" w:eastAsia="zh-CN"/>
                    </w:rPr>
                    <w:t>处理</w:t>
                  </w:r>
                  <w:r>
                    <w:rPr>
                      <w:rFonts w:hint="eastAsia" w:ascii="Times New Roman" w:hAnsi="Times New Roman" w:eastAsia="宋体" w:cs="Times New Roman"/>
                      <w:color w:val="FF0000"/>
                      <w:kern w:val="2"/>
                      <w:highlight w:val="none"/>
                      <w:lang w:val="en-US" w:eastAsia="zh-CN"/>
                    </w:rPr>
                    <w:t>，</w:t>
                  </w:r>
                  <w:r>
                    <w:rPr>
                      <w:rFonts w:hint="eastAsia" w:cs="Times New Roman"/>
                      <w:color w:val="FF0000"/>
                      <w:kern w:val="2"/>
                      <w:highlight w:val="none"/>
                      <w:lang w:val="en-US" w:eastAsia="zh-CN"/>
                    </w:rPr>
                    <w:t>同时，企业</w:t>
                  </w:r>
                  <w:r>
                    <w:rPr>
                      <w:rFonts w:hint="eastAsia" w:ascii="Times New Roman" w:hAnsi="Times New Roman" w:eastAsia="宋体" w:cs="Times New Roman"/>
                      <w:color w:val="FF0000"/>
                      <w:kern w:val="2"/>
                      <w:highlight w:val="none"/>
                      <w:lang w:val="en-US" w:eastAsia="zh-CN"/>
                    </w:rPr>
                    <w:t>应重点防范包装破损情况，确保</w:t>
                  </w:r>
                  <w:r>
                    <w:rPr>
                      <w:rFonts w:hint="eastAsia" w:cs="Times New Roman"/>
                      <w:color w:val="FF0000"/>
                      <w:kern w:val="2"/>
                      <w:highlight w:val="none"/>
                      <w:lang w:val="en-US" w:eastAsia="zh-CN"/>
                    </w:rPr>
                    <w:t>医疗</w:t>
                  </w:r>
                  <w:r>
                    <w:rPr>
                      <w:rFonts w:hint="eastAsia" w:ascii="Times New Roman" w:hAnsi="Times New Roman" w:eastAsia="宋体" w:cs="Times New Roman"/>
                      <w:color w:val="FF0000"/>
                      <w:kern w:val="2"/>
                      <w:highlight w:val="none"/>
                      <w:lang w:val="en-US" w:eastAsia="zh-CN"/>
                    </w:rPr>
                    <w:t>废物密闭暂存</w:t>
                  </w:r>
                </w:p>
              </w:tc>
              <w:tc>
                <w:tcPr>
                  <w:tcW w:w="655" w:type="pct"/>
                  <w:noWrap w:val="0"/>
                  <w:vAlign w:val="center"/>
                </w:tcPr>
                <w:p>
                  <w:pPr>
                    <w:pStyle w:val="216"/>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kern w:val="2"/>
                      <w:lang w:val="en-US" w:eastAsia="zh-CN"/>
                    </w:rPr>
                  </w:pPr>
                  <w:r>
                    <w:rPr>
                      <w:rFonts w:hint="eastAsia"/>
                      <w:color w:val="000000"/>
                      <w:kern w:val="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continue"/>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lang w:val="en-US" w:eastAsia="zh-CN"/>
                    </w:rPr>
                  </w:pPr>
                </w:p>
              </w:tc>
              <w:tc>
                <w:tcPr>
                  <w:tcW w:w="613" w:type="pct"/>
                  <w:vMerge w:val="continue"/>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lang w:val="en-US" w:eastAsia="zh-CN"/>
                    </w:rPr>
                  </w:pPr>
                </w:p>
              </w:tc>
              <w:tc>
                <w:tcPr>
                  <w:tcW w:w="3300" w:type="pct"/>
                  <w:vMerge w:val="continue"/>
                  <w:noWrap w:val="0"/>
                  <w:vAlign w:val="center"/>
                </w:tcPr>
                <w:p>
                  <w:pPr>
                    <w:pStyle w:val="216"/>
                    <w:keepNext w:val="0"/>
                    <w:keepLines w:val="0"/>
                    <w:widowControl/>
                    <w:suppressLineNumbers w:val="0"/>
                    <w:bidi w:val="0"/>
                    <w:spacing w:before="0" w:beforeAutospacing="0" w:after="0" w:afterAutospacing="0"/>
                    <w:ind w:left="0" w:right="0"/>
                    <w:rPr>
                      <w:rFonts w:hint="eastAsia" w:ascii="Times New Roman" w:hAnsi="Times New Roman" w:eastAsia="宋体" w:cs="Times New Roman"/>
                      <w:color w:val="000000"/>
                      <w:spacing w:val="-6"/>
                      <w:kern w:val="2"/>
                      <w:sz w:val="21"/>
                      <w:highlight w:val="none"/>
                      <w:lang w:val="en-US" w:eastAsia="zh-CN"/>
                    </w:rPr>
                  </w:pPr>
                </w:p>
              </w:tc>
              <w:tc>
                <w:tcPr>
                  <w:tcW w:w="655" w:type="pct"/>
                  <w:noWrap w:val="0"/>
                  <w:vAlign w:val="center"/>
                </w:tcPr>
                <w:p>
                  <w:pPr>
                    <w:pStyle w:val="216"/>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kern w:val="2"/>
                      <w:highlight w:val="none"/>
                      <w:lang w:val="en-US" w:eastAsia="zh-CN"/>
                    </w:rPr>
                  </w:pPr>
                  <w:r>
                    <w:rPr>
                      <w:rFonts w:hint="eastAsia"/>
                      <w:color w:val="000000"/>
                      <w:kern w:val="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continue"/>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lang w:val="en-US" w:eastAsia="zh-CN"/>
                    </w:rPr>
                  </w:pPr>
                </w:p>
              </w:tc>
              <w:tc>
                <w:tcPr>
                  <w:tcW w:w="613" w:type="pct"/>
                  <w:vMerge w:val="continue"/>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lang w:val="en-US" w:eastAsia="zh-CN"/>
                    </w:rPr>
                  </w:pPr>
                </w:p>
              </w:tc>
              <w:tc>
                <w:tcPr>
                  <w:tcW w:w="3300" w:type="pct"/>
                  <w:vMerge w:val="continue"/>
                  <w:noWrap w:val="0"/>
                  <w:vAlign w:val="center"/>
                </w:tcPr>
                <w:p>
                  <w:pPr>
                    <w:pStyle w:val="216"/>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000000"/>
                      <w:kern w:val="2"/>
                      <w:lang w:val="en-US" w:eastAsia="zh-CN"/>
                    </w:rPr>
                  </w:pPr>
                </w:p>
              </w:tc>
              <w:tc>
                <w:tcPr>
                  <w:tcW w:w="655" w:type="pct"/>
                  <w:noWrap w:val="0"/>
                  <w:vAlign w:val="center"/>
                </w:tcPr>
                <w:p>
                  <w:pPr>
                    <w:pStyle w:val="216"/>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kern w:val="2"/>
                      <w:lang w:val="en-US" w:eastAsia="zh-CN"/>
                    </w:rPr>
                  </w:pPr>
                  <w:r>
                    <w:rPr>
                      <w:rFonts w:hint="eastAsia"/>
                      <w:color w:val="000000"/>
                      <w:kern w:val="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continue"/>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p>
              </w:tc>
              <w:tc>
                <w:tcPr>
                  <w:tcW w:w="613" w:type="pct"/>
                  <w:noWrap w:val="0"/>
                  <w:vAlign w:val="center"/>
                </w:tcPr>
                <w:p>
                  <w:pPr>
                    <w:pStyle w:val="216"/>
                    <w:keepNext w:val="0"/>
                    <w:keepLines w:val="0"/>
                    <w:widowControl/>
                    <w:suppressLineNumbers w:val="0"/>
                    <w:bidi w:val="0"/>
                    <w:spacing w:before="0" w:beforeAutospacing="0" w:after="0" w:afterAutospacing="0"/>
                    <w:ind w:left="0" w:right="0"/>
                    <w:rPr>
                      <w:rFonts w:hint="eastAsia" w:eastAsia="宋体"/>
                      <w:color w:val="000000"/>
                      <w:kern w:val="2"/>
                      <w:lang w:val="en-US" w:eastAsia="zh-CN"/>
                    </w:rPr>
                  </w:pPr>
                  <w:r>
                    <w:rPr>
                      <w:rFonts w:hint="eastAsia"/>
                      <w:color w:val="000000"/>
                      <w:kern w:val="2"/>
                      <w:lang w:val="en-US" w:eastAsia="zh-CN"/>
                    </w:rPr>
                    <w:t>废水</w:t>
                  </w:r>
                </w:p>
              </w:tc>
              <w:tc>
                <w:tcPr>
                  <w:tcW w:w="3300" w:type="pct"/>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rFonts w:hint="eastAsia" w:ascii="Times New Roman" w:hAnsi="Times New Roman" w:eastAsia="宋体" w:cs="Times New Roman"/>
                      <w:color w:val="000000"/>
                      <w:kern w:val="2"/>
                      <w:highlight w:val="none"/>
                      <w:lang w:val="en-US" w:eastAsia="zh-CN"/>
                    </w:rPr>
                    <w:t>本项目不新增劳动定员，不新增生活污水，本项目不产生生产废水</w:t>
                  </w:r>
                </w:p>
              </w:tc>
              <w:tc>
                <w:tcPr>
                  <w:tcW w:w="655" w:type="pct"/>
                  <w:noWrap w:val="0"/>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kern w:val="2"/>
                      <w:lang w:val="en-US" w:eastAsia="zh-CN"/>
                    </w:rPr>
                  </w:pPr>
                  <w:r>
                    <w:rPr>
                      <w:rFonts w:hint="eastAsia"/>
                      <w:color w:val="000000"/>
                      <w:kern w:val="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continue"/>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p>
              </w:tc>
              <w:tc>
                <w:tcPr>
                  <w:tcW w:w="613" w:type="pct"/>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color w:val="000000"/>
                      <w:kern w:val="2"/>
                      <w:lang w:val="en-US" w:eastAsia="zh-CN"/>
                    </w:rPr>
                    <w:t>噪声</w:t>
                  </w:r>
                </w:p>
              </w:tc>
              <w:tc>
                <w:tcPr>
                  <w:tcW w:w="3300" w:type="pct"/>
                  <w:noWrap w:val="0"/>
                  <w:vAlign w:val="center"/>
                </w:tcPr>
                <w:p>
                  <w:pPr>
                    <w:pStyle w:val="216"/>
                    <w:keepNext w:val="0"/>
                    <w:keepLines w:val="0"/>
                    <w:widowControl/>
                    <w:suppressLineNumbers w:val="0"/>
                    <w:bidi w:val="0"/>
                    <w:spacing w:before="0" w:beforeAutospacing="0" w:after="0" w:afterAutospacing="0"/>
                    <w:ind w:left="0" w:right="0"/>
                    <w:rPr>
                      <w:rFonts w:hint="eastAsia" w:eastAsia="宋体"/>
                      <w:color w:val="000000"/>
                      <w:kern w:val="2"/>
                      <w:lang w:val="en-US" w:eastAsia="zh-CN"/>
                    </w:rPr>
                  </w:pPr>
                  <w:r>
                    <w:rPr>
                      <w:rFonts w:hint="eastAsia"/>
                      <w:color w:val="000000"/>
                      <w:kern w:val="2"/>
                      <w:lang w:val="en-US" w:eastAsia="zh-CN"/>
                    </w:rPr>
                    <w:t>危险废物</w:t>
                  </w:r>
                  <w:r>
                    <w:rPr>
                      <w:color w:val="000000"/>
                      <w:kern w:val="2"/>
                      <w:lang w:val="en-US" w:eastAsia="zh-CN"/>
                    </w:rPr>
                    <w:t>运输车辆减速慢行、减少鸣笛。</w:t>
                  </w:r>
                </w:p>
              </w:tc>
              <w:tc>
                <w:tcPr>
                  <w:tcW w:w="655" w:type="pct"/>
                  <w:noWrap w:val="0"/>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color w:val="000000"/>
                      <w:kern w:val="2"/>
                      <w:lang w:val="en-US" w:eastAsia="zh-CN"/>
                    </w:rPr>
                  </w:pPr>
                  <w:r>
                    <w:rPr>
                      <w:rFonts w:hint="eastAsia"/>
                      <w:color w:val="000000"/>
                      <w:kern w:val="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continue"/>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p>
              </w:tc>
              <w:tc>
                <w:tcPr>
                  <w:tcW w:w="613" w:type="pct"/>
                  <w:vMerge w:val="restart"/>
                  <w:noWrap w:val="0"/>
                  <w:vAlign w:val="center"/>
                </w:tcPr>
                <w:p>
                  <w:pPr>
                    <w:pStyle w:val="216"/>
                    <w:keepNext w:val="0"/>
                    <w:keepLines w:val="0"/>
                    <w:widowControl/>
                    <w:suppressLineNumbers w:val="0"/>
                    <w:bidi w:val="0"/>
                    <w:spacing w:before="0" w:beforeAutospacing="0" w:after="0" w:afterAutospacing="0"/>
                    <w:ind w:left="0" w:right="0"/>
                    <w:rPr>
                      <w:rFonts w:hint="eastAsia" w:ascii="Times New Roman" w:hAnsi="Times New Roman" w:eastAsia="宋体" w:cs="Times New Roman"/>
                      <w:color w:val="000000"/>
                      <w:kern w:val="2"/>
                      <w:lang w:val="en-US" w:eastAsia="zh-CN"/>
                    </w:rPr>
                  </w:pPr>
                  <w:r>
                    <w:rPr>
                      <w:rFonts w:hint="eastAsia" w:ascii="Times New Roman" w:hAnsi="Times New Roman" w:eastAsia="宋体" w:cs="Times New Roman"/>
                      <w:color w:val="000000"/>
                      <w:kern w:val="2"/>
                      <w:lang w:val="en-US" w:eastAsia="zh-CN"/>
                    </w:rPr>
                    <w:t>固废</w:t>
                  </w:r>
                </w:p>
              </w:tc>
              <w:tc>
                <w:tcPr>
                  <w:tcW w:w="3300" w:type="pct"/>
                  <w:vMerge w:val="restart"/>
                  <w:noWrap w:val="0"/>
                  <w:vAlign w:val="center"/>
                </w:tcPr>
                <w:p>
                  <w:pPr>
                    <w:pStyle w:val="216"/>
                    <w:keepNext w:val="0"/>
                    <w:keepLines w:val="0"/>
                    <w:widowControl/>
                    <w:suppressLineNumbers w:val="0"/>
                    <w:bidi w:val="0"/>
                    <w:spacing w:before="0" w:beforeAutospacing="0" w:after="0" w:afterAutospacing="0"/>
                    <w:ind w:left="0" w:right="0"/>
                    <w:rPr>
                      <w:rFonts w:hint="eastAsia" w:ascii="Times New Roman" w:hAnsi="Times New Roman" w:eastAsia="宋体" w:cs="Times New Roman"/>
                      <w:color w:val="0000FF"/>
                      <w:kern w:val="2"/>
                      <w:lang w:val="en-US" w:eastAsia="zh-CN"/>
                    </w:rPr>
                  </w:pPr>
                  <w:r>
                    <w:rPr>
                      <w:rFonts w:hint="eastAsia" w:ascii="Times New Roman" w:hAnsi="Times New Roman" w:eastAsia="宋体" w:cs="Times New Roman"/>
                      <w:color w:val="000000"/>
                      <w:kern w:val="2"/>
                      <w:lang w:val="en-US" w:eastAsia="zh-CN"/>
                    </w:rPr>
                    <w:t>各类</w:t>
                  </w:r>
                  <w:r>
                    <w:rPr>
                      <w:rFonts w:hint="eastAsia" w:cs="Times New Roman"/>
                      <w:color w:val="000000"/>
                      <w:kern w:val="2"/>
                      <w:lang w:val="en-US" w:eastAsia="zh-CN"/>
                    </w:rPr>
                    <w:t>医疗废物</w:t>
                  </w:r>
                  <w:r>
                    <w:rPr>
                      <w:rFonts w:hint="eastAsia" w:ascii="Times New Roman" w:hAnsi="Times New Roman" w:eastAsia="宋体" w:cs="Times New Roman"/>
                      <w:color w:val="000000"/>
                      <w:kern w:val="2"/>
                      <w:lang w:val="en-US" w:eastAsia="zh-CN"/>
                    </w:rPr>
                    <w:t>分区暂存</w:t>
                  </w:r>
                  <w:r>
                    <w:rPr>
                      <w:rFonts w:hint="eastAsia" w:cs="Times New Roman"/>
                      <w:color w:val="000000"/>
                      <w:kern w:val="2"/>
                      <w:lang w:val="en-US" w:eastAsia="zh-CN"/>
                    </w:rPr>
                    <w:t>医疗废物</w:t>
                  </w:r>
                  <w:r>
                    <w:rPr>
                      <w:rFonts w:hint="eastAsia" w:ascii="Times New Roman" w:hAnsi="Times New Roman" w:eastAsia="宋体" w:cs="Times New Roman"/>
                      <w:color w:val="000000"/>
                      <w:kern w:val="2"/>
                      <w:lang w:val="en-US" w:eastAsia="zh-CN"/>
                    </w:rPr>
                    <w:t>暂存间，</w:t>
                  </w:r>
                  <w:r>
                    <w:rPr>
                      <w:rFonts w:hint="eastAsia" w:cs="Times New Roman"/>
                      <w:color w:val="000000"/>
                      <w:kern w:val="2"/>
                      <w:lang w:val="en-US" w:eastAsia="zh-CN"/>
                    </w:rPr>
                    <w:t>定期</w:t>
                  </w:r>
                  <w:r>
                    <w:rPr>
                      <w:rFonts w:hint="eastAsia" w:ascii="Times New Roman" w:hAnsi="Times New Roman" w:eastAsia="宋体" w:cs="Times New Roman"/>
                      <w:color w:val="000000"/>
                      <w:kern w:val="2"/>
                      <w:lang w:val="en-US" w:eastAsia="zh-CN"/>
                    </w:rPr>
                    <w:t>委托</w:t>
                  </w:r>
                  <w:r>
                    <w:rPr>
                      <w:rFonts w:hint="eastAsia" w:cs="Times New Roman"/>
                      <w:color w:val="000000"/>
                      <w:kern w:val="2"/>
                      <w:lang w:val="en-US" w:eastAsia="zh-CN"/>
                    </w:rPr>
                    <w:t>有</w:t>
                  </w:r>
                  <w:r>
                    <w:rPr>
                      <w:rFonts w:hint="eastAsia" w:ascii="Times New Roman" w:hAnsi="Times New Roman" w:eastAsia="宋体" w:cs="Times New Roman"/>
                      <w:color w:val="000000"/>
                      <w:kern w:val="2"/>
                      <w:lang w:val="en-US" w:eastAsia="zh-CN"/>
                    </w:rPr>
                    <w:t>资质单位处理</w:t>
                  </w:r>
                </w:p>
              </w:tc>
              <w:tc>
                <w:tcPr>
                  <w:tcW w:w="655" w:type="pct"/>
                  <w:noWrap w:val="0"/>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cs="Times New Roman"/>
                      <w:color w:val="auto"/>
                      <w:kern w:val="2"/>
                      <w:sz w:val="21"/>
                      <w:szCs w:val="21"/>
                      <w:highlight w:val="none"/>
                      <w:lang w:val="en-US" w:eastAsia="zh-CN"/>
                    </w:rPr>
                  </w:pPr>
                  <w:r>
                    <w:rPr>
                      <w:rFonts w:hint="eastAsia"/>
                      <w:color w:val="000000"/>
                      <w:kern w:val="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continue"/>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p>
              </w:tc>
              <w:tc>
                <w:tcPr>
                  <w:tcW w:w="613" w:type="pct"/>
                  <w:vMerge w:val="continue"/>
                  <w:noWrap w:val="0"/>
                  <w:vAlign w:val="center"/>
                </w:tcPr>
                <w:p>
                  <w:pPr>
                    <w:pStyle w:val="216"/>
                    <w:keepNext w:val="0"/>
                    <w:keepLines w:val="0"/>
                    <w:widowControl/>
                    <w:suppressLineNumbers w:val="0"/>
                    <w:bidi w:val="0"/>
                    <w:spacing w:before="0" w:beforeAutospacing="0" w:after="0" w:afterAutospacing="0"/>
                    <w:ind w:left="0" w:right="0"/>
                    <w:rPr>
                      <w:rFonts w:hint="eastAsia" w:ascii="Times New Roman" w:hAnsi="Times New Roman" w:eastAsia="宋体" w:cs="Times New Roman"/>
                      <w:color w:val="000000"/>
                      <w:kern w:val="2"/>
                      <w:lang w:val="en-US" w:eastAsia="zh-CN"/>
                    </w:rPr>
                  </w:pPr>
                </w:p>
              </w:tc>
              <w:tc>
                <w:tcPr>
                  <w:tcW w:w="3300" w:type="pct"/>
                  <w:vMerge w:val="continue"/>
                  <w:noWrap w:val="0"/>
                  <w:vAlign w:val="center"/>
                </w:tcPr>
                <w:p>
                  <w:pPr>
                    <w:pStyle w:val="216"/>
                    <w:keepNext w:val="0"/>
                    <w:keepLines w:val="0"/>
                    <w:widowControl/>
                    <w:suppressLineNumbers w:val="0"/>
                    <w:bidi w:val="0"/>
                    <w:spacing w:before="0" w:beforeAutospacing="0" w:after="0" w:afterAutospacing="0"/>
                    <w:ind w:left="0" w:right="0"/>
                    <w:rPr>
                      <w:rFonts w:hint="eastAsia" w:ascii="Times New Roman" w:hAnsi="Times New Roman" w:eastAsia="宋体" w:cs="Times New Roman"/>
                      <w:color w:val="0000FF"/>
                      <w:kern w:val="2"/>
                      <w:lang w:val="en-US" w:eastAsia="zh-CN"/>
                    </w:rPr>
                  </w:pPr>
                </w:p>
              </w:tc>
              <w:tc>
                <w:tcPr>
                  <w:tcW w:w="655" w:type="pct"/>
                  <w:noWrap w:val="0"/>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color w:val="000000"/>
                      <w:kern w:val="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4" w:type="pct"/>
                  <w:gridSpan w:val="2"/>
                  <w:noWrap w:val="0"/>
                  <w:vAlign w:val="center"/>
                </w:tcPr>
                <w:p>
                  <w:pPr>
                    <w:pStyle w:val="216"/>
                    <w:keepNext w:val="0"/>
                    <w:keepLines w:val="0"/>
                    <w:widowControl/>
                    <w:suppressLineNumbers w:val="0"/>
                    <w:bidi w:val="0"/>
                    <w:spacing w:before="0" w:beforeAutospacing="0" w:after="0" w:afterAutospacing="0"/>
                    <w:ind w:left="0" w:right="0"/>
                    <w:rPr>
                      <w:rFonts w:hint="eastAsia" w:ascii="Times New Roman" w:hAnsi="Times New Roman" w:eastAsia="宋体" w:cs="Times New Roman"/>
                      <w:color w:val="000000"/>
                      <w:kern w:val="2"/>
                      <w:lang w:val="en-US" w:eastAsia="zh-CN"/>
                    </w:rPr>
                  </w:pPr>
                  <w:r>
                    <w:rPr>
                      <w:rFonts w:hint="eastAsia" w:ascii="Times New Roman" w:hAnsi="Times New Roman" w:eastAsia="宋体" w:cs="Times New Roman"/>
                      <w:color w:val="000000"/>
                      <w:kern w:val="2"/>
                      <w:lang w:val="en-US" w:eastAsia="zh-CN"/>
                    </w:rPr>
                    <w:t>环境风险</w:t>
                  </w:r>
                </w:p>
              </w:tc>
              <w:tc>
                <w:tcPr>
                  <w:tcW w:w="3300" w:type="pct"/>
                  <w:noWrap w:val="0"/>
                  <w:vAlign w:val="center"/>
                </w:tcPr>
                <w:p>
                  <w:pPr>
                    <w:pStyle w:val="216"/>
                    <w:keepNext w:val="0"/>
                    <w:keepLines w:val="0"/>
                    <w:widowControl/>
                    <w:suppressLineNumbers w:val="0"/>
                    <w:bidi w:val="0"/>
                    <w:spacing w:before="0" w:beforeAutospacing="0" w:after="0" w:afterAutospacing="0"/>
                    <w:ind w:left="0" w:right="0"/>
                    <w:rPr>
                      <w:rFonts w:hint="eastAsia" w:ascii="Times New Roman" w:hAnsi="Times New Roman" w:eastAsia="宋体" w:cs="Times New Roman"/>
                      <w:color w:val="000000"/>
                      <w:kern w:val="2"/>
                      <w:lang w:val="en-US" w:eastAsia="zh-CN"/>
                    </w:rPr>
                  </w:pPr>
                  <w:r>
                    <w:rPr>
                      <w:rFonts w:hint="eastAsia" w:cs="Times New Roman"/>
                      <w:color w:val="000000"/>
                      <w:kern w:val="2"/>
                      <w:lang w:val="en-US" w:eastAsia="zh-CN"/>
                    </w:rPr>
                    <w:t>医疗废物</w:t>
                  </w:r>
                  <w:r>
                    <w:rPr>
                      <w:rFonts w:hint="eastAsia" w:ascii="Times New Roman" w:hAnsi="Times New Roman" w:eastAsia="宋体" w:cs="Times New Roman"/>
                      <w:color w:val="000000"/>
                      <w:kern w:val="2"/>
                      <w:lang w:val="en-US" w:eastAsia="zh-CN"/>
                    </w:rPr>
                    <w:t>暂存间做好防风、防雨、防晒措施，地面、墙裙等做好防渗</w:t>
                  </w:r>
                  <w:r>
                    <w:rPr>
                      <w:rFonts w:hint="eastAsia" w:cs="Times New Roman"/>
                      <w:color w:val="000000"/>
                      <w:kern w:val="2"/>
                      <w:lang w:val="en-US" w:eastAsia="zh-CN"/>
                    </w:rPr>
                    <w:t>、防腐</w:t>
                  </w:r>
                  <w:r>
                    <w:rPr>
                      <w:rFonts w:hint="eastAsia" w:ascii="Times New Roman" w:hAnsi="Times New Roman" w:eastAsia="宋体" w:cs="Times New Roman"/>
                      <w:color w:val="000000"/>
                      <w:kern w:val="2"/>
                      <w:lang w:val="en-US" w:eastAsia="zh-CN"/>
                    </w:rPr>
                    <w:t>，防止事故状态下废液泄漏至地下水体，并设置警示标志</w:t>
                  </w:r>
                </w:p>
              </w:tc>
              <w:tc>
                <w:tcPr>
                  <w:tcW w:w="655" w:type="pct"/>
                  <w:noWrap w:val="0"/>
                  <w:vAlign w:val="center"/>
                </w:tcPr>
                <w:p>
                  <w:pPr>
                    <w:pStyle w:val="216"/>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kern w:val="2"/>
                      <w:lang w:val="en-US" w:eastAsia="zh-CN"/>
                    </w:rPr>
                  </w:pPr>
                  <w:r>
                    <w:rPr>
                      <w:rFonts w:hint="eastAsia"/>
                      <w:color w:val="000000"/>
                      <w:kern w:val="2"/>
                      <w:highlight w:val="none"/>
                      <w:lang w:val="en-US" w:eastAsia="zh-CN"/>
                    </w:rPr>
                    <w:t>/</w:t>
                  </w:r>
                </w:p>
              </w:tc>
            </w:tr>
          </w:tbl>
          <w:p>
            <w:pPr>
              <w:pStyle w:val="5"/>
              <w:keepNext/>
              <w:keepLines/>
              <w:pageBreakBefore w:val="0"/>
              <w:widowControl w:val="0"/>
              <w:suppressLineNumbers w:val="0"/>
              <w:kinsoku/>
              <w:wordWrap/>
              <w:overflowPunct/>
              <w:topLinePunct w:val="0"/>
              <w:autoSpaceDE w:val="0"/>
              <w:autoSpaceDN w:val="0"/>
              <w:bidi w:val="0"/>
              <w:adjustRightInd w:val="0"/>
              <w:snapToGrid w:val="0"/>
              <w:spacing w:before="157" w:beforeLines="50" w:beforeAutospacing="0" w:after="0" w:afterAutospacing="0"/>
              <w:ind w:left="0" w:right="0"/>
              <w:textAlignment w:val="auto"/>
              <w:rPr>
                <w:rFonts w:hint="eastAsia" w:eastAsia="宋体" w:cs="Times New Roman"/>
                <w:color w:val="000000"/>
                <w:lang w:eastAsia="zh-CN"/>
              </w:rPr>
            </w:pPr>
            <w:r>
              <w:rPr>
                <w:rFonts w:hint="eastAsia" w:cs="Times New Roman"/>
                <w:color w:val="000000"/>
                <w:lang w:val="en-US" w:eastAsia="zh-CN"/>
              </w:rPr>
              <w:t>3</w:t>
            </w:r>
            <w:r>
              <w:rPr>
                <w:rFonts w:hint="eastAsia" w:cs="Times New Roman"/>
                <w:color w:val="000000"/>
              </w:rPr>
              <w:t>、</w:t>
            </w:r>
            <w:r>
              <w:rPr>
                <w:rFonts w:hint="eastAsia" w:cs="Times New Roman"/>
                <w:color w:val="000000"/>
                <w:lang w:eastAsia="zh-CN"/>
              </w:rPr>
              <w:t>项目危险废物类型、产生情况</w:t>
            </w:r>
          </w:p>
          <w:p>
            <w:pPr>
              <w:keepNext w:val="0"/>
              <w:keepLines w:val="0"/>
              <w:suppressLineNumbers w:val="0"/>
              <w:bidi w:val="0"/>
              <w:spacing w:before="0" w:beforeAutospacing="0" w:after="0" w:afterAutospacing="0"/>
              <w:ind w:left="0" w:right="0"/>
              <w:rPr>
                <w:rFonts w:hint="eastAsia" w:eastAsia="宋体" w:cs="Times New Roman"/>
                <w:color w:val="000000"/>
                <w:lang w:eastAsia="zh-CN"/>
              </w:rPr>
            </w:pPr>
            <w:r>
              <w:rPr>
                <w:rFonts w:hint="eastAsia" w:cs="Times New Roman"/>
                <w:color w:val="000000"/>
                <w:lang w:eastAsia="zh-CN"/>
              </w:rPr>
              <w:t>根据企业提供的资料，本项目危险废物种类、产生情况见下表</w:t>
            </w:r>
          </w:p>
          <w:p>
            <w:pPr>
              <w:pStyle w:val="9"/>
              <w:suppressLineNumbers w:val="0"/>
              <w:bidi w:val="0"/>
              <w:spacing w:before="0" w:beforeAutospacing="0" w:after="0" w:afterAutospacing="0"/>
              <w:ind w:left="0" w:right="0"/>
              <w:rPr>
                <w:rFonts w:hint="default" w:cs="Times New Roman"/>
                <w:color w:val="000000"/>
              </w:rPr>
            </w:pPr>
            <w:r>
              <w:rPr>
                <w:rFonts w:hint="default" w:cs="Times New Roman"/>
                <w:color w:val="000000"/>
              </w:rPr>
              <w:t>表</w:t>
            </w:r>
            <w:r>
              <w:rPr>
                <w:rFonts w:hint="eastAsia" w:cs="Times New Roman"/>
                <w:color w:val="000000"/>
                <w:lang w:val="en-US" w:eastAsia="zh-CN"/>
              </w:rPr>
              <w:t>2-2  本项目</w:t>
            </w:r>
            <w:r>
              <w:rPr>
                <w:rFonts w:hint="eastAsia" w:cs="Times New Roman"/>
                <w:color w:val="000000"/>
                <w:lang w:eastAsia="zh-CN"/>
              </w:rPr>
              <w:t>危险废物种类、产生情况</w:t>
            </w:r>
            <w:r>
              <w:rPr>
                <w:rFonts w:hint="default" w:cs="Times New Roman"/>
                <w:color w:val="000000"/>
              </w:rPr>
              <w:t>一览表</w:t>
            </w:r>
          </w:p>
          <w:tbl>
            <w:tblPr>
              <w:tblStyle w:val="34"/>
              <w:tblW w:w="471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3"/>
              <w:gridCol w:w="1275"/>
              <w:gridCol w:w="2775"/>
              <w:gridCol w:w="825"/>
              <w:gridCol w:w="825"/>
              <w:gridCol w:w="16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 w:type="pct"/>
                  <w:tcBorders>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798"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cs="Times New Roman"/>
                      <w:sz w:val="21"/>
                      <w:szCs w:val="21"/>
                      <w:lang w:eastAsia="zh-CN"/>
                    </w:rPr>
                    <w:t>类型</w:t>
                  </w:r>
                </w:p>
              </w:tc>
              <w:tc>
                <w:tcPr>
                  <w:tcW w:w="1738"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cs="Times New Roman"/>
                      <w:sz w:val="21"/>
                      <w:szCs w:val="21"/>
                      <w:lang w:eastAsia="zh-CN"/>
                    </w:rPr>
                    <w:t>名称</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数量</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单位</w:t>
                  </w:r>
                </w:p>
              </w:tc>
              <w:tc>
                <w:tcPr>
                  <w:tcW w:w="1007"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cs="Times New Roman"/>
                      <w:sz w:val="21"/>
                      <w:szCs w:val="21"/>
                      <w:lang w:val="en-US" w:eastAsia="zh-CN"/>
                    </w:rPr>
                  </w:pPr>
                  <w:r>
                    <w:rPr>
                      <w:rFonts w:hint="eastAsia" w:cs="Times New Roman"/>
                      <w:sz w:val="21"/>
                      <w:szCs w:val="21"/>
                      <w:lang w:val="en-US" w:eastAsia="zh-CN"/>
                    </w:rPr>
                    <w:t>废物代码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 w:type="pct"/>
                  <w:tcBorders>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798"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防疫人员防护类</w:t>
                  </w:r>
                </w:p>
              </w:tc>
              <w:tc>
                <w:tcPr>
                  <w:tcW w:w="1738"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口罩、鞋套、防护服、其他涉及到防疫人员防护的废弃耗材等</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0.2</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t/a</w:t>
                  </w:r>
                </w:p>
              </w:tc>
              <w:tc>
                <w:tcPr>
                  <w:tcW w:w="1007" w:type="pct"/>
                  <w:tcBorders>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841-001-01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 w:type="pct"/>
                  <w:vMerge w:val="restart"/>
                  <w:tcBorders>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798" w:type="pct"/>
                  <w:vMerge w:val="restart"/>
                  <w:tcBorders>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r>
                    <w:rPr>
                      <w:rFonts w:hint="eastAsia" w:cs="Times New Roman"/>
                      <w:sz w:val="21"/>
                      <w:szCs w:val="21"/>
                      <w:lang w:eastAsia="zh-CN"/>
                    </w:rPr>
                    <w:t>检疫</w:t>
                  </w:r>
                  <w:r>
                    <w:rPr>
                      <w:rFonts w:hint="default" w:ascii="Times New Roman" w:hAnsi="Times New Roman" w:eastAsia="宋体" w:cs="Times New Roman"/>
                      <w:sz w:val="21"/>
                      <w:szCs w:val="21"/>
                      <w:lang w:eastAsia="zh-CN"/>
                    </w:rPr>
                    <w:t>工作废弃物类</w:t>
                  </w:r>
                </w:p>
              </w:tc>
              <w:tc>
                <w:tcPr>
                  <w:tcW w:w="1738"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动物血液废弃物</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0.1</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r>
                    <w:rPr>
                      <w:rFonts w:hint="eastAsia" w:cs="Times New Roman"/>
                      <w:sz w:val="21"/>
                      <w:szCs w:val="21"/>
                      <w:lang w:val="en-US" w:eastAsia="zh-CN"/>
                    </w:rPr>
                    <w:t>t/a</w:t>
                  </w:r>
                </w:p>
              </w:tc>
              <w:tc>
                <w:tcPr>
                  <w:tcW w:w="1007"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cs="Times New Roman"/>
                      <w:sz w:val="21"/>
                      <w:szCs w:val="21"/>
                      <w:lang w:val="en-US" w:eastAsia="zh-CN"/>
                    </w:rPr>
                  </w:pPr>
                  <w:r>
                    <w:rPr>
                      <w:rFonts w:hint="eastAsia" w:ascii="Times New Roman" w:hAnsi="Times New Roman" w:eastAsia="宋体" w:cs="Times New Roman"/>
                      <w:sz w:val="21"/>
                      <w:szCs w:val="21"/>
                      <w:lang w:val="en-US" w:eastAsia="zh-CN"/>
                    </w:rPr>
                    <w:t>841-001-01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 w:type="pct"/>
                  <w:vMerge w:val="continue"/>
                  <w:tcBorders>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p>
              </w:tc>
              <w:tc>
                <w:tcPr>
                  <w:tcW w:w="798" w:type="pct"/>
                  <w:vMerge w:val="continue"/>
                  <w:tcBorders>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p>
              </w:tc>
              <w:tc>
                <w:tcPr>
                  <w:tcW w:w="1738"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动物组织样品废物</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0.5</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t/a</w:t>
                  </w:r>
                </w:p>
              </w:tc>
              <w:tc>
                <w:tcPr>
                  <w:tcW w:w="1007"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cs="Times New Roman"/>
                      <w:sz w:val="21"/>
                      <w:szCs w:val="21"/>
                      <w:lang w:val="en-US" w:eastAsia="zh-CN"/>
                    </w:rPr>
                  </w:pPr>
                  <w:r>
                    <w:rPr>
                      <w:rFonts w:hint="eastAsia" w:ascii="Times New Roman" w:hAnsi="Times New Roman" w:eastAsia="宋体" w:cs="Times New Roman"/>
                      <w:sz w:val="21"/>
                      <w:szCs w:val="21"/>
                      <w:lang w:val="en-US" w:eastAsia="zh-CN"/>
                    </w:rPr>
                    <w:t>841-00</w:t>
                  </w:r>
                  <w:r>
                    <w:rPr>
                      <w:rFonts w:hint="eastAsia" w:cs="Times New Roman"/>
                      <w:sz w:val="21"/>
                      <w:szCs w:val="21"/>
                      <w:lang w:val="en-US" w:eastAsia="zh-CN"/>
                    </w:rPr>
                    <w:t>3</w:t>
                  </w:r>
                  <w:r>
                    <w:rPr>
                      <w:rFonts w:hint="eastAsia" w:ascii="Times New Roman" w:hAnsi="Times New Roman" w:eastAsia="宋体" w:cs="Times New Roman"/>
                      <w:sz w:val="21"/>
                      <w:szCs w:val="21"/>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 w:type="pct"/>
                  <w:vMerge w:val="continue"/>
                  <w:tcBorders>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p>
              </w:tc>
              <w:tc>
                <w:tcPr>
                  <w:tcW w:w="798" w:type="pct"/>
                  <w:vMerge w:val="continue"/>
                  <w:tcBorders>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p>
              </w:tc>
              <w:tc>
                <w:tcPr>
                  <w:tcW w:w="1738"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采血管</w:t>
                  </w:r>
                  <w:r>
                    <w:rPr>
                      <w:rFonts w:hint="eastAsia" w:cs="Times New Roman"/>
                      <w:sz w:val="21"/>
                      <w:szCs w:val="21"/>
                      <w:lang w:val="en-US" w:eastAsia="zh-CN"/>
                    </w:rPr>
                    <w:t>、注射器</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0.02</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r>
                    <w:rPr>
                      <w:rFonts w:hint="eastAsia" w:cs="Times New Roman"/>
                      <w:sz w:val="21"/>
                      <w:szCs w:val="21"/>
                      <w:lang w:val="en-US" w:eastAsia="zh-CN"/>
                    </w:rPr>
                    <w:t>t/a</w:t>
                  </w:r>
                </w:p>
              </w:tc>
              <w:tc>
                <w:tcPr>
                  <w:tcW w:w="1007" w:type="pct"/>
                  <w:tcBorders>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841-001-01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 w:type="pct"/>
                  <w:vMerge w:val="continue"/>
                  <w:tcBorders>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p>
              </w:tc>
              <w:tc>
                <w:tcPr>
                  <w:tcW w:w="798" w:type="pct"/>
                  <w:vMerge w:val="continue"/>
                  <w:tcBorders>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p>
              </w:tc>
              <w:tc>
                <w:tcPr>
                  <w:tcW w:w="1738"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针头等锐器</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0.01</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cs="Times New Roman"/>
                      <w:sz w:val="21"/>
                      <w:szCs w:val="21"/>
                      <w:lang w:val="en-US" w:eastAsia="zh-CN"/>
                    </w:rPr>
                  </w:pPr>
                </w:p>
              </w:tc>
              <w:tc>
                <w:tcPr>
                  <w:tcW w:w="1007" w:type="pct"/>
                  <w:tcBorders>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841-002-01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 w:type="pct"/>
                  <w:vMerge w:val="continue"/>
                  <w:tcBorders>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p>
              </w:tc>
              <w:tc>
                <w:tcPr>
                  <w:tcW w:w="798" w:type="pct"/>
                  <w:vMerge w:val="continue"/>
                  <w:tcBorders>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p>
              </w:tc>
              <w:tc>
                <w:tcPr>
                  <w:tcW w:w="1738"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过期药品、过期消毒药、过期疫苗、过期稀释液及各类防疫过期制剂</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sz w:val="21"/>
                      <w:szCs w:val="21"/>
                      <w:lang w:val="en-US" w:eastAsia="zh-CN"/>
                    </w:rPr>
                  </w:pPr>
                  <w:r>
                    <w:rPr>
                      <w:rFonts w:hint="eastAsia" w:cs="Times New Roman"/>
                      <w:color w:val="FF0000"/>
                      <w:sz w:val="21"/>
                      <w:szCs w:val="21"/>
                      <w:lang w:val="en-US" w:eastAsia="zh-CN"/>
                    </w:rPr>
                    <w:t>0.2</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sz w:val="21"/>
                      <w:szCs w:val="21"/>
                      <w:lang w:eastAsia="zh-CN"/>
                    </w:rPr>
                  </w:pPr>
                  <w:r>
                    <w:rPr>
                      <w:rFonts w:hint="eastAsia" w:cs="Times New Roman"/>
                      <w:color w:val="FF0000"/>
                      <w:sz w:val="21"/>
                      <w:szCs w:val="21"/>
                      <w:lang w:val="en-US" w:eastAsia="zh-CN"/>
                    </w:rPr>
                    <w:t>t/a</w:t>
                  </w:r>
                </w:p>
              </w:tc>
              <w:tc>
                <w:tcPr>
                  <w:tcW w:w="1007"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841-005-01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 w:type="pct"/>
                  <w:vMerge w:val="continue"/>
                  <w:tcBorders>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p>
              </w:tc>
              <w:tc>
                <w:tcPr>
                  <w:tcW w:w="798" w:type="pct"/>
                  <w:vMerge w:val="continue"/>
                  <w:tcBorders>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p>
              </w:tc>
              <w:tc>
                <w:tcPr>
                  <w:tcW w:w="1738"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受污染的生物制剂或化学制剂液体废弃物</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0.2</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r>
                    <w:rPr>
                      <w:rFonts w:hint="eastAsia" w:cs="Times New Roman"/>
                      <w:sz w:val="21"/>
                      <w:szCs w:val="21"/>
                      <w:lang w:val="en-US" w:eastAsia="zh-CN"/>
                    </w:rPr>
                    <w:t>t/a</w:t>
                  </w:r>
                </w:p>
              </w:tc>
              <w:tc>
                <w:tcPr>
                  <w:tcW w:w="1007"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cs="Times New Roman"/>
                      <w:sz w:val="21"/>
                      <w:szCs w:val="21"/>
                      <w:lang w:val="en-US" w:eastAsia="zh-CN"/>
                    </w:rPr>
                  </w:pPr>
                  <w:r>
                    <w:rPr>
                      <w:rFonts w:hint="eastAsia" w:ascii="Times New Roman" w:hAnsi="Times New Roman" w:eastAsia="宋体" w:cs="Times New Roman"/>
                      <w:sz w:val="21"/>
                      <w:szCs w:val="21"/>
                      <w:lang w:val="en-US" w:eastAsia="zh-CN"/>
                    </w:rPr>
                    <w:t>841-004-01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 w:type="pct"/>
                  <w:vMerge w:val="continue"/>
                  <w:tcBorders>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p>
              </w:tc>
              <w:tc>
                <w:tcPr>
                  <w:tcW w:w="798" w:type="pct"/>
                  <w:vMerge w:val="continue"/>
                  <w:tcBorders>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p>
              </w:tc>
              <w:tc>
                <w:tcPr>
                  <w:tcW w:w="1738" w:type="pct"/>
                  <w:tcBorders>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各种防疫生物制剂或化学制剂的保存外包装（塑封袋、密封塑料杯等）</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0.02</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r>
                    <w:rPr>
                      <w:rFonts w:hint="eastAsia" w:cs="Times New Roman"/>
                      <w:sz w:val="21"/>
                      <w:szCs w:val="21"/>
                      <w:lang w:val="en-US" w:eastAsia="zh-CN"/>
                    </w:rPr>
                    <w:t>t/a</w:t>
                  </w:r>
                </w:p>
              </w:tc>
              <w:tc>
                <w:tcPr>
                  <w:tcW w:w="1007"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cs="Times New Roman"/>
                      <w:sz w:val="21"/>
                      <w:szCs w:val="21"/>
                      <w:lang w:val="en-US" w:eastAsia="zh-CN"/>
                    </w:rPr>
                  </w:pPr>
                  <w:r>
                    <w:rPr>
                      <w:rFonts w:hint="eastAsia" w:ascii="Times New Roman" w:hAnsi="Times New Roman" w:eastAsia="宋体" w:cs="Times New Roman"/>
                      <w:sz w:val="21"/>
                      <w:szCs w:val="21"/>
                      <w:lang w:val="en-US" w:eastAsia="zh-CN"/>
                    </w:rPr>
                    <w:t>841-001-01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 w:type="pct"/>
                  <w:vMerge w:val="continue"/>
                  <w:tcBorders>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p>
              </w:tc>
              <w:tc>
                <w:tcPr>
                  <w:tcW w:w="798" w:type="pct"/>
                  <w:vMerge w:val="continue"/>
                  <w:tcBorders>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p>
              </w:tc>
              <w:tc>
                <w:tcPr>
                  <w:tcW w:w="1738" w:type="pct"/>
                  <w:tcBorders>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各类动物防疫工作中产生的生物制剂或化学制剂空瓶</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0.05</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cs="Times New Roman"/>
                      <w:sz w:val="21"/>
                      <w:szCs w:val="21"/>
                      <w:lang w:val="en-US" w:eastAsia="zh-CN"/>
                    </w:rPr>
                    <w:t>t/a</w:t>
                  </w:r>
                </w:p>
              </w:tc>
              <w:tc>
                <w:tcPr>
                  <w:tcW w:w="1007"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cs="Times New Roman"/>
                      <w:sz w:val="21"/>
                      <w:szCs w:val="21"/>
                      <w:lang w:val="en-US" w:eastAsia="zh-CN"/>
                    </w:rPr>
                  </w:pPr>
                  <w:r>
                    <w:rPr>
                      <w:rFonts w:hint="eastAsia" w:ascii="Times New Roman" w:hAnsi="Times New Roman" w:eastAsia="宋体" w:cs="Times New Roman"/>
                      <w:sz w:val="21"/>
                      <w:szCs w:val="21"/>
                      <w:lang w:val="en-US" w:eastAsia="zh-CN"/>
                    </w:rPr>
                    <w:t>841-001-01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 w:type="pct"/>
                  <w:vMerge w:val="continue"/>
                  <w:tcBorders>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p>
              </w:tc>
              <w:tc>
                <w:tcPr>
                  <w:tcW w:w="798" w:type="pct"/>
                  <w:vMerge w:val="continue"/>
                  <w:tcBorders>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p>
              </w:tc>
              <w:tc>
                <w:tcPr>
                  <w:tcW w:w="1738" w:type="pct"/>
                  <w:tcBorders>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防疫用品消毒后的废弃液体</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0.3</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cs="Times New Roman"/>
                      <w:sz w:val="21"/>
                      <w:szCs w:val="21"/>
                      <w:lang w:val="en-US" w:eastAsia="zh-CN"/>
                    </w:rPr>
                    <w:t>t/a</w:t>
                  </w:r>
                </w:p>
              </w:tc>
              <w:tc>
                <w:tcPr>
                  <w:tcW w:w="1007"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cs="Times New Roman"/>
                      <w:sz w:val="21"/>
                      <w:szCs w:val="21"/>
                      <w:lang w:val="en-US" w:eastAsia="zh-CN"/>
                    </w:rPr>
                  </w:pPr>
                  <w:r>
                    <w:rPr>
                      <w:rFonts w:hint="eastAsia" w:ascii="Times New Roman" w:hAnsi="Times New Roman" w:eastAsia="宋体" w:cs="Times New Roman"/>
                      <w:sz w:val="21"/>
                      <w:szCs w:val="21"/>
                      <w:lang w:val="en-US" w:eastAsia="zh-CN"/>
                    </w:rPr>
                    <w:t>841-001-01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 w:type="pct"/>
                  <w:vMerge w:val="continue"/>
                  <w:tcBorders>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p>
              </w:tc>
              <w:tc>
                <w:tcPr>
                  <w:tcW w:w="798" w:type="pct"/>
                  <w:vMerge w:val="continue"/>
                  <w:tcBorders>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p>
              </w:tc>
              <w:tc>
                <w:tcPr>
                  <w:tcW w:w="1738" w:type="pct"/>
                  <w:tcBorders>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其他涉及在防疫工作中产生的废弃耗材</w:t>
                  </w:r>
                </w:p>
              </w:tc>
              <w:tc>
                <w:tcPr>
                  <w:tcW w:w="516" w:type="pct"/>
                  <w:tcBorders>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0.4</w:t>
                  </w:r>
                </w:p>
              </w:tc>
              <w:tc>
                <w:tcPr>
                  <w:tcW w:w="516" w:type="pct"/>
                  <w:tcBorders>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cs="Times New Roman"/>
                      <w:sz w:val="21"/>
                      <w:szCs w:val="21"/>
                      <w:lang w:val="en-US" w:eastAsia="zh-CN"/>
                    </w:rPr>
                    <w:t>t/a</w:t>
                  </w:r>
                </w:p>
              </w:tc>
              <w:tc>
                <w:tcPr>
                  <w:tcW w:w="1007" w:type="pct"/>
                  <w:tcBorders>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cs="Times New Roman"/>
                      <w:sz w:val="21"/>
                      <w:szCs w:val="21"/>
                      <w:lang w:val="en-US" w:eastAsia="zh-CN"/>
                    </w:rPr>
                  </w:pPr>
                  <w:r>
                    <w:rPr>
                      <w:rFonts w:hint="eastAsia" w:ascii="Times New Roman" w:hAnsi="Times New Roman" w:eastAsia="宋体" w:cs="Times New Roman"/>
                      <w:sz w:val="21"/>
                      <w:szCs w:val="21"/>
                      <w:lang w:val="en-US" w:eastAsia="zh-CN"/>
                    </w:rPr>
                    <w:t>841-001-01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8" w:type="pct"/>
                  <w:gridSpan w:val="3"/>
                  <w:tcBorders>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cs="Times New Roman"/>
                      <w:sz w:val="21"/>
                      <w:szCs w:val="21"/>
                      <w:lang w:eastAsia="zh-CN"/>
                    </w:rPr>
                    <w:t>合计</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2.0</w:t>
                  </w:r>
                </w:p>
              </w:tc>
              <w:tc>
                <w:tcPr>
                  <w:tcW w:w="51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cs="Times New Roman"/>
                      <w:sz w:val="21"/>
                      <w:szCs w:val="21"/>
                      <w:lang w:val="en-US" w:eastAsia="zh-CN"/>
                    </w:rPr>
                  </w:pPr>
                  <w:r>
                    <w:rPr>
                      <w:rFonts w:hint="eastAsia" w:cs="Times New Roman"/>
                      <w:sz w:val="21"/>
                      <w:szCs w:val="21"/>
                      <w:lang w:val="en-US" w:eastAsia="zh-CN"/>
                    </w:rPr>
                    <w:t>t/a</w:t>
                  </w:r>
                </w:p>
              </w:tc>
              <w:tc>
                <w:tcPr>
                  <w:tcW w:w="1007"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val="0"/>
                    <w:topLinePunct/>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w:t>
                  </w:r>
                </w:p>
              </w:tc>
            </w:tr>
          </w:tbl>
          <w:p>
            <w:pPr>
              <w:keepNext w:val="0"/>
              <w:keepLines w:val="0"/>
              <w:suppressLineNumbers w:val="0"/>
              <w:bidi w:val="0"/>
              <w:spacing w:before="0" w:beforeAutospacing="0" w:after="0" w:afterAutospacing="0"/>
              <w:ind w:left="0" w:right="0"/>
              <w:rPr>
                <w:rFonts w:hint="default" w:cs="Times New Roman"/>
                <w:lang w:val="en-US" w:eastAsia="zh-CN"/>
              </w:rPr>
            </w:pPr>
            <w:r>
              <w:rPr>
                <w:rFonts w:hint="eastAsia" w:cs="Times New Roman"/>
              </w:rPr>
              <w:t>根据《国家危险废物名录》（2025年版）、《医疗废物分类目录》（2021年版）相关规定</w:t>
            </w:r>
            <w:r>
              <w:rPr>
                <w:rFonts w:hint="eastAsia" w:cs="Times New Roman"/>
                <w:lang w:eastAsia="zh-CN"/>
              </w:rPr>
              <w:t>，判定本项目各类危险废物的产生类型和暂存情况见表</w:t>
            </w:r>
            <w:r>
              <w:rPr>
                <w:rFonts w:hint="eastAsia" w:cs="Times New Roman"/>
                <w:lang w:val="en-US" w:eastAsia="zh-CN"/>
              </w:rPr>
              <w:t>2-5。</w:t>
            </w:r>
          </w:p>
          <w:p>
            <w:pPr>
              <w:pStyle w:val="9"/>
              <w:suppressLineNumbers w:val="0"/>
              <w:bidi w:val="0"/>
              <w:spacing w:before="0" w:beforeAutospacing="0" w:after="0" w:afterAutospacing="0"/>
              <w:ind w:left="0" w:right="0"/>
              <w:rPr>
                <w:rFonts w:hint="eastAsia" w:cs="Times New Roman"/>
                <w:color w:val="000000"/>
                <w:lang w:val="en-US" w:eastAsia="zh-CN"/>
              </w:rPr>
            </w:pPr>
            <w:r>
              <w:rPr>
                <w:rFonts w:hint="eastAsia" w:cs="Times New Roman"/>
                <w:color w:val="000000"/>
                <w:lang w:eastAsia="zh-CN"/>
              </w:rPr>
              <w:t>表</w:t>
            </w:r>
            <w:r>
              <w:rPr>
                <w:rFonts w:hint="eastAsia" w:cs="Times New Roman"/>
                <w:color w:val="000000"/>
                <w:lang w:val="en-US" w:eastAsia="zh-CN"/>
              </w:rPr>
              <w:t>2-3  国家危险废物名录分类表</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9"/>
              <w:gridCol w:w="1065"/>
              <w:gridCol w:w="1200"/>
              <w:gridCol w:w="3900"/>
              <w:gridCol w:w="12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9"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废物类别</w:t>
                  </w:r>
                </w:p>
              </w:tc>
              <w:tc>
                <w:tcPr>
                  <w:tcW w:w="1065"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行业来源</w:t>
                  </w:r>
                </w:p>
              </w:tc>
              <w:tc>
                <w:tcPr>
                  <w:tcW w:w="1200"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废物代码</w:t>
                  </w:r>
                </w:p>
              </w:tc>
              <w:tc>
                <w:tcPr>
                  <w:tcW w:w="3900"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危险废物</w:t>
                  </w:r>
                </w:p>
              </w:tc>
              <w:tc>
                <w:tcPr>
                  <w:tcW w:w="1222"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危险特性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9" w:type="dxa"/>
                  <w:vMerge w:val="restart"/>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HW01医疗废物</w:t>
                  </w:r>
                </w:p>
              </w:tc>
              <w:tc>
                <w:tcPr>
                  <w:tcW w:w="1065" w:type="dxa"/>
                  <w:vMerge w:val="restart"/>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卫生</w:t>
                  </w:r>
                </w:p>
              </w:tc>
              <w:tc>
                <w:tcPr>
                  <w:tcW w:w="1200"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841-001-01</w:t>
                  </w:r>
                </w:p>
              </w:tc>
              <w:tc>
                <w:tcPr>
                  <w:tcW w:w="3900"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感染性废物</w:t>
                  </w:r>
                </w:p>
              </w:tc>
              <w:tc>
                <w:tcPr>
                  <w:tcW w:w="1222"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9" w:type="dxa"/>
                  <w:vMerge w:val="continue"/>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p>
              </w:tc>
              <w:tc>
                <w:tcPr>
                  <w:tcW w:w="1065" w:type="dxa"/>
                  <w:vMerge w:val="continue"/>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p>
              </w:tc>
              <w:tc>
                <w:tcPr>
                  <w:tcW w:w="1200"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841-002-01</w:t>
                  </w:r>
                </w:p>
              </w:tc>
              <w:tc>
                <w:tcPr>
                  <w:tcW w:w="3900"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损伤性废物</w:t>
                  </w:r>
                </w:p>
              </w:tc>
              <w:tc>
                <w:tcPr>
                  <w:tcW w:w="1222"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069" w:type="dxa"/>
                  <w:vMerge w:val="continue"/>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p>
              </w:tc>
              <w:tc>
                <w:tcPr>
                  <w:tcW w:w="1065" w:type="dxa"/>
                  <w:vMerge w:val="continue"/>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p>
              </w:tc>
              <w:tc>
                <w:tcPr>
                  <w:tcW w:w="1200"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841-003-01</w:t>
                  </w:r>
                </w:p>
              </w:tc>
              <w:tc>
                <w:tcPr>
                  <w:tcW w:w="3900"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病理性废物</w:t>
                  </w:r>
                </w:p>
              </w:tc>
              <w:tc>
                <w:tcPr>
                  <w:tcW w:w="1222"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9" w:type="dxa"/>
                  <w:vMerge w:val="continue"/>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p>
              </w:tc>
              <w:tc>
                <w:tcPr>
                  <w:tcW w:w="1065" w:type="dxa"/>
                  <w:vMerge w:val="continue"/>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p>
              </w:tc>
              <w:tc>
                <w:tcPr>
                  <w:tcW w:w="1200"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841-004-01</w:t>
                  </w:r>
                </w:p>
              </w:tc>
              <w:tc>
                <w:tcPr>
                  <w:tcW w:w="3900"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化学性废物</w:t>
                  </w:r>
                </w:p>
              </w:tc>
              <w:tc>
                <w:tcPr>
                  <w:tcW w:w="1222"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T/C/I/R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9" w:type="dxa"/>
                  <w:vMerge w:val="continue"/>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p>
              </w:tc>
              <w:tc>
                <w:tcPr>
                  <w:tcW w:w="1065" w:type="dxa"/>
                  <w:vMerge w:val="continue"/>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p>
              </w:tc>
              <w:tc>
                <w:tcPr>
                  <w:tcW w:w="1200"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841-005-01</w:t>
                  </w:r>
                </w:p>
              </w:tc>
              <w:tc>
                <w:tcPr>
                  <w:tcW w:w="3900"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药物性废物</w:t>
                  </w:r>
                </w:p>
              </w:tc>
              <w:tc>
                <w:tcPr>
                  <w:tcW w:w="1222"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T</w:t>
                  </w:r>
                </w:p>
              </w:tc>
            </w:tr>
          </w:tbl>
          <w:p>
            <w:pPr>
              <w:pStyle w:val="9"/>
              <w:suppressLineNumbers w:val="0"/>
              <w:bidi w:val="0"/>
              <w:spacing w:before="0" w:beforeAutospacing="0" w:after="0" w:afterAutospacing="0"/>
              <w:ind w:left="0" w:right="0"/>
              <w:rPr>
                <w:rFonts w:hint="eastAsia" w:cs="Times New Roman"/>
                <w:color w:val="000000"/>
                <w:lang w:val="en-US" w:eastAsia="zh-CN"/>
              </w:rPr>
            </w:pPr>
            <w:r>
              <w:rPr>
                <w:rFonts w:hint="eastAsia" w:cs="Times New Roman"/>
                <w:color w:val="000000"/>
                <w:lang w:eastAsia="zh-CN"/>
              </w:rPr>
              <w:t>表</w:t>
            </w:r>
            <w:r>
              <w:rPr>
                <w:rFonts w:hint="eastAsia" w:cs="Times New Roman"/>
                <w:color w:val="000000"/>
                <w:lang w:val="en-US" w:eastAsia="zh-CN"/>
              </w:rPr>
              <w:t>2-4  医疗废物分类名录表</w:t>
            </w:r>
          </w:p>
          <w:tbl>
            <w:tblPr>
              <w:tblStyle w:val="35"/>
              <w:tblW w:w="84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9"/>
              <w:gridCol w:w="1725"/>
              <w:gridCol w:w="2985"/>
              <w:gridCol w:w="28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9"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类别</w:t>
                  </w:r>
                </w:p>
              </w:tc>
              <w:tc>
                <w:tcPr>
                  <w:tcW w:w="1725"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特征</w:t>
                  </w:r>
                </w:p>
              </w:tc>
              <w:tc>
                <w:tcPr>
                  <w:tcW w:w="2985"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常见组分或废物名称</w:t>
                  </w:r>
                </w:p>
              </w:tc>
              <w:tc>
                <w:tcPr>
                  <w:tcW w:w="2837"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收集方式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9"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感染性废物</w:t>
                  </w:r>
                </w:p>
              </w:tc>
              <w:tc>
                <w:tcPr>
                  <w:tcW w:w="1725"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携带病源微生物具有引发感染性疾病传播危险的医疗废物</w:t>
                  </w:r>
                </w:p>
              </w:tc>
              <w:tc>
                <w:tcPr>
                  <w:tcW w:w="2985"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1.被患者血液、体液、排泄物等污染的除锐器以外的废物</w:t>
                  </w:r>
                  <w:r>
                    <w:rPr>
                      <w:rFonts w:hint="eastAsia" w:cs="Times New Roman"/>
                      <w:sz w:val="21"/>
                      <w:szCs w:val="21"/>
                      <w:lang w:val="en-US" w:eastAsia="zh-CN"/>
                    </w:rPr>
                    <w:t>；</w:t>
                  </w:r>
                </w:p>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2.使用后废弃的一次性使用医疗器械，如注射器、输液器、透析器等</w:t>
                  </w:r>
                  <w:r>
                    <w:rPr>
                      <w:rFonts w:hint="eastAsia" w:cs="Times New Roman"/>
                      <w:sz w:val="21"/>
                      <w:szCs w:val="21"/>
                      <w:lang w:val="en-US" w:eastAsia="zh-CN"/>
                    </w:rPr>
                    <w:t>；</w:t>
                  </w:r>
                </w:p>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3.病原微生物实验室废弃的病原体培养基、标本，菌种和毒种保存液及其容器；其他实验室及科室废弃的血液、血清、按感染性废物收集处分泌物等标本和容器</w:t>
                  </w:r>
                  <w:r>
                    <w:rPr>
                      <w:rFonts w:hint="eastAsia" w:cs="Times New Roman"/>
                      <w:sz w:val="21"/>
                      <w:szCs w:val="21"/>
                      <w:lang w:val="en-US" w:eastAsia="zh-CN"/>
                    </w:rPr>
                    <w:t>；</w:t>
                  </w:r>
                </w:p>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4.隔离传染病患者或者疑似传染病患者产生的废弃物</w:t>
                  </w:r>
                </w:p>
              </w:tc>
              <w:tc>
                <w:tcPr>
                  <w:tcW w:w="2837"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1.收集于符合《医疗废物专用包装袋、容器和警示标志标准》（HJ421)的医疗废物包装袋中</w:t>
                  </w:r>
                  <w:r>
                    <w:rPr>
                      <w:rFonts w:hint="eastAsia" w:cs="Times New Roman"/>
                      <w:sz w:val="21"/>
                      <w:szCs w:val="21"/>
                      <w:lang w:val="en-US" w:eastAsia="zh-CN"/>
                    </w:rPr>
                    <w:t>；</w:t>
                  </w:r>
                </w:p>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2.病原微生物实验室废弃的病原体培养基、标本，菌种和毒种保存液及其容器应在产生地点进行压力蒸汽灭菌或使用其他方式消毒，然后按感染性废物收集处理</w:t>
                  </w:r>
                  <w:r>
                    <w:rPr>
                      <w:rFonts w:hint="eastAsia" w:cs="Times New Roman"/>
                      <w:sz w:val="21"/>
                      <w:szCs w:val="21"/>
                      <w:lang w:val="en-US" w:eastAsia="zh-CN"/>
                    </w:rPr>
                    <w:t>；</w:t>
                  </w:r>
                </w:p>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3.隔离传染病患者或染病患者产生的医疗废物应当使用双层医疗废物包装袋盛装</w:t>
                  </w:r>
                  <w:r>
                    <w:rPr>
                      <w:rFonts w:hint="eastAsia"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9"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损伤性废物</w:t>
                  </w:r>
                </w:p>
              </w:tc>
              <w:tc>
                <w:tcPr>
                  <w:tcW w:w="1725"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能够刺伤或者割伤人体的废弃的医用锐器</w:t>
                  </w:r>
                </w:p>
              </w:tc>
              <w:tc>
                <w:tcPr>
                  <w:tcW w:w="2985" w:type="dxa"/>
                  <w:vAlign w:val="center"/>
                </w:tcPr>
                <w:p>
                  <w:pPr>
                    <w:keepNext w:val="0"/>
                    <w:keepLines w:val="0"/>
                    <w:pageBreakBefore w:val="0"/>
                    <w:widowControl w:val="0"/>
                    <w:numPr>
                      <w:ilvl w:val="0"/>
                      <w:numId w:val="0"/>
                    </w:numPr>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1.</w:t>
                  </w:r>
                  <w:r>
                    <w:rPr>
                      <w:rFonts w:hint="eastAsia" w:ascii="Times New Roman" w:hAnsi="Times New Roman" w:eastAsia="宋体" w:cs="Times New Roman"/>
                      <w:sz w:val="21"/>
                      <w:szCs w:val="21"/>
                      <w:lang w:val="en-US" w:eastAsia="zh-CN"/>
                    </w:rPr>
                    <w:t>废弃的金属类锐器，如针头、缝合针、针灸针、探针、穿刺针、解剖刀、手术刀、手术锯、备皮刀、钢钉和导丝等</w:t>
                  </w:r>
                </w:p>
                <w:p>
                  <w:pPr>
                    <w:keepNext w:val="0"/>
                    <w:keepLines w:val="0"/>
                    <w:pageBreakBefore w:val="0"/>
                    <w:widowControl w:val="0"/>
                    <w:numPr>
                      <w:ilvl w:val="0"/>
                      <w:numId w:val="0"/>
                    </w:numPr>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2.废弃的玻璃类锐器，如盖玻片、载玻片、玻璃安瓿等；</w:t>
                  </w:r>
                </w:p>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3.废弃的其他材质类锐器。</w:t>
                  </w:r>
                </w:p>
              </w:tc>
              <w:tc>
                <w:tcPr>
                  <w:tcW w:w="2837"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1.收集于符合《医疗废物专用包装袋、容器和警示标志标准》(HJ421)的利器盒中</w:t>
                  </w:r>
                  <w:r>
                    <w:rPr>
                      <w:rFonts w:hint="eastAsia" w:cs="Times New Roman"/>
                      <w:sz w:val="21"/>
                      <w:szCs w:val="21"/>
                      <w:lang w:val="en-US" w:eastAsia="zh-CN"/>
                    </w:rPr>
                    <w:t>；</w:t>
                  </w:r>
                </w:p>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2.利器盒达到3/4满时，应当封闭严密，按流程运送、贮存</w:t>
                  </w:r>
                  <w:r>
                    <w:rPr>
                      <w:rFonts w:hint="eastAsia"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19"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病理性废物</w:t>
                  </w:r>
                </w:p>
              </w:tc>
              <w:tc>
                <w:tcPr>
                  <w:tcW w:w="1725"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诊疗过程中产生的人体废弃物和医学实验动物尸体等</w:t>
                  </w:r>
                </w:p>
              </w:tc>
              <w:tc>
                <w:tcPr>
                  <w:tcW w:w="2985"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1.</w:t>
                  </w:r>
                  <w:r>
                    <w:rPr>
                      <w:rFonts w:hint="eastAsia" w:ascii="Times New Roman" w:hAnsi="Times New Roman" w:eastAsia="宋体" w:cs="Times New Roman"/>
                      <w:sz w:val="21"/>
                      <w:szCs w:val="21"/>
                      <w:lang w:val="en-US" w:eastAsia="zh-CN"/>
                    </w:rPr>
                    <w:t>手术及其他医学服务过程中产生的废弃的人体组织、器官；</w:t>
                  </w:r>
                </w:p>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2.病理切片后废弃的人体组织、病理蜡块；</w:t>
                  </w:r>
                </w:p>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3.废弃的医学实验动物的组织和尸体；</w:t>
                  </w:r>
                </w:p>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4.16周胎龄以下或重量不足500克的胚胎组织等；</w:t>
                  </w:r>
                </w:p>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5.确诊、疑似传染病或携带传染病病原体的产妇的胎盘。</w:t>
                  </w:r>
                </w:p>
              </w:tc>
              <w:tc>
                <w:tcPr>
                  <w:tcW w:w="2837"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1.收集于符合《医疗废物专用包装袋、容器和警示标志标准》（HJ421）的医疗废物包装袋中；</w:t>
                  </w:r>
                </w:p>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2.确诊、疑似传染病产妇或携带传染病病原体的产妇的胎盘应使用双层医疗废物包装袋盛装；</w:t>
                  </w:r>
                </w:p>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3.可进行防腐或者低温保存。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9"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药物性废物</w:t>
                  </w:r>
                </w:p>
              </w:tc>
              <w:tc>
                <w:tcPr>
                  <w:tcW w:w="1725"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过期、淘汰、变质或者被污染的废弃的药物</w:t>
                  </w:r>
                </w:p>
              </w:tc>
              <w:tc>
                <w:tcPr>
                  <w:tcW w:w="2985" w:type="dxa"/>
                  <w:vAlign w:val="center"/>
                </w:tcPr>
                <w:p>
                  <w:pPr>
                    <w:keepNext w:val="0"/>
                    <w:keepLines w:val="0"/>
                    <w:pageBreakBefore w:val="0"/>
                    <w:widowControl w:val="0"/>
                    <w:numPr>
                      <w:ilvl w:val="0"/>
                      <w:numId w:val="0"/>
                    </w:numPr>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1.</w:t>
                  </w:r>
                  <w:r>
                    <w:rPr>
                      <w:rFonts w:hint="eastAsia" w:ascii="Times New Roman" w:hAnsi="Times New Roman" w:eastAsia="宋体" w:cs="Times New Roman"/>
                      <w:sz w:val="21"/>
                      <w:szCs w:val="21"/>
                      <w:lang w:val="en-US" w:eastAsia="zh-CN"/>
                    </w:rPr>
                    <w:t>废弃的一般性药物；</w:t>
                  </w:r>
                </w:p>
                <w:p>
                  <w:pPr>
                    <w:keepNext w:val="0"/>
                    <w:keepLines w:val="0"/>
                    <w:pageBreakBefore w:val="0"/>
                    <w:widowControl w:val="0"/>
                    <w:numPr>
                      <w:ilvl w:val="0"/>
                      <w:numId w:val="0"/>
                    </w:numPr>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2.废弃的细胞毒性药物和遗传毒性药物；</w:t>
                  </w:r>
                </w:p>
                <w:p>
                  <w:pPr>
                    <w:keepNext w:val="0"/>
                    <w:keepLines w:val="0"/>
                    <w:pageBreakBefore w:val="0"/>
                    <w:widowControl w:val="0"/>
                    <w:numPr>
                      <w:ilvl w:val="0"/>
                      <w:numId w:val="0"/>
                    </w:numPr>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3.废弃的疫苗及血液制品。</w:t>
                  </w:r>
                </w:p>
              </w:tc>
              <w:tc>
                <w:tcPr>
                  <w:tcW w:w="2837"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1.少量的药物性废物可以并入感染性废物中，但应在标签中注明；</w:t>
                  </w:r>
                </w:p>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2.批量废弃的药物性废物，收集后应交由具备相应资质的医疗废物处置单位或者危险废物处置单位等进行处置</w:t>
                  </w:r>
                  <w:r>
                    <w:rPr>
                      <w:rFonts w:hint="eastAsia"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9"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化学性废物</w:t>
                  </w:r>
                </w:p>
              </w:tc>
              <w:tc>
                <w:tcPr>
                  <w:tcW w:w="1725"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具有毒性、腐蚀性、易燃性、反应性的废弃的化学物品。</w:t>
                  </w:r>
                </w:p>
              </w:tc>
              <w:tc>
                <w:tcPr>
                  <w:tcW w:w="2985"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列入《国家危险废物名录》中的废弃危险化学品，如甲醛、二甲苯等；非特定行业来源的危险废物，如含汞血压计、含汞体温计，废弃的牙科汞合金材料及其残余物等。</w:t>
                  </w:r>
                </w:p>
              </w:tc>
              <w:tc>
                <w:tcPr>
                  <w:tcW w:w="2837" w:type="dxa"/>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1.</w:t>
                  </w:r>
                  <w:r>
                    <w:rPr>
                      <w:rFonts w:hint="eastAsia" w:ascii="Times New Roman" w:hAnsi="Times New Roman" w:eastAsia="宋体" w:cs="Times New Roman"/>
                      <w:sz w:val="21"/>
                      <w:szCs w:val="21"/>
                      <w:lang w:val="en-US" w:eastAsia="zh-CN"/>
                    </w:rPr>
                    <w:t>收集于容器中，粘贴标签并注明主要成分；</w:t>
                  </w:r>
                </w:p>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2.</w:t>
                  </w:r>
                  <w:r>
                    <w:rPr>
                      <w:rFonts w:hint="eastAsia" w:ascii="Times New Roman" w:hAnsi="Times New Roman" w:eastAsia="宋体" w:cs="Times New Roman"/>
                      <w:sz w:val="21"/>
                      <w:szCs w:val="21"/>
                      <w:lang w:val="en-US" w:eastAsia="zh-CN"/>
                    </w:rPr>
                    <w:t>收集后应交由具备相应资质的医疗废物处置单位或者危险废物处置单位等进行处置</w:t>
                  </w:r>
                </w:p>
              </w:tc>
            </w:tr>
          </w:tbl>
          <w:p>
            <w:pPr>
              <w:keepNext w:val="0"/>
              <w:keepLines w:val="0"/>
              <w:pageBreakBefore w:val="0"/>
              <w:widowControl w:val="0"/>
              <w:suppressLineNumbers w:val="0"/>
              <w:tabs>
                <w:tab w:val="left" w:pos="851"/>
              </w:tabs>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b/>
                <w:bCs/>
                <w:sz w:val="21"/>
                <w:szCs w:val="21"/>
              </w:rPr>
            </w:pPr>
            <w:r>
              <w:rPr>
                <w:b/>
                <w:bCs/>
                <w:sz w:val="21"/>
                <w:szCs w:val="21"/>
              </w:rPr>
              <w:t>表</w:t>
            </w:r>
            <w:r>
              <w:rPr>
                <w:rFonts w:hint="eastAsia"/>
                <w:b/>
                <w:bCs/>
                <w:sz w:val="21"/>
                <w:szCs w:val="21"/>
                <w:lang w:val="en-US" w:eastAsia="zh-CN"/>
              </w:rPr>
              <w:t>2-5</w:t>
            </w:r>
            <w:r>
              <w:rPr>
                <w:b/>
                <w:bCs/>
                <w:sz w:val="21"/>
                <w:szCs w:val="21"/>
              </w:rPr>
              <w:t xml:space="preserve">  </w:t>
            </w:r>
            <w:r>
              <w:rPr>
                <w:rFonts w:hint="eastAsia"/>
                <w:b/>
                <w:bCs/>
                <w:sz w:val="21"/>
                <w:szCs w:val="21"/>
              </w:rPr>
              <w:t>本项目</w:t>
            </w:r>
            <w:r>
              <w:rPr>
                <w:b/>
                <w:bCs/>
                <w:sz w:val="21"/>
                <w:szCs w:val="21"/>
              </w:rPr>
              <w:t>危险废物</w:t>
            </w:r>
            <w:r>
              <w:rPr>
                <w:rFonts w:hint="eastAsia"/>
                <w:b/>
                <w:bCs/>
                <w:sz w:val="21"/>
                <w:szCs w:val="21"/>
                <w:lang w:eastAsia="zh-CN"/>
              </w:rPr>
              <w:t>类型和暂存</w:t>
            </w:r>
            <w:r>
              <w:rPr>
                <w:b/>
                <w:bCs/>
                <w:sz w:val="21"/>
                <w:szCs w:val="21"/>
              </w:rPr>
              <w:t>情况一览表</w:t>
            </w:r>
          </w:p>
          <w:tbl>
            <w:tblPr>
              <w:tblStyle w:val="34"/>
              <w:tblW w:w="49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
              <w:gridCol w:w="635"/>
              <w:gridCol w:w="776"/>
              <w:gridCol w:w="823"/>
              <w:gridCol w:w="645"/>
              <w:gridCol w:w="750"/>
              <w:gridCol w:w="540"/>
              <w:gridCol w:w="1395"/>
              <w:gridCol w:w="630"/>
              <w:gridCol w:w="675"/>
              <w:gridCol w:w="621"/>
              <w:gridCol w:w="4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54"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序号</w:t>
                  </w:r>
                </w:p>
              </w:tc>
              <w:tc>
                <w:tcPr>
                  <w:tcW w:w="379"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危险废物名称</w:t>
                  </w:r>
                </w:p>
              </w:tc>
              <w:tc>
                <w:tcPr>
                  <w:tcW w:w="463"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危险废物类别</w:t>
                  </w:r>
                </w:p>
              </w:tc>
              <w:tc>
                <w:tcPr>
                  <w:tcW w:w="491"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危险废物代码</w:t>
                  </w:r>
                </w:p>
              </w:tc>
              <w:tc>
                <w:tcPr>
                  <w:tcW w:w="385"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产生量（t/a）</w:t>
                  </w:r>
                </w:p>
              </w:tc>
              <w:tc>
                <w:tcPr>
                  <w:tcW w:w="448"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产生工序</w:t>
                  </w:r>
                </w:p>
              </w:tc>
              <w:tc>
                <w:tcPr>
                  <w:tcW w:w="322"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形态</w:t>
                  </w:r>
                </w:p>
              </w:tc>
              <w:tc>
                <w:tcPr>
                  <w:tcW w:w="833"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主要成分</w:t>
                  </w:r>
                </w:p>
              </w:tc>
              <w:tc>
                <w:tcPr>
                  <w:tcW w:w="376"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有害成分</w:t>
                  </w:r>
                </w:p>
              </w:tc>
              <w:tc>
                <w:tcPr>
                  <w:tcW w:w="403"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产废周期</w:t>
                  </w:r>
                </w:p>
              </w:tc>
              <w:tc>
                <w:tcPr>
                  <w:tcW w:w="371"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危险</w:t>
                  </w:r>
                </w:p>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特性</w:t>
                  </w:r>
                </w:p>
              </w:tc>
              <w:tc>
                <w:tcPr>
                  <w:tcW w:w="268"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54" w:type="pct"/>
                  <w:vMerge w:val="restar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79" w:type="pct"/>
                  <w:vMerge w:val="restart"/>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医疗废物</w:t>
                  </w:r>
                </w:p>
              </w:tc>
              <w:tc>
                <w:tcPr>
                  <w:tcW w:w="463" w:type="pct"/>
                  <w:vMerge w:val="restart"/>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HW</w:t>
                  </w:r>
                  <w:r>
                    <w:rPr>
                      <w:rFonts w:hint="eastAsia" w:ascii="Times New Roman" w:hAnsi="Times New Roman" w:cs="Times New Roman"/>
                      <w:sz w:val="21"/>
                      <w:szCs w:val="21"/>
                      <w:lang w:val="en-US" w:eastAsia="zh-CN"/>
                    </w:rPr>
                    <w:t>01</w:t>
                  </w:r>
                </w:p>
              </w:tc>
              <w:tc>
                <w:tcPr>
                  <w:tcW w:w="491" w:type="pct"/>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sz w:val="21"/>
                      <w:szCs w:val="21"/>
                    </w:rPr>
                  </w:pPr>
                  <w:r>
                    <w:rPr>
                      <w:rFonts w:hint="eastAsia" w:ascii="Times New Roman" w:hAnsi="Times New Roman" w:eastAsia="宋体" w:cs="Times New Roman"/>
                      <w:sz w:val="21"/>
                      <w:szCs w:val="21"/>
                      <w:lang w:val="en-US" w:eastAsia="zh-CN"/>
                    </w:rPr>
                    <w:t>841-001-01</w:t>
                  </w:r>
                </w:p>
              </w:tc>
              <w:tc>
                <w:tcPr>
                  <w:tcW w:w="385" w:type="pct"/>
                  <w:vMerge w:val="restart"/>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2.0</w:t>
                  </w:r>
                </w:p>
              </w:tc>
              <w:tc>
                <w:tcPr>
                  <w:tcW w:w="448" w:type="pct"/>
                  <w:vMerge w:val="restart"/>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检疫工作过程</w:t>
                  </w:r>
                </w:p>
              </w:tc>
              <w:tc>
                <w:tcPr>
                  <w:tcW w:w="322" w:type="pct"/>
                  <w:vMerge w:val="restart"/>
                  <w:vAlign w:val="center"/>
                </w:tcPr>
                <w:p>
                  <w:pPr>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default" w:ascii="Times New Roman" w:hAnsi="Times New Roman" w:cs="Times New Roman"/>
                      <w:sz w:val="21"/>
                      <w:szCs w:val="21"/>
                    </w:rPr>
                    <w:t>固态</w:t>
                  </w:r>
                  <w:r>
                    <w:rPr>
                      <w:rFonts w:hint="eastAsia" w:ascii="Times New Roman" w:hAnsi="Times New Roman" w:cs="Times New Roman"/>
                      <w:sz w:val="21"/>
                      <w:szCs w:val="21"/>
                      <w:lang w:eastAsia="zh-CN"/>
                    </w:rPr>
                    <w:t>、液态</w:t>
                  </w:r>
                </w:p>
              </w:tc>
              <w:tc>
                <w:tcPr>
                  <w:tcW w:w="833" w:type="pct"/>
                  <w:vMerge w:val="restart"/>
                  <w:vAlign w:val="center"/>
                </w:tcPr>
                <w:p>
                  <w:pPr>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废弃</w:t>
                  </w:r>
                  <w:r>
                    <w:rPr>
                      <w:rFonts w:hint="eastAsia" w:cs="Times New Roman"/>
                      <w:sz w:val="21"/>
                      <w:szCs w:val="21"/>
                      <w:lang w:eastAsia="zh-CN"/>
                    </w:rPr>
                    <w:t>、</w:t>
                  </w:r>
                  <w:r>
                    <w:rPr>
                      <w:rFonts w:hint="default" w:ascii="Times New Roman" w:hAnsi="Times New Roman" w:cs="Times New Roman"/>
                      <w:sz w:val="21"/>
                      <w:szCs w:val="21"/>
                    </w:rPr>
                    <w:t>动物组织</w:t>
                  </w:r>
                  <w:r>
                    <w:rPr>
                      <w:rFonts w:hint="eastAsia" w:cs="Times New Roman"/>
                      <w:sz w:val="21"/>
                      <w:szCs w:val="21"/>
                      <w:lang w:eastAsia="zh-CN"/>
                    </w:rPr>
                    <w:t>血液</w:t>
                  </w:r>
                  <w:r>
                    <w:rPr>
                      <w:rFonts w:hint="default" w:ascii="Times New Roman" w:hAnsi="Times New Roman" w:cs="Times New Roman"/>
                      <w:sz w:val="21"/>
                      <w:szCs w:val="21"/>
                    </w:rPr>
                    <w:t>、携病动物排泄物、废弃的一次性注射器、</w:t>
                  </w:r>
                  <w:r>
                    <w:rPr>
                      <w:rFonts w:hint="eastAsia" w:cs="Times New Roman"/>
                      <w:sz w:val="21"/>
                      <w:szCs w:val="21"/>
                      <w:lang w:eastAsia="zh-CN"/>
                    </w:rPr>
                    <w:t>采血管</w:t>
                  </w:r>
                  <w:r>
                    <w:rPr>
                      <w:rFonts w:hint="default" w:ascii="Times New Roman" w:hAnsi="Times New Roman" w:cs="Times New Roman"/>
                      <w:sz w:val="21"/>
                      <w:szCs w:val="21"/>
                    </w:rPr>
                    <w:t>、</w:t>
                  </w:r>
                  <w:r>
                    <w:rPr>
                      <w:rFonts w:hint="eastAsia" w:cs="Times New Roman"/>
                      <w:color w:val="FF0000"/>
                      <w:sz w:val="21"/>
                      <w:szCs w:val="21"/>
                      <w:lang w:eastAsia="zh-CN"/>
                    </w:rPr>
                    <w:t>过期药品、</w:t>
                  </w:r>
                  <w:r>
                    <w:rPr>
                      <w:rFonts w:hint="eastAsia" w:cs="Times New Roman"/>
                      <w:sz w:val="21"/>
                      <w:szCs w:val="21"/>
                      <w:lang w:eastAsia="zh-CN"/>
                    </w:rPr>
                    <w:t>防疫生物制剂</w:t>
                  </w:r>
                  <w:r>
                    <w:rPr>
                      <w:rFonts w:hint="default" w:ascii="Times New Roman" w:hAnsi="Times New Roman" w:cs="Times New Roman"/>
                      <w:sz w:val="21"/>
                      <w:szCs w:val="21"/>
                    </w:rPr>
                    <w:t>和容器等</w:t>
                  </w:r>
                </w:p>
              </w:tc>
              <w:tc>
                <w:tcPr>
                  <w:tcW w:w="376" w:type="pct"/>
                  <w:vMerge w:val="restart"/>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废弃血液、注射器等</w:t>
                  </w:r>
                </w:p>
              </w:tc>
              <w:tc>
                <w:tcPr>
                  <w:tcW w:w="403" w:type="pct"/>
                  <w:vMerge w:val="restart"/>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不定期</w:t>
                  </w:r>
                </w:p>
              </w:tc>
              <w:tc>
                <w:tcPr>
                  <w:tcW w:w="371" w:type="pct"/>
                  <w:vMerge w:val="restart"/>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T/C/I/R</w:t>
                  </w:r>
                  <w:r>
                    <w:rPr>
                      <w:rFonts w:hint="eastAsia" w:ascii="Times New Roman" w:hAnsi="Times New Roman" w:cs="Times New Roman"/>
                      <w:sz w:val="21"/>
                      <w:szCs w:val="21"/>
                      <w:lang w:val="en-US" w:eastAsia="zh-CN"/>
                    </w:rPr>
                    <w:t>/In</w:t>
                  </w:r>
                </w:p>
              </w:tc>
              <w:tc>
                <w:tcPr>
                  <w:tcW w:w="268" w:type="pct"/>
                  <w:vMerge w:val="restart"/>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54" w:type="pct"/>
                  <w:vMerge w:val="continue"/>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7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63"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91" w:type="pct"/>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sz w:val="21"/>
                      <w:szCs w:val="21"/>
                    </w:rPr>
                  </w:pPr>
                  <w:r>
                    <w:rPr>
                      <w:rFonts w:hint="eastAsia" w:ascii="Times New Roman" w:hAnsi="Times New Roman" w:eastAsia="宋体" w:cs="Times New Roman"/>
                      <w:sz w:val="21"/>
                      <w:szCs w:val="21"/>
                      <w:lang w:val="en-US" w:eastAsia="zh-CN"/>
                    </w:rPr>
                    <w:t>841-002-01</w:t>
                  </w:r>
                </w:p>
              </w:tc>
              <w:tc>
                <w:tcPr>
                  <w:tcW w:w="385"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48"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22" w:type="pct"/>
                  <w:vMerge w:val="continue"/>
                  <w:vAlign w:val="center"/>
                </w:tcPr>
                <w:p>
                  <w:pPr>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833"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76"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03"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71"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268"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254" w:type="pct"/>
                  <w:vMerge w:val="continue"/>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7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63"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91" w:type="pct"/>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sz w:val="21"/>
                      <w:szCs w:val="21"/>
                    </w:rPr>
                  </w:pPr>
                  <w:r>
                    <w:rPr>
                      <w:rFonts w:hint="eastAsia" w:ascii="Times New Roman" w:hAnsi="Times New Roman" w:eastAsia="宋体" w:cs="Times New Roman"/>
                      <w:sz w:val="21"/>
                      <w:szCs w:val="21"/>
                      <w:lang w:val="en-US" w:eastAsia="zh-CN"/>
                    </w:rPr>
                    <w:t>841-003-01</w:t>
                  </w:r>
                </w:p>
              </w:tc>
              <w:tc>
                <w:tcPr>
                  <w:tcW w:w="385"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48"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22" w:type="pct"/>
                  <w:vMerge w:val="continue"/>
                  <w:vAlign w:val="center"/>
                </w:tcPr>
                <w:p>
                  <w:pPr>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833"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76"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03"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71"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268"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54" w:type="pct"/>
                  <w:vMerge w:val="continue"/>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7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63"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91" w:type="pct"/>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sz w:val="21"/>
                      <w:szCs w:val="21"/>
                    </w:rPr>
                  </w:pPr>
                  <w:r>
                    <w:rPr>
                      <w:rFonts w:hint="eastAsia" w:ascii="Times New Roman" w:hAnsi="Times New Roman" w:eastAsia="宋体" w:cs="Times New Roman"/>
                      <w:sz w:val="21"/>
                      <w:szCs w:val="21"/>
                      <w:lang w:val="en-US" w:eastAsia="zh-CN"/>
                    </w:rPr>
                    <w:t>841-004-01</w:t>
                  </w:r>
                </w:p>
              </w:tc>
              <w:tc>
                <w:tcPr>
                  <w:tcW w:w="385"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48"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22" w:type="pct"/>
                  <w:vMerge w:val="continue"/>
                  <w:vAlign w:val="center"/>
                </w:tcPr>
                <w:p>
                  <w:pPr>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833"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76"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03"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71"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268"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3" w:hRule="atLeast"/>
                <w:jc w:val="center"/>
              </w:trPr>
              <w:tc>
                <w:tcPr>
                  <w:tcW w:w="254" w:type="pct"/>
                  <w:vMerge w:val="continue"/>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7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63"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91" w:type="pct"/>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sz w:val="21"/>
                      <w:szCs w:val="21"/>
                    </w:rPr>
                  </w:pPr>
                  <w:r>
                    <w:rPr>
                      <w:rFonts w:hint="eastAsia" w:ascii="Times New Roman" w:hAnsi="Times New Roman" w:eastAsia="宋体" w:cs="Times New Roman"/>
                      <w:sz w:val="21"/>
                      <w:szCs w:val="21"/>
                      <w:lang w:val="en-US" w:eastAsia="zh-CN"/>
                    </w:rPr>
                    <w:t>841-005-01</w:t>
                  </w:r>
                </w:p>
              </w:tc>
              <w:tc>
                <w:tcPr>
                  <w:tcW w:w="385"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48"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22" w:type="pct"/>
                  <w:vMerge w:val="continue"/>
                  <w:vAlign w:val="center"/>
                </w:tcPr>
                <w:p>
                  <w:pPr>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833"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76"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03"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71"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268"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r>
          </w:tbl>
          <w:p>
            <w:pPr>
              <w:pStyle w:val="5"/>
              <w:keepNext/>
              <w:keepLines/>
              <w:pageBreakBefore w:val="0"/>
              <w:widowControl w:val="0"/>
              <w:numPr>
                <w:ilvl w:val="0"/>
                <w:numId w:val="3"/>
              </w:numPr>
              <w:suppressLineNumbers w:val="0"/>
              <w:kinsoku/>
              <w:wordWrap/>
              <w:overflowPunct/>
              <w:topLinePunct w:val="0"/>
              <w:autoSpaceDE w:val="0"/>
              <w:autoSpaceDN w:val="0"/>
              <w:bidi w:val="0"/>
              <w:adjustRightInd w:val="0"/>
              <w:snapToGrid w:val="0"/>
              <w:spacing w:before="157" w:beforeLines="50" w:beforeAutospacing="0" w:after="0" w:afterAutospacing="0"/>
              <w:ind w:left="0" w:right="0"/>
              <w:textAlignment w:val="auto"/>
              <w:rPr>
                <w:rFonts w:hint="eastAsia" w:cs="Times New Roman"/>
                <w:color w:val="000000"/>
                <w:lang w:val="en-US" w:eastAsia="zh-CN"/>
              </w:rPr>
            </w:pPr>
            <w:r>
              <w:rPr>
                <w:rFonts w:hint="eastAsia" w:cs="Times New Roman"/>
                <w:color w:val="000000"/>
                <w:lang w:val="en-US" w:eastAsia="zh-CN"/>
              </w:rPr>
              <w:t>主要设备</w:t>
            </w:r>
          </w:p>
          <w:p>
            <w:pPr>
              <w:keepNext w:val="0"/>
              <w:keepLines w:val="0"/>
              <w:widowControl/>
              <w:suppressLineNumbers w:val="0"/>
              <w:spacing w:before="0" w:beforeAutospacing="0" w:after="0" w:afterAutospacing="0"/>
              <w:ind w:left="0" w:right="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本项目主要设备见下表。</w:t>
            </w:r>
          </w:p>
          <w:p>
            <w:pPr>
              <w:keepNext w:val="0"/>
              <w:keepLines w:val="0"/>
              <w:pageBreakBefore w:val="0"/>
              <w:widowControl w:val="0"/>
              <w:suppressLineNumbers w:val="0"/>
              <w:tabs>
                <w:tab w:val="left" w:pos="851"/>
              </w:tabs>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b/>
                <w:bCs/>
                <w:sz w:val="21"/>
                <w:szCs w:val="21"/>
                <w:lang w:val="en-US" w:eastAsia="zh-CN"/>
              </w:rPr>
            </w:pPr>
            <w:r>
              <w:rPr>
                <w:rFonts w:hint="eastAsia"/>
                <w:b/>
                <w:bCs/>
                <w:sz w:val="21"/>
                <w:szCs w:val="21"/>
                <w:lang w:val="en-US" w:eastAsia="zh-CN"/>
              </w:rPr>
              <w:t>表2-6  本项目主要设备一览表</w:t>
            </w:r>
          </w:p>
          <w:tbl>
            <w:tblPr>
              <w:tblStyle w:val="35"/>
              <w:tblW w:w="457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4"/>
              <w:gridCol w:w="2113"/>
              <w:gridCol w:w="2115"/>
              <w:gridCol w:w="21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0"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序号</w:t>
                  </w:r>
                </w:p>
              </w:tc>
              <w:tc>
                <w:tcPr>
                  <w:tcW w:w="1365"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设备名称</w:t>
                  </w:r>
                </w:p>
              </w:tc>
              <w:tc>
                <w:tcPr>
                  <w:tcW w:w="1366"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数量</w:t>
                  </w:r>
                </w:p>
              </w:tc>
              <w:tc>
                <w:tcPr>
                  <w:tcW w:w="1366"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型号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0"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w:t>
                  </w:r>
                </w:p>
              </w:tc>
              <w:tc>
                <w:tcPr>
                  <w:tcW w:w="1365"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sz w:val="21"/>
                      <w:szCs w:val="21"/>
                      <w:lang w:val="en-US" w:eastAsia="zh-CN"/>
                    </w:rPr>
                  </w:pPr>
                  <w:r>
                    <w:rPr>
                      <w:rFonts w:hint="eastAsia" w:cs="Times New Roman"/>
                      <w:sz w:val="21"/>
                      <w:szCs w:val="21"/>
                      <w:lang w:val="en-US" w:eastAsia="zh-CN"/>
                    </w:rPr>
                    <w:t>叉车</w:t>
                  </w:r>
                </w:p>
              </w:tc>
              <w:tc>
                <w:tcPr>
                  <w:tcW w:w="1366"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1辆</w:t>
                  </w:r>
                </w:p>
              </w:tc>
              <w:tc>
                <w:tcPr>
                  <w:tcW w:w="1366"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1.5t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0"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2</w:t>
                  </w:r>
                </w:p>
              </w:tc>
              <w:tc>
                <w:tcPr>
                  <w:tcW w:w="1365"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通风扇</w:t>
                  </w:r>
                </w:p>
              </w:tc>
              <w:tc>
                <w:tcPr>
                  <w:tcW w:w="1366"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1套</w:t>
                  </w:r>
                </w:p>
              </w:tc>
              <w:tc>
                <w:tcPr>
                  <w:tcW w:w="1366"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0"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w:t>
                  </w:r>
                </w:p>
              </w:tc>
              <w:tc>
                <w:tcPr>
                  <w:tcW w:w="1365"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sz w:val="21"/>
                      <w:szCs w:val="21"/>
                      <w:lang w:val="en-US" w:eastAsia="zh-CN"/>
                    </w:rPr>
                  </w:pPr>
                  <w:r>
                    <w:rPr>
                      <w:rFonts w:hint="eastAsia" w:cs="Times New Roman"/>
                      <w:sz w:val="21"/>
                      <w:szCs w:val="21"/>
                      <w:lang w:val="en-US" w:eastAsia="zh-CN"/>
                    </w:rPr>
                    <w:t>自动灭火系统</w:t>
                  </w:r>
                </w:p>
              </w:tc>
              <w:tc>
                <w:tcPr>
                  <w:tcW w:w="1366"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1套</w:t>
                  </w:r>
                </w:p>
              </w:tc>
              <w:tc>
                <w:tcPr>
                  <w:tcW w:w="1366"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sz w:val="21"/>
                      <w:szCs w:val="21"/>
                      <w:lang w:val="en-US" w:eastAsia="zh-CN"/>
                    </w:rPr>
                  </w:pPr>
                  <w:r>
                    <w:rPr>
                      <w:rFonts w:hint="eastAsia" w:cs="Times New Roman"/>
                      <w:sz w:val="21"/>
                      <w:szCs w:val="21"/>
                      <w:lang w:val="en-US" w:eastAsia="zh-CN"/>
                    </w:rPr>
                    <w:t>/</w:t>
                  </w:r>
                </w:p>
              </w:tc>
            </w:tr>
          </w:tbl>
          <w:p>
            <w:pPr>
              <w:keepNext w:val="0"/>
              <w:keepLines w:val="0"/>
              <w:widowControl/>
              <w:suppressLineNumbers w:val="0"/>
              <w:spacing w:before="0" w:beforeAutospacing="0" w:after="0" w:afterAutospacing="0"/>
              <w:ind w:left="0" w:right="0"/>
              <w:jc w:val="left"/>
            </w:pPr>
            <w:r>
              <w:rPr>
                <w:rFonts w:hint="eastAsia" w:ascii="Times New Roman" w:hAnsi="Times New Roman" w:eastAsia="宋体" w:cs="Times New Roman"/>
                <w:b/>
                <w:bCs/>
                <w:color w:val="000000"/>
                <w:kern w:val="0"/>
                <w:sz w:val="24"/>
                <w:szCs w:val="24"/>
                <w:lang w:val="en-US" w:eastAsia="zh-CN" w:bidi="ar"/>
              </w:rPr>
              <w:t>5</w:t>
            </w:r>
            <w:r>
              <w:rPr>
                <w:rFonts w:hint="eastAsia" w:ascii="宋体" w:hAnsi="宋体" w:eastAsia="宋体" w:cs="宋体"/>
                <w:b/>
                <w:bCs/>
                <w:color w:val="000000"/>
                <w:kern w:val="0"/>
                <w:sz w:val="24"/>
                <w:szCs w:val="24"/>
                <w:lang w:val="en-US" w:eastAsia="zh-CN" w:bidi="ar"/>
              </w:rPr>
              <w:t>、平面布置</w:t>
            </w:r>
          </w:p>
          <w:p>
            <w:pPr>
              <w:keepNext w:val="0"/>
              <w:keepLines w:val="0"/>
              <w:widowControl/>
              <w:suppressLineNumbers w:val="0"/>
              <w:spacing w:before="0" w:beforeAutospacing="0" w:after="0" w:afterAutospacing="0"/>
              <w:ind w:left="0" w:right="0"/>
              <w:jc w:val="left"/>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本项目</w:t>
            </w:r>
            <w:r>
              <w:rPr>
                <w:rFonts w:hint="eastAsia" w:cs="Times New Roman"/>
                <w:color w:val="000000"/>
                <w:kern w:val="0"/>
                <w:sz w:val="24"/>
                <w:szCs w:val="24"/>
                <w:lang w:val="en-US" w:eastAsia="zh-CN" w:bidi="ar"/>
              </w:rPr>
              <w:t>医疗废物</w:t>
            </w:r>
            <w:r>
              <w:rPr>
                <w:rFonts w:hint="default" w:ascii="Times New Roman" w:hAnsi="Times New Roman" w:eastAsia="宋体" w:cs="Times New Roman"/>
                <w:color w:val="000000"/>
                <w:kern w:val="0"/>
                <w:sz w:val="24"/>
                <w:szCs w:val="24"/>
                <w:lang w:val="en-US" w:eastAsia="zh-CN" w:bidi="ar"/>
              </w:rPr>
              <w:t>暂存间位</w:t>
            </w:r>
            <w:r>
              <w:rPr>
                <w:rFonts w:hint="default" w:cs="Times New Roman"/>
                <w:color w:val="000000"/>
                <w:kern w:val="0"/>
                <w:sz w:val="24"/>
                <w:szCs w:val="24"/>
                <w:lang w:val="en-US" w:eastAsia="zh-CN" w:bidi="ar"/>
              </w:rPr>
              <w:t>于</w:t>
            </w:r>
            <w:r>
              <w:rPr>
                <w:rFonts w:hint="eastAsia" w:cs="Times New Roman"/>
                <w:color w:val="000000"/>
                <w:kern w:val="0"/>
                <w:sz w:val="24"/>
                <w:szCs w:val="24"/>
                <w:lang w:val="en-US" w:eastAsia="zh-CN" w:bidi="ar"/>
              </w:rPr>
              <w:t>正蓝旗动物疫病预防控制中心</w:t>
            </w:r>
            <w:r>
              <w:rPr>
                <w:rFonts w:hint="default" w:cs="Times New Roman"/>
                <w:color w:val="000000"/>
                <w:kern w:val="0"/>
                <w:sz w:val="24"/>
                <w:szCs w:val="24"/>
                <w:lang w:val="en-US" w:eastAsia="zh-CN" w:bidi="ar"/>
              </w:rPr>
              <w:t>厂区西南</w:t>
            </w:r>
            <w:r>
              <w:rPr>
                <w:rFonts w:hint="default" w:ascii="Times New Roman" w:hAnsi="Times New Roman" w:eastAsia="宋体" w:cs="Times New Roman"/>
                <w:color w:val="auto"/>
                <w:lang w:val="en-US" w:eastAsia="zh-CN"/>
              </w:rPr>
              <w:t>侧空地</w:t>
            </w:r>
            <w:r>
              <w:rPr>
                <w:rFonts w:hint="default" w:ascii="Times New Roman" w:hAnsi="Times New Roman" w:eastAsia="宋体" w:cs="Times New Roman"/>
                <w:color w:val="000000"/>
                <w:kern w:val="0"/>
                <w:sz w:val="24"/>
                <w:szCs w:val="24"/>
                <w:lang w:val="en-US" w:eastAsia="zh-CN" w:bidi="ar"/>
              </w:rPr>
              <w:t>，占地面积为12m</w:t>
            </w:r>
            <w:r>
              <w:rPr>
                <w:rFonts w:hint="eastAsia" w:ascii="Times New Roman" w:hAnsi="Times New Roman" w:eastAsia="宋体" w:cs="Times New Roman"/>
                <w:color w:val="000000"/>
                <w:kern w:val="0"/>
                <w:sz w:val="24"/>
                <w:szCs w:val="24"/>
                <w:vertAlign w:val="superscript"/>
                <w:lang w:val="en-US" w:eastAsia="zh-CN" w:bidi="ar"/>
              </w:rPr>
              <w:t>2</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分</w:t>
            </w:r>
            <w:r>
              <w:rPr>
                <w:rFonts w:hint="eastAsia" w:cs="Times New Roman"/>
                <w:color w:val="000000"/>
                <w:kern w:val="0"/>
                <w:sz w:val="24"/>
                <w:szCs w:val="24"/>
                <w:lang w:val="en-US" w:eastAsia="zh-CN" w:bidi="ar"/>
              </w:rPr>
              <w:t>五个</w:t>
            </w:r>
            <w:r>
              <w:rPr>
                <w:rFonts w:hint="eastAsia" w:ascii="Times New Roman" w:hAnsi="Times New Roman" w:eastAsia="宋体" w:cs="Times New Roman"/>
                <w:color w:val="000000"/>
                <w:kern w:val="0"/>
                <w:sz w:val="24"/>
                <w:szCs w:val="24"/>
                <w:lang w:val="en-US" w:eastAsia="zh-CN" w:bidi="ar"/>
              </w:rPr>
              <w:t>区域分别暂存医疗废物</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各区采用挡板隔开，</w:t>
            </w:r>
            <w:r>
              <w:rPr>
                <w:rFonts w:hint="eastAsia" w:ascii="Times New Roman" w:hAnsi="Times New Roman"/>
                <w:color w:val="auto"/>
                <w:szCs w:val="21"/>
              </w:rPr>
              <w:t>四周设置导流槽，在东南角</w:t>
            </w:r>
            <w:r>
              <w:rPr>
                <w:rFonts w:hint="eastAsia"/>
                <w:color w:val="auto"/>
                <w:szCs w:val="21"/>
                <w:lang w:eastAsia="zh-CN"/>
              </w:rPr>
              <w:t>设</w:t>
            </w:r>
            <w:r>
              <w:rPr>
                <w:rFonts w:hint="eastAsia" w:ascii="Times New Roman" w:hAnsi="Times New Roman"/>
                <w:color w:val="auto"/>
                <w:szCs w:val="21"/>
              </w:rPr>
              <w:t>1</w:t>
            </w:r>
            <w:r>
              <w:rPr>
                <w:rFonts w:ascii="Times New Roman" w:hAnsi="Times New Roman"/>
                <w:color w:val="auto"/>
                <w:szCs w:val="21"/>
              </w:rPr>
              <w:t>个</w:t>
            </w:r>
            <w:r>
              <w:rPr>
                <w:rFonts w:hint="eastAsia" w:ascii="Times New Roman" w:hAnsi="Times New Roman"/>
                <w:color w:val="auto"/>
                <w:szCs w:val="21"/>
              </w:rPr>
              <w:t>0.</w:t>
            </w:r>
            <w:r>
              <w:rPr>
                <w:rFonts w:hint="eastAsia"/>
                <w:color w:val="auto"/>
                <w:szCs w:val="21"/>
                <w:lang w:val="en-US" w:eastAsia="zh-CN"/>
              </w:rPr>
              <w:t>1</w:t>
            </w:r>
            <w:r>
              <w:rPr>
                <w:rFonts w:ascii="Times New Roman" w:hAnsi="Times New Roman"/>
                <w:color w:val="auto"/>
                <w:szCs w:val="21"/>
              </w:rPr>
              <w:t>m</w:t>
            </w:r>
            <w:r>
              <w:rPr>
                <w:rFonts w:ascii="Times New Roman" w:hAnsi="Times New Roman"/>
                <w:color w:val="auto"/>
                <w:szCs w:val="21"/>
                <w:vertAlign w:val="superscript"/>
              </w:rPr>
              <w:t>3</w:t>
            </w:r>
            <w:r>
              <w:rPr>
                <w:rFonts w:ascii="Times New Roman" w:hAnsi="Times New Roman"/>
                <w:color w:val="auto"/>
                <w:szCs w:val="21"/>
              </w:rPr>
              <w:t>的集液池，</w:t>
            </w:r>
            <w:r>
              <w:rPr>
                <w:rFonts w:hint="default" w:ascii="Times New Roman" w:hAnsi="Times New Roman" w:eastAsia="宋体" w:cs="Times New Roman"/>
                <w:color w:val="000000"/>
                <w:kern w:val="0"/>
                <w:sz w:val="24"/>
                <w:szCs w:val="24"/>
                <w:lang w:val="en-US" w:eastAsia="zh-CN" w:bidi="ar"/>
              </w:rPr>
              <w:t>平面布置合理</w:t>
            </w:r>
            <w:r>
              <w:rPr>
                <w:rFonts w:hint="eastAsia" w:ascii="Times New Roman" w:hAnsi="Times New Roman" w:eastAsia="宋体" w:cs="Times New Roman"/>
                <w:color w:val="000000"/>
                <w:kern w:val="0"/>
                <w:sz w:val="24"/>
                <w:szCs w:val="24"/>
                <w:lang w:val="en-US" w:eastAsia="zh-CN" w:bidi="ar"/>
              </w:rPr>
              <w:t>，</w:t>
            </w:r>
            <w:r>
              <w:rPr>
                <w:rFonts w:hint="eastAsia" w:cs="Times New Roman"/>
                <w:color w:val="000000"/>
                <w:kern w:val="0"/>
                <w:sz w:val="24"/>
                <w:szCs w:val="24"/>
                <w:lang w:val="en-US" w:eastAsia="zh-CN" w:bidi="ar"/>
              </w:rPr>
              <w:t>医疗废物暂存间在厂区位置图和内部布局图分别见附图2和附图3。</w:t>
            </w:r>
          </w:p>
          <w:p>
            <w:pPr>
              <w:keepNext w:val="0"/>
              <w:keepLines w:val="0"/>
              <w:widowControl/>
              <w:suppressLineNumbers w:val="0"/>
              <w:spacing w:before="0" w:beforeAutospacing="0" w:after="0" w:afterAutospacing="0"/>
              <w:ind w:left="0" w:right="0"/>
              <w:jc w:val="left"/>
              <w:rPr>
                <w:rFonts w:hint="eastAsia" w:ascii="Times New Roman" w:hAnsi="Times New Roman" w:eastAsia="宋体" w:cs="Times New Roman"/>
                <w:b/>
                <w:bCs/>
                <w:color w:val="000000"/>
                <w:kern w:val="0"/>
                <w:sz w:val="24"/>
                <w:szCs w:val="24"/>
                <w:lang w:val="en-US" w:eastAsia="zh-CN" w:bidi="ar"/>
              </w:rPr>
            </w:pPr>
            <w:r>
              <w:rPr>
                <w:rFonts w:hint="eastAsia" w:cs="Times New Roman"/>
                <w:b/>
                <w:bCs/>
                <w:color w:val="000000"/>
                <w:kern w:val="0"/>
                <w:sz w:val="24"/>
                <w:szCs w:val="24"/>
                <w:lang w:val="en-US" w:eastAsia="zh-CN" w:bidi="ar"/>
              </w:rPr>
              <w:t>6</w:t>
            </w:r>
            <w:r>
              <w:rPr>
                <w:rFonts w:hint="eastAsia" w:ascii="Times New Roman" w:hAnsi="Times New Roman" w:eastAsia="宋体" w:cs="Times New Roman"/>
                <w:b/>
                <w:bCs/>
                <w:color w:val="000000"/>
                <w:kern w:val="0"/>
                <w:sz w:val="24"/>
                <w:szCs w:val="24"/>
                <w:lang w:val="en-US" w:eastAsia="zh-CN" w:bidi="ar"/>
              </w:rPr>
              <w:t>、</w:t>
            </w:r>
            <w:r>
              <w:rPr>
                <w:rFonts w:hint="eastAsia" w:cs="Times New Roman"/>
                <w:b/>
                <w:bCs/>
                <w:color w:val="000000"/>
                <w:kern w:val="0"/>
                <w:sz w:val="24"/>
                <w:szCs w:val="24"/>
                <w:lang w:val="en-US" w:eastAsia="zh-CN" w:bidi="ar"/>
              </w:rPr>
              <w:t>医疗废物</w:t>
            </w:r>
            <w:r>
              <w:rPr>
                <w:rFonts w:hint="eastAsia" w:ascii="Times New Roman" w:hAnsi="Times New Roman" w:eastAsia="宋体" w:cs="Times New Roman"/>
                <w:b/>
                <w:bCs/>
                <w:color w:val="000000"/>
                <w:kern w:val="0"/>
                <w:sz w:val="24"/>
                <w:szCs w:val="24"/>
                <w:lang w:val="en-US" w:eastAsia="zh-CN" w:bidi="ar"/>
              </w:rPr>
              <w:t>暂存间设计方案</w:t>
            </w:r>
          </w:p>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ind w:left="0" w:right="0"/>
              <w:jc w:val="both"/>
              <w:textAlignment w:val="auto"/>
              <w:rPr>
                <w:rFonts w:hint="default" w:ascii="Times New Roman" w:hAnsi="Times New Roman" w:cs="Times New Roman"/>
                <w:sz w:val="24"/>
                <w:szCs w:val="24"/>
              </w:rPr>
            </w:pPr>
            <w:r>
              <w:rPr>
                <w:rFonts w:hint="eastAsia" w:ascii="Times New Roman" w:hAnsi="Times New Roman" w:eastAsia="宋体" w:cs="Times New Roman"/>
                <w:color w:val="000000"/>
                <w:kern w:val="0"/>
                <w:sz w:val="24"/>
                <w:szCs w:val="24"/>
                <w:lang w:val="en-US" w:eastAsia="zh-CN" w:bidi="ar"/>
              </w:rPr>
              <w:t>本项目</w:t>
            </w:r>
            <w:r>
              <w:rPr>
                <w:rFonts w:hint="eastAsia" w:cs="Times New Roman"/>
                <w:color w:val="000000"/>
                <w:kern w:val="0"/>
                <w:sz w:val="24"/>
                <w:szCs w:val="24"/>
                <w:lang w:val="en-US" w:eastAsia="zh-CN" w:bidi="ar"/>
              </w:rPr>
              <w:t>医疗废物暂存间</w:t>
            </w:r>
            <w:r>
              <w:rPr>
                <w:rFonts w:hint="default" w:ascii="Times New Roman" w:hAnsi="Times New Roman" w:eastAsia="宋体" w:cs="Times New Roman"/>
                <w:color w:val="000000"/>
                <w:kern w:val="0"/>
                <w:sz w:val="24"/>
                <w:szCs w:val="24"/>
                <w:lang w:val="en-US" w:eastAsia="zh-CN" w:bidi="ar"/>
              </w:rPr>
              <w:t>设计方案</w:t>
            </w:r>
            <w:r>
              <w:rPr>
                <w:rFonts w:hint="eastAsia" w:ascii="Times New Roman" w:hAnsi="Times New Roman" w:eastAsia="宋体" w:cs="Times New Roman"/>
                <w:color w:val="000000"/>
                <w:kern w:val="0"/>
                <w:sz w:val="24"/>
                <w:szCs w:val="24"/>
                <w:lang w:val="en-US" w:eastAsia="zh-CN" w:bidi="ar"/>
              </w:rPr>
              <w:t>如下：</w:t>
            </w:r>
            <w:r>
              <w:rPr>
                <w:rFonts w:hint="default" w:ascii="Times New Roman" w:hAnsi="Times New Roman" w:eastAsia="宋体" w:cs="Times New Roman"/>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ind w:left="0" w:right="0"/>
              <w:jc w:val="both"/>
              <w:textAlignment w:val="auto"/>
              <w:rPr>
                <w:rFonts w:hint="default" w:ascii="Times New Roman" w:hAnsi="Times New Roman" w:cs="Times New Roman"/>
                <w:color w:val="FF0000"/>
                <w:sz w:val="24"/>
                <w:szCs w:val="24"/>
              </w:rPr>
            </w:pP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采用设计好的</w:t>
            </w:r>
            <w:r>
              <w:rPr>
                <w:rFonts w:hint="eastAsia" w:ascii="Times New Roman" w:hAnsi="Times New Roman" w:eastAsia="宋体" w:cs="Times New Roman"/>
                <w:color w:val="auto"/>
                <w:kern w:val="2"/>
                <w:lang w:val="en-US" w:eastAsia="zh-CN"/>
              </w:rPr>
              <w:t>轻钢柜体</w:t>
            </w:r>
            <w:r>
              <w:rPr>
                <w:rFonts w:hint="eastAsia" w:cs="Times New Roman"/>
                <w:color w:val="auto"/>
                <w:kern w:val="2"/>
                <w:lang w:val="en-US" w:eastAsia="zh-CN"/>
              </w:rPr>
              <w:t>，尺寸为4m×3m×2m，</w:t>
            </w:r>
            <w:r>
              <w:rPr>
                <w:rFonts w:hint="default" w:ascii="Times New Roman" w:hAnsi="Times New Roman" w:eastAsia="宋体" w:cs="Times New Roman"/>
                <w:color w:val="000000"/>
                <w:kern w:val="0"/>
                <w:sz w:val="24"/>
                <w:szCs w:val="24"/>
                <w:lang w:val="en-US" w:eastAsia="zh-CN" w:bidi="ar"/>
              </w:rPr>
              <w:t>根据《危险废物贮存污染控制标准》（GB18597-2023）</w:t>
            </w:r>
            <w:r>
              <w:rPr>
                <w:rFonts w:hint="eastAsia" w:ascii="Times New Roman" w:hAnsi="Times New Roman" w:eastAsia="宋体" w:cs="Times New Roman"/>
                <w:color w:val="000000"/>
                <w:kern w:val="0"/>
                <w:sz w:val="24"/>
                <w:szCs w:val="24"/>
                <w:lang w:val="en-US" w:eastAsia="zh-CN" w:bidi="ar"/>
              </w:rPr>
              <w:t>，</w:t>
            </w:r>
            <w:r>
              <w:rPr>
                <w:rFonts w:hint="eastAsia" w:cs="Times New Roman"/>
                <w:color w:val="000000"/>
                <w:kern w:val="0"/>
                <w:sz w:val="24"/>
                <w:szCs w:val="24"/>
                <w:lang w:val="en-US" w:eastAsia="zh-CN" w:bidi="ar"/>
              </w:rPr>
              <w:t>医疗废物</w:t>
            </w:r>
            <w:r>
              <w:rPr>
                <w:rFonts w:hint="eastAsia" w:ascii="Times New Roman" w:hAnsi="Times New Roman" w:eastAsia="宋体" w:cs="Times New Roman"/>
                <w:color w:val="000000"/>
                <w:kern w:val="0"/>
                <w:sz w:val="24"/>
                <w:szCs w:val="24"/>
                <w:lang w:val="en-US" w:eastAsia="zh-CN" w:bidi="ar"/>
              </w:rPr>
              <w:t>暂存间</w:t>
            </w:r>
            <w:r>
              <w:rPr>
                <w:rFonts w:hint="default" w:ascii="Times New Roman" w:hAnsi="Times New Roman" w:eastAsia="宋体" w:cs="Times New Roman"/>
                <w:color w:val="000000"/>
                <w:kern w:val="0"/>
                <w:sz w:val="24"/>
                <w:szCs w:val="24"/>
                <w:lang w:val="en-US" w:eastAsia="zh-CN" w:bidi="ar"/>
              </w:rPr>
              <w:t>属重点污染防治区，地面做防渗</w:t>
            </w:r>
            <w:r>
              <w:rPr>
                <w:rFonts w:hint="eastAsia" w:cs="Times New Roman"/>
                <w:color w:val="000000"/>
                <w:kern w:val="0"/>
                <w:sz w:val="24"/>
                <w:szCs w:val="24"/>
                <w:lang w:val="en-US" w:eastAsia="zh-CN" w:bidi="ar"/>
              </w:rPr>
              <w:t>防腐、</w:t>
            </w:r>
            <w:r>
              <w:rPr>
                <w:rFonts w:hint="default" w:ascii="Times New Roman" w:hAnsi="Times New Roman" w:eastAsia="宋体" w:cs="Times New Roman"/>
                <w:color w:val="000000"/>
                <w:kern w:val="0"/>
                <w:sz w:val="24"/>
                <w:szCs w:val="24"/>
                <w:lang w:val="en-US" w:eastAsia="zh-CN" w:bidi="ar"/>
              </w:rPr>
              <w:t>处理，且渗透系数不应大于1.0×10</w:t>
            </w:r>
            <w:r>
              <w:rPr>
                <w:rFonts w:hint="default" w:ascii="Times New Roman" w:hAnsi="Times New Roman" w:eastAsia="宋体" w:cs="Times New Roman"/>
                <w:color w:val="000000"/>
                <w:kern w:val="0"/>
                <w:sz w:val="24"/>
                <w:szCs w:val="24"/>
                <w:vertAlign w:val="superscript"/>
                <w:lang w:val="en-US" w:eastAsia="zh-CN" w:bidi="ar"/>
              </w:rPr>
              <w:t>-</w:t>
            </w:r>
            <w:r>
              <w:rPr>
                <w:rFonts w:hint="eastAsia" w:ascii="Times New Roman" w:hAnsi="Times New Roman" w:eastAsia="宋体" w:cs="Times New Roman"/>
                <w:color w:val="000000"/>
                <w:kern w:val="0"/>
                <w:sz w:val="24"/>
                <w:szCs w:val="24"/>
                <w:vertAlign w:val="superscript"/>
                <w:lang w:val="en-US" w:eastAsia="zh-CN" w:bidi="ar"/>
              </w:rPr>
              <w:t>10</w:t>
            </w:r>
            <w:r>
              <w:rPr>
                <w:rFonts w:hint="default" w:ascii="Times New Roman" w:hAnsi="Times New Roman" w:eastAsia="宋体" w:cs="Times New Roman"/>
                <w:color w:val="000000"/>
                <w:kern w:val="0"/>
                <w:sz w:val="24"/>
                <w:szCs w:val="24"/>
                <w:lang w:val="en-US" w:eastAsia="zh-CN" w:bidi="ar"/>
              </w:rPr>
              <w:t>cm/s</w:t>
            </w:r>
            <w:r>
              <w:rPr>
                <w:rFonts w:hint="eastAsia" w:ascii="Times New Roman" w:hAnsi="Times New Roman" w:eastAsia="宋体" w:cs="Times New Roman"/>
                <w:color w:val="000000"/>
                <w:kern w:val="0"/>
                <w:sz w:val="24"/>
                <w:szCs w:val="24"/>
                <w:lang w:val="en-US" w:eastAsia="zh-CN" w:bidi="ar"/>
              </w:rPr>
              <w:t>，项目设计拟采用</w:t>
            </w:r>
            <w:r>
              <w:rPr>
                <w:rFonts w:hint="default" w:ascii="Times New Roman" w:hAnsi="Times New Roman" w:eastAsia="宋体" w:cs="Times New Roman"/>
                <w:color w:val="000000"/>
                <w:kern w:val="0"/>
                <w:sz w:val="24"/>
                <w:szCs w:val="24"/>
                <w:lang w:val="en-US" w:eastAsia="zh-CN" w:bidi="ar"/>
              </w:rPr>
              <w:t>2mm厚高密度聚乙烯膜等人工防渗材料</w:t>
            </w:r>
            <w:r>
              <w:rPr>
                <w:rFonts w:hint="eastAsia" w:cs="Times New Roman"/>
                <w:color w:val="000000"/>
                <w:kern w:val="0"/>
                <w:sz w:val="24"/>
                <w:szCs w:val="24"/>
                <w:lang w:val="en-US" w:eastAsia="zh-CN" w:bidi="ar"/>
              </w:rPr>
              <w:t>，</w:t>
            </w:r>
            <w:r>
              <w:rPr>
                <w:rFonts w:hint="eastAsia" w:cs="Times New Roman"/>
                <w:color w:val="FF0000"/>
                <w:kern w:val="0"/>
                <w:sz w:val="24"/>
                <w:szCs w:val="24"/>
                <w:lang w:val="en-US" w:eastAsia="zh-CN" w:bidi="ar"/>
              </w:rPr>
              <w:t>并在表面铺设一层环氧树脂进行防腐</w:t>
            </w:r>
            <w:r>
              <w:rPr>
                <w:rFonts w:hint="default" w:ascii="Times New Roman" w:hAnsi="Times New Roman" w:eastAsia="宋体" w:cs="Times New Roman"/>
                <w:color w:val="FF0000"/>
                <w:kern w:val="0"/>
                <w:sz w:val="24"/>
                <w:szCs w:val="24"/>
                <w:lang w:val="en-US" w:eastAsia="zh-CN" w:bidi="ar"/>
              </w:rPr>
              <w:t>。</w:t>
            </w:r>
          </w:p>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ind w:left="0" w:right="0"/>
              <w:jc w:val="both"/>
              <w:textAlignment w:val="auto"/>
              <w:rPr>
                <w:rFonts w:hint="default" w:ascii="Times New Roman" w:hAnsi="Times New Roman" w:cs="Times New Roman"/>
                <w:sz w:val="24"/>
                <w:szCs w:val="24"/>
              </w:rPr>
            </w:pPr>
            <w:r>
              <w:rPr>
                <w:rFonts w:hint="default" w:ascii="Times New Roman" w:hAnsi="Times New Roman" w:eastAsia="宋体" w:cs="Times New Roman"/>
                <w:color w:val="000000"/>
                <w:kern w:val="0"/>
                <w:sz w:val="24"/>
                <w:szCs w:val="24"/>
                <w:lang w:val="en-US" w:eastAsia="zh-CN" w:bidi="ar"/>
              </w:rPr>
              <w:t>2）</w:t>
            </w:r>
            <w:r>
              <w:rPr>
                <w:rFonts w:hint="eastAsia" w:cs="Times New Roman"/>
                <w:color w:val="000000"/>
                <w:kern w:val="0"/>
                <w:sz w:val="24"/>
                <w:szCs w:val="24"/>
                <w:lang w:val="en-US" w:eastAsia="zh-CN" w:bidi="ar"/>
              </w:rPr>
              <w:t>医疗废物</w:t>
            </w:r>
            <w:r>
              <w:rPr>
                <w:rFonts w:hint="eastAsia" w:ascii="Times New Roman" w:hAnsi="Times New Roman" w:eastAsia="宋体" w:cs="Times New Roman"/>
                <w:color w:val="000000"/>
                <w:kern w:val="0"/>
                <w:sz w:val="24"/>
                <w:szCs w:val="24"/>
                <w:lang w:val="en-US" w:eastAsia="zh-CN" w:bidi="ar"/>
              </w:rPr>
              <w:t>暂存间</w:t>
            </w:r>
            <w:r>
              <w:rPr>
                <w:rFonts w:hint="default" w:ascii="Times New Roman" w:hAnsi="Times New Roman" w:eastAsia="宋体" w:cs="Times New Roman"/>
                <w:color w:val="000000"/>
                <w:kern w:val="0"/>
                <w:sz w:val="24"/>
                <w:szCs w:val="24"/>
                <w:lang w:val="en-US" w:eastAsia="zh-CN" w:bidi="ar"/>
              </w:rPr>
              <w:t>内</w:t>
            </w:r>
            <w:r>
              <w:rPr>
                <w:rFonts w:hint="eastAsia" w:ascii="Times New Roman" w:hAnsi="Times New Roman" w:eastAsia="宋体" w:cs="Times New Roman"/>
                <w:color w:val="000000"/>
                <w:kern w:val="0"/>
                <w:sz w:val="24"/>
                <w:szCs w:val="24"/>
                <w:lang w:val="en-US" w:eastAsia="zh-CN" w:bidi="ar"/>
              </w:rPr>
              <w:t>分</w:t>
            </w:r>
            <w:r>
              <w:rPr>
                <w:rFonts w:hint="eastAsia" w:cs="Times New Roman"/>
                <w:color w:val="000000"/>
                <w:kern w:val="0"/>
                <w:sz w:val="24"/>
                <w:szCs w:val="24"/>
                <w:lang w:val="en-US" w:eastAsia="zh-CN" w:bidi="ar"/>
              </w:rPr>
              <w:t>五</w:t>
            </w:r>
            <w:r>
              <w:rPr>
                <w:rFonts w:hint="eastAsia" w:ascii="Times New Roman" w:hAnsi="Times New Roman" w:eastAsia="宋体" w:cs="Times New Roman"/>
                <w:color w:val="000000"/>
                <w:kern w:val="0"/>
                <w:sz w:val="24"/>
                <w:szCs w:val="24"/>
                <w:lang w:val="en-US" w:eastAsia="zh-CN" w:bidi="ar"/>
              </w:rPr>
              <w:t>个区域，</w:t>
            </w:r>
            <w:r>
              <w:rPr>
                <w:rFonts w:hint="default" w:ascii="Times New Roman" w:hAnsi="Times New Roman" w:eastAsia="宋体" w:cs="Times New Roman"/>
                <w:color w:val="000000"/>
                <w:kern w:val="0"/>
                <w:sz w:val="24"/>
                <w:szCs w:val="24"/>
                <w:lang w:val="en-US" w:eastAsia="zh-CN" w:bidi="ar"/>
              </w:rPr>
              <w:t>各储存区之间</w:t>
            </w:r>
            <w:r>
              <w:rPr>
                <w:rFonts w:hint="eastAsia" w:ascii="Times New Roman" w:hAnsi="Times New Roman" w:eastAsia="宋体" w:cs="Times New Roman"/>
                <w:color w:val="000000"/>
                <w:kern w:val="0"/>
                <w:sz w:val="24"/>
                <w:szCs w:val="24"/>
                <w:lang w:val="en-US" w:eastAsia="zh-CN" w:bidi="ar"/>
              </w:rPr>
              <w:t>采用挡板隔开</w:t>
            </w:r>
            <w:r>
              <w:rPr>
                <w:rFonts w:hint="default" w:ascii="Times New Roman" w:hAnsi="Times New Roman" w:eastAsia="宋体" w:cs="Times New Roman"/>
                <w:color w:val="000000"/>
                <w:kern w:val="0"/>
                <w:sz w:val="24"/>
                <w:szCs w:val="24"/>
                <w:lang w:val="en-US" w:eastAsia="zh-CN" w:bidi="ar"/>
              </w:rPr>
              <w:t>。</w:t>
            </w:r>
          </w:p>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ind w:left="0" w:right="0"/>
              <w:jc w:val="both"/>
              <w:textAlignment w:val="auto"/>
              <w:rPr>
                <w:rFonts w:hint="default" w:ascii="Times New Roman" w:hAnsi="Times New Roman" w:cs="Times New Roman"/>
                <w:sz w:val="24"/>
                <w:szCs w:val="24"/>
              </w:rPr>
            </w:pPr>
            <w:r>
              <w:rPr>
                <w:rFonts w:hint="default" w:ascii="Times New Roman" w:hAnsi="Times New Roman" w:eastAsia="宋体" w:cs="Times New Roman"/>
                <w:color w:val="000000"/>
                <w:kern w:val="0"/>
                <w:sz w:val="24"/>
                <w:szCs w:val="24"/>
                <w:lang w:val="en-US" w:eastAsia="zh-CN" w:bidi="ar"/>
              </w:rPr>
              <w:t>3）</w:t>
            </w:r>
            <w:r>
              <w:rPr>
                <w:rFonts w:hint="eastAsia" w:cs="Times New Roman"/>
                <w:color w:val="000000"/>
                <w:kern w:val="0"/>
                <w:sz w:val="24"/>
                <w:szCs w:val="24"/>
                <w:lang w:val="en-US" w:eastAsia="zh-CN" w:bidi="ar"/>
              </w:rPr>
              <w:t>医疗废物</w:t>
            </w:r>
            <w:r>
              <w:rPr>
                <w:rFonts w:hint="eastAsia" w:ascii="Times New Roman" w:hAnsi="Times New Roman" w:eastAsia="宋体" w:cs="Times New Roman"/>
                <w:color w:val="000000"/>
                <w:kern w:val="0"/>
                <w:sz w:val="24"/>
                <w:szCs w:val="24"/>
                <w:lang w:val="en-US" w:eastAsia="zh-CN" w:bidi="ar"/>
              </w:rPr>
              <w:t>暂存间</w:t>
            </w:r>
            <w:r>
              <w:rPr>
                <w:rFonts w:hint="default" w:ascii="Times New Roman" w:hAnsi="Times New Roman" w:eastAsia="宋体" w:cs="Times New Roman"/>
                <w:color w:val="000000"/>
                <w:kern w:val="0"/>
                <w:sz w:val="24"/>
                <w:szCs w:val="24"/>
                <w:lang w:val="en-US" w:eastAsia="zh-CN" w:bidi="ar"/>
              </w:rPr>
              <w:t>设置</w:t>
            </w:r>
            <w:r>
              <w:rPr>
                <w:rFonts w:hint="eastAsia" w:ascii="Times New Roman" w:hAnsi="Times New Roman" w:eastAsia="宋体" w:cs="Times New Roman"/>
                <w:color w:val="000000"/>
                <w:kern w:val="0"/>
                <w:sz w:val="24"/>
                <w:szCs w:val="24"/>
                <w:lang w:val="en-US" w:eastAsia="zh-CN" w:bidi="ar"/>
              </w:rPr>
              <w:t>导流槽</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集液池</w:t>
            </w:r>
            <w:r>
              <w:rPr>
                <w:rFonts w:hint="default" w:ascii="Times New Roman" w:hAnsi="Times New Roman" w:eastAsia="宋体" w:cs="Times New Roman"/>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ind w:left="0" w:right="0"/>
              <w:jc w:val="both"/>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4）</w:t>
            </w:r>
            <w:r>
              <w:rPr>
                <w:rFonts w:hint="eastAsia" w:cs="Times New Roman"/>
                <w:color w:val="000000"/>
                <w:kern w:val="0"/>
                <w:sz w:val="24"/>
                <w:szCs w:val="24"/>
                <w:lang w:val="en-US" w:eastAsia="zh-CN" w:bidi="ar"/>
              </w:rPr>
              <w:t>医疗废物</w:t>
            </w:r>
            <w:r>
              <w:rPr>
                <w:rFonts w:hint="default" w:ascii="Times New Roman" w:hAnsi="Times New Roman" w:eastAsia="宋体" w:cs="Times New Roman"/>
                <w:color w:val="000000"/>
                <w:kern w:val="0"/>
                <w:sz w:val="24"/>
                <w:szCs w:val="24"/>
                <w:lang w:val="en-US" w:eastAsia="zh-CN" w:bidi="ar"/>
              </w:rPr>
              <w:t>暂存间设施内有安全照明设施</w:t>
            </w:r>
            <w:r>
              <w:rPr>
                <w:rFonts w:hint="eastAsia" w:ascii="Times New Roman" w:hAnsi="Times New Roman" w:eastAsia="宋体" w:cs="Times New Roman"/>
                <w:color w:val="000000"/>
                <w:kern w:val="0"/>
                <w:sz w:val="24"/>
                <w:szCs w:val="24"/>
                <w:lang w:val="en-US" w:eastAsia="zh-CN" w:bidi="ar"/>
              </w:rPr>
              <w:t>，</w:t>
            </w:r>
            <w:r>
              <w:rPr>
                <w:rFonts w:hint="eastAsia" w:cs="Times New Roman"/>
                <w:color w:val="000000"/>
                <w:kern w:val="0"/>
                <w:sz w:val="24"/>
                <w:szCs w:val="24"/>
                <w:lang w:val="en-US" w:eastAsia="zh-CN" w:bidi="ar"/>
              </w:rPr>
              <w:t>自动灭火系统</w:t>
            </w:r>
            <w:r>
              <w:rPr>
                <w:rFonts w:hint="eastAsia" w:ascii="Times New Roman" w:hAnsi="Times New Roman" w:eastAsia="宋体" w:cs="Times New Roman"/>
                <w:color w:val="000000"/>
                <w:kern w:val="0"/>
                <w:sz w:val="24"/>
                <w:szCs w:val="24"/>
                <w:lang w:val="en-US" w:eastAsia="zh-CN" w:bidi="ar"/>
              </w:rPr>
              <w:t>等</w:t>
            </w:r>
            <w:r>
              <w:rPr>
                <w:rFonts w:hint="default" w:ascii="Times New Roman" w:hAnsi="Times New Roman" w:eastAsia="宋体" w:cs="Times New Roman"/>
                <w:color w:val="000000"/>
                <w:kern w:val="0"/>
                <w:sz w:val="24"/>
                <w:szCs w:val="24"/>
                <w:lang w:val="en-US" w:eastAsia="zh-CN" w:bidi="ar"/>
              </w:rPr>
              <w:t>。</w:t>
            </w:r>
          </w:p>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ind w:left="0" w:right="0"/>
              <w:jc w:val="both"/>
              <w:textAlignment w:val="auto"/>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本项目</w:t>
            </w:r>
            <w:r>
              <w:rPr>
                <w:rFonts w:hint="eastAsia" w:cs="Times New Roman"/>
                <w:color w:val="000000"/>
                <w:kern w:val="0"/>
                <w:sz w:val="24"/>
                <w:szCs w:val="24"/>
                <w:lang w:val="en-US" w:eastAsia="zh-CN" w:bidi="ar"/>
              </w:rPr>
              <w:t>医疗废物</w:t>
            </w:r>
            <w:r>
              <w:rPr>
                <w:rFonts w:hint="eastAsia" w:ascii="Times New Roman" w:hAnsi="Times New Roman" w:eastAsia="宋体" w:cs="Times New Roman"/>
                <w:color w:val="000000"/>
                <w:kern w:val="0"/>
                <w:sz w:val="24"/>
                <w:szCs w:val="24"/>
                <w:lang w:val="en-US" w:eastAsia="zh-CN" w:bidi="ar"/>
              </w:rPr>
              <w:t>暂存间整体结构见下图：</w:t>
            </w:r>
          </w:p>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ind w:left="0" w:leftChars="0" w:right="0" w:firstLine="0" w:firstLineChars="0"/>
              <w:jc w:val="center"/>
              <w:textAlignment w:val="auto"/>
              <w:rPr>
                <w:rFonts w:hint="default" w:ascii="Times New Roman" w:hAnsi="Times New Roman" w:cs="Times New Roman"/>
                <w:sz w:val="24"/>
                <w:szCs w:val="24"/>
              </w:rPr>
            </w:pPr>
            <w:r>
              <w:drawing>
                <wp:inline distT="0" distB="0" distL="114300" distR="114300">
                  <wp:extent cx="4176395" cy="2159635"/>
                  <wp:effectExtent l="0" t="0" r="14605" b="12065"/>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4"/>
                          <a:stretch>
                            <a:fillRect/>
                          </a:stretch>
                        </pic:blipFill>
                        <pic:spPr>
                          <a:xfrm>
                            <a:off x="0" y="0"/>
                            <a:ext cx="4176395" cy="2159635"/>
                          </a:xfrm>
                          <a:prstGeom prst="rect">
                            <a:avLst/>
                          </a:prstGeom>
                          <a:noFill/>
                          <a:ln>
                            <a:noFill/>
                          </a:ln>
                        </pic:spPr>
                      </pic:pic>
                    </a:graphicData>
                  </a:graphic>
                </wp:inline>
              </w:drawing>
            </w:r>
          </w:p>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000000"/>
                <w:kern w:val="0"/>
                <w:sz w:val="21"/>
                <w:szCs w:val="21"/>
                <w:lang w:val="en-US" w:eastAsia="zh-CN" w:bidi="ar"/>
              </w:rPr>
            </w:pPr>
            <w:r>
              <w:rPr>
                <w:rFonts w:hint="eastAsia" w:ascii="Times New Roman" w:hAnsi="Times New Roman" w:eastAsia="宋体" w:cs="Times New Roman"/>
                <w:b/>
                <w:bCs/>
                <w:color w:val="000000"/>
                <w:kern w:val="0"/>
                <w:sz w:val="21"/>
                <w:szCs w:val="21"/>
                <w:lang w:val="en-US" w:eastAsia="zh-CN" w:bidi="ar"/>
              </w:rPr>
              <w:t>图2-1  本项目医疗废物暂存间整体结构示意图</w:t>
            </w:r>
          </w:p>
          <w:p>
            <w:pPr>
              <w:keepNext w:val="0"/>
              <w:keepLines w:val="0"/>
              <w:widowControl/>
              <w:suppressLineNumbers w:val="0"/>
              <w:spacing w:before="0" w:beforeAutospacing="0" w:after="0" w:afterAutospacing="0"/>
              <w:ind w:left="0" w:right="0"/>
              <w:jc w:val="left"/>
            </w:pPr>
            <w:r>
              <w:rPr>
                <w:rFonts w:hint="eastAsia" w:ascii="Times New Roman" w:hAnsi="Times New Roman" w:eastAsia="宋体" w:cs="Times New Roman"/>
                <w:b/>
                <w:bCs/>
                <w:color w:val="000000"/>
                <w:kern w:val="0"/>
                <w:sz w:val="24"/>
                <w:szCs w:val="24"/>
                <w:lang w:val="en-US" w:eastAsia="zh-CN" w:bidi="ar"/>
              </w:rPr>
              <w:t>7</w:t>
            </w:r>
            <w:r>
              <w:rPr>
                <w:rFonts w:hint="eastAsia" w:ascii="宋体" w:hAnsi="宋体" w:eastAsia="宋体" w:cs="宋体"/>
                <w:b/>
                <w:bCs/>
                <w:color w:val="000000"/>
                <w:kern w:val="0"/>
                <w:sz w:val="24"/>
                <w:szCs w:val="24"/>
                <w:lang w:val="en-US" w:eastAsia="zh-CN" w:bidi="ar"/>
              </w:rPr>
              <w:t>、公用工程</w:t>
            </w:r>
          </w:p>
          <w:p>
            <w:pPr>
              <w:keepNext w:val="0"/>
              <w:keepLines w:val="0"/>
              <w:widowControl/>
              <w:suppressLineNumbers w:val="0"/>
              <w:spacing w:before="0" w:beforeAutospacing="0" w:after="0" w:afterAutospacing="0"/>
              <w:ind w:left="0" w:right="0"/>
              <w:jc w:val="left"/>
            </w:pP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宋体" w:hAnsi="宋体" w:eastAsia="宋体" w:cs="宋体"/>
                <w:color w:val="000000"/>
                <w:kern w:val="0"/>
                <w:sz w:val="24"/>
                <w:szCs w:val="24"/>
                <w:lang w:val="en-US" w:eastAsia="zh-CN" w:bidi="ar"/>
              </w:rPr>
              <w:t>）给水</w:t>
            </w:r>
          </w:p>
          <w:p>
            <w:pPr>
              <w:keepNext w:val="0"/>
              <w:keepLines w:val="0"/>
              <w:widowControl/>
              <w:suppressLineNumbers w:val="0"/>
              <w:spacing w:before="0" w:beforeAutospacing="0" w:after="0" w:afterAutospacing="0"/>
              <w:ind w:left="0" w:right="0"/>
              <w:jc w:val="left"/>
              <w:rPr>
                <w:rFonts w:hint="eastAsia" w:ascii="Times New Roman" w:hAnsi="Times New Roman" w:eastAsia="宋体" w:cs="Times New Roman"/>
                <w:color w:val="auto"/>
                <w:kern w:val="2"/>
                <w:lang w:val="en-US" w:eastAsia="zh-CN"/>
              </w:rPr>
            </w:pPr>
            <w:r>
              <w:rPr>
                <w:rFonts w:hint="eastAsia" w:cs="Times New Roman"/>
                <w:color w:val="auto"/>
                <w:kern w:val="2"/>
                <w:lang w:val="en-US" w:eastAsia="zh-CN"/>
              </w:rPr>
              <w:t>本项目</w:t>
            </w:r>
            <w:r>
              <w:rPr>
                <w:rFonts w:hint="eastAsia" w:ascii="Times New Roman" w:hAnsi="Times New Roman" w:eastAsia="宋体" w:cs="Times New Roman"/>
                <w:color w:val="auto"/>
                <w:kern w:val="2"/>
                <w:lang w:val="en-US" w:eastAsia="zh-CN"/>
              </w:rPr>
              <w:t>依托企业现有职工，不新增劳动定员，不新增生活用水</w:t>
            </w:r>
            <w:r>
              <w:rPr>
                <w:rFonts w:hint="eastAsia" w:cs="Times New Roman"/>
                <w:color w:val="auto"/>
                <w:kern w:val="2"/>
                <w:lang w:val="en-US" w:eastAsia="zh-CN"/>
              </w:rPr>
              <w:t>，不涉及给水。</w:t>
            </w:r>
          </w:p>
          <w:p>
            <w:pPr>
              <w:keepNext w:val="0"/>
              <w:keepLines w:val="0"/>
              <w:widowControl/>
              <w:suppressLineNumbers w:val="0"/>
              <w:spacing w:before="0" w:beforeAutospacing="0" w:after="0" w:afterAutospacing="0"/>
              <w:ind w:left="0" w:right="0"/>
              <w:jc w:val="left"/>
            </w:pP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宋体" w:hAnsi="宋体" w:eastAsia="宋体" w:cs="宋体"/>
                <w:color w:val="000000"/>
                <w:kern w:val="0"/>
                <w:sz w:val="24"/>
                <w:szCs w:val="24"/>
                <w:lang w:val="en-US" w:eastAsia="zh-CN" w:bidi="ar"/>
              </w:rPr>
              <w:t>）排水</w:t>
            </w:r>
          </w:p>
          <w:p>
            <w:pPr>
              <w:keepNext w:val="0"/>
              <w:keepLines w:val="0"/>
              <w:widowControl/>
              <w:suppressLineNumbers w:val="0"/>
              <w:spacing w:before="0" w:beforeAutospacing="0" w:after="0" w:afterAutospacing="0"/>
              <w:ind w:left="0" w:right="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本项目不新增生活污水，无生产废水产生。</w:t>
            </w:r>
          </w:p>
          <w:p>
            <w:pPr>
              <w:keepNext w:val="0"/>
              <w:keepLines w:val="0"/>
              <w:widowControl/>
              <w:numPr>
                <w:ilvl w:val="0"/>
                <w:numId w:val="4"/>
              </w:numPr>
              <w:suppressLineNumbers w:val="0"/>
              <w:spacing w:before="0" w:beforeAutospacing="0" w:after="0" w:afterAutospacing="0"/>
              <w:ind w:left="0" w:right="0"/>
              <w:jc w:val="left"/>
              <w:rPr>
                <w:rFonts w:hint="eastAsia" w:ascii="Times New Roman" w:hAnsi="Times New Roman" w:cs="Times New Roman"/>
                <w:color w:val="000000"/>
                <w:kern w:val="0"/>
                <w:sz w:val="24"/>
                <w:szCs w:val="24"/>
                <w:lang w:val="en-US" w:eastAsia="zh-CN" w:bidi="ar"/>
              </w:rPr>
            </w:pPr>
            <w:r>
              <w:rPr>
                <w:rFonts w:hint="eastAsia" w:ascii="Times New Roman" w:hAnsi="Times New Roman" w:cs="Times New Roman"/>
                <w:color w:val="000000"/>
                <w:kern w:val="0"/>
                <w:sz w:val="24"/>
                <w:szCs w:val="24"/>
                <w:lang w:val="en-US" w:eastAsia="zh-CN" w:bidi="ar"/>
              </w:rPr>
              <w:t>供热</w:t>
            </w:r>
          </w:p>
          <w:p>
            <w:pPr>
              <w:keepNext w:val="0"/>
              <w:keepLines w:val="0"/>
              <w:widowControl/>
              <w:numPr>
                <w:ilvl w:val="0"/>
                <w:numId w:val="0"/>
              </w:numPr>
              <w:suppressLineNumbers w:val="0"/>
              <w:spacing w:before="0" w:beforeAutospacing="0" w:after="0" w:afterAutospacing="0"/>
              <w:ind w:left="0" w:right="0" w:firstLine="720" w:firstLineChars="300"/>
              <w:jc w:val="left"/>
              <w:rPr>
                <w:rFonts w:hint="default" w:ascii="Times New Roman" w:hAnsi="Times New Roman" w:cs="Times New Roman"/>
                <w:color w:val="000000"/>
                <w:kern w:val="0"/>
                <w:sz w:val="24"/>
                <w:szCs w:val="24"/>
                <w:lang w:val="en-US" w:eastAsia="zh-CN" w:bidi="ar"/>
              </w:rPr>
            </w:pPr>
            <w:r>
              <w:rPr>
                <w:rFonts w:hint="eastAsia" w:ascii="Times New Roman" w:hAnsi="Times New Roman" w:cs="Times New Roman"/>
                <w:color w:val="000000"/>
                <w:kern w:val="0"/>
                <w:sz w:val="24"/>
                <w:szCs w:val="24"/>
                <w:lang w:val="en-US" w:eastAsia="zh-CN" w:bidi="ar"/>
              </w:rPr>
              <w:t>本项目不涉及供热。</w:t>
            </w:r>
          </w:p>
          <w:p>
            <w:pPr>
              <w:keepNext w:val="0"/>
              <w:keepLines w:val="0"/>
              <w:widowControl/>
              <w:suppressLineNumbers w:val="0"/>
              <w:spacing w:before="0" w:beforeAutospacing="0" w:after="0" w:afterAutospacing="0"/>
              <w:ind w:left="0" w:right="0"/>
              <w:jc w:val="left"/>
            </w:pPr>
            <w:r>
              <w:rPr>
                <w:rFonts w:hint="default" w:ascii="Times New Roman" w:hAnsi="Times New Roman" w:eastAsia="宋体" w:cs="Times New Roman"/>
                <w:b/>
                <w:bCs/>
                <w:color w:val="000000"/>
                <w:kern w:val="0"/>
                <w:sz w:val="24"/>
                <w:szCs w:val="24"/>
                <w:lang w:val="en-US" w:eastAsia="zh-CN" w:bidi="ar"/>
              </w:rPr>
              <w:t>7</w:t>
            </w:r>
            <w:r>
              <w:rPr>
                <w:rFonts w:hint="eastAsia" w:ascii="宋体" w:hAnsi="宋体" w:eastAsia="宋体" w:cs="宋体"/>
                <w:b/>
                <w:bCs/>
                <w:color w:val="000000"/>
                <w:kern w:val="0"/>
                <w:sz w:val="24"/>
                <w:szCs w:val="24"/>
                <w:lang w:val="en-US" w:eastAsia="zh-CN" w:bidi="ar"/>
              </w:rPr>
              <w:t xml:space="preserve">、劳动定员及工作制度 </w:t>
            </w:r>
          </w:p>
          <w:p>
            <w:pPr>
              <w:keepNext w:val="0"/>
              <w:keepLines w:val="0"/>
              <w:widowControl/>
              <w:suppressLineNumbers w:val="0"/>
              <w:spacing w:before="0" w:beforeAutospacing="0" w:after="0" w:afterAutospacing="0"/>
              <w:ind w:left="0" w:right="0"/>
              <w:jc w:val="left"/>
              <w:rPr>
                <w:rFonts w:cs="Times New Roman"/>
              </w:rPr>
            </w:pPr>
            <w:r>
              <w:rPr>
                <w:rFonts w:hint="eastAsia" w:ascii="宋体" w:hAnsi="宋体" w:eastAsia="宋体" w:cs="宋体"/>
                <w:color w:val="000000"/>
                <w:kern w:val="0"/>
                <w:sz w:val="24"/>
                <w:szCs w:val="24"/>
                <w:lang w:val="en-US" w:eastAsia="zh-CN" w:bidi="ar"/>
              </w:rPr>
              <w:t>本项目不新增劳动定员，</w:t>
            </w:r>
            <w:r>
              <w:rPr>
                <w:rFonts w:hint="eastAsia" w:ascii="宋体" w:hAnsi="宋体" w:cs="宋体"/>
                <w:color w:val="000000"/>
                <w:kern w:val="0"/>
                <w:sz w:val="24"/>
                <w:szCs w:val="24"/>
                <w:lang w:val="en-US" w:eastAsia="zh-CN" w:bidi="ar"/>
              </w:rPr>
              <w:t>医疗废物</w:t>
            </w:r>
            <w:r>
              <w:rPr>
                <w:rFonts w:hint="eastAsia" w:ascii="宋体" w:hAnsi="宋体" w:eastAsia="宋体" w:cs="宋体"/>
                <w:color w:val="000000"/>
                <w:kern w:val="0"/>
                <w:sz w:val="24"/>
                <w:szCs w:val="24"/>
                <w:lang w:val="en-US" w:eastAsia="zh-CN" w:bidi="ar"/>
              </w:rPr>
              <w:t>暂存间每天使用</w:t>
            </w:r>
            <w:r>
              <w:rPr>
                <w:rFonts w:hint="default" w:ascii="Times New Roman" w:hAnsi="Times New Roman" w:eastAsia="宋体" w:cs="Times New Roman"/>
                <w:color w:val="000000"/>
                <w:kern w:val="0"/>
                <w:sz w:val="24"/>
                <w:szCs w:val="24"/>
                <w:lang w:val="en-US" w:eastAsia="zh-CN" w:bidi="ar"/>
              </w:rPr>
              <w:t>24h</w:t>
            </w:r>
            <w:r>
              <w:rPr>
                <w:rFonts w:hint="eastAsia" w:ascii="宋体" w:hAnsi="宋体" w:eastAsia="宋体" w:cs="宋体"/>
                <w:color w:val="000000"/>
                <w:kern w:val="0"/>
                <w:sz w:val="24"/>
                <w:szCs w:val="24"/>
                <w:lang w:val="en-US" w:eastAsia="zh-CN" w:bidi="ar"/>
              </w:rPr>
              <w:t>，年运行</w:t>
            </w:r>
            <w:r>
              <w:rPr>
                <w:rFonts w:hint="default" w:ascii="Times New Roman" w:hAnsi="Times New Roman" w:eastAsia="宋体" w:cs="Times New Roman"/>
                <w:color w:val="000000"/>
                <w:kern w:val="0"/>
                <w:sz w:val="24"/>
                <w:szCs w:val="24"/>
                <w:lang w:val="en-US" w:eastAsia="zh-CN" w:bidi="ar"/>
              </w:rPr>
              <w:t>365</w:t>
            </w:r>
            <w:r>
              <w:rPr>
                <w:rFonts w:hint="eastAsia" w:ascii="宋体" w:hAnsi="宋体" w:eastAsia="宋体" w:cs="宋体"/>
                <w:color w:val="000000"/>
                <w:kern w:val="0"/>
                <w:sz w:val="24"/>
                <w:szCs w:val="24"/>
                <w:lang w:val="en-US" w:eastAsia="zh-CN" w:bidi="ar"/>
              </w:rPr>
              <w:t>天。</w:t>
            </w:r>
          </w:p>
        </w:tc>
      </w:tr>
    </w:tbl>
    <w:p>
      <w:pPr>
        <w:pStyle w:val="29"/>
        <w:jc w:val="center"/>
        <w:rPr>
          <w:rFonts w:ascii="黑体" w:hAnsi="黑体" w:eastAsia="黑体"/>
          <w:snapToGrid w:val="0"/>
          <w:color w:val="000000"/>
          <w:sz w:val="36"/>
          <w:szCs w:val="36"/>
        </w:rPr>
        <w:sectPr>
          <w:pgSz w:w="11906" w:h="16838"/>
          <w:pgMar w:top="1418" w:right="1418" w:bottom="1701" w:left="1418"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35"/>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1"/>
        <w:gridCol w:w="83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0" w:hRule="atLeast"/>
        </w:trPr>
        <w:tc>
          <w:tcPr>
            <w:tcW w:w="731" w:type="dxa"/>
            <w:tcBorders>
              <w:top w:val="single" w:color="auto" w:sz="12" w:space="0"/>
              <w:left w:val="single" w:color="auto" w:sz="12" w:space="0"/>
              <w:right w:val="single" w:color="auto" w:sz="4" w:space="0"/>
            </w:tcBorders>
            <w:noWrap w:val="0"/>
            <w:vAlign w:val="center"/>
          </w:tcPr>
          <w:p>
            <w:pPr>
              <w:pStyle w:val="29"/>
              <w:keepNext w:val="0"/>
              <w:keepLines w:val="0"/>
              <w:pageBreakBefore w:val="0"/>
              <w:widowControl/>
              <w:suppressLineNumbers w:val="0"/>
              <w:kinsoku/>
              <w:wordWrap/>
              <w:overflowPunct/>
              <w:topLinePunct w:val="0"/>
              <w:autoSpaceDE w:val="0"/>
              <w:autoSpaceDN w:val="0"/>
              <w:bidi w:val="0"/>
              <w:adjustRightInd w:val="0"/>
              <w:snapToGrid w:val="0"/>
              <w:ind w:left="0" w:right="0" w:firstLine="0" w:firstLineChars="0"/>
              <w:jc w:val="center"/>
              <w:textAlignment w:val="auto"/>
              <w:rPr>
                <w:rFonts w:ascii="黑体" w:hAnsi="黑体" w:eastAsia="黑体" w:cs="Times New Roman"/>
                <w:snapToGrid w:val="0"/>
                <w:color w:val="000000"/>
                <w:sz w:val="36"/>
                <w:szCs w:val="36"/>
                <w:vertAlign w:val="baseline"/>
              </w:rPr>
            </w:pPr>
            <w:r>
              <w:rPr>
                <w:rFonts w:ascii="Times New Roman" w:cs="Times New Roman"/>
                <w:color w:val="000000"/>
                <w:szCs w:val="24"/>
                <w:lang w:val="en-US" w:eastAsia="zh-CN"/>
              </w:rPr>
              <w:t>工艺流程和产排污环节</w:t>
            </w:r>
          </w:p>
        </w:tc>
        <w:tc>
          <w:tcPr>
            <w:tcW w:w="8329" w:type="dxa"/>
            <w:tcBorders>
              <w:top w:val="single" w:color="auto" w:sz="12" w:space="0"/>
              <w:left w:val="single" w:color="auto" w:sz="4" w:space="0"/>
              <w:right w:val="single" w:color="auto" w:sz="12" w:space="0"/>
            </w:tcBorders>
            <w:noWrap w:val="0"/>
            <w:vAlign w:val="top"/>
          </w:tcPr>
          <w:p>
            <w:pPr>
              <w:pStyle w:val="5"/>
              <w:keepNext/>
              <w:keepLines/>
              <w:pageBreakBefore w:val="0"/>
              <w:widowControl w:val="0"/>
              <w:suppressLineNumbers w:val="0"/>
              <w:kinsoku/>
              <w:wordWrap/>
              <w:overflowPunct/>
              <w:topLinePunct w:val="0"/>
              <w:autoSpaceDE w:val="0"/>
              <w:autoSpaceDN w:val="0"/>
              <w:bidi w:val="0"/>
              <w:adjustRightInd w:val="0"/>
              <w:snapToGrid w:val="0"/>
              <w:spacing w:before="157" w:beforeLines="50" w:beforeAutospacing="0" w:after="0" w:afterAutospacing="0"/>
              <w:ind w:left="0" w:right="0"/>
              <w:textAlignment w:val="auto"/>
              <w:rPr>
                <w:rFonts w:cs="Times New Roman"/>
              </w:rPr>
            </w:pPr>
            <w:r>
              <w:rPr>
                <w:rFonts w:cs="Times New Roman"/>
              </w:rPr>
              <w:t>1</w:t>
            </w:r>
            <w:r>
              <w:rPr>
                <w:rFonts w:hint="eastAsia" w:cs="Times New Roman"/>
              </w:rPr>
              <w:t>、施工期工艺流程</w:t>
            </w:r>
          </w:p>
          <w:p>
            <w:pPr>
              <w:keepNext w:val="0"/>
              <w:keepLines w:val="0"/>
              <w:suppressLineNumbers w:val="0"/>
              <w:bidi w:val="0"/>
              <w:spacing w:before="0" w:beforeAutospacing="0" w:after="0" w:afterAutospacing="0"/>
              <w:ind w:left="0" w:right="0"/>
              <w:rPr>
                <w:rFonts w:hint="eastAsia" w:cs="Times New Roman"/>
                <w:lang w:val="en-US" w:eastAsia="zh-CN"/>
              </w:rPr>
            </w:pPr>
            <w:r>
              <w:rPr>
                <w:rFonts w:hint="eastAsia" w:cs="Times New Roman"/>
                <w:lang w:val="en-US" w:eastAsia="zh-CN"/>
              </w:rPr>
              <w:t>本项目医疗废物暂存间采用设计好</w:t>
            </w:r>
            <w:r>
              <w:rPr>
                <w:rFonts w:hint="eastAsia" w:ascii="Times New Roman" w:hAnsi="Times New Roman" w:eastAsia="宋体" w:cs="Times New Roman"/>
                <w:color w:val="auto"/>
                <w:kern w:val="2"/>
                <w:lang w:val="en-US" w:eastAsia="zh-CN"/>
              </w:rPr>
              <w:t>轻钢柜体</w:t>
            </w:r>
            <w:r>
              <w:rPr>
                <w:rFonts w:hint="eastAsia" w:cs="Times New Roman"/>
                <w:color w:val="auto"/>
                <w:kern w:val="2"/>
                <w:lang w:val="en-US" w:eastAsia="zh-CN"/>
              </w:rPr>
              <w:t>，</w:t>
            </w:r>
            <w:r>
              <w:rPr>
                <w:rFonts w:hint="eastAsia"/>
                <w:color w:val="000000"/>
                <w:lang w:val="en-US" w:eastAsia="zh-CN"/>
              </w:rPr>
              <w:t>施工期工艺主要对</w:t>
            </w:r>
            <w:r>
              <w:rPr>
                <w:rFonts w:hint="eastAsia" w:cs="Times New Roman"/>
                <w:lang w:val="en-US" w:eastAsia="zh-CN"/>
              </w:rPr>
              <w:t>医疗废物</w:t>
            </w:r>
            <w:r>
              <w:rPr>
                <w:rFonts w:hint="eastAsia"/>
                <w:color w:val="000000"/>
                <w:lang w:val="en-US" w:eastAsia="zh-CN"/>
              </w:rPr>
              <w:t>暂存间内部进行设备安装，地面防渗，设置分区、导流槽等，动用土方量较少，</w:t>
            </w:r>
            <w:r>
              <w:rPr>
                <w:rFonts w:hint="eastAsia" w:cs="Times New Roman"/>
                <w:lang w:val="en-US" w:eastAsia="zh-CN"/>
              </w:rPr>
              <w:t>污染种类包括施工作业活动产生扬尘、尾气和噪声，施工期废水及固废，施工人员生活污水和生活垃圾。本项目施工期产污工艺流程图见图2-2。</w:t>
            </w:r>
          </w:p>
          <w:p>
            <w:pPr>
              <w:keepNext w:val="0"/>
              <w:keepLines w:val="0"/>
              <w:suppressLineNumbers w:val="0"/>
              <w:bidi w:val="0"/>
              <w:spacing w:before="0" w:beforeAutospacing="0" w:after="0" w:afterAutospacing="0"/>
              <w:ind w:left="0" w:leftChars="0" w:right="0" w:firstLine="0" w:firstLineChars="0"/>
              <w:rPr>
                <w:rFonts w:hint="eastAsia" w:cs="Times New Roman"/>
                <w:lang w:val="en-US" w:eastAsia="zh-CN"/>
              </w:rPr>
            </w:pPr>
            <w:r>
              <w:drawing>
                <wp:inline distT="0" distB="0" distL="114300" distR="114300">
                  <wp:extent cx="4924425" cy="1133475"/>
                  <wp:effectExtent l="0" t="0" r="9525" b="9525"/>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15"/>
                          <a:stretch>
                            <a:fillRect/>
                          </a:stretch>
                        </pic:blipFill>
                        <pic:spPr>
                          <a:xfrm>
                            <a:off x="0" y="0"/>
                            <a:ext cx="4924425" cy="1133475"/>
                          </a:xfrm>
                          <a:prstGeom prst="rect">
                            <a:avLst/>
                          </a:prstGeom>
                          <a:noFill/>
                          <a:ln>
                            <a:noFill/>
                          </a:ln>
                        </pic:spPr>
                      </pic:pic>
                    </a:graphicData>
                  </a:graphic>
                </wp:inline>
              </w:drawing>
            </w:r>
          </w:p>
          <w:p>
            <w:pPr>
              <w:pStyle w:val="9"/>
              <w:suppressLineNumbers w:val="0"/>
              <w:bidi w:val="0"/>
              <w:spacing w:before="0" w:beforeAutospacing="0" w:after="0" w:afterAutospacing="0"/>
              <w:ind w:left="0" w:right="0"/>
              <w:rPr>
                <w:rFonts w:ascii="Times New Roman" w:hAnsi="Times New Roman" w:eastAsia="宋体" w:cs="Times New Roman"/>
                <w:b/>
                <w:bCs/>
                <w:color w:val="000000"/>
              </w:rPr>
            </w:pPr>
            <w:r>
              <w:rPr>
                <w:rFonts w:hint="eastAsia" w:ascii="Times New Roman" w:hAnsi="Times New Roman" w:eastAsia="宋体" w:cs="Times New Roman"/>
                <w:b/>
                <w:bCs/>
                <w:color w:val="000000"/>
              </w:rPr>
              <w:t>图</w:t>
            </w:r>
            <w:r>
              <w:rPr>
                <w:rFonts w:hint="eastAsia" w:cs="Times New Roman"/>
                <w:b/>
                <w:bCs/>
                <w:color w:val="000000"/>
                <w:lang w:val="en-US" w:eastAsia="zh-CN"/>
              </w:rPr>
              <w:t>2-2</w:t>
            </w:r>
            <w:r>
              <w:rPr>
                <w:rFonts w:hint="eastAsia" w:ascii="Times New Roman" w:hAnsi="Times New Roman" w:eastAsia="宋体" w:cs="Times New Roman"/>
                <w:b/>
                <w:bCs/>
                <w:color w:val="000000"/>
                <w:lang w:val="en-US" w:eastAsia="zh-CN"/>
              </w:rPr>
              <w:t xml:space="preserve">  </w:t>
            </w:r>
            <w:r>
              <w:rPr>
                <w:rFonts w:hint="eastAsia" w:ascii="Times New Roman" w:hAnsi="Times New Roman" w:eastAsia="宋体" w:cs="Times New Roman"/>
                <w:b/>
                <w:bCs/>
                <w:color w:val="000000"/>
              </w:rPr>
              <w:t>施工期工艺流程及产污节点图</w:t>
            </w:r>
          </w:p>
          <w:p>
            <w:pPr>
              <w:pStyle w:val="5"/>
              <w:keepNext/>
              <w:keepLines/>
              <w:pageBreakBefore w:val="0"/>
              <w:widowControl w:val="0"/>
              <w:suppressLineNumbers w:val="0"/>
              <w:kinsoku/>
              <w:wordWrap/>
              <w:overflowPunct/>
              <w:topLinePunct w:val="0"/>
              <w:autoSpaceDE w:val="0"/>
              <w:autoSpaceDN w:val="0"/>
              <w:bidi w:val="0"/>
              <w:adjustRightInd w:val="0"/>
              <w:snapToGrid w:val="0"/>
              <w:spacing w:before="157" w:beforeLines="50" w:beforeAutospacing="0" w:after="0" w:afterAutospacing="0"/>
              <w:ind w:left="0" w:right="0"/>
              <w:textAlignment w:val="auto"/>
              <w:rPr>
                <w:rFonts w:hint="eastAsia" w:cs="Times New Roman"/>
                <w:lang w:val="en-US" w:eastAsia="zh-CN"/>
              </w:rPr>
            </w:pPr>
            <w:r>
              <w:rPr>
                <w:rFonts w:hint="eastAsia" w:cs="Times New Roman"/>
                <w:lang w:val="en-US" w:eastAsia="zh-CN"/>
              </w:rPr>
              <w:t>产排污环节：</w:t>
            </w:r>
          </w:p>
          <w:p>
            <w:pPr>
              <w:keepNext w:val="0"/>
              <w:keepLines w:val="0"/>
              <w:suppressLineNumbers w:val="0"/>
              <w:bidi w:val="0"/>
              <w:spacing w:before="0" w:beforeAutospacing="0" w:after="0" w:afterAutospacing="0"/>
              <w:ind w:left="0" w:right="0"/>
              <w:rPr>
                <w:rFonts w:hint="eastAsia"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废气：建筑施工期</w:t>
            </w:r>
            <w:r>
              <w:rPr>
                <w:rFonts w:hint="eastAsia" w:cs="Times New Roman"/>
                <w:color w:val="000000"/>
                <w:lang w:val="en-US" w:eastAsia="zh-CN"/>
              </w:rPr>
              <w:t>基础工程、地面平整</w:t>
            </w:r>
            <w:r>
              <w:rPr>
                <w:rFonts w:hint="eastAsia" w:cs="Times New Roman"/>
                <w:lang w:val="en-US" w:eastAsia="zh-CN"/>
              </w:rPr>
              <w:t>等</w:t>
            </w:r>
            <w:r>
              <w:rPr>
                <w:rFonts w:hint="eastAsia" w:cs="Times New Roman"/>
              </w:rPr>
              <w:t>及设备安装过程</w:t>
            </w:r>
            <w:r>
              <w:rPr>
                <w:rFonts w:hint="eastAsia" w:cs="Times New Roman"/>
                <w:lang w:val="en-US" w:eastAsia="zh-CN"/>
              </w:rPr>
              <w:t>产生的</w:t>
            </w:r>
            <w:r>
              <w:rPr>
                <w:rFonts w:hint="eastAsia" w:cs="Times New Roman"/>
              </w:rPr>
              <w:t>少量粉尘以及运输车辆产生的尾气</w:t>
            </w:r>
            <w:r>
              <w:rPr>
                <w:rFonts w:hint="eastAsia" w:ascii="Times New Roman" w:hAnsi="Times New Roman" w:eastAsia="宋体" w:cs="Times New Roman"/>
                <w:color w:val="000000"/>
                <w:lang w:val="en-US" w:eastAsia="zh-CN"/>
              </w:rPr>
              <w:t>。</w:t>
            </w:r>
          </w:p>
          <w:p>
            <w:pPr>
              <w:keepNext w:val="0"/>
              <w:keepLines w:val="0"/>
              <w:suppressLineNumbers w:val="0"/>
              <w:bidi w:val="0"/>
              <w:spacing w:before="0" w:beforeAutospacing="0" w:after="0" w:afterAutospacing="0"/>
              <w:ind w:left="0" w:right="0"/>
              <w:rPr>
                <w:rFonts w:hint="eastAsia"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废水：主要为建设过程施工人员产生的生活污水，主要污染因子为CODCr、 BOD</w:t>
            </w:r>
            <w:r>
              <w:rPr>
                <w:rFonts w:hint="eastAsia" w:ascii="Times New Roman" w:hAnsi="Times New Roman" w:eastAsia="宋体" w:cs="Times New Roman"/>
                <w:color w:val="000000"/>
                <w:vertAlign w:val="subscript"/>
                <w:lang w:val="en-US" w:eastAsia="zh-CN"/>
              </w:rPr>
              <w:t>5</w:t>
            </w:r>
            <w:r>
              <w:rPr>
                <w:rFonts w:hint="eastAsia" w:ascii="Times New Roman" w:hAnsi="Times New Roman" w:eastAsia="宋体" w:cs="Times New Roman"/>
                <w:color w:val="000000"/>
                <w:lang w:val="en-US" w:eastAsia="zh-CN"/>
              </w:rPr>
              <w:t>、SS和氨氮</w:t>
            </w:r>
            <w:r>
              <w:rPr>
                <w:rFonts w:hint="eastAsia" w:cs="Times New Roman"/>
                <w:color w:val="000000"/>
                <w:lang w:val="en-US" w:eastAsia="zh-CN"/>
              </w:rPr>
              <w:t>；</w:t>
            </w:r>
            <w:r>
              <w:rPr>
                <w:rFonts w:ascii="Times New Roman" w:hAnsi="Times New Roman"/>
                <w:color w:val="auto"/>
                <w:sz w:val="24"/>
                <w:lang w:bidi="ar"/>
              </w:rPr>
              <w:t>少量设备冲洗废水。</w:t>
            </w:r>
          </w:p>
          <w:p>
            <w:pPr>
              <w:keepNext w:val="0"/>
              <w:keepLines w:val="0"/>
              <w:suppressLineNumbers w:val="0"/>
              <w:bidi w:val="0"/>
              <w:spacing w:before="0" w:beforeAutospacing="0" w:after="0" w:afterAutospacing="0"/>
              <w:ind w:left="0" w:right="0"/>
              <w:rPr>
                <w:rFonts w:hint="eastAsia"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噪声：建筑施工过程机械运转产生的噪声。</w:t>
            </w:r>
          </w:p>
          <w:p>
            <w:pPr>
              <w:keepNext w:val="0"/>
              <w:keepLines w:val="0"/>
              <w:suppressLineNumbers w:val="0"/>
              <w:bidi w:val="0"/>
              <w:spacing w:before="0" w:beforeAutospacing="0" w:after="0" w:afterAutospacing="0"/>
              <w:ind w:left="0" w:right="0"/>
              <w:rPr>
                <w:rFonts w:hint="eastAsia" w:cs="Times New Roman"/>
              </w:rPr>
            </w:pPr>
            <w:r>
              <w:rPr>
                <w:rFonts w:hint="eastAsia" w:ascii="Times New Roman" w:hAnsi="Times New Roman" w:eastAsia="宋体" w:cs="Times New Roman"/>
                <w:color w:val="000000"/>
                <w:lang w:val="en-US" w:eastAsia="zh-CN"/>
              </w:rPr>
              <w:t>固体废物：建筑施工过程中</w:t>
            </w:r>
            <w:r>
              <w:rPr>
                <w:rFonts w:hint="eastAsia" w:cs="Times New Roman"/>
                <w:lang w:val="en-US" w:eastAsia="zh-CN"/>
              </w:rPr>
              <w:t>产生的少量建筑垃圾、设备拆装产生的</w:t>
            </w:r>
            <w:r>
              <w:rPr>
                <w:rFonts w:hint="eastAsia" w:cs="Times New Roman"/>
                <w:color w:val="auto"/>
                <w:lang w:val="en-US" w:eastAsia="zh-CN"/>
              </w:rPr>
              <w:t>废包装材料</w:t>
            </w:r>
            <w:r>
              <w:rPr>
                <w:rFonts w:hint="eastAsia" w:cs="Times New Roman"/>
                <w:lang w:val="en-US" w:eastAsia="zh-CN"/>
              </w:rPr>
              <w:t>以及</w:t>
            </w:r>
            <w:r>
              <w:rPr>
                <w:rFonts w:cs="Times New Roman"/>
              </w:rPr>
              <w:t>施工人员产生的生活垃圾</w:t>
            </w:r>
            <w:r>
              <w:rPr>
                <w:rFonts w:hint="eastAsia" w:cs="Times New Roman"/>
                <w:lang w:eastAsia="zh-CN"/>
              </w:rPr>
              <w:t>。</w:t>
            </w:r>
          </w:p>
          <w:p>
            <w:pPr>
              <w:pStyle w:val="5"/>
              <w:suppressLineNumbers w:val="0"/>
              <w:bidi w:val="0"/>
              <w:spacing w:before="0" w:beforeAutospacing="0" w:after="0" w:afterAutospacing="0"/>
              <w:ind w:left="0" w:right="0"/>
              <w:rPr>
                <w:rFonts w:cs="Times New Roman"/>
              </w:rPr>
            </w:pPr>
            <w:r>
              <w:rPr>
                <w:rFonts w:hint="eastAsia" w:cs="Times New Roman"/>
              </w:rPr>
              <w:t>2</w:t>
            </w:r>
            <w:r>
              <w:rPr>
                <w:rFonts w:cs="Times New Roman"/>
              </w:rPr>
              <w:t>、运营期工艺流程</w:t>
            </w:r>
          </w:p>
          <w:p>
            <w:pPr>
              <w:keepNext w:val="0"/>
              <w:keepLines w:val="0"/>
              <w:widowControl/>
              <w:suppressLineNumbers w:val="0"/>
              <w:spacing w:before="0" w:beforeAutospacing="0" w:after="0" w:afterAutospacing="0"/>
              <w:ind w:left="0" w:right="0"/>
              <w:jc w:val="left"/>
            </w:pPr>
            <w:r>
              <w:rPr>
                <w:rFonts w:hint="eastAsia" w:ascii="宋体" w:hAnsi="宋体" w:eastAsia="宋体" w:cs="宋体"/>
                <w:sz w:val="24"/>
                <w:szCs w:val="24"/>
                <w:lang w:eastAsia="zh-CN"/>
              </w:rPr>
              <w:t>企业</w:t>
            </w:r>
            <w:r>
              <w:rPr>
                <w:rFonts w:ascii="宋体" w:hAnsi="宋体" w:eastAsia="宋体" w:cs="宋体"/>
                <w:sz w:val="24"/>
                <w:szCs w:val="24"/>
              </w:rPr>
              <w:t>收集的医疗废物</w:t>
            </w:r>
            <w:r>
              <w:rPr>
                <w:rFonts w:hint="eastAsia" w:ascii="宋体" w:hAnsi="宋体" w:eastAsia="宋体" w:cs="宋体"/>
                <w:sz w:val="24"/>
                <w:szCs w:val="24"/>
                <w:lang w:eastAsia="zh-CN"/>
              </w:rPr>
              <w:t>和其他危险废物</w:t>
            </w:r>
            <w:r>
              <w:rPr>
                <w:rFonts w:ascii="宋体" w:hAnsi="宋体" w:eastAsia="宋体" w:cs="宋体"/>
                <w:sz w:val="24"/>
                <w:szCs w:val="24"/>
              </w:rPr>
              <w:t>采用防渗漏、防遗撒、防锐器穿透的专用包装物或者密闭的容器，按照本单位确定的内部医疗废物运送时间、路线，将医疗废物</w:t>
            </w:r>
            <w:r>
              <w:rPr>
                <w:rFonts w:hint="eastAsia" w:ascii="宋体" w:hAnsi="宋体" w:eastAsia="宋体" w:cs="宋体"/>
                <w:sz w:val="24"/>
                <w:szCs w:val="24"/>
                <w:lang w:eastAsia="zh-CN"/>
              </w:rPr>
              <w:t>和其他危险废物</w:t>
            </w:r>
            <w:r>
              <w:rPr>
                <w:rFonts w:ascii="宋体" w:hAnsi="宋体" w:eastAsia="宋体" w:cs="宋体"/>
                <w:sz w:val="24"/>
                <w:szCs w:val="24"/>
              </w:rPr>
              <w:t>收集、运送至</w:t>
            </w:r>
            <w:r>
              <w:rPr>
                <w:rFonts w:hint="eastAsia" w:ascii="宋体" w:hAnsi="宋体" w:cs="宋体"/>
                <w:sz w:val="24"/>
                <w:szCs w:val="24"/>
                <w:lang w:eastAsia="zh-CN"/>
              </w:rPr>
              <w:t>医疗废物暂存间</w:t>
            </w:r>
            <w:r>
              <w:rPr>
                <w:rFonts w:hint="eastAsia" w:ascii="宋体" w:hAnsi="宋体" w:eastAsia="宋体" w:cs="宋体"/>
                <w:sz w:val="24"/>
                <w:szCs w:val="24"/>
                <w:lang w:eastAsia="zh-CN"/>
              </w:rPr>
              <w:t>暂存</w:t>
            </w:r>
            <w:r>
              <w:rPr>
                <w:rFonts w:ascii="宋体" w:hAnsi="宋体" w:eastAsia="宋体" w:cs="宋体"/>
                <w:sz w:val="24"/>
                <w:szCs w:val="24"/>
              </w:rPr>
              <w:t>，定期</w:t>
            </w:r>
            <w:r>
              <w:rPr>
                <w:rFonts w:hint="eastAsia" w:ascii="宋体" w:hAnsi="宋体" w:eastAsia="宋体" w:cs="宋体"/>
                <w:sz w:val="24"/>
                <w:szCs w:val="24"/>
                <w:lang w:eastAsia="zh-CN"/>
              </w:rPr>
              <w:t>交</w:t>
            </w:r>
            <w:r>
              <w:rPr>
                <w:rFonts w:ascii="宋体" w:hAnsi="宋体" w:eastAsia="宋体" w:cs="宋体"/>
                <w:sz w:val="24"/>
                <w:szCs w:val="24"/>
              </w:rPr>
              <w:t>有资质的单位处理</w:t>
            </w:r>
            <w:r>
              <w:rPr>
                <w:rFonts w:hint="eastAsia" w:ascii="宋体" w:hAnsi="宋体" w:eastAsia="宋体" w:cs="宋体"/>
                <w:sz w:val="24"/>
                <w:szCs w:val="24"/>
                <w:lang w:eastAsia="zh-CN"/>
              </w:rPr>
              <w:t>，</w:t>
            </w:r>
            <w:r>
              <w:rPr>
                <w:rFonts w:ascii="宋体" w:hAnsi="宋体" w:eastAsia="宋体" w:cs="宋体"/>
                <w:sz w:val="24"/>
                <w:szCs w:val="24"/>
              </w:rPr>
              <w:t>医疗废物转移必须按照《危险废物转移管理办法》的规定，执行危险废物转移联单制度</w:t>
            </w:r>
            <w:r>
              <w:rPr>
                <w:rFonts w:hint="eastAsia" w:ascii="宋体" w:hAnsi="宋体" w:eastAsia="宋体" w:cs="宋体"/>
                <w:sz w:val="24"/>
                <w:szCs w:val="24"/>
                <w:lang w:eastAsia="zh-CN"/>
              </w:rPr>
              <w:t>，</w:t>
            </w:r>
            <w:r>
              <w:rPr>
                <w:rFonts w:ascii="宋体" w:hAnsi="宋体" w:eastAsia="宋体" w:cs="宋体"/>
                <w:sz w:val="24"/>
                <w:szCs w:val="24"/>
              </w:rPr>
              <w:t>应对交接的医疗废物如实计量，严格按照有关规定进行交接登记，并将记录保存备查。转移医疗废物时按《登记表》要求逐项填写相应内容，交付有资质单位处理核实无误后双方签字确认。并依据《登记表》每月汇总医疗废物数量填写《医废联单》，一并交付有资质单位处理。医疗废物转移出口位于项目南侧，远离小区进出口，且转运时间为晚上，可满足人污分流要求。</w:t>
            </w:r>
          </w:p>
          <w:p>
            <w:pPr>
              <w:keepNext w:val="0"/>
              <w:keepLines w:val="0"/>
              <w:widowControl/>
              <w:suppressLineNumbers w:val="0"/>
              <w:spacing w:before="0" w:beforeAutospacing="0" w:after="0" w:afterAutospacing="0"/>
              <w:ind w:left="0" w:right="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 xml:space="preserve">项目运营期生产工艺流程及产污环节图见下图。 </w:t>
            </w:r>
          </w:p>
          <w:p>
            <w:pPr>
              <w:keepNext w:val="0"/>
              <w:keepLines w:val="0"/>
              <w:widowControl/>
              <w:suppressLineNumbers w:val="0"/>
              <w:spacing w:before="0" w:beforeAutospacing="0" w:after="0" w:afterAutospacing="0"/>
              <w:ind w:left="0" w:leftChars="0" w:right="0" w:firstLine="0" w:firstLineChars="0"/>
              <w:jc w:val="center"/>
              <w:rPr>
                <w:rFonts w:hint="eastAsia" w:ascii="宋体" w:hAnsi="宋体" w:eastAsia="宋体" w:cs="宋体"/>
                <w:color w:val="000000"/>
                <w:kern w:val="0"/>
                <w:sz w:val="24"/>
                <w:szCs w:val="24"/>
                <w:lang w:val="en-US" w:eastAsia="zh-CN" w:bidi="ar"/>
              </w:rPr>
            </w:pPr>
            <w:r>
              <w:drawing>
                <wp:inline distT="0" distB="0" distL="114300" distR="114300">
                  <wp:extent cx="4448175" cy="724535"/>
                  <wp:effectExtent l="0" t="0" r="9525" b="18415"/>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16"/>
                          <a:stretch>
                            <a:fillRect/>
                          </a:stretch>
                        </pic:blipFill>
                        <pic:spPr>
                          <a:xfrm>
                            <a:off x="0" y="0"/>
                            <a:ext cx="4448175" cy="724535"/>
                          </a:xfrm>
                          <a:prstGeom prst="rect">
                            <a:avLst/>
                          </a:prstGeom>
                          <a:noFill/>
                          <a:ln>
                            <a:noFill/>
                          </a:ln>
                        </pic:spPr>
                      </pic:pic>
                    </a:graphicData>
                  </a:graphic>
                </wp:inline>
              </w:drawing>
            </w:r>
          </w:p>
          <w:p>
            <w:pPr>
              <w:pStyle w:val="9"/>
              <w:suppressLineNumbers w:val="0"/>
              <w:bidi w:val="0"/>
              <w:spacing w:before="0" w:beforeAutospacing="0" w:after="0" w:afterAutospacing="0"/>
              <w:ind w:left="0" w:right="0"/>
              <w:rPr>
                <w:rFonts w:ascii="Times New Roman" w:hAnsi="Times New Roman" w:eastAsia="宋体" w:cs="Times New Roman"/>
                <w:b/>
                <w:bCs/>
                <w:color w:val="000000"/>
              </w:rPr>
            </w:pPr>
            <w:r>
              <w:rPr>
                <w:rFonts w:hint="eastAsia" w:ascii="Times New Roman" w:hAnsi="Times New Roman" w:eastAsia="宋体" w:cs="Times New Roman"/>
                <w:b/>
                <w:bCs/>
                <w:color w:val="000000"/>
              </w:rPr>
              <w:t>图</w:t>
            </w:r>
            <w:r>
              <w:rPr>
                <w:rFonts w:hint="eastAsia" w:cs="Times New Roman"/>
                <w:b/>
                <w:bCs/>
                <w:color w:val="000000"/>
                <w:lang w:val="en-US" w:eastAsia="zh-CN"/>
              </w:rPr>
              <w:t>2-3</w:t>
            </w:r>
            <w:r>
              <w:rPr>
                <w:rFonts w:hint="eastAsia" w:ascii="Times New Roman" w:hAnsi="Times New Roman" w:eastAsia="宋体" w:cs="Times New Roman"/>
                <w:b/>
                <w:bCs/>
                <w:color w:val="000000"/>
                <w:lang w:val="en-US" w:eastAsia="zh-CN"/>
              </w:rPr>
              <w:t xml:space="preserve">  </w:t>
            </w:r>
            <w:r>
              <w:rPr>
                <w:rFonts w:hint="eastAsia" w:cs="Times New Roman"/>
                <w:b/>
                <w:bCs/>
                <w:color w:val="000000"/>
                <w:lang w:val="en-US" w:eastAsia="zh-CN"/>
              </w:rPr>
              <w:t>项目</w:t>
            </w:r>
            <w:r>
              <w:rPr>
                <w:rFonts w:hint="eastAsia" w:cs="Times New Roman"/>
                <w:b/>
                <w:bCs/>
                <w:color w:val="000000"/>
                <w:lang w:eastAsia="zh-CN"/>
              </w:rPr>
              <w:t>营运期</w:t>
            </w:r>
            <w:r>
              <w:rPr>
                <w:rFonts w:hint="eastAsia" w:ascii="Times New Roman" w:hAnsi="Times New Roman" w:eastAsia="宋体" w:cs="Times New Roman"/>
                <w:b/>
                <w:bCs/>
                <w:color w:val="000000"/>
              </w:rPr>
              <w:t>工艺流程及产污节点图</w:t>
            </w:r>
          </w:p>
          <w:p>
            <w:pPr>
              <w:pStyle w:val="9"/>
              <w:suppressLineNumbers w:val="0"/>
              <w:bidi w:val="0"/>
              <w:spacing w:before="0" w:beforeAutospacing="0" w:after="0" w:afterAutospacing="0"/>
              <w:ind w:left="0" w:right="0"/>
              <w:rPr>
                <w:rFonts w:hint="eastAsia" w:cs="Times New Roman"/>
                <w:lang w:eastAsia="zh-CN"/>
              </w:rPr>
            </w:pPr>
            <w:r>
              <w:rPr>
                <w:rFonts w:hint="eastAsia" w:cs="Times New Roman"/>
              </w:rPr>
              <w:t>表</w:t>
            </w:r>
            <w:r>
              <w:rPr>
                <w:rFonts w:hint="eastAsia" w:cs="Times New Roman"/>
                <w:lang w:val="en-US" w:eastAsia="zh-CN"/>
              </w:rPr>
              <w:t>2-7</w:t>
            </w:r>
            <w:r>
              <w:rPr>
                <w:rFonts w:hint="eastAsia" w:cs="Times New Roman"/>
              </w:rPr>
              <w:t xml:space="preserve">  评价因子筛选结果一览表</w:t>
            </w:r>
          </w:p>
          <w:tbl>
            <w:tblPr>
              <w:tblStyle w:val="34"/>
              <w:tblW w:w="743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94"/>
              <w:gridCol w:w="1365"/>
              <w:gridCol w:w="1678"/>
              <w:gridCol w:w="1185"/>
              <w:gridCol w:w="21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094" w:type="dxa"/>
                  <w:tcBorders>
                    <w:top w:val="single" w:color="000000" w:sz="4" w:space="0"/>
                    <w:left w:val="single" w:color="000000" w:sz="4" w:space="0"/>
                    <w:bottom w:val="single" w:color="000000" w:sz="4" w:space="0"/>
                    <w:right w:val="single" w:color="000000" w:sz="4" w:space="0"/>
                  </w:tcBorders>
                  <w:noWrap w:val="0"/>
                  <w:vAlign w:val="center"/>
                </w:tcPr>
                <w:p>
                  <w:pPr>
                    <w:pStyle w:val="226"/>
                    <w:keepNext w:val="0"/>
                    <w:keepLines w:val="0"/>
                    <w:suppressLineNumbers w:val="0"/>
                    <w:bidi w:val="0"/>
                    <w:spacing w:before="0" w:beforeAutospacing="0" w:after="0" w:afterAutospacing="0"/>
                    <w:ind w:left="0" w:right="0"/>
                    <w:rPr>
                      <w:rFonts w:hint="eastAsia"/>
                    </w:rPr>
                  </w:pPr>
                  <w:r>
                    <w:rPr>
                      <w:rFonts w:hint="eastAsia"/>
                      <w:lang w:val="en-US" w:eastAsia="zh-CN"/>
                    </w:rPr>
                    <w:t>项目</w:t>
                  </w:r>
                </w:p>
              </w:tc>
              <w:tc>
                <w:tcPr>
                  <w:tcW w:w="1365" w:type="dxa"/>
                  <w:tcBorders>
                    <w:top w:val="single" w:color="000000" w:sz="4" w:space="0"/>
                    <w:left w:val="single" w:color="000000" w:sz="4" w:space="0"/>
                    <w:bottom w:val="single" w:color="000000" w:sz="4" w:space="0"/>
                    <w:right w:val="single" w:color="000000" w:sz="4" w:space="0"/>
                  </w:tcBorders>
                  <w:noWrap w:val="0"/>
                  <w:vAlign w:val="center"/>
                </w:tcPr>
                <w:p>
                  <w:pPr>
                    <w:pStyle w:val="226"/>
                    <w:keepNext w:val="0"/>
                    <w:keepLines w:val="0"/>
                    <w:suppressLineNumbers w:val="0"/>
                    <w:bidi w:val="0"/>
                    <w:spacing w:before="0" w:beforeAutospacing="0" w:after="0" w:afterAutospacing="0"/>
                    <w:ind w:left="0" w:right="0"/>
                    <w:rPr>
                      <w:rFonts w:hint="eastAsia"/>
                    </w:rPr>
                  </w:pPr>
                  <w:r>
                    <w:rPr>
                      <w:rFonts w:hint="eastAsia"/>
                      <w:lang w:val="en-US" w:eastAsia="zh-CN"/>
                    </w:rPr>
                    <w:t>产生环节</w:t>
                  </w:r>
                </w:p>
              </w:tc>
              <w:tc>
                <w:tcPr>
                  <w:tcW w:w="1678" w:type="dxa"/>
                  <w:tcBorders>
                    <w:top w:val="single" w:color="000000" w:sz="4" w:space="0"/>
                    <w:left w:val="single" w:color="000000" w:sz="4" w:space="0"/>
                    <w:bottom w:val="single" w:color="000000" w:sz="4" w:space="0"/>
                    <w:right w:val="single" w:color="000000" w:sz="4" w:space="0"/>
                  </w:tcBorders>
                  <w:noWrap w:val="0"/>
                  <w:vAlign w:val="center"/>
                </w:tcPr>
                <w:p>
                  <w:pPr>
                    <w:pStyle w:val="226"/>
                    <w:keepNext w:val="0"/>
                    <w:keepLines w:val="0"/>
                    <w:suppressLineNumbers w:val="0"/>
                    <w:bidi w:val="0"/>
                    <w:spacing w:before="0" w:beforeAutospacing="0" w:after="0" w:afterAutospacing="0"/>
                    <w:ind w:left="0" w:right="0"/>
                    <w:rPr>
                      <w:rFonts w:hint="eastAsia"/>
                    </w:rPr>
                  </w:pPr>
                  <w:r>
                    <w:rPr>
                      <w:rFonts w:hint="eastAsia"/>
                      <w:lang w:val="en-US" w:eastAsia="zh-CN"/>
                    </w:rPr>
                    <w:t>主要污染物</w:t>
                  </w:r>
                </w:p>
              </w:tc>
              <w:tc>
                <w:tcPr>
                  <w:tcW w:w="1185" w:type="dxa"/>
                  <w:tcBorders>
                    <w:top w:val="single" w:color="000000" w:sz="4" w:space="0"/>
                    <w:left w:val="single" w:color="000000" w:sz="4" w:space="0"/>
                    <w:bottom w:val="single" w:color="000000" w:sz="4" w:space="0"/>
                    <w:right w:val="single" w:color="000000" w:sz="4" w:space="0"/>
                  </w:tcBorders>
                  <w:noWrap w:val="0"/>
                  <w:vAlign w:val="center"/>
                </w:tcPr>
                <w:p>
                  <w:pPr>
                    <w:pStyle w:val="226"/>
                    <w:keepNext w:val="0"/>
                    <w:keepLines w:val="0"/>
                    <w:suppressLineNumbers w:val="0"/>
                    <w:bidi w:val="0"/>
                    <w:spacing w:before="0" w:beforeAutospacing="0" w:after="0" w:afterAutospacing="0"/>
                    <w:ind w:left="0" w:right="0"/>
                    <w:rPr>
                      <w:rFonts w:hint="eastAsia"/>
                    </w:rPr>
                  </w:pPr>
                  <w:r>
                    <w:rPr>
                      <w:rFonts w:hint="eastAsia"/>
                      <w:lang w:val="en-US" w:eastAsia="zh-CN"/>
                    </w:rPr>
                    <w:t>产排特点</w:t>
                  </w:r>
                </w:p>
              </w:tc>
              <w:tc>
                <w:tcPr>
                  <w:tcW w:w="2110" w:type="dxa"/>
                  <w:tcBorders>
                    <w:top w:val="single" w:color="000000" w:sz="4" w:space="0"/>
                    <w:left w:val="single" w:color="000000" w:sz="4" w:space="0"/>
                    <w:bottom w:val="single" w:color="000000" w:sz="4" w:space="0"/>
                    <w:right w:val="single" w:color="000000" w:sz="4" w:space="0"/>
                  </w:tcBorders>
                  <w:noWrap w:val="0"/>
                  <w:vAlign w:val="center"/>
                </w:tcPr>
                <w:p>
                  <w:pPr>
                    <w:pStyle w:val="226"/>
                    <w:keepNext w:val="0"/>
                    <w:keepLines w:val="0"/>
                    <w:suppressLineNumbers w:val="0"/>
                    <w:bidi w:val="0"/>
                    <w:spacing w:before="0" w:beforeAutospacing="0" w:after="0" w:afterAutospacing="0"/>
                    <w:ind w:left="0" w:right="0"/>
                    <w:rPr>
                      <w:rFonts w:hint="eastAsia"/>
                    </w:rPr>
                  </w:pPr>
                  <w:r>
                    <w:rPr>
                      <w:rFonts w:hint="eastAsia"/>
                      <w:lang w:val="en-US" w:eastAsia="zh-CN"/>
                    </w:rPr>
                    <w:t>处理及措施及去向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1094" w:type="dxa"/>
                  <w:tcBorders>
                    <w:top w:val="single" w:color="000000" w:sz="4" w:space="0"/>
                    <w:left w:val="single" w:color="000000" w:sz="4" w:space="0"/>
                    <w:bottom w:val="single" w:color="000000" w:sz="4" w:space="0"/>
                    <w:right w:val="single" w:color="000000" w:sz="4" w:space="0"/>
                  </w:tcBorders>
                  <w:noWrap w:val="0"/>
                  <w:vAlign w:val="center"/>
                </w:tcPr>
                <w:p>
                  <w:pPr>
                    <w:pStyle w:val="226"/>
                    <w:keepNext w:val="0"/>
                    <w:keepLines w:val="0"/>
                    <w:suppressLineNumbers w:val="0"/>
                    <w:bidi w:val="0"/>
                    <w:spacing w:before="0" w:beforeAutospacing="0" w:after="0" w:afterAutospacing="0"/>
                    <w:ind w:left="0" w:right="0"/>
                    <w:rPr>
                      <w:rFonts w:hint="eastAsia"/>
                      <w:color w:val="FF0000"/>
                    </w:rPr>
                  </w:pPr>
                  <w:r>
                    <w:rPr>
                      <w:rFonts w:hint="eastAsia"/>
                      <w:color w:val="FF0000"/>
                      <w:lang w:val="en-US" w:eastAsia="zh-CN"/>
                    </w:rPr>
                    <w:t>废气</w:t>
                  </w:r>
                </w:p>
              </w:tc>
              <w:tc>
                <w:tcPr>
                  <w:tcW w:w="1365" w:type="dxa"/>
                  <w:tcBorders>
                    <w:top w:val="single" w:color="000000" w:sz="4" w:space="0"/>
                    <w:left w:val="single" w:color="000000" w:sz="4" w:space="0"/>
                    <w:bottom w:val="single" w:color="000000" w:sz="4" w:space="0"/>
                    <w:right w:val="single" w:color="000000" w:sz="4" w:space="0"/>
                  </w:tcBorders>
                  <w:noWrap w:val="0"/>
                  <w:vAlign w:val="center"/>
                </w:tcPr>
                <w:p>
                  <w:pPr>
                    <w:pStyle w:val="226"/>
                    <w:keepNext w:val="0"/>
                    <w:keepLines w:val="0"/>
                    <w:suppressLineNumbers w:val="0"/>
                    <w:bidi w:val="0"/>
                    <w:spacing w:before="0" w:beforeAutospacing="0" w:after="0" w:afterAutospacing="0"/>
                    <w:ind w:left="0" w:right="0"/>
                    <w:rPr>
                      <w:rFonts w:hint="default" w:eastAsia="宋体"/>
                      <w:color w:val="FF0000"/>
                      <w:lang w:val="en-US" w:eastAsia="zh-CN"/>
                    </w:rPr>
                  </w:pPr>
                  <w:r>
                    <w:rPr>
                      <w:rFonts w:hint="eastAsia"/>
                      <w:color w:val="FF0000"/>
                      <w:lang w:val="en-US" w:eastAsia="zh-CN"/>
                    </w:rPr>
                    <w:t>异味</w:t>
                  </w:r>
                </w:p>
              </w:tc>
              <w:tc>
                <w:tcPr>
                  <w:tcW w:w="1678" w:type="dxa"/>
                  <w:tcBorders>
                    <w:top w:val="single" w:color="000000" w:sz="4" w:space="0"/>
                    <w:left w:val="single" w:color="000000" w:sz="4" w:space="0"/>
                    <w:bottom w:val="single" w:color="000000" w:sz="4" w:space="0"/>
                    <w:right w:val="single" w:color="000000" w:sz="4" w:space="0"/>
                  </w:tcBorders>
                  <w:noWrap w:val="0"/>
                  <w:vAlign w:val="center"/>
                </w:tcPr>
                <w:p>
                  <w:pPr>
                    <w:pStyle w:val="226"/>
                    <w:keepNext w:val="0"/>
                    <w:keepLines w:val="0"/>
                    <w:suppressLineNumbers w:val="0"/>
                    <w:bidi w:val="0"/>
                    <w:spacing w:before="0" w:beforeAutospacing="0" w:after="0" w:afterAutospacing="0"/>
                    <w:ind w:left="0" w:right="0"/>
                    <w:rPr>
                      <w:rFonts w:hint="eastAsia"/>
                      <w:color w:val="FF0000"/>
                    </w:rPr>
                  </w:pPr>
                  <w:r>
                    <w:rPr>
                      <w:rFonts w:hint="eastAsia"/>
                      <w:color w:val="FF0000"/>
                      <w:lang w:val="en-US" w:eastAsia="zh-CN"/>
                    </w:rPr>
                    <w:t>臭气浓度</w:t>
                  </w:r>
                </w:p>
              </w:tc>
              <w:tc>
                <w:tcPr>
                  <w:tcW w:w="1185" w:type="dxa"/>
                  <w:tcBorders>
                    <w:top w:val="single" w:color="000000" w:sz="4" w:space="0"/>
                    <w:left w:val="single" w:color="000000" w:sz="4" w:space="0"/>
                    <w:bottom w:val="single" w:color="000000" w:sz="4" w:space="0"/>
                    <w:right w:val="single" w:color="000000" w:sz="4" w:space="0"/>
                  </w:tcBorders>
                  <w:noWrap w:val="0"/>
                  <w:vAlign w:val="center"/>
                </w:tcPr>
                <w:p>
                  <w:pPr>
                    <w:pStyle w:val="226"/>
                    <w:keepNext w:val="0"/>
                    <w:keepLines w:val="0"/>
                    <w:suppressLineNumbers w:val="0"/>
                    <w:bidi w:val="0"/>
                    <w:spacing w:before="0" w:beforeAutospacing="0" w:after="0" w:afterAutospacing="0"/>
                    <w:ind w:left="0" w:right="0"/>
                    <w:rPr>
                      <w:rFonts w:hint="eastAsia"/>
                      <w:color w:val="FF0000"/>
                    </w:rPr>
                  </w:pPr>
                  <w:r>
                    <w:rPr>
                      <w:rFonts w:hint="eastAsia"/>
                      <w:color w:val="FF0000"/>
                      <w:lang w:val="en-US" w:eastAsia="zh-CN"/>
                    </w:rPr>
                    <w:t>间断产生</w:t>
                  </w:r>
                </w:p>
              </w:tc>
              <w:tc>
                <w:tcPr>
                  <w:tcW w:w="2110" w:type="dxa"/>
                  <w:tcBorders>
                    <w:top w:val="single" w:color="000000" w:sz="4" w:space="0"/>
                    <w:left w:val="single" w:color="000000" w:sz="4" w:space="0"/>
                    <w:bottom w:val="single" w:color="000000" w:sz="4" w:space="0"/>
                    <w:right w:val="single" w:color="000000" w:sz="4" w:space="0"/>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FF0000"/>
                      <w:kern w:val="2"/>
                    </w:rPr>
                  </w:pPr>
                  <w:r>
                    <w:rPr>
                      <w:rFonts w:hint="eastAsia" w:ascii="Times New Roman" w:hAnsi="Times New Roman" w:eastAsia="宋体" w:cs="Times New Roman"/>
                      <w:color w:val="FF0000"/>
                      <w:kern w:val="2"/>
                      <w:highlight w:val="none"/>
                      <w:lang w:val="en-US" w:eastAsia="zh-CN"/>
                    </w:rPr>
                    <w:t>通过</w:t>
                  </w:r>
                  <w:r>
                    <w:rPr>
                      <w:rFonts w:hint="eastAsia" w:cs="Times New Roman"/>
                      <w:color w:val="FF0000"/>
                      <w:kern w:val="2"/>
                      <w:highlight w:val="none"/>
                      <w:lang w:val="en-US" w:eastAsia="zh-CN"/>
                    </w:rPr>
                    <w:t>定期消毒和</w:t>
                  </w:r>
                  <w:r>
                    <w:rPr>
                      <w:rFonts w:hint="eastAsia" w:ascii="Times New Roman" w:hAnsi="Times New Roman" w:eastAsia="宋体" w:cs="Times New Roman"/>
                      <w:color w:val="FF0000"/>
                      <w:kern w:val="2"/>
                      <w:highlight w:val="none"/>
                      <w:lang w:val="en-US" w:eastAsia="zh-CN"/>
                    </w:rPr>
                    <w:t>安装排气扇来加强通风</w:t>
                  </w:r>
                  <w:r>
                    <w:rPr>
                      <w:rFonts w:hint="eastAsia" w:cs="Times New Roman"/>
                      <w:color w:val="FF0000"/>
                      <w:kern w:val="2"/>
                      <w:highlight w:val="none"/>
                      <w:lang w:val="en-US" w:eastAsia="zh-CN"/>
                    </w:rPr>
                    <w:t>处理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094" w:type="dxa"/>
                  <w:tcBorders>
                    <w:top w:val="single" w:color="000000" w:sz="4" w:space="0"/>
                    <w:left w:val="single" w:color="000000" w:sz="4" w:space="0"/>
                    <w:bottom w:val="single" w:color="000000" w:sz="4" w:space="0"/>
                    <w:right w:val="single" w:color="000000" w:sz="4" w:space="0"/>
                  </w:tcBorders>
                  <w:noWrap w:val="0"/>
                  <w:vAlign w:val="center"/>
                </w:tcPr>
                <w:p>
                  <w:pPr>
                    <w:pStyle w:val="226"/>
                    <w:keepNext w:val="0"/>
                    <w:keepLines w:val="0"/>
                    <w:suppressLineNumbers w:val="0"/>
                    <w:bidi w:val="0"/>
                    <w:spacing w:before="0" w:beforeAutospacing="0" w:after="0" w:afterAutospacing="0"/>
                    <w:ind w:left="0" w:right="0"/>
                    <w:rPr>
                      <w:rFonts w:hint="eastAsia"/>
                    </w:rPr>
                  </w:pPr>
                  <w:r>
                    <w:rPr>
                      <w:rFonts w:hint="eastAsia"/>
                      <w:lang w:val="en-US" w:eastAsia="zh-CN"/>
                    </w:rPr>
                    <w:t>废水</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26"/>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0"/>
                      <w:sz w:val="21"/>
                      <w:szCs w:val="24"/>
                      <w:lang w:val="en-US" w:eastAsia="zh-CN" w:bidi="ar-SA"/>
                    </w:rPr>
                  </w:pPr>
                  <w:r>
                    <w:rPr>
                      <w:rFonts w:hint="eastAsia"/>
                      <w:lang w:val="en-US" w:eastAsia="zh-CN"/>
                    </w:rPr>
                    <w:t>/</w:t>
                  </w:r>
                </w:p>
              </w:tc>
              <w:tc>
                <w:tcPr>
                  <w:tcW w:w="167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26"/>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0"/>
                      <w:sz w:val="21"/>
                      <w:szCs w:val="24"/>
                      <w:lang w:val="en-US" w:eastAsia="zh-CN" w:bidi="ar-SA"/>
                    </w:rPr>
                  </w:pPr>
                  <w:r>
                    <w:rPr>
                      <w:rFonts w:hint="eastAsia"/>
                      <w:lang w:val="en-US" w:eastAsia="zh-CN"/>
                    </w:rPr>
                    <w:t>/</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26"/>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auto"/>
                      <w:kern w:val="0"/>
                      <w:sz w:val="21"/>
                      <w:szCs w:val="24"/>
                      <w:lang w:val="en-US" w:eastAsia="zh-CN" w:bidi="ar-SA"/>
                    </w:rPr>
                  </w:pPr>
                  <w:r>
                    <w:rPr>
                      <w:rFonts w:hint="eastAsia"/>
                      <w:lang w:val="en-US" w:eastAsia="zh-CN"/>
                    </w:rPr>
                    <w:t>/</w:t>
                  </w:r>
                </w:p>
              </w:tc>
              <w:tc>
                <w:tcPr>
                  <w:tcW w:w="21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16"/>
                    <w:keepNext w:val="0"/>
                    <w:keepLines w:val="0"/>
                    <w:widowControl/>
                    <w:suppressLineNumbers w:val="0"/>
                    <w:bidi w:val="0"/>
                    <w:spacing w:before="0" w:beforeAutospacing="0" w:after="0" w:afterAutospacing="0"/>
                    <w:ind w:left="0" w:leftChars="0" w:right="0" w:rightChars="0"/>
                    <w:rPr>
                      <w:rFonts w:hint="eastAsia" w:ascii="Times New Roman" w:hAnsi="Times New Roman" w:eastAsia="宋体" w:cs="Times New Roman"/>
                      <w:color w:val="auto"/>
                      <w:kern w:val="0"/>
                      <w:sz w:val="21"/>
                      <w:szCs w:val="24"/>
                      <w:lang w:val="en-US" w:eastAsia="zh-CN" w:bidi="ar-SA"/>
                    </w:rPr>
                  </w:pPr>
                  <w:r>
                    <w:rPr>
                      <w:rFonts w:hint="eastAsia"/>
                      <w:kern w:val="2"/>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jc w:val="center"/>
              </w:trPr>
              <w:tc>
                <w:tcPr>
                  <w:tcW w:w="1094" w:type="dxa"/>
                  <w:tcBorders>
                    <w:top w:val="single" w:color="000000" w:sz="4" w:space="0"/>
                    <w:left w:val="single" w:color="000000" w:sz="4" w:space="0"/>
                    <w:bottom w:val="single" w:color="000000" w:sz="4" w:space="0"/>
                    <w:right w:val="single" w:color="000000" w:sz="4" w:space="0"/>
                  </w:tcBorders>
                  <w:noWrap w:val="0"/>
                  <w:vAlign w:val="center"/>
                </w:tcPr>
                <w:p>
                  <w:pPr>
                    <w:pStyle w:val="226"/>
                    <w:keepNext w:val="0"/>
                    <w:keepLines w:val="0"/>
                    <w:suppressLineNumbers w:val="0"/>
                    <w:bidi w:val="0"/>
                    <w:spacing w:before="0" w:beforeAutospacing="0" w:after="0" w:afterAutospacing="0"/>
                    <w:ind w:left="0" w:right="0"/>
                    <w:rPr>
                      <w:rFonts w:hint="eastAsia"/>
                    </w:rPr>
                  </w:pPr>
                  <w:r>
                    <w:rPr>
                      <w:rFonts w:hint="eastAsia"/>
                      <w:lang w:val="en-US" w:eastAsia="zh-CN"/>
                    </w:rPr>
                    <w:t>噪声</w:t>
                  </w:r>
                </w:p>
              </w:tc>
              <w:tc>
                <w:tcPr>
                  <w:tcW w:w="1365" w:type="dxa"/>
                  <w:tcBorders>
                    <w:top w:val="single" w:color="000000" w:sz="4" w:space="0"/>
                    <w:left w:val="single" w:color="000000" w:sz="4" w:space="0"/>
                    <w:bottom w:val="single" w:color="000000" w:sz="4" w:space="0"/>
                    <w:right w:val="single" w:color="000000" w:sz="4" w:space="0"/>
                  </w:tcBorders>
                  <w:noWrap w:val="0"/>
                  <w:vAlign w:val="center"/>
                </w:tcPr>
                <w:p>
                  <w:pPr>
                    <w:pStyle w:val="226"/>
                    <w:keepNext w:val="0"/>
                    <w:keepLines w:val="0"/>
                    <w:suppressLineNumbers w:val="0"/>
                    <w:bidi w:val="0"/>
                    <w:spacing w:before="0" w:beforeAutospacing="0" w:after="0" w:afterAutospacing="0"/>
                    <w:ind w:left="0" w:right="0"/>
                    <w:rPr>
                      <w:rFonts w:hint="eastAsia"/>
                    </w:rPr>
                  </w:pPr>
                  <w:r>
                    <w:rPr>
                      <w:rFonts w:hint="eastAsia"/>
                      <w:lang w:val="en-US" w:eastAsia="zh-CN"/>
                    </w:rPr>
                    <w:t>运输车辆</w:t>
                  </w:r>
                </w:p>
              </w:tc>
              <w:tc>
                <w:tcPr>
                  <w:tcW w:w="1678" w:type="dxa"/>
                  <w:tcBorders>
                    <w:top w:val="single" w:color="000000" w:sz="4" w:space="0"/>
                    <w:left w:val="single" w:color="000000" w:sz="4" w:space="0"/>
                    <w:bottom w:val="single" w:color="000000" w:sz="4" w:space="0"/>
                    <w:right w:val="single" w:color="000000" w:sz="4" w:space="0"/>
                  </w:tcBorders>
                  <w:noWrap w:val="0"/>
                  <w:vAlign w:val="center"/>
                </w:tcPr>
                <w:p>
                  <w:pPr>
                    <w:pStyle w:val="226"/>
                    <w:keepNext w:val="0"/>
                    <w:keepLines w:val="0"/>
                    <w:suppressLineNumbers w:val="0"/>
                    <w:bidi w:val="0"/>
                    <w:spacing w:before="0" w:beforeAutospacing="0" w:after="0" w:afterAutospacing="0"/>
                    <w:ind w:left="0" w:right="0"/>
                    <w:rPr>
                      <w:rFonts w:hint="eastAsia"/>
                    </w:rPr>
                  </w:pPr>
                  <w:r>
                    <w:rPr>
                      <w:rFonts w:hint="eastAsia"/>
                      <w:lang w:val="en-US" w:eastAsia="zh-CN"/>
                    </w:rPr>
                    <w:t>噪声</w:t>
                  </w:r>
                </w:p>
              </w:tc>
              <w:tc>
                <w:tcPr>
                  <w:tcW w:w="1185" w:type="dxa"/>
                  <w:tcBorders>
                    <w:top w:val="single" w:color="000000" w:sz="4" w:space="0"/>
                    <w:left w:val="single" w:color="000000" w:sz="4" w:space="0"/>
                    <w:bottom w:val="single" w:color="000000" w:sz="4" w:space="0"/>
                    <w:right w:val="single" w:color="000000" w:sz="4" w:space="0"/>
                  </w:tcBorders>
                  <w:noWrap w:val="0"/>
                  <w:vAlign w:val="center"/>
                </w:tcPr>
                <w:p>
                  <w:pPr>
                    <w:pStyle w:val="226"/>
                    <w:keepNext w:val="0"/>
                    <w:keepLines w:val="0"/>
                    <w:suppressLineNumbers w:val="0"/>
                    <w:bidi w:val="0"/>
                    <w:spacing w:before="0" w:beforeAutospacing="0" w:after="0" w:afterAutospacing="0"/>
                    <w:ind w:left="0" w:right="0"/>
                    <w:rPr>
                      <w:rFonts w:hint="eastAsia"/>
                    </w:rPr>
                  </w:pPr>
                  <w:r>
                    <w:rPr>
                      <w:rFonts w:hint="eastAsia"/>
                      <w:lang w:val="en-US" w:eastAsia="zh-CN"/>
                    </w:rPr>
                    <w:t>间断产生</w:t>
                  </w:r>
                </w:p>
              </w:tc>
              <w:tc>
                <w:tcPr>
                  <w:tcW w:w="2110" w:type="dxa"/>
                  <w:tcBorders>
                    <w:top w:val="single" w:color="000000" w:sz="4" w:space="0"/>
                    <w:left w:val="single" w:color="000000" w:sz="4" w:space="0"/>
                    <w:bottom w:val="single" w:color="000000" w:sz="4" w:space="0"/>
                    <w:right w:val="single" w:color="000000" w:sz="4" w:space="0"/>
                  </w:tcBorders>
                  <w:noWrap w:val="0"/>
                  <w:vAlign w:val="center"/>
                </w:tcPr>
                <w:p>
                  <w:pPr>
                    <w:pStyle w:val="226"/>
                    <w:keepNext w:val="0"/>
                    <w:keepLines w:val="0"/>
                    <w:suppressLineNumbers w:val="0"/>
                    <w:bidi w:val="0"/>
                    <w:spacing w:before="0" w:beforeAutospacing="0" w:after="0" w:afterAutospacing="0"/>
                    <w:ind w:left="0" w:right="0"/>
                    <w:rPr>
                      <w:rFonts w:hint="eastAsia"/>
                    </w:rPr>
                  </w:pPr>
                  <w:r>
                    <w:rPr>
                      <w:rFonts w:hint="eastAsia"/>
                      <w:lang w:val="en-US" w:eastAsia="zh-CN"/>
                    </w:rPr>
                    <w:t>车辆减速慢行，加强保养维护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094" w:type="dxa"/>
                  <w:tcBorders>
                    <w:top w:val="single" w:color="000000" w:sz="4" w:space="0"/>
                    <w:left w:val="single" w:color="000000" w:sz="4" w:space="0"/>
                    <w:bottom w:val="single" w:color="000000" w:sz="4" w:space="0"/>
                    <w:right w:val="single" w:color="000000" w:sz="4" w:space="0"/>
                  </w:tcBorders>
                  <w:noWrap w:val="0"/>
                  <w:vAlign w:val="center"/>
                </w:tcPr>
                <w:p>
                  <w:pPr>
                    <w:pStyle w:val="226"/>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固废（本项目暂存）</w:t>
                  </w:r>
                </w:p>
              </w:tc>
              <w:tc>
                <w:tcPr>
                  <w:tcW w:w="1365" w:type="dxa"/>
                  <w:tcBorders>
                    <w:top w:val="single" w:color="000000" w:sz="4" w:space="0"/>
                    <w:left w:val="single" w:color="000000" w:sz="4" w:space="0"/>
                    <w:bottom w:val="single" w:color="auto" w:sz="4" w:space="0"/>
                    <w:right w:val="single" w:color="000000" w:sz="4" w:space="0"/>
                  </w:tcBorders>
                  <w:shd w:val="clear" w:color="auto" w:fill="auto"/>
                  <w:noWrap w:val="0"/>
                  <w:vAlign w:val="center"/>
                </w:tcPr>
                <w:p>
                  <w:pPr>
                    <w:pStyle w:val="226"/>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HW</w:t>
                  </w:r>
                  <w:r>
                    <w:rPr>
                      <w:rFonts w:hint="eastAsia"/>
                      <w:lang w:val="en-US" w:eastAsia="zh-CN"/>
                    </w:rPr>
                    <w:t>01医疗废物</w:t>
                  </w:r>
                </w:p>
              </w:tc>
              <w:tc>
                <w:tcPr>
                  <w:tcW w:w="1678" w:type="dxa"/>
                  <w:tcBorders>
                    <w:top w:val="single" w:color="000000" w:sz="4" w:space="0"/>
                    <w:left w:val="single" w:color="000000" w:sz="4" w:space="0"/>
                    <w:bottom w:val="single" w:color="auto" w:sz="4" w:space="0"/>
                    <w:right w:val="single" w:color="000000" w:sz="4" w:space="0"/>
                  </w:tcBorders>
                  <w:noWrap w:val="0"/>
                  <w:vAlign w:val="center"/>
                </w:tcPr>
                <w:p>
                  <w:pPr>
                    <w:pStyle w:val="226"/>
                    <w:keepNext w:val="0"/>
                    <w:keepLines w:val="0"/>
                    <w:suppressLineNumbers w:val="0"/>
                    <w:bidi w:val="0"/>
                    <w:spacing w:before="0" w:beforeAutospacing="0" w:after="0" w:afterAutospacing="0"/>
                    <w:ind w:left="0" w:right="0"/>
                    <w:rPr>
                      <w:rFonts w:hint="eastAsia"/>
                      <w:lang w:val="en-US" w:eastAsia="zh-CN"/>
                    </w:rPr>
                  </w:pPr>
                  <w:r>
                    <w:rPr>
                      <w:rFonts w:hint="default"/>
                      <w:lang w:val="en-US" w:eastAsia="zh-CN"/>
                    </w:rPr>
                    <w:t>废弃</w:t>
                  </w:r>
                  <w:r>
                    <w:rPr>
                      <w:rFonts w:hint="eastAsia"/>
                      <w:lang w:val="en-US" w:eastAsia="zh-CN"/>
                    </w:rPr>
                    <w:t>、</w:t>
                  </w:r>
                  <w:r>
                    <w:rPr>
                      <w:rFonts w:hint="default"/>
                      <w:lang w:val="en-US" w:eastAsia="zh-CN"/>
                    </w:rPr>
                    <w:t>动物组织</w:t>
                  </w:r>
                  <w:r>
                    <w:rPr>
                      <w:rFonts w:hint="eastAsia"/>
                      <w:lang w:val="en-US" w:eastAsia="zh-CN"/>
                    </w:rPr>
                    <w:t>血液等</w:t>
                  </w:r>
                </w:p>
              </w:tc>
              <w:tc>
                <w:tcPr>
                  <w:tcW w:w="1185" w:type="dxa"/>
                  <w:tcBorders>
                    <w:top w:val="single" w:color="000000" w:sz="4" w:space="0"/>
                    <w:left w:val="single" w:color="000000" w:sz="4" w:space="0"/>
                    <w:right w:val="single" w:color="000000" w:sz="4" w:space="0"/>
                  </w:tcBorders>
                  <w:noWrap w:val="0"/>
                  <w:vAlign w:val="center"/>
                </w:tcPr>
                <w:p>
                  <w:pPr>
                    <w:pStyle w:val="226"/>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间断产生</w:t>
                  </w:r>
                </w:p>
              </w:tc>
              <w:tc>
                <w:tcPr>
                  <w:tcW w:w="2110" w:type="dxa"/>
                  <w:tcBorders>
                    <w:top w:val="single" w:color="000000" w:sz="4" w:space="0"/>
                    <w:left w:val="single" w:color="000000" w:sz="4" w:space="0"/>
                    <w:right w:val="single" w:color="000000" w:sz="4" w:space="0"/>
                  </w:tcBorders>
                  <w:noWrap w:val="0"/>
                  <w:vAlign w:val="center"/>
                </w:tcPr>
                <w:p>
                  <w:pPr>
                    <w:pStyle w:val="226"/>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委托有资质单位处理</w:t>
                  </w:r>
                </w:p>
              </w:tc>
            </w:tr>
          </w:tbl>
          <w:p>
            <w:pPr>
              <w:keepNext w:val="0"/>
              <w:keepLines w:val="0"/>
              <w:pageBreakBefore w:val="0"/>
              <w:widowControl w:val="0"/>
              <w:suppressLineNumbers w:val="0"/>
              <w:kinsoku/>
              <w:wordWrap/>
              <w:overflowPunct/>
              <w:topLinePunct w:val="0"/>
              <w:autoSpaceDE/>
              <w:autoSpaceDN/>
              <w:bidi w:val="0"/>
              <w:adjustRightInd/>
              <w:snapToGrid/>
              <w:spacing w:before="79" w:beforeLines="25" w:beforeAutospacing="0" w:after="0" w:afterAutospacing="0" w:line="480" w:lineRule="exact"/>
              <w:ind w:left="0" w:leftChars="0" w:right="0" w:firstLine="0" w:firstLineChars="0"/>
              <w:textAlignment w:val="auto"/>
              <w:rPr>
                <w:rFonts w:hint="default" w:ascii="黑体" w:hAnsi="黑体" w:eastAsia="宋体" w:cs="Times New Roman"/>
                <w:snapToGrid w:val="0"/>
                <w:color w:val="00000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tcBorders>
              <w:left w:val="single" w:color="auto" w:sz="12" w:space="0"/>
              <w:bottom w:val="single" w:color="auto" w:sz="12" w:space="0"/>
              <w:right w:val="single" w:color="auto" w:sz="4" w:space="0"/>
            </w:tcBorders>
            <w:noWrap w:val="0"/>
            <w:vAlign w:val="center"/>
          </w:tcPr>
          <w:p>
            <w:pPr>
              <w:pStyle w:val="29"/>
              <w:keepNext w:val="0"/>
              <w:keepLines w:val="0"/>
              <w:pageBreakBefore w:val="0"/>
              <w:widowControl/>
              <w:suppressLineNumbers w:val="0"/>
              <w:kinsoku/>
              <w:wordWrap/>
              <w:overflowPunct/>
              <w:topLinePunct w:val="0"/>
              <w:autoSpaceDE w:val="0"/>
              <w:autoSpaceDN w:val="0"/>
              <w:bidi w:val="0"/>
              <w:adjustRightInd w:val="0"/>
              <w:snapToGrid w:val="0"/>
              <w:ind w:left="0" w:right="0" w:firstLine="0" w:firstLineChars="0"/>
              <w:jc w:val="center"/>
              <w:textAlignment w:val="auto"/>
              <w:rPr>
                <w:rFonts w:ascii="黑体" w:hAnsi="黑体" w:eastAsia="黑体" w:cs="Times New Roman"/>
                <w:snapToGrid w:val="0"/>
                <w:color w:val="000000"/>
                <w:sz w:val="36"/>
                <w:szCs w:val="36"/>
                <w:vertAlign w:val="baseline"/>
              </w:rPr>
            </w:pPr>
            <w:r>
              <w:rPr>
                <w:rFonts w:ascii="Times New Roman" w:cs="Times New Roman"/>
                <w:bCs/>
                <w:color w:val="000000"/>
                <w:kern w:val="2"/>
                <w:szCs w:val="24"/>
                <w:lang w:val="en-US" w:eastAsia="zh-CN"/>
              </w:rPr>
              <w:t>与项目有关的原有环境污染问题</w:t>
            </w:r>
          </w:p>
        </w:tc>
        <w:tc>
          <w:tcPr>
            <w:tcW w:w="8329" w:type="dxa"/>
            <w:tcBorders>
              <w:left w:val="single" w:color="auto" w:sz="4" w:space="0"/>
              <w:bottom w:val="single" w:color="auto" w:sz="12" w:space="0"/>
              <w:right w:val="single" w:color="auto" w:sz="12" w:space="0"/>
            </w:tcBorders>
            <w:noWrap w:val="0"/>
            <w:vAlign w:val="center"/>
          </w:tcPr>
          <w:p>
            <w:pPr>
              <w:keepNext w:val="0"/>
              <w:keepLines w:val="0"/>
              <w:widowControl/>
              <w:suppressLineNumbers w:val="0"/>
              <w:spacing w:before="0" w:beforeAutospacing="0" w:after="0" w:afterAutospacing="0"/>
              <w:ind w:left="0" w:right="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本项目</w:t>
            </w:r>
            <w:r>
              <w:rPr>
                <w:rFonts w:hint="eastAsia" w:ascii="宋体" w:hAnsi="宋体" w:cs="宋体"/>
                <w:color w:val="000000"/>
                <w:kern w:val="0"/>
                <w:sz w:val="24"/>
                <w:szCs w:val="24"/>
                <w:lang w:val="en-US" w:eastAsia="zh-CN" w:bidi="ar"/>
              </w:rPr>
              <w:t>医疗废物暂存间</w:t>
            </w:r>
            <w:r>
              <w:rPr>
                <w:rFonts w:hint="eastAsia" w:ascii="宋体" w:hAnsi="宋体" w:eastAsia="宋体" w:cs="宋体"/>
                <w:color w:val="000000"/>
                <w:kern w:val="0"/>
                <w:sz w:val="24"/>
                <w:szCs w:val="24"/>
                <w:lang w:val="en-US" w:eastAsia="zh-CN" w:bidi="ar"/>
              </w:rPr>
              <w:t>位于</w:t>
            </w:r>
            <w:r>
              <w:rPr>
                <w:rFonts w:hint="eastAsia" w:ascii="Times New Roman" w:hAnsi="Times New Roman" w:eastAsia="宋体" w:cs="Times New Roman"/>
                <w:color w:val="auto"/>
                <w:lang w:val="en-US" w:eastAsia="zh-CN"/>
              </w:rPr>
              <w:t>正蓝旗动物疫病预防控制中心</w:t>
            </w:r>
            <w:r>
              <w:rPr>
                <w:rFonts w:hint="eastAsia" w:cs="Times New Roman"/>
                <w:color w:val="auto"/>
                <w:lang w:val="en-US" w:eastAsia="zh-CN"/>
              </w:rPr>
              <w:t>厂区院内西南侧</w:t>
            </w:r>
            <w:r>
              <w:rPr>
                <w:rFonts w:hint="eastAsia" w:ascii="宋体" w:hAnsi="宋体" w:eastAsia="宋体" w:cs="宋体"/>
                <w:color w:val="000000"/>
                <w:kern w:val="0"/>
                <w:sz w:val="24"/>
                <w:szCs w:val="24"/>
                <w:lang w:val="en-US" w:eastAsia="zh-CN" w:bidi="ar"/>
              </w:rPr>
              <w:t>空地，根据现场踏勘，现有项目不存在环境问题。</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lang w:val="en-US" w:eastAsia="zh-CN"/>
              </w:rPr>
            </w:pPr>
          </w:p>
        </w:tc>
      </w:tr>
    </w:tbl>
    <w:p>
      <w:pPr>
        <w:pStyle w:val="4"/>
        <w:bidi w:val="0"/>
        <w:rPr>
          <w:rFonts w:hint="eastAsia"/>
          <w:lang w:val="en-US" w:eastAsia="zh-CN"/>
        </w:rPr>
        <w:sectPr>
          <w:pgSz w:w="11907" w:h="16840"/>
          <w:pgMar w:top="1418" w:right="1418" w:bottom="1701" w:left="1418"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4"/>
        <w:bidi w:val="0"/>
        <w:rPr>
          <w:rFonts w:hint="eastAsia"/>
          <w:lang w:val="en-US" w:eastAsia="zh-CN"/>
        </w:rPr>
      </w:pPr>
      <w:r>
        <w:rPr>
          <w:rFonts w:hint="eastAsia"/>
          <w:lang w:val="en-US" w:eastAsia="zh-CN"/>
        </w:rPr>
        <w:t>三、区域环境质量现状、环境保护目标及评价标准</w:t>
      </w:r>
    </w:p>
    <w:tbl>
      <w:tblPr>
        <w:tblStyle w:val="34"/>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71"/>
        <w:gridCol w:w="858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3" w:hRule="atLeast"/>
          <w:jc w:val="center"/>
        </w:trPr>
        <w:tc>
          <w:tcPr>
            <w:tcW w:w="671" w:type="dxa"/>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cs="Times New Roman"/>
                <w:color w:val="000000"/>
                <w:kern w:val="0"/>
                <w:sz w:val="24"/>
              </w:rPr>
            </w:pPr>
            <w:r>
              <w:rPr>
                <w:rFonts w:hAnsi="宋体" w:cs="Times New Roman"/>
                <w:color w:val="000000"/>
                <w:kern w:val="0"/>
                <w:sz w:val="24"/>
              </w:rPr>
              <w:t>区域</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cs="Times New Roman"/>
                <w:color w:val="000000"/>
                <w:kern w:val="0"/>
                <w:sz w:val="24"/>
              </w:rPr>
            </w:pPr>
            <w:r>
              <w:rPr>
                <w:rFonts w:hAnsi="宋体" w:cs="Times New Roman"/>
                <w:color w:val="000000"/>
                <w:kern w:val="0"/>
                <w:sz w:val="24"/>
              </w:rPr>
              <w:t>环境</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cs="Times New Roman"/>
                <w:color w:val="000000"/>
                <w:kern w:val="0"/>
                <w:sz w:val="24"/>
              </w:rPr>
            </w:pPr>
            <w:r>
              <w:rPr>
                <w:rFonts w:hAnsi="宋体" w:cs="Times New Roman"/>
                <w:color w:val="000000"/>
                <w:kern w:val="0"/>
                <w:sz w:val="24"/>
              </w:rPr>
              <w:t>质量</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cs="Times New Roman"/>
                <w:color w:val="000000"/>
                <w:kern w:val="0"/>
                <w:sz w:val="24"/>
              </w:rPr>
            </w:pPr>
            <w:r>
              <w:rPr>
                <w:rFonts w:hAnsi="宋体" w:cs="Times New Roman"/>
                <w:color w:val="000000"/>
                <w:kern w:val="0"/>
                <w:sz w:val="24"/>
              </w:rPr>
              <w:t>现状</w:t>
            </w:r>
          </w:p>
        </w:tc>
        <w:tc>
          <w:tcPr>
            <w:tcW w:w="8402" w:type="dxa"/>
            <w:noWrap w:val="0"/>
            <w:vAlign w:val="top"/>
          </w:tcPr>
          <w:p>
            <w:pPr>
              <w:keepNext w:val="0"/>
              <w:keepLines w:val="0"/>
              <w:pageBreakBefore w:val="0"/>
              <w:widowControl/>
              <w:suppressLineNumbers w:val="0"/>
              <w:kinsoku/>
              <w:wordWrap/>
              <w:overflowPunct/>
              <w:topLinePunct w:val="0"/>
              <w:autoSpaceDE/>
              <w:autoSpaceDN/>
              <w:bidi w:val="0"/>
              <w:spacing w:before="60" w:beforeLines="25" w:beforeAutospacing="0" w:after="0" w:afterAutospacing="0" w:line="480" w:lineRule="exact"/>
              <w:ind w:left="0" w:right="0" w:firstLine="481" w:firstLineChars="200"/>
              <w:textAlignment w:val="auto"/>
              <w:rPr>
                <w:rFonts w:hint="default" w:ascii="Times New Roman" w:hAnsi="Times New Roman" w:eastAsia="宋体" w:cs="Times New Roman"/>
                <w:b/>
                <w:bCs/>
                <w:color w:val="000000"/>
                <w:kern w:val="0"/>
                <w:sz w:val="24"/>
                <w:lang w:val="en-US" w:eastAsia="zh-CN"/>
              </w:rPr>
            </w:pPr>
            <w:r>
              <w:rPr>
                <w:rFonts w:ascii="Times New Roman" w:hAnsi="Times New Roman" w:cs="Times New Roman"/>
                <w:b/>
                <w:bCs/>
                <w:color w:val="000000"/>
                <w:kern w:val="0"/>
                <w:sz w:val="24"/>
              </w:rPr>
              <w:t>1</w:t>
            </w:r>
            <w:r>
              <w:rPr>
                <w:rFonts w:ascii="Times New Roman" w:hAnsi="宋体" w:cs="Times New Roman"/>
                <w:b/>
                <w:bCs/>
                <w:color w:val="000000"/>
                <w:kern w:val="0"/>
                <w:sz w:val="24"/>
              </w:rPr>
              <w:t>、</w:t>
            </w:r>
            <w:r>
              <w:rPr>
                <w:rFonts w:hint="eastAsia" w:ascii="Times New Roman" w:cs="Times New Roman"/>
                <w:b/>
                <w:bCs/>
                <w:color w:val="000000"/>
                <w:kern w:val="0"/>
                <w:sz w:val="24"/>
              </w:rPr>
              <w:t>大气环境</w:t>
            </w:r>
            <w:r>
              <w:rPr>
                <w:rFonts w:hint="eastAsia" w:ascii="Times New Roman" w:cs="Times New Roman"/>
                <w:b/>
                <w:bCs/>
                <w:color w:val="000000"/>
                <w:kern w:val="0"/>
                <w:sz w:val="24"/>
                <w:lang w:val="en-US" w:eastAsia="zh-CN"/>
              </w:rPr>
              <w:t>质量现状</w:t>
            </w:r>
          </w:p>
          <w:p>
            <w:pPr>
              <w:pStyle w:val="139"/>
              <w:keepNext w:val="0"/>
              <w:keepLines w:val="0"/>
              <w:pageBreakBefore w:val="0"/>
              <w:suppressLineNumbers w:val="0"/>
              <w:kinsoku/>
              <w:wordWrap/>
              <w:overflowPunct/>
              <w:topLinePunct w:val="0"/>
              <w:autoSpaceDE/>
              <w:autoSpaceDN/>
              <w:bidi w:val="0"/>
              <w:spacing w:before="60" w:beforeLines="25" w:beforeAutospacing="0" w:after="0" w:afterAutospacing="0"/>
              <w:ind w:left="0" w:right="0" w:firstLine="480"/>
              <w:textAlignment w:val="auto"/>
              <w:rPr>
                <w:rFonts w:hint="eastAsia" w:ascii="Times New Roman" w:hAnsi="宋体" w:cs="Times New Roman"/>
                <w:color w:val="auto"/>
                <w:kern w:val="0"/>
                <w:szCs w:val="24"/>
              </w:rPr>
            </w:pPr>
            <w:r>
              <w:rPr>
                <w:rFonts w:ascii="Times New Roman" w:hAnsi="宋体" w:cs="Times New Roman"/>
                <w:color w:val="auto"/>
                <w:kern w:val="0"/>
                <w:szCs w:val="24"/>
              </w:rPr>
              <w:t>（</w:t>
            </w:r>
            <w:r>
              <w:rPr>
                <w:rFonts w:ascii="Times New Roman" w:hAnsi="Times New Roman" w:cs="Times New Roman"/>
                <w:color w:val="auto"/>
                <w:kern w:val="0"/>
                <w:szCs w:val="24"/>
              </w:rPr>
              <w:t>1</w:t>
            </w:r>
            <w:r>
              <w:rPr>
                <w:rFonts w:ascii="Times New Roman" w:hAnsi="宋体" w:cs="Times New Roman"/>
                <w:color w:val="auto"/>
                <w:kern w:val="0"/>
                <w:szCs w:val="24"/>
              </w:rPr>
              <w:t>）达标区域判定</w:t>
            </w:r>
          </w:p>
          <w:p>
            <w:pPr>
              <w:pStyle w:val="139"/>
              <w:keepNext w:val="0"/>
              <w:keepLines w:val="0"/>
              <w:pageBreakBefore w:val="0"/>
              <w:widowControl w:val="0"/>
              <w:suppressLineNumbers w:val="0"/>
              <w:kinsoku/>
              <w:wordWrap/>
              <w:overflowPunct/>
              <w:topLinePunct w:val="0"/>
              <w:autoSpaceDE/>
              <w:autoSpaceDN/>
              <w:bidi w:val="0"/>
              <w:spacing w:before="79" w:beforeLines="25" w:beforeAutospacing="0" w:after="0" w:afterAutospacing="0" w:line="480" w:lineRule="exact"/>
              <w:ind w:left="0" w:right="0" w:firstLine="480"/>
              <w:jc w:val="left"/>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本项目位于锡林郭勒盟正蓝旗上都镇，</w:t>
            </w:r>
            <w:r>
              <w:rPr>
                <w:rFonts w:hint="default" w:ascii="Times New Roman" w:hAnsi="Times New Roman" w:eastAsia="宋体" w:cs="Times New Roman"/>
                <w:color w:val="auto"/>
                <w:sz w:val="24"/>
                <w:szCs w:val="24"/>
                <w:u w:val="none"/>
                <w:lang w:val="en-US" w:eastAsia="zh-CN"/>
              </w:rPr>
              <w:t>根据内蒙古自治区生态环境厅2024年6月发布的</w:t>
            </w:r>
            <w:r>
              <w:rPr>
                <w:rFonts w:hint="eastAsia" w:cs="Times New Roman"/>
                <w:color w:val="auto"/>
                <w:sz w:val="24"/>
              </w:rPr>
              <w:t>《</w:t>
            </w:r>
            <w:r>
              <w:rPr>
                <w:rFonts w:cs="Times New Roman"/>
                <w:color w:val="auto"/>
                <w:sz w:val="24"/>
              </w:rPr>
              <w:t>内蒙古自治区生态环境状况公报</w:t>
            </w:r>
            <w:r>
              <w:rPr>
                <w:rFonts w:hint="eastAsia" w:cs="Times New Roman"/>
                <w:color w:val="auto"/>
                <w:sz w:val="24"/>
                <w:lang w:eastAsia="zh-CN"/>
              </w:rPr>
              <w:t>（2023年）</w:t>
            </w:r>
            <w:r>
              <w:rPr>
                <w:rFonts w:hint="eastAsia" w:cs="Times New Roman"/>
                <w:color w:val="auto"/>
                <w:sz w:val="24"/>
              </w:rPr>
              <w:t>》</w:t>
            </w:r>
            <w:r>
              <w:rPr>
                <w:rFonts w:hint="default" w:ascii="Times New Roman" w:hAnsi="Times New Roman" w:eastAsia="宋体" w:cs="Times New Roman"/>
                <w:color w:val="auto"/>
                <w:sz w:val="24"/>
                <w:szCs w:val="24"/>
                <w:u w:val="none"/>
                <w:lang w:val="en-US" w:eastAsia="zh-CN"/>
              </w:rPr>
              <w:t>，全区12盟市中，除乌海市，其他11个盟市环境空气质量均达标。</w:t>
            </w:r>
          </w:p>
          <w:p>
            <w:pPr>
              <w:pStyle w:val="29"/>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0" w:afterAutospacing="0" w:line="480" w:lineRule="exact"/>
              <w:ind w:left="0" w:right="0" w:firstLine="480" w:firstLineChars="200"/>
              <w:jc w:val="left"/>
              <w:textAlignment w:val="auto"/>
              <w:rPr>
                <w:rFonts w:hint="eastAsia" w:cs="Times New Roman"/>
                <w:color w:val="auto"/>
                <w:sz w:val="24"/>
                <w:lang w:eastAsia="zh-CN"/>
              </w:rPr>
            </w:pPr>
            <w:r>
              <w:rPr>
                <w:rFonts w:hint="eastAsia" w:cs="Times New Roman"/>
                <w:color w:val="auto"/>
                <w:sz w:val="24"/>
              </w:rPr>
              <w:t>因此，项目所在区域为达标区</w:t>
            </w:r>
            <w:r>
              <w:rPr>
                <w:rFonts w:hint="eastAsia" w:cs="Times New Roman"/>
                <w:color w:val="auto"/>
                <w:sz w:val="24"/>
                <w:lang w:eastAsia="zh-CN"/>
              </w:rPr>
              <w:t>。</w:t>
            </w:r>
          </w:p>
          <w:p>
            <w:pPr>
              <w:pStyle w:val="29"/>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0" w:afterAutospacing="0" w:line="480" w:lineRule="exact"/>
              <w:ind w:left="0" w:right="0" w:firstLine="480" w:firstLineChars="200"/>
              <w:jc w:val="left"/>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基本污染物</w:t>
            </w:r>
          </w:p>
          <w:p>
            <w:pPr>
              <w:pStyle w:val="139"/>
              <w:keepNext w:val="0"/>
              <w:keepLines w:val="0"/>
              <w:pageBreakBefore w:val="0"/>
              <w:suppressLineNumbers w:val="0"/>
              <w:kinsoku/>
              <w:wordWrap/>
              <w:overflowPunct/>
              <w:topLinePunct w:val="0"/>
              <w:autoSpaceDE/>
              <w:autoSpaceDN/>
              <w:bidi w:val="0"/>
              <w:spacing w:before="60" w:beforeLines="25" w:beforeAutospacing="0" w:after="0" w:afterAutospacing="0"/>
              <w:ind w:left="0" w:right="0" w:firstLine="480"/>
              <w:textAlignment w:val="auto"/>
              <w:rPr>
                <w:rFonts w:ascii="Times New Roman" w:hAnsi="Times New Roman" w:cs="Times New Roman"/>
                <w:color w:val="000000"/>
                <w:kern w:val="0"/>
                <w:szCs w:val="24"/>
              </w:rPr>
            </w:pPr>
            <w:r>
              <w:rPr>
                <w:rFonts w:hint="eastAsia" w:cs="Times New Roman"/>
                <w:lang w:val="en-US" w:eastAsia="zh-CN"/>
              </w:rPr>
              <w:t>本项目基本污染物环境质量现状数据来源于</w:t>
            </w:r>
            <w:r>
              <w:rPr>
                <w:rFonts w:hint="default" w:cs="Times New Roman"/>
              </w:rPr>
              <w:t>内蒙古自治区生态环境厅202</w:t>
            </w:r>
            <w:r>
              <w:rPr>
                <w:rFonts w:hint="default" w:cs="Times New Roman"/>
                <w:lang w:val="en-US" w:eastAsia="zh-CN"/>
              </w:rPr>
              <w:t>4</w:t>
            </w:r>
            <w:r>
              <w:rPr>
                <w:rFonts w:hint="default" w:cs="Times New Roman"/>
              </w:rPr>
              <w:t>年6月发布的202</w:t>
            </w:r>
            <w:r>
              <w:rPr>
                <w:rFonts w:hint="default" w:cs="Times New Roman"/>
                <w:lang w:val="en-US" w:eastAsia="zh-CN"/>
              </w:rPr>
              <w:t>3</w:t>
            </w:r>
            <w:r>
              <w:rPr>
                <w:rFonts w:hint="default" w:cs="Times New Roman"/>
              </w:rPr>
              <w:t>年内蒙古自治区生态环境状况公报</w:t>
            </w:r>
            <w:r>
              <w:rPr>
                <w:rFonts w:hint="eastAsia" w:cs="Times New Roman"/>
                <w:lang w:val="en-US" w:eastAsia="zh-CN"/>
              </w:rPr>
              <w:t>数据</w:t>
            </w:r>
            <w:r>
              <w:rPr>
                <w:rFonts w:hint="eastAsia" w:cs="Times New Roman"/>
                <w:lang w:eastAsia="zh-CN"/>
              </w:rPr>
              <w:t>，</w:t>
            </w:r>
            <w:r>
              <w:rPr>
                <w:rFonts w:ascii="Times New Roman" w:hAnsi="宋体" w:cs="Times New Roman"/>
                <w:color w:val="000000"/>
                <w:szCs w:val="24"/>
                <w:highlight w:val="none"/>
              </w:rPr>
              <w:t>根据该公报，</w:t>
            </w:r>
            <w:r>
              <w:rPr>
                <w:rFonts w:ascii="Times New Roman" w:hAnsi="宋体" w:cs="Times New Roman"/>
                <w:color w:val="000000"/>
                <w:szCs w:val="24"/>
              </w:rPr>
              <w:t>环境空气评价因子为</w:t>
            </w:r>
            <w:r>
              <w:rPr>
                <w:rFonts w:ascii="Times New Roman" w:hAnsi="Times New Roman" w:cs="Times New Roman"/>
                <w:color w:val="000000"/>
                <w:szCs w:val="24"/>
              </w:rPr>
              <w:t>SO</w:t>
            </w:r>
            <w:r>
              <w:rPr>
                <w:rFonts w:ascii="Times New Roman" w:hAnsi="Times New Roman" w:cs="Times New Roman"/>
                <w:color w:val="000000"/>
                <w:szCs w:val="24"/>
                <w:vertAlign w:val="subscript"/>
              </w:rPr>
              <w:t>2</w:t>
            </w:r>
            <w:r>
              <w:rPr>
                <w:rFonts w:ascii="Times New Roman" w:hAnsi="宋体" w:cs="Times New Roman"/>
                <w:color w:val="000000"/>
                <w:szCs w:val="24"/>
              </w:rPr>
              <w:t>、</w:t>
            </w:r>
            <w:r>
              <w:rPr>
                <w:rFonts w:ascii="Times New Roman" w:hAnsi="Times New Roman" w:cs="Times New Roman"/>
                <w:color w:val="000000"/>
                <w:szCs w:val="24"/>
              </w:rPr>
              <w:t>NO</w:t>
            </w:r>
            <w:r>
              <w:rPr>
                <w:rFonts w:ascii="Times New Roman" w:hAnsi="Times New Roman" w:cs="Times New Roman"/>
                <w:color w:val="000000"/>
                <w:szCs w:val="24"/>
                <w:vertAlign w:val="subscript"/>
              </w:rPr>
              <w:t>2</w:t>
            </w:r>
            <w:r>
              <w:rPr>
                <w:rFonts w:ascii="Times New Roman" w:hAnsi="宋体" w:cs="Times New Roman"/>
                <w:color w:val="000000"/>
                <w:szCs w:val="24"/>
              </w:rPr>
              <w:t>、</w:t>
            </w:r>
            <w:r>
              <w:rPr>
                <w:rFonts w:ascii="Times New Roman" w:hAnsi="Times New Roman" w:cs="Times New Roman"/>
                <w:color w:val="000000"/>
                <w:szCs w:val="24"/>
              </w:rPr>
              <w:t>PM</w:t>
            </w:r>
            <w:r>
              <w:rPr>
                <w:rFonts w:ascii="Times New Roman" w:hAnsi="Times New Roman" w:cs="Times New Roman"/>
                <w:color w:val="000000"/>
                <w:szCs w:val="24"/>
                <w:vertAlign w:val="subscript"/>
              </w:rPr>
              <w:t>10</w:t>
            </w:r>
            <w:r>
              <w:rPr>
                <w:rFonts w:ascii="Times New Roman" w:hAnsi="宋体" w:cs="Times New Roman"/>
                <w:color w:val="000000"/>
                <w:szCs w:val="24"/>
              </w:rPr>
              <w:t>、</w:t>
            </w:r>
            <w:r>
              <w:rPr>
                <w:rFonts w:ascii="Times New Roman" w:hAnsi="Times New Roman" w:cs="Times New Roman"/>
                <w:color w:val="000000"/>
                <w:szCs w:val="24"/>
              </w:rPr>
              <w:t>PM</w:t>
            </w:r>
            <w:r>
              <w:rPr>
                <w:rFonts w:ascii="Times New Roman" w:hAnsi="Times New Roman" w:cs="Times New Roman"/>
                <w:color w:val="000000"/>
                <w:szCs w:val="24"/>
                <w:vertAlign w:val="subscript"/>
              </w:rPr>
              <w:t>2.5</w:t>
            </w:r>
            <w:r>
              <w:rPr>
                <w:rFonts w:ascii="Times New Roman" w:hAnsi="宋体" w:cs="Times New Roman"/>
                <w:color w:val="000000"/>
                <w:szCs w:val="24"/>
              </w:rPr>
              <w:t>、</w:t>
            </w:r>
            <w:r>
              <w:rPr>
                <w:rFonts w:ascii="Times New Roman" w:hAnsi="Times New Roman" w:cs="Times New Roman"/>
                <w:color w:val="000000"/>
                <w:szCs w:val="24"/>
              </w:rPr>
              <w:t>CO</w:t>
            </w:r>
            <w:r>
              <w:rPr>
                <w:rFonts w:ascii="Times New Roman" w:hAnsi="宋体" w:cs="Times New Roman"/>
                <w:color w:val="000000"/>
                <w:szCs w:val="24"/>
              </w:rPr>
              <w:t>、</w:t>
            </w:r>
            <w:r>
              <w:rPr>
                <w:rFonts w:ascii="Times New Roman" w:hAnsi="Times New Roman" w:cs="Times New Roman"/>
                <w:color w:val="000000"/>
                <w:szCs w:val="24"/>
              </w:rPr>
              <w:t>O</w:t>
            </w:r>
            <w:r>
              <w:rPr>
                <w:rFonts w:ascii="Times New Roman" w:hAnsi="Times New Roman" w:cs="Times New Roman"/>
                <w:color w:val="000000"/>
                <w:szCs w:val="24"/>
                <w:vertAlign w:val="subscript"/>
              </w:rPr>
              <w:t>3</w:t>
            </w:r>
            <w:r>
              <w:rPr>
                <w:rFonts w:ascii="Times New Roman" w:hAnsi="宋体" w:cs="Times New Roman"/>
                <w:color w:val="000000"/>
                <w:szCs w:val="24"/>
              </w:rPr>
              <w:t>等六项，所监测的</w:t>
            </w:r>
            <w:r>
              <w:rPr>
                <w:rFonts w:ascii="Times New Roman" w:hAnsi="Times New Roman" w:cs="Times New Roman"/>
                <w:color w:val="000000"/>
                <w:szCs w:val="24"/>
              </w:rPr>
              <w:t>6</w:t>
            </w:r>
            <w:r>
              <w:rPr>
                <w:rFonts w:ascii="Times New Roman" w:hAnsi="宋体" w:cs="Times New Roman"/>
                <w:color w:val="000000"/>
                <w:szCs w:val="24"/>
              </w:rPr>
              <w:t>项基本污染物中，</w:t>
            </w:r>
            <w:r>
              <w:rPr>
                <w:rFonts w:ascii="Times New Roman" w:hAnsi="Times New Roman" w:cs="Times New Roman"/>
                <w:color w:val="000000"/>
                <w:szCs w:val="24"/>
              </w:rPr>
              <w:t>PM</w:t>
            </w:r>
            <w:r>
              <w:rPr>
                <w:rFonts w:ascii="Times New Roman" w:hAnsi="Times New Roman" w:cs="Times New Roman"/>
                <w:color w:val="000000"/>
                <w:szCs w:val="24"/>
                <w:vertAlign w:val="subscript"/>
              </w:rPr>
              <w:t>2.5</w:t>
            </w:r>
            <w:r>
              <w:rPr>
                <w:rFonts w:ascii="Times New Roman" w:hAnsi="宋体" w:cs="Times New Roman"/>
                <w:color w:val="000000"/>
                <w:szCs w:val="24"/>
              </w:rPr>
              <w:t>年平均浓度为</w:t>
            </w:r>
            <w:r>
              <w:rPr>
                <w:rFonts w:hint="eastAsia" w:ascii="Times New Roman" w:hAnsi="Times New Roman" w:cs="Times New Roman"/>
                <w:color w:val="000000"/>
                <w:szCs w:val="24"/>
                <w:lang w:val="en-US" w:eastAsia="zh-CN"/>
              </w:rPr>
              <w:t>7</w:t>
            </w:r>
            <w:r>
              <w:rPr>
                <w:rFonts w:ascii="Times New Roman" w:hAnsi="Times New Roman" w:cs="Times New Roman"/>
                <w:color w:val="000000"/>
                <w:szCs w:val="24"/>
              </w:rPr>
              <w:t>μg/</w:t>
            </w:r>
            <w:r>
              <w:rPr>
                <w:rFonts w:hint="eastAsia" w:ascii="Times New Roman" w:hAnsi="Times New Roman" w:cs="Times New Roman"/>
                <w:color w:val="000000"/>
                <w:szCs w:val="24"/>
                <w:lang w:eastAsia="zh-CN"/>
              </w:rPr>
              <w:t>m³</w:t>
            </w:r>
            <w:r>
              <w:rPr>
                <w:rFonts w:ascii="Times New Roman" w:hAnsi="宋体" w:cs="Times New Roman"/>
                <w:color w:val="000000"/>
                <w:szCs w:val="24"/>
              </w:rPr>
              <w:t>，</w:t>
            </w:r>
            <w:r>
              <w:rPr>
                <w:rFonts w:ascii="Times New Roman" w:hAnsi="Times New Roman" w:cs="Times New Roman"/>
                <w:color w:val="000000"/>
                <w:szCs w:val="24"/>
              </w:rPr>
              <w:t>PM</w:t>
            </w:r>
            <w:r>
              <w:rPr>
                <w:rFonts w:ascii="Times New Roman" w:hAnsi="Times New Roman" w:cs="Times New Roman"/>
                <w:color w:val="000000"/>
                <w:szCs w:val="24"/>
                <w:vertAlign w:val="subscript"/>
              </w:rPr>
              <w:t>10</w:t>
            </w:r>
            <w:r>
              <w:rPr>
                <w:rFonts w:ascii="Times New Roman" w:hAnsi="宋体" w:cs="Times New Roman"/>
                <w:color w:val="000000"/>
                <w:szCs w:val="24"/>
              </w:rPr>
              <w:t>年平均浓度为</w:t>
            </w:r>
            <w:r>
              <w:rPr>
                <w:rFonts w:hint="eastAsia" w:ascii="Times New Roman" w:hAnsi="Times New Roman" w:cs="Times New Roman"/>
                <w:color w:val="000000"/>
                <w:szCs w:val="24"/>
                <w:lang w:val="en-US" w:eastAsia="zh-CN"/>
              </w:rPr>
              <w:t>24</w:t>
            </w:r>
            <w:r>
              <w:rPr>
                <w:rFonts w:ascii="Times New Roman" w:hAnsi="Times New Roman" w:cs="Times New Roman"/>
                <w:color w:val="000000"/>
                <w:szCs w:val="24"/>
              </w:rPr>
              <w:t>μg/</w:t>
            </w:r>
            <w:r>
              <w:rPr>
                <w:rFonts w:hint="eastAsia" w:ascii="Times New Roman" w:hAnsi="Times New Roman" w:cs="Times New Roman"/>
                <w:color w:val="000000"/>
                <w:szCs w:val="24"/>
                <w:lang w:eastAsia="zh-CN"/>
              </w:rPr>
              <w:t>m³</w:t>
            </w:r>
            <w:r>
              <w:rPr>
                <w:rFonts w:ascii="Times New Roman" w:hAnsi="宋体" w:cs="Times New Roman"/>
                <w:color w:val="000000"/>
                <w:szCs w:val="24"/>
              </w:rPr>
              <w:t>，</w:t>
            </w:r>
            <w:r>
              <w:rPr>
                <w:rFonts w:ascii="Times New Roman" w:hAnsi="Times New Roman" w:cs="Times New Roman"/>
                <w:color w:val="000000"/>
                <w:szCs w:val="24"/>
              </w:rPr>
              <w:t>SO</w:t>
            </w:r>
            <w:r>
              <w:rPr>
                <w:rFonts w:ascii="Times New Roman" w:hAnsi="Times New Roman" w:cs="Times New Roman"/>
                <w:color w:val="000000"/>
                <w:szCs w:val="24"/>
                <w:vertAlign w:val="subscript"/>
              </w:rPr>
              <w:t>2</w:t>
            </w:r>
            <w:r>
              <w:rPr>
                <w:rFonts w:ascii="Times New Roman" w:hAnsi="宋体" w:cs="Times New Roman"/>
                <w:color w:val="000000"/>
                <w:szCs w:val="24"/>
              </w:rPr>
              <w:t>年平均浓度为</w:t>
            </w:r>
            <w:r>
              <w:rPr>
                <w:rFonts w:hint="eastAsia" w:ascii="Times New Roman" w:hAnsi="Times New Roman" w:cs="Times New Roman"/>
                <w:color w:val="000000"/>
                <w:szCs w:val="24"/>
                <w:lang w:val="en-US" w:eastAsia="zh-CN"/>
              </w:rPr>
              <w:t>9</w:t>
            </w:r>
            <w:r>
              <w:rPr>
                <w:rFonts w:ascii="Times New Roman" w:hAnsi="Times New Roman" w:cs="Times New Roman"/>
                <w:color w:val="000000"/>
                <w:szCs w:val="24"/>
              </w:rPr>
              <w:t>μg/</w:t>
            </w:r>
            <w:r>
              <w:rPr>
                <w:rFonts w:hint="eastAsia" w:ascii="Times New Roman" w:hAnsi="Times New Roman" w:cs="Times New Roman"/>
                <w:color w:val="000000"/>
                <w:szCs w:val="24"/>
                <w:lang w:eastAsia="zh-CN"/>
              </w:rPr>
              <w:t>m³</w:t>
            </w:r>
            <w:r>
              <w:rPr>
                <w:rFonts w:ascii="Times New Roman" w:hAnsi="宋体" w:cs="Times New Roman"/>
                <w:color w:val="000000"/>
                <w:szCs w:val="24"/>
              </w:rPr>
              <w:t>，</w:t>
            </w:r>
            <w:r>
              <w:rPr>
                <w:rFonts w:ascii="Times New Roman" w:hAnsi="Times New Roman" w:cs="Times New Roman"/>
                <w:color w:val="000000"/>
                <w:szCs w:val="24"/>
              </w:rPr>
              <w:t>NO</w:t>
            </w:r>
            <w:r>
              <w:rPr>
                <w:rFonts w:ascii="Times New Roman" w:hAnsi="Times New Roman" w:cs="Times New Roman"/>
                <w:color w:val="000000"/>
                <w:szCs w:val="24"/>
                <w:vertAlign w:val="subscript"/>
              </w:rPr>
              <w:t>2</w:t>
            </w:r>
            <w:r>
              <w:rPr>
                <w:rFonts w:ascii="Times New Roman" w:hAnsi="宋体" w:cs="Times New Roman"/>
                <w:color w:val="000000"/>
                <w:szCs w:val="24"/>
              </w:rPr>
              <w:t>年平均浓度为</w:t>
            </w:r>
            <w:r>
              <w:rPr>
                <w:rFonts w:ascii="Times New Roman" w:hAnsi="Times New Roman" w:cs="Times New Roman"/>
                <w:color w:val="000000"/>
                <w:szCs w:val="24"/>
              </w:rPr>
              <w:t>1</w:t>
            </w:r>
            <w:r>
              <w:rPr>
                <w:rFonts w:hint="eastAsia" w:ascii="Times New Roman" w:hAnsi="Times New Roman" w:cs="Times New Roman"/>
                <w:color w:val="000000"/>
                <w:szCs w:val="24"/>
                <w:lang w:val="en-US" w:eastAsia="zh-CN"/>
              </w:rPr>
              <w:t>0</w:t>
            </w:r>
            <w:r>
              <w:rPr>
                <w:rFonts w:ascii="Times New Roman" w:hAnsi="Times New Roman" w:cs="Times New Roman"/>
                <w:color w:val="000000"/>
                <w:szCs w:val="24"/>
              </w:rPr>
              <w:t>μg/</w:t>
            </w:r>
            <w:r>
              <w:rPr>
                <w:rFonts w:hint="eastAsia" w:ascii="Times New Roman" w:hAnsi="Times New Roman" w:cs="Times New Roman"/>
                <w:color w:val="000000"/>
                <w:szCs w:val="24"/>
                <w:lang w:eastAsia="zh-CN"/>
              </w:rPr>
              <w:t>m³</w:t>
            </w:r>
            <w:r>
              <w:rPr>
                <w:rFonts w:ascii="Times New Roman" w:hAnsi="宋体" w:cs="Times New Roman"/>
                <w:color w:val="000000"/>
                <w:szCs w:val="24"/>
              </w:rPr>
              <w:t>，</w:t>
            </w:r>
            <w:r>
              <w:rPr>
                <w:rFonts w:ascii="Times New Roman" w:hAnsi="Times New Roman" w:cs="Times New Roman"/>
                <w:color w:val="000000"/>
                <w:szCs w:val="24"/>
              </w:rPr>
              <w:t>CO24</w:t>
            </w:r>
            <w:r>
              <w:rPr>
                <w:rFonts w:ascii="Times New Roman" w:hAnsi="宋体" w:cs="Times New Roman"/>
                <w:color w:val="000000"/>
                <w:szCs w:val="24"/>
              </w:rPr>
              <w:t>小时平均百分位浓度为</w:t>
            </w:r>
            <w:r>
              <w:rPr>
                <w:rFonts w:ascii="Times New Roman" w:hAnsi="Times New Roman" w:cs="Times New Roman"/>
                <w:color w:val="000000"/>
                <w:szCs w:val="24"/>
              </w:rPr>
              <w:t>0.</w:t>
            </w:r>
            <w:r>
              <w:rPr>
                <w:rFonts w:hint="eastAsia" w:ascii="Times New Roman" w:hAnsi="Times New Roman" w:cs="Times New Roman"/>
                <w:color w:val="000000"/>
                <w:szCs w:val="24"/>
                <w:lang w:val="en-US" w:eastAsia="zh-CN"/>
              </w:rPr>
              <w:t>7</w:t>
            </w:r>
            <w:r>
              <w:rPr>
                <w:rFonts w:ascii="Times New Roman" w:hAnsi="Times New Roman" w:cs="Times New Roman"/>
                <w:color w:val="000000"/>
                <w:szCs w:val="24"/>
              </w:rPr>
              <w:t>mg/</w:t>
            </w:r>
            <w:r>
              <w:rPr>
                <w:rFonts w:hint="eastAsia" w:ascii="Times New Roman" w:hAnsi="Times New Roman" w:cs="Times New Roman"/>
                <w:color w:val="000000"/>
                <w:szCs w:val="24"/>
                <w:lang w:eastAsia="zh-CN"/>
              </w:rPr>
              <w:t>m³</w:t>
            </w:r>
            <w:r>
              <w:rPr>
                <w:rFonts w:ascii="Times New Roman" w:hAnsi="宋体" w:cs="Times New Roman"/>
                <w:color w:val="000000"/>
                <w:szCs w:val="24"/>
              </w:rPr>
              <w:t>，</w:t>
            </w:r>
            <w:r>
              <w:rPr>
                <w:rFonts w:ascii="Times New Roman" w:hAnsi="Times New Roman" w:cs="Times New Roman"/>
                <w:color w:val="000000"/>
                <w:szCs w:val="24"/>
              </w:rPr>
              <w:t>O</w:t>
            </w:r>
            <w:r>
              <w:rPr>
                <w:rFonts w:ascii="Times New Roman" w:hAnsi="Times New Roman" w:cs="Times New Roman"/>
                <w:color w:val="000000"/>
                <w:szCs w:val="24"/>
                <w:vertAlign w:val="subscript"/>
              </w:rPr>
              <w:t>3</w:t>
            </w:r>
            <w:r>
              <w:rPr>
                <w:rFonts w:ascii="Times New Roman" w:hAnsi="宋体" w:cs="Times New Roman"/>
                <w:color w:val="000000"/>
                <w:szCs w:val="24"/>
              </w:rPr>
              <w:t>日最大</w:t>
            </w:r>
            <w:r>
              <w:rPr>
                <w:rFonts w:ascii="Times New Roman" w:hAnsi="Times New Roman" w:cs="Times New Roman"/>
                <w:color w:val="000000"/>
                <w:szCs w:val="24"/>
              </w:rPr>
              <w:t>8</w:t>
            </w:r>
            <w:r>
              <w:rPr>
                <w:rFonts w:ascii="Times New Roman" w:hAnsi="宋体" w:cs="Times New Roman"/>
                <w:color w:val="000000"/>
                <w:szCs w:val="24"/>
              </w:rPr>
              <w:t>小时平均百分位浓度为</w:t>
            </w:r>
            <w:r>
              <w:rPr>
                <w:rFonts w:ascii="Times New Roman" w:hAnsi="Times New Roman" w:cs="Times New Roman"/>
                <w:color w:val="000000"/>
                <w:szCs w:val="24"/>
              </w:rPr>
              <w:t>1</w:t>
            </w:r>
            <w:r>
              <w:rPr>
                <w:rFonts w:hint="eastAsia" w:ascii="Times New Roman" w:hAnsi="Times New Roman" w:cs="Times New Roman"/>
                <w:color w:val="000000"/>
                <w:szCs w:val="24"/>
                <w:lang w:val="en-US" w:eastAsia="zh-CN"/>
              </w:rPr>
              <w:t>18</w:t>
            </w:r>
            <w:r>
              <w:rPr>
                <w:rFonts w:ascii="Times New Roman" w:hAnsi="Times New Roman" w:cs="Times New Roman"/>
                <w:color w:val="000000"/>
                <w:szCs w:val="24"/>
              </w:rPr>
              <w:t>μg/</w:t>
            </w:r>
            <w:r>
              <w:rPr>
                <w:rFonts w:hint="eastAsia" w:ascii="Times New Roman" w:hAnsi="Times New Roman" w:cs="Times New Roman"/>
                <w:color w:val="000000"/>
                <w:szCs w:val="24"/>
                <w:lang w:eastAsia="zh-CN"/>
              </w:rPr>
              <w:t>m³</w:t>
            </w:r>
            <w:r>
              <w:rPr>
                <w:rFonts w:ascii="Times New Roman" w:hAnsi="宋体" w:cs="Times New Roman"/>
                <w:color w:val="000000"/>
                <w:szCs w:val="24"/>
              </w:rPr>
              <w:t>，其中</w:t>
            </w:r>
            <w:r>
              <w:rPr>
                <w:rFonts w:ascii="Times New Roman" w:hAnsi="Times New Roman" w:cs="Times New Roman"/>
                <w:color w:val="000000"/>
                <w:szCs w:val="24"/>
              </w:rPr>
              <w:t>SO</w:t>
            </w:r>
            <w:r>
              <w:rPr>
                <w:rFonts w:ascii="Times New Roman" w:hAnsi="Times New Roman" w:cs="Times New Roman"/>
                <w:color w:val="000000"/>
                <w:szCs w:val="24"/>
                <w:vertAlign w:val="subscript"/>
              </w:rPr>
              <w:t>2</w:t>
            </w:r>
            <w:r>
              <w:rPr>
                <w:rFonts w:ascii="Times New Roman" w:hAnsi="宋体" w:cs="Times New Roman"/>
                <w:color w:val="000000"/>
                <w:szCs w:val="24"/>
              </w:rPr>
              <w:t>、</w:t>
            </w:r>
            <w:r>
              <w:rPr>
                <w:rFonts w:ascii="Times New Roman" w:hAnsi="Times New Roman" w:cs="Times New Roman"/>
                <w:color w:val="000000"/>
                <w:szCs w:val="24"/>
              </w:rPr>
              <w:t>NO</w:t>
            </w:r>
            <w:r>
              <w:rPr>
                <w:rFonts w:ascii="Times New Roman" w:hAnsi="Times New Roman" w:cs="Times New Roman"/>
                <w:color w:val="000000"/>
                <w:szCs w:val="24"/>
                <w:vertAlign w:val="subscript"/>
              </w:rPr>
              <w:t>2</w:t>
            </w:r>
            <w:r>
              <w:rPr>
                <w:rFonts w:ascii="Times New Roman" w:hAnsi="宋体" w:cs="Times New Roman"/>
                <w:color w:val="000000"/>
                <w:szCs w:val="24"/>
              </w:rPr>
              <w:t>、</w:t>
            </w:r>
            <w:r>
              <w:rPr>
                <w:rFonts w:ascii="Times New Roman" w:hAnsi="Times New Roman" w:cs="Times New Roman"/>
                <w:color w:val="000000"/>
                <w:szCs w:val="24"/>
              </w:rPr>
              <w:t>PM</w:t>
            </w:r>
            <w:r>
              <w:rPr>
                <w:rFonts w:ascii="Times New Roman" w:hAnsi="Times New Roman" w:cs="Times New Roman"/>
                <w:color w:val="000000"/>
                <w:szCs w:val="24"/>
                <w:vertAlign w:val="subscript"/>
              </w:rPr>
              <w:t>10</w:t>
            </w:r>
            <w:r>
              <w:rPr>
                <w:rFonts w:ascii="Times New Roman" w:hAnsi="宋体" w:cs="Times New Roman"/>
                <w:color w:val="000000"/>
                <w:szCs w:val="24"/>
              </w:rPr>
              <w:t>、</w:t>
            </w:r>
            <w:r>
              <w:rPr>
                <w:rFonts w:ascii="Times New Roman" w:hAnsi="Times New Roman" w:cs="Times New Roman"/>
                <w:color w:val="000000"/>
                <w:szCs w:val="24"/>
              </w:rPr>
              <w:t>PM</w:t>
            </w:r>
            <w:r>
              <w:rPr>
                <w:rFonts w:ascii="Times New Roman" w:hAnsi="Times New Roman" w:cs="Times New Roman"/>
                <w:color w:val="000000"/>
                <w:szCs w:val="24"/>
                <w:vertAlign w:val="subscript"/>
              </w:rPr>
              <w:t>2.5</w:t>
            </w:r>
            <w:r>
              <w:rPr>
                <w:rFonts w:ascii="Times New Roman" w:hAnsi="宋体" w:cs="Times New Roman"/>
                <w:color w:val="000000"/>
                <w:szCs w:val="24"/>
              </w:rPr>
              <w:t>年均值浓度低于《环境空气质量标准》（</w:t>
            </w:r>
            <w:r>
              <w:rPr>
                <w:rFonts w:ascii="Times New Roman" w:hAnsi="Times New Roman" w:cs="Times New Roman"/>
                <w:color w:val="000000"/>
                <w:szCs w:val="24"/>
              </w:rPr>
              <w:t>GB3095-2012</w:t>
            </w:r>
            <w:r>
              <w:rPr>
                <w:rFonts w:ascii="Times New Roman" w:hAnsi="宋体" w:cs="Times New Roman"/>
                <w:color w:val="000000"/>
                <w:szCs w:val="24"/>
              </w:rPr>
              <w:t>）及其修改单中规定的标准限值，</w:t>
            </w:r>
            <w:r>
              <w:rPr>
                <w:rFonts w:ascii="Times New Roman" w:hAnsi="Times New Roman" w:cs="Times New Roman"/>
                <w:color w:val="000000"/>
                <w:szCs w:val="24"/>
              </w:rPr>
              <w:t>CO24</w:t>
            </w:r>
            <w:r>
              <w:rPr>
                <w:rFonts w:ascii="Times New Roman" w:hAnsi="宋体" w:cs="Times New Roman"/>
                <w:color w:val="000000"/>
                <w:szCs w:val="24"/>
              </w:rPr>
              <w:t>小时平均浓度和</w:t>
            </w:r>
            <w:r>
              <w:rPr>
                <w:rFonts w:ascii="Times New Roman" w:hAnsi="Times New Roman" w:cs="Times New Roman"/>
                <w:color w:val="000000"/>
                <w:szCs w:val="24"/>
              </w:rPr>
              <w:t>O</w:t>
            </w:r>
            <w:r>
              <w:rPr>
                <w:rFonts w:ascii="Times New Roman" w:hAnsi="Times New Roman" w:cs="Times New Roman"/>
                <w:color w:val="000000"/>
                <w:szCs w:val="24"/>
                <w:vertAlign w:val="subscript"/>
              </w:rPr>
              <w:t>3</w:t>
            </w:r>
            <w:r>
              <w:rPr>
                <w:rFonts w:ascii="Times New Roman" w:hAnsi="宋体" w:cs="Times New Roman"/>
                <w:color w:val="000000"/>
                <w:szCs w:val="24"/>
              </w:rPr>
              <w:t>日最大</w:t>
            </w:r>
            <w:r>
              <w:rPr>
                <w:rFonts w:ascii="Times New Roman" w:hAnsi="Times New Roman" w:cs="Times New Roman"/>
                <w:color w:val="000000"/>
                <w:szCs w:val="24"/>
              </w:rPr>
              <w:t>8</w:t>
            </w:r>
            <w:r>
              <w:rPr>
                <w:rFonts w:ascii="Times New Roman" w:hAnsi="宋体" w:cs="Times New Roman"/>
                <w:color w:val="000000"/>
                <w:szCs w:val="24"/>
              </w:rPr>
              <w:t>小时平均浓度低于《环境空气质量标准》（</w:t>
            </w:r>
            <w:r>
              <w:rPr>
                <w:rFonts w:ascii="Times New Roman" w:hAnsi="Times New Roman" w:cs="Times New Roman"/>
                <w:color w:val="000000"/>
                <w:szCs w:val="24"/>
              </w:rPr>
              <w:t>GB3095-2012</w:t>
            </w:r>
            <w:r>
              <w:rPr>
                <w:rFonts w:ascii="Times New Roman" w:hAnsi="宋体" w:cs="Times New Roman"/>
                <w:color w:val="000000"/>
                <w:szCs w:val="24"/>
              </w:rPr>
              <w:t>）及其修改单中规定的标准限值，区域</w:t>
            </w:r>
            <w:r>
              <w:rPr>
                <w:rFonts w:hint="eastAsia" w:ascii="Times New Roman" w:hAnsi="宋体" w:cs="Times New Roman"/>
                <w:color w:val="000000"/>
                <w:szCs w:val="24"/>
                <w:lang w:val="en-US" w:eastAsia="zh-CN"/>
              </w:rPr>
              <w:t>基本污染物</w:t>
            </w:r>
            <w:r>
              <w:rPr>
                <w:rFonts w:ascii="Times New Roman" w:hAnsi="宋体" w:cs="Times New Roman"/>
                <w:color w:val="000000"/>
                <w:szCs w:val="24"/>
              </w:rPr>
              <w:t>环境质量达标。</w:t>
            </w:r>
          </w:p>
          <w:p>
            <w:pPr>
              <w:pStyle w:val="9"/>
              <w:keepNext/>
              <w:keepLines/>
              <w:pageBreakBefore w:val="0"/>
              <w:widowControl w:val="0"/>
              <w:suppressLineNumbers w:val="0"/>
              <w:kinsoku/>
              <w:wordWrap/>
              <w:overflowPunct/>
              <w:topLinePunct w:val="0"/>
              <w:autoSpaceDE w:val="0"/>
              <w:autoSpaceDN w:val="0"/>
              <w:bidi w:val="0"/>
              <w:adjustRightInd w:val="0"/>
              <w:snapToGrid w:val="0"/>
              <w:spacing w:before="157" w:beforeLines="50" w:beforeAutospacing="0" w:after="0" w:afterAutospacing="0"/>
              <w:ind w:left="0" w:right="0"/>
              <w:textAlignment w:val="auto"/>
              <w:rPr>
                <w:rFonts w:cs="Times New Roman"/>
                <w:color w:val="000000"/>
              </w:rPr>
            </w:pPr>
            <w:r>
              <w:rPr>
                <w:rFonts w:cs="Times New Roman"/>
                <w:color w:val="000000"/>
              </w:rPr>
              <w:t>表</w:t>
            </w:r>
            <w:r>
              <w:rPr>
                <w:rFonts w:hint="eastAsia" w:cs="Times New Roman"/>
                <w:color w:val="000000"/>
                <w:lang w:val="en-US" w:eastAsia="zh-CN"/>
              </w:rPr>
              <w:t>3-1</w:t>
            </w:r>
            <w:r>
              <w:rPr>
                <w:rFonts w:cs="Times New Roman"/>
                <w:color w:val="000000"/>
              </w:rPr>
              <w:t xml:space="preserve">  区域空气质量</w:t>
            </w:r>
            <w:r>
              <w:rPr>
                <w:rFonts w:hint="eastAsia" w:cs="Times New Roman"/>
                <w:color w:val="000000"/>
                <w:lang w:val="en-US" w:eastAsia="zh-CN"/>
              </w:rPr>
              <w:t>基本污染物质量</w:t>
            </w:r>
            <w:r>
              <w:rPr>
                <w:rFonts w:cs="Times New Roman"/>
                <w:color w:val="000000"/>
              </w:rPr>
              <w:t>现状评价表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
              <w:gridCol w:w="1771"/>
              <w:gridCol w:w="947"/>
              <w:gridCol w:w="947"/>
              <w:gridCol w:w="947"/>
              <w:gridCol w:w="947"/>
              <w:gridCol w:w="947"/>
              <w:gridCol w:w="9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3"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污染物</w:t>
                  </w:r>
                </w:p>
              </w:tc>
              <w:tc>
                <w:tcPr>
                  <w:tcW w:w="1059"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年评价指标</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监测</w:t>
                  </w:r>
                </w:p>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浓度</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标准值</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单位</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占标率</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超标</w:t>
                  </w:r>
                </w:p>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倍数</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3"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SO</w:t>
                  </w:r>
                  <w:r>
                    <w:rPr>
                      <w:rFonts w:hint="default" w:ascii="Times New Roman" w:hAnsi="Times New Roman" w:cs="Times New Roman"/>
                      <w:color w:val="000000"/>
                      <w:highlight w:val="none"/>
                      <w:vertAlign w:val="subscript"/>
                      <w:lang w:val="en-US" w:eastAsia="zh-CN"/>
                    </w:rPr>
                    <w:t>2</w:t>
                  </w:r>
                </w:p>
              </w:tc>
              <w:tc>
                <w:tcPr>
                  <w:tcW w:w="1059"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年平均质量浓度</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11</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μg/m³</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18.33</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3"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NO</w:t>
                  </w:r>
                  <w:r>
                    <w:rPr>
                      <w:rFonts w:hint="default" w:ascii="Times New Roman" w:hAnsi="Times New Roman" w:cs="Times New Roman"/>
                      <w:color w:val="000000"/>
                      <w:highlight w:val="none"/>
                      <w:vertAlign w:val="subscript"/>
                      <w:lang w:val="en-US" w:eastAsia="zh-CN"/>
                    </w:rPr>
                    <w:t>2</w:t>
                  </w:r>
                </w:p>
              </w:tc>
              <w:tc>
                <w:tcPr>
                  <w:tcW w:w="1059"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年平均质量浓度</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21</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μg/m³</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52.50</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3"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PM</w:t>
                  </w:r>
                  <w:r>
                    <w:rPr>
                      <w:rFonts w:hint="default" w:ascii="Times New Roman" w:hAnsi="Times New Roman" w:cs="Times New Roman"/>
                      <w:color w:val="000000"/>
                      <w:highlight w:val="none"/>
                      <w:vertAlign w:val="subscript"/>
                      <w:lang w:val="en-US" w:eastAsia="zh-CN"/>
                    </w:rPr>
                    <w:t>10</w:t>
                  </w:r>
                </w:p>
              </w:tc>
              <w:tc>
                <w:tcPr>
                  <w:tcW w:w="1059"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年平均质量浓度</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52</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70</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μg/m³</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74.29</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3"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PM</w:t>
                  </w:r>
                  <w:r>
                    <w:rPr>
                      <w:rFonts w:hint="default" w:ascii="Times New Roman" w:hAnsi="Times New Roman" w:cs="Times New Roman"/>
                      <w:color w:val="000000"/>
                      <w:highlight w:val="none"/>
                      <w:vertAlign w:val="subscript"/>
                      <w:lang w:val="en-US" w:eastAsia="zh-CN"/>
                    </w:rPr>
                    <w:t>2.5</w:t>
                  </w:r>
                </w:p>
              </w:tc>
              <w:tc>
                <w:tcPr>
                  <w:tcW w:w="1059"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年平均质量浓度</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23</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35</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μg/m³</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65.71</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3"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CO</w:t>
                  </w:r>
                </w:p>
              </w:tc>
              <w:tc>
                <w:tcPr>
                  <w:tcW w:w="1059"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95%日平均浓度</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0.9</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mg/m³</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22.50</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3"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O</w:t>
                  </w:r>
                  <w:r>
                    <w:rPr>
                      <w:rFonts w:hint="default" w:ascii="Times New Roman" w:hAnsi="Times New Roman" w:cs="Times New Roman"/>
                      <w:color w:val="000000"/>
                      <w:highlight w:val="none"/>
                      <w:vertAlign w:val="subscript"/>
                      <w:lang w:val="en-US" w:eastAsia="zh-CN"/>
                    </w:rPr>
                    <w:t>3</w:t>
                  </w:r>
                </w:p>
              </w:tc>
              <w:tc>
                <w:tcPr>
                  <w:tcW w:w="1059"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90%8h平均浓度</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139</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160</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μg/m³</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86.87</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566"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r>
          </w:tbl>
          <w:p>
            <w:pPr>
              <w:keepNext w:val="0"/>
              <w:keepLines w:val="0"/>
              <w:suppressLineNumbers w:val="0"/>
              <w:bidi w:val="0"/>
              <w:spacing w:before="0" w:beforeAutospacing="0" w:after="0" w:afterAutospacing="0"/>
              <w:ind w:left="0" w:right="0"/>
              <w:rPr>
                <w:rFonts w:hint="default" w:cs="Times New Roman"/>
                <w:b/>
                <w:bCs/>
                <w:lang w:val="en-US" w:eastAsia="zh-CN"/>
              </w:rPr>
            </w:pPr>
            <w:r>
              <w:rPr>
                <w:rFonts w:hint="eastAsia" w:cs="Times New Roman"/>
                <w:b/>
                <w:bCs/>
                <w:lang w:val="en-US" w:eastAsia="zh-CN"/>
              </w:rPr>
              <w:t>2、地表水环境质量现状</w:t>
            </w:r>
          </w:p>
          <w:p>
            <w:pPr>
              <w:keepNext w:val="0"/>
              <w:keepLines w:val="0"/>
              <w:suppressLineNumbers w:val="0"/>
              <w:bidi w:val="0"/>
              <w:spacing w:before="0" w:beforeAutospacing="0" w:after="0" w:afterAutospacing="0"/>
              <w:ind w:left="0" w:right="0"/>
              <w:rPr>
                <w:rFonts w:hint="eastAsia" w:cs="Times New Roman"/>
                <w:lang w:val="en-US" w:eastAsia="zh-CN"/>
              </w:rPr>
            </w:pPr>
            <w:r>
              <w:rPr>
                <w:rFonts w:hint="eastAsia" w:cs="Times New Roman"/>
                <w:lang w:val="en-US" w:eastAsia="zh-CN"/>
              </w:rPr>
              <w:t>本</w:t>
            </w:r>
            <w:r>
              <w:rPr>
                <w:rFonts w:cs="Times New Roman"/>
                <w:lang w:val="en-US" w:eastAsia="zh-CN"/>
              </w:rPr>
              <w:t>项目</w:t>
            </w:r>
            <w:r>
              <w:rPr>
                <w:rFonts w:hint="eastAsia" w:cs="Times New Roman"/>
                <w:lang w:val="en-US" w:eastAsia="zh-CN"/>
              </w:rPr>
              <w:t>无废水排放，因此，本项目不开展地表水环境质量现状调查。</w:t>
            </w:r>
          </w:p>
          <w:p>
            <w:pPr>
              <w:keepNext w:val="0"/>
              <w:keepLines w:val="0"/>
              <w:suppressLineNumbers w:val="0"/>
              <w:bidi w:val="0"/>
              <w:spacing w:before="0" w:beforeAutospacing="0" w:after="0" w:afterAutospacing="0"/>
              <w:ind w:left="0" w:right="0"/>
              <w:rPr>
                <w:rFonts w:hint="default" w:cs="Times New Roman"/>
                <w:b/>
                <w:bCs/>
                <w:color w:val="auto"/>
                <w:lang w:val="en-US" w:eastAsia="zh-CN"/>
              </w:rPr>
            </w:pPr>
            <w:r>
              <w:rPr>
                <w:rFonts w:hint="eastAsia" w:cs="Times New Roman"/>
                <w:b/>
                <w:bCs/>
                <w:color w:val="auto"/>
                <w:lang w:val="en-US" w:eastAsia="zh-CN"/>
              </w:rPr>
              <w:t>3、声环境质量现状</w:t>
            </w:r>
          </w:p>
          <w:p>
            <w:pPr>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lang w:val="en-US" w:eastAsia="zh-CN"/>
              </w:rPr>
            </w:pPr>
            <w:r>
              <w:rPr>
                <w:rFonts w:ascii="Times New Roman" w:hAnsi="Times New Roman" w:cs="Times New Roman"/>
                <w:color w:val="auto"/>
                <w:kern w:val="2"/>
                <w:u w:val="none" w:color="000000"/>
              </w:rPr>
              <w:drawing>
                <wp:anchor distT="0" distB="0" distL="114300" distR="114300" simplePos="0" relativeHeight="251717632" behindDoc="0" locked="0" layoutInCell="1" allowOverlap="1">
                  <wp:simplePos x="0" y="0"/>
                  <wp:positionH relativeFrom="column">
                    <wp:posOffset>-28575</wp:posOffset>
                  </wp:positionH>
                  <wp:positionV relativeFrom="page">
                    <wp:posOffset>878205</wp:posOffset>
                  </wp:positionV>
                  <wp:extent cx="558165" cy="551815"/>
                  <wp:effectExtent l="0" t="0" r="13335" b="635"/>
                  <wp:wrapNone/>
                  <wp:docPr id="21"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9"/>
                          <pic:cNvPicPr>
                            <a:picLocks noChangeAspect="1"/>
                          </pic:cNvPicPr>
                        </pic:nvPicPr>
                        <pic:blipFill>
                          <a:blip r:embed="rId17"/>
                          <a:srcRect t="9791" b="7525"/>
                          <a:stretch>
                            <a:fillRect/>
                          </a:stretch>
                        </pic:blipFill>
                        <pic:spPr>
                          <a:xfrm>
                            <a:off x="0" y="0"/>
                            <a:ext cx="558165" cy="551815"/>
                          </a:xfrm>
                          <a:prstGeom prst="rect">
                            <a:avLst/>
                          </a:prstGeom>
                          <a:noFill/>
                          <a:ln>
                            <a:noFill/>
                          </a:ln>
                        </pic:spPr>
                      </pic:pic>
                    </a:graphicData>
                  </a:graphic>
                </wp:anchor>
              </w:drawing>
            </w:r>
            <w:r>
              <w:rPr>
                <w:rFonts w:hint="eastAsia" w:ascii="Times New Roman" w:hAnsi="Times New Roman" w:eastAsia="宋体" w:cs="Times New Roman"/>
                <w:color w:val="auto"/>
                <w:lang w:val="en-US" w:eastAsia="zh-CN"/>
              </w:rPr>
              <w:t>①监测点位：共设置</w:t>
            </w:r>
            <w:r>
              <w:rPr>
                <w:rFonts w:hint="eastAsia" w:cs="Times New Roman"/>
                <w:color w:val="auto"/>
                <w:lang w:val="en-US" w:eastAsia="zh-CN"/>
              </w:rPr>
              <w:t>2</w:t>
            </w:r>
            <w:r>
              <w:rPr>
                <w:rFonts w:hint="default" w:ascii="Times New Roman" w:hAnsi="Times New Roman" w:eastAsia="宋体" w:cs="Times New Roman"/>
                <w:color w:val="auto"/>
                <w:lang w:val="en-US" w:eastAsia="zh-CN"/>
              </w:rPr>
              <w:t>处敏感点监测</w:t>
            </w:r>
            <w:r>
              <w:rPr>
                <w:rFonts w:hint="eastAsia" w:ascii="Times New Roman" w:hAnsi="Times New Roman" w:eastAsia="宋体" w:cs="Times New Roman"/>
                <w:color w:val="auto"/>
                <w:lang w:val="en-US" w:eastAsia="zh-CN"/>
              </w:rPr>
              <w:t>，</w:t>
            </w:r>
            <w:r>
              <w:rPr>
                <w:rFonts w:hint="eastAsia" w:cs="Times New Roman"/>
                <w:color w:val="auto"/>
                <w:lang w:val="en-US" w:eastAsia="zh-CN"/>
              </w:rPr>
              <w:t>北侧喜上园小区</w:t>
            </w:r>
            <w:r>
              <w:rPr>
                <w:rFonts w:hint="eastAsia" w:ascii="Times New Roman" w:hAnsi="Times New Roman" w:eastAsia="宋体" w:cs="Times New Roman"/>
                <w:color w:val="auto"/>
                <w:lang w:val="en-US" w:eastAsia="zh-CN"/>
              </w:rPr>
              <w:t>为</w:t>
            </w:r>
            <w:r>
              <w:rPr>
                <w:rFonts w:hint="eastAsia" w:cs="Times New Roman"/>
                <w:color w:val="auto"/>
                <w:lang w:val="en-US" w:eastAsia="zh-CN"/>
              </w:rPr>
              <w:t>5</w:t>
            </w:r>
            <w:r>
              <w:rPr>
                <w:rFonts w:hint="eastAsia" w:ascii="Times New Roman" w:hAnsi="Times New Roman" w:eastAsia="宋体" w:cs="Times New Roman"/>
                <w:color w:val="auto"/>
                <w:lang w:val="en-US" w:eastAsia="zh-CN"/>
              </w:rPr>
              <w:t>层</w:t>
            </w:r>
            <w:r>
              <w:rPr>
                <w:rFonts w:hint="eastAsia" w:cs="Times New Roman"/>
                <w:color w:val="auto"/>
                <w:lang w:val="en-US" w:eastAsia="zh-CN"/>
              </w:rPr>
              <w:t>建筑</w:t>
            </w:r>
            <w:r>
              <w:rPr>
                <w:rFonts w:hint="eastAsia" w:ascii="Times New Roman" w:hAnsi="Times New Roman" w:eastAsia="宋体" w:cs="Times New Roman"/>
                <w:color w:val="auto"/>
                <w:lang w:val="en-US" w:eastAsia="zh-CN"/>
              </w:rPr>
              <w:t>，</w:t>
            </w:r>
            <w:r>
              <w:rPr>
                <w:rFonts w:hint="eastAsia" w:cs="Times New Roman"/>
                <w:color w:val="auto"/>
                <w:lang w:val="en-US" w:eastAsia="zh-CN"/>
              </w:rPr>
              <w:t>西侧金莲花酒店为4层建筑，均</w:t>
            </w:r>
            <w:r>
              <w:rPr>
                <w:rFonts w:hint="eastAsia" w:ascii="Times New Roman" w:hAnsi="Times New Roman" w:eastAsia="宋体" w:cs="Times New Roman"/>
                <w:color w:val="auto"/>
                <w:lang w:val="en-US" w:eastAsia="zh-CN"/>
              </w:rPr>
              <w:t>选择取有代表性的楼层设置</w:t>
            </w:r>
            <w:r>
              <w:rPr>
                <w:rFonts w:hint="default" w:ascii="Times New Roman" w:hAnsi="Times New Roman" w:eastAsia="宋体" w:cs="Times New Roman"/>
                <w:color w:val="auto"/>
                <w:lang w:val="en-US" w:eastAsia="zh-CN"/>
              </w:rPr>
              <w:t>监测</w:t>
            </w:r>
            <w:r>
              <w:rPr>
                <w:rFonts w:hint="eastAsia" w:ascii="Times New Roman" w:hAnsi="Times New Roman" w:eastAsia="宋体" w:cs="Times New Roman"/>
                <w:color w:val="auto"/>
                <w:lang w:val="en-US" w:eastAsia="zh-CN"/>
              </w:rPr>
              <w:t>点</w:t>
            </w:r>
            <w:r>
              <w:rPr>
                <w:rFonts w:hint="default" w:ascii="Times New Roman" w:hAnsi="Times New Roman" w:eastAsia="宋体" w:cs="Times New Roman"/>
                <w:color w:val="auto"/>
                <w:lang w:val="en-US" w:eastAsia="zh-CN"/>
              </w:rPr>
              <w:t>。</w:t>
            </w:r>
          </w:p>
          <w:p>
            <w:pPr>
              <w:keepNext w:val="0"/>
              <w:keepLines w:val="0"/>
              <w:suppressLineNumbers w:val="0"/>
              <w:bidi w:val="0"/>
              <w:spacing w:before="0" w:beforeAutospacing="0" w:after="0" w:afterAutospacing="0"/>
              <w:ind w:left="0" w:leftChars="0" w:right="0" w:firstLine="0" w:firstLineChars="0"/>
              <w:rPr>
                <w:rFonts w:hint="eastAsia" w:ascii="Times New Roman" w:hAnsi="Times New Roman" w:eastAsia="宋体" w:cs="Times New Roman"/>
                <w:color w:val="auto"/>
                <w:lang w:val="en-US" w:eastAsia="zh-CN"/>
              </w:rPr>
            </w:pPr>
            <w:r>
              <w:drawing>
                <wp:inline distT="0" distB="0" distL="114300" distR="114300">
                  <wp:extent cx="5300345" cy="3383280"/>
                  <wp:effectExtent l="0" t="0" r="14605" b="7620"/>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18"/>
                          <a:stretch>
                            <a:fillRect/>
                          </a:stretch>
                        </pic:blipFill>
                        <pic:spPr>
                          <a:xfrm>
                            <a:off x="0" y="0"/>
                            <a:ext cx="5300345" cy="3383280"/>
                          </a:xfrm>
                          <a:prstGeom prst="rect">
                            <a:avLst/>
                          </a:prstGeom>
                          <a:noFill/>
                          <a:ln>
                            <a:noFill/>
                          </a:ln>
                        </pic:spPr>
                      </pic:pic>
                    </a:graphicData>
                  </a:graphic>
                </wp:inline>
              </w:drawing>
            </w:r>
          </w:p>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图3-1  本项目噪声监测点位示意图</w:t>
            </w:r>
          </w:p>
          <w:p>
            <w:pPr>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②监测因子：等效连续A声级（LAeq）。</w:t>
            </w:r>
          </w:p>
          <w:p>
            <w:pPr>
              <w:keepNext w:val="0"/>
              <w:keepLines w:val="0"/>
              <w:suppressLineNumbers w:val="0"/>
              <w:bidi w:val="0"/>
              <w:spacing w:before="0" w:beforeAutospacing="0" w:after="0" w:afterAutospacing="0"/>
              <w:ind w:left="0" w:right="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③监测时间与频次</w:t>
            </w:r>
          </w:p>
          <w:p>
            <w:pPr>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监测时间：2025年</w:t>
            </w:r>
            <w:r>
              <w:rPr>
                <w:rFonts w:hint="eastAsia" w:cs="Times New Roman"/>
                <w:color w:val="auto"/>
                <w:lang w:val="en-US" w:eastAsia="zh-CN"/>
              </w:rPr>
              <w:t>5</w:t>
            </w:r>
            <w:r>
              <w:rPr>
                <w:rFonts w:hint="eastAsia" w:ascii="Times New Roman" w:hAnsi="Times New Roman" w:eastAsia="宋体" w:cs="Times New Roman"/>
                <w:color w:val="auto"/>
                <w:lang w:val="en-US" w:eastAsia="zh-CN"/>
              </w:rPr>
              <w:t>月</w:t>
            </w:r>
            <w:r>
              <w:rPr>
                <w:rFonts w:hint="eastAsia" w:cs="Times New Roman"/>
                <w:color w:val="auto"/>
                <w:lang w:val="en-US" w:eastAsia="zh-CN"/>
              </w:rPr>
              <w:t>29</w:t>
            </w:r>
            <w:r>
              <w:rPr>
                <w:rFonts w:hint="eastAsia" w:ascii="Times New Roman" w:hAnsi="Times New Roman" w:eastAsia="宋体" w:cs="Times New Roman"/>
                <w:color w:val="auto"/>
                <w:lang w:val="en-US" w:eastAsia="zh-CN"/>
              </w:rPr>
              <w:t>日</w:t>
            </w:r>
            <w:r>
              <w:rPr>
                <w:rFonts w:hint="eastAsia" w:cs="Times New Roman"/>
                <w:color w:val="auto"/>
                <w:lang w:val="en-US" w:eastAsia="zh-CN"/>
              </w:rPr>
              <w:t>和6月20日</w:t>
            </w:r>
            <w:r>
              <w:rPr>
                <w:rFonts w:hint="eastAsia" w:ascii="Times New Roman" w:hAnsi="Times New Roman" w:eastAsia="宋体" w:cs="Times New Roman"/>
                <w:color w:val="auto"/>
                <w:lang w:val="en-US" w:eastAsia="zh-CN"/>
              </w:rPr>
              <w:t>；</w:t>
            </w:r>
          </w:p>
          <w:p>
            <w:pPr>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监测频次：监测</w:t>
            </w:r>
            <w:r>
              <w:rPr>
                <w:rFonts w:hint="eastAsia" w:cs="Times New Roman"/>
                <w:color w:val="auto"/>
                <w:lang w:val="en-US" w:eastAsia="zh-CN"/>
              </w:rPr>
              <w:t>1</w:t>
            </w:r>
            <w:r>
              <w:rPr>
                <w:rFonts w:hint="eastAsia" w:ascii="Times New Roman" w:hAnsi="Times New Roman" w:eastAsia="宋体" w:cs="Times New Roman"/>
                <w:color w:val="auto"/>
                <w:lang w:val="en-US" w:eastAsia="zh-CN"/>
              </w:rPr>
              <w:t>天，分昼间（06：00-22：00）和夜间（22：00-06：00）两个时段，昼夜各监测一次。</w:t>
            </w:r>
          </w:p>
          <w:p>
            <w:pPr>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④监测结果</w:t>
            </w:r>
          </w:p>
          <w:p>
            <w:pPr>
              <w:keepNext w:val="0"/>
              <w:keepLines w:val="0"/>
              <w:suppressLineNumbers w:val="0"/>
              <w:bidi w:val="0"/>
              <w:spacing w:before="0" w:beforeAutospacing="0" w:after="0" w:afterAutospacing="0"/>
              <w:ind w:left="0" w:right="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敏感点声环境监测结果见表</w:t>
            </w:r>
            <w:r>
              <w:rPr>
                <w:rFonts w:hint="eastAsia" w:cs="Times New Roman"/>
                <w:color w:val="auto"/>
                <w:lang w:val="en-US" w:eastAsia="zh-CN"/>
              </w:rPr>
              <w:t>3-2</w:t>
            </w:r>
            <w:r>
              <w:rPr>
                <w:rFonts w:hint="eastAsia" w:ascii="Times New Roman" w:hAnsi="Times New Roman" w:eastAsia="宋体" w:cs="Times New Roman"/>
                <w:color w:val="auto"/>
                <w:lang w:val="en-US" w:eastAsia="zh-CN"/>
              </w:rPr>
              <w:t>。</w:t>
            </w:r>
          </w:p>
          <w:p>
            <w:pPr>
              <w:pStyle w:val="9"/>
              <w:keepNext/>
              <w:keepLines/>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表</w:t>
            </w:r>
            <w:r>
              <w:rPr>
                <w:rFonts w:hint="eastAsia" w:cs="Times New Roman"/>
                <w:color w:val="auto"/>
                <w:lang w:val="en-US" w:eastAsia="zh-CN"/>
              </w:rPr>
              <w:t>3-2</w:t>
            </w:r>
            <w:r>
              <w:rPr>
                <w:rFonts w:hint="eastAsia" w:ascii="Times New Roman" w:hAnsi="Times New Roman" w:eastAsia="宋体" w:cs="Times New Roman"/>
                <w:color w:val="auto"/>
                <w:lang w:val="en-US" w:eastAsia="zh-CN"/>
              </w:rPr>
              <w:t xml:space="preserve">  敏感点声环境监测结果表    等效声级LAeq：</w:t>
            </w:r>
            <w:r>
              <w:rPr>
                <w:rFonts w:ascii="Times New Roman" w:hAnsi="Times New Roman" w:cs="Times New Roman"/>
                <w:color w:val="auto"/>
                <w:sz w:val="21"/>
                <w:szCs w:val="21"/>
              </w:rPr>
              <w:t>dB（A）</w:t>
            </w:r>
          </w:p>
          <w:tbl>
            <w:tblPr>
              <w:tblStyle w:val="3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0"/>
              <w:gridCol w:w="1798"/>
              <w:gridCol w:w="1227"/>
              <w:gridCol w:w="1057"/>
              <w:gridCol w:w="3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7" w:hRule="atLeast"/>
                <w:jc w:val="center"/>
              </w:trPr>
              <w:tc>
                <w:tcPr>
                  <w:tcW w:w="538" w:type="pct"/>
                  <w:vMerge w:val="restart"/>
                  <w:tcBorders>
                    <w:top w:val="single" w:color="auto" w:sz="6" w:space="0"/>
                    <w:left w:val="single" w:color="auto" w:sz="4" w:space="0"/>
                    <w:bottom w:val="single" w:color="auto" w:sz="6" w:space="0"/>
                    <w:right w:val="single" w:color="auto" w:sz="6" w:space="0"/>
                  </w:tcBorders>
                  <w:noWrap w:val="0"/>
                  <w:vAlign w:val="center"/>
                </w:tcPr>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rPr>
                      <w:rFonts w:cs="Times New Roman"/>
                      <w:color w:val="auto"/>
                      <w:sz w:val="21"/>
                      <w:szCs w:val="21"/>
                    </w:rPr>
                  </w:pPr>
                  <w:r>
                    <w:rPr>
                      <w:rFonts w:cs="Times New Roman"/>
                      <w:color w:val="auto"/>
                      <w:sz w:val="21"/>
                      <w:szCs w:val="21"/>
                    </w:rPr>
                    <w:t>序号</w:t>
                  </w:r>
                </w:p>
              </w:tc>
              <w:tc>
                <w:tcPr>
                  <w:tcW w:w="1075" w:type="pct"/>
                  <w:vMerge w:val="restart"/>
                  <w:tcBorders>
                    <w:top w:val="single" w:color="auto" w:sz="6" w:space="0"/>
                    <w:left w:val="single" w:color="auto" w:sz="6" w:space="0"/>
                    <w:bottom w:val="single" w:color="auto" w:sz="6" w:space="0"/>
                    <w:right w:val="single" w:color="auto" w:sz="6" w:space="0"/>
                  </w:tcBorders>
                  <w:noWrap w:val="0"/>
                  <w:vAlign w:val="center"/>
                </w:tcPr>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rPr>
                      <w:rFonts w:cs="Times New Roman"/>
                      <w:color w:val="auto"/>
                      <w:sz w:val="21"/>
                      <w:szCs w:val="21"/>
                    </w:rPr>
                  </w:pPr>
                  <w:r>
                    <w:rPr>
                      <w:rFonts w:cs="Times New Roman"/>
                      <w:color w:val="auto"/>
                      <w:sz w:val="21"/>
                      <w:szCs w:val="21"/>
                    </w:rPr>
                    <w:t>监测点</w:t>
                  </w:r>
                </w:p>
              </w:tc>
              <w:tc>
                <w:tcPr>
                  <w:tcW w:w="1366" w:type="pct"/>
                  <w:gridSpan w:val="2"/>
                  <w:tcBorders>
                    <w:top w:val="single" w:color="auto" w:sz="6" w:space="0"/>
                    <w:left w:val="single" w:color="auto" w:sz="6" w:space="0"/>
                    <w:bottom w:val="single" w:color="auto" w:sz="6" w:space="0"/>
                    <w:right w:val="single" w:color="auto" w:sz="4" w:space="0"/>
                  </w:tcBorders>
                  <w:noWrap w:val="0"/>
                  <w:vAlign w:val="center"/>
                </w:tcPr>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rPr>
                      <w:rFonts w:hint="eastAsia" w:eastAsia="宋体" w:cs="Times New Roman"/>
                      <w:color w:val="auto"/>
                      <w:sz w:val="21"/>
                      <w:szCs w:val="21"/>
                      <w:lang w:eastAsia="zh-CN"/>
                    </w:rPr>
                  </w:pPr>
                  <w:r>
                    <w:rPr>
                      <w:rFonts w:cs="Times New Roman"/>
                      <w:color w:val="auto"/>
                      <w:sz w:val="21"/>
                      <w:szCs w:val="21"/>
                    </w:rPr>
                    <w:t>监测结果</w:t>
                  </w:r>
                </w:p>
              </w:tc>
              <w:tc>
                <w:tcPr>
                  <w:tcW w:w="2019" w:type="pct"/>
                  <w:vMerge w:val="restart"/>
                  <w:tcBorders>
                    <w:top w:val="single" w:color="auto" w:sz="6" w:space="0"/>
                    <w:left w:val="single" w:color="auto" w:sz="6" w:space="0"/>
                    <w:bottom w:val="single" w:color="auto" w:sz="6" w:space="0"/>
                    <w:right w:val="single" w:color="auto" w:sz="6" w:space="0"/>
                  </w:tcBorders>
                  <w:noWrap w:val="0"/>
                  <w:vAlign w:val="center"/>
                </w:tcPr>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《声环境质量标准》</w:t>
                  </w:r>
                </w:p>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textAlignment w:val="baseline"/>
                    <w:rPr>
                      <w:rFonts w:cs="Times New Roman"/>
                      <w:color w:val="auto"/>
                      <w:sz w:val="21"/>
                      <w:szCs w:val="21"/>
                    </w:rPr>
                  </w:pPr>
                  <w:r>
                    <w:rPr>
                      <w:rFonts w:cs="Times New Roman"/>
                      <w:bCs/>
                      <w:color w:val="auto"/>
                      <w:sz w:val="21"/>
                      <w:szCs w:val="21"/>
                    </w:rPr>
                    <w:t>（GB3096-2008）</w:t>
                  </w:r>
                  <w:r>
                    <w:rPr>
                      <w:rFonts w:hint="eastAsia" w:cs="Times New Roman"/>
                      <w:bCs/>
                      <w:color w:val="auto"/>
                      <w:sz w:val="21"/>
                      <w:szCs w:val="21"/>
                      <w:lang w:val="en-US" w:eastAsia="zh-CN"/>
                    </w:rPr>
                    <w:t>1</w:t>
                  </w:r>
                  <w:r>
                    <w:rPr>
                      <w:rFonts w:cs="Times New Roman"/>
                      <w:bCs/>
                      <w:color w:val="auto"/>
                      <w:sz w:val="21"/>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7" w:hRule="atLeast"/>
                <w:jc w:val="center"/>
              </w:trPr>
              <w:tc>
                <w:tcPr>
                  <w:tcW w:w="538" w:type="pct"/>
                  <w:vMerge w:val="continue"/>
                  <w:tcBorders>
                    <w:top w:val="single" w:color="auto" w:sz="6" w:space="0"/>
                    <w:left w:val="single" w:color="auto" w:sz="4" w:space="0"/>
                    <w:bottom w:val="single" w:color="auto" w:sz="6" w:space="0"/>
                    <w:right w:val="single" w:color="auto" w:sz="6" w:space="0"/>
                  </w:tcBorders>
                  <w:noWrap w:val="0"/>
                  <w:vAlign w:val="center"/>
                </w:tcPr>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rPr>
                      <w:rFonts w:cs="Times New Roman"/>
                      <w:color w:val="auto"/>
                      <w:sz w:val="21"/>
                      <w:szCs w:val="21"/>
                    </w:rPr>
                  </w:pPr>
                </w:p>
              </w:tc>
              <w:tc>
                <w:tcPr>
                  <w:tcW w:w="1075" w:type="pct"/>
                  <w:vMerge w:val="continue"/>
                  <w:tcBorders>
                    <w:top w:val="single" w:color="auto" w:sz="6" w:space="0"/>
                    <w:left w:val="single" w:color="auto" w:sz="6" w:space="0"/>
                    <w:bottom w:val="single" w:color="auto" w:sz="6" w:space="0"/>
                    <w:right w:val="single" w:color="auto" w:sz="6" w:space="0"/>
                  </w:tcBorders>
                  <w:noWrap w:val="0"/>
                  <w:vAlign w:val="center"/>
                </w:tcPr>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rPr>
                      <w:rFonts w:cs="Times New Roman"/>
                      <w:color w:val="auto"/>
                      <w:sz w:val="21"/>
                      <w:szCs w:val="21"/>
                    </w:rPr>
                  </w:pPr>
                </w:p>
              </w:tc>
              <w:tc>
                <w:tcPr>
                  <w:tcW w:w="734" w:type="pct"/>
                  <w:tcBorders>
                    <w:top w:val="single" w:color="auto" w:sz="6" w:space="0"/>
                    <w:left w:val="single" w:color="auto" w:sz="6" w:space="0"/>
                    <w:bottom w:val="single" w:color="auto" w:sz="6" w:space="0"/>
                    <w:right w:val="single" w:color="auto" w:sz="6" w:space="0"/>
                  </w:tcBorders>
                  <w:noWrap w:val="0"/>
                  <w:vAlign w:val="center"/>
                </w:tcPr>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rPr>
                      <w:rFonts w:cs="Times New Roman"/>
                      <w:color w:val="auto"/>
                      <w:sz w:val="21"/>
                      <w:szCs w:val="21"/>
                    </w:rPr>
                  </w:pPr>
                  <w:r>
                    <w:rPr>
                      <w:rFonts w:cs="Times New Roman"/>
                      <w:color w:val="auto"/>
                      <w:sz w:val="21"/>
                      <w:szCs w:val="21"/>
                    </w:rPr>
                    <w:t>昼间</w:t>
                  </w:r>
                </w:p>
              </w:tc>
              <w:tc>
                <w:tcPr>
                  <w:tcW w:w="632" w:type="pct"/>
                  <w:tcBorders>
                    <w:top w:val="single" w:color="auto" w:sz="6" w:space="0"/>
                    <w:left w:val="single" w:color="auto" w:sz="6" w:space="0"/>
                    <w:bottom w:val="single" w:color="auto" w:sz="6" w:space="0"/>
                    <w:right w:val="single" w:color="auto" w:sz="4" w:space="0"/>
                  </w:tcBorders>
                  <w:noWrap w:val="0"/>
                  <w:vAlign w:val="center"/>
                </w:tcPr>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rPr>
                      <w:rFonts w:cs="Times New Roman"/>
                      <w:color w:val="auto"/>
                      <w:sz w:val="21"/>
                      <w:szCs w:val="21"/>
                    </w:rPr>
                  </w:pPr>
                  <w:r>
                    <w:rPr>
                      <w:rFonts w:cs="Times New Roman"/>
                      <w:color w:val="auto"/>
                      <w:sz w:val="21"/>
                      <w:szCs w:val="21"/>
                    </w:rPr>
                    <w:t>夜间</w:t>
                  </w:r>
                </w:p>
              </w:tc>
              <w:tc>
                <w:tcPr>
                  <w:tcW w:w="2019" w:type="pct"/>
                  <w:vMerge w:val="continue"/>
                  <w:tcBorders>
                    <w:top w:val="single" w:color="auto" w:sz="6" w:space="0"/>
                    <w:left w:val="single" w:color="auto" w:sz="6" w:space="0"/>
                    <w:bottom w:val="single" w:color="auto" w:sz="6" w:space="0"/>
                    <w:right w:val="single" w:color="auto" w:sz="6" w:space="0"/>
                  </w:tcBorders>
                  <w:noWrap w:val="0"/>
                  <w:vAlign w:val="center"/>
                </w:tcPr>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rPr>
                      <w:rFonts w:cs="Times New Roman"/>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38" w:type="pct"/>
                  <w:tcBorders>
                    <w:top w:val="single" w:color="auto" w:sz="6" w:space="0"/>
                    <w:left w:val="single" w:color="auto" w:sz="4" w:space="0"/>
                    <w:bottom w:val="single" w:color="auto" w:sz="6" w:space="0"/>
                    <w:right w:val="single" w:color="auto" w:sz="6" w:space="0"/>
                  </w:tcBorders>
                  <w:noWrap w:val="0"/>
                  <w:vAlign w:val="center"/>
                </w:tcPr>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rPr>
                      <w:rFonts w:cs="Times New Roman"/>
                      <w:color w:val="auto"/>
                      <w:sz w:val="21"/>
                      <w:szCs w:val="21"/>
                    </w:rPr>
                  </w:pPr>
                  <w:r>
                    <w:rPr>
                      <w:rFonts w:cs="Times New Roman"/>
                      <w:color w:val="auto"/>
                      <w:sz w:val="21"/>
                      <w:szCs w:val="21"/>
                    </w:rPr>
                    <w:t>1</w:t>
                  </w:r>
                </w:p>
              </w:tc>
              <w:tc>
                <w:tcPr>
                  <w:tcW w:w="1075" w:type="pct"/>
                  <w:tcBorders>
                    <w:top w:val="single" w:color="auto" w:sz="6" w:space="0"/>
                    <w:left w:val="single" w:color="auto" w:sz="6" w:space="0"/>
                    <w:bottom w:val="single" w:color="auto" w:sz="6" w:space="0"/>
                    <w:right w:val="single" w:color="auto" w:sz="6" w:space="0"/>
                  </w:tcBorders>
                  <w:noWrap w:val="0"/>
                  <w:vAlign w:val="center"/>
                </w:tcPr>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eastAsia="宋体"/>
                      <w:color w:val="auto"/>
                      <w:sz w:val="21"/>
                      <w:szCs w:val="21"/>
                      <w:lang w:val="en-US" w:eastAsia="zh-CN"/>
                    </w:rPr>
                  </w:pPr>
                  <w:r>
                    <w:rPr>
                      <w:rFonts w:hint="eastAsia" w:cs="Times New Roman"/>
                      <w:color w:val="auto"/>
                      <w:sz w:val="21"/>
                      <w:szCs w:val="21"/>
                      <w:lang w:val="en-US" w:eastAsia="zh-CN"/>
                    </w:rPr>
                    <w:t>喜上园小区</w:t>
                  </w:r>
                  <w:r>
                    <w:rPr>
                      <w:rFonts w:hint="eastAsia" w:ascii="Times New Roman" w:hAnsi="Times New Roman" w:eastAsia="宋体" w:cs="Times New Roman"/>
                      <w:color w:val="auto"/>
                      <w:sz w:val="21"/>
                      <w:szCs w:val="21"/>
                      <w:lang w:val="en-US" w:eastAsia="zh-CN"/>
                    </w:rPr>
                    <w:t>-1层</w:t>
                  </w:r>
                </w:p>
              </w:tc>
              <w:tc>
                <w:tcPr>
                  <w:tcW w:w="734"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suppressLineNumbers w:val="0"/>
                    <w:wordWrap/>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eastAsia="Calibri"/>
                      <w:color w:val="auto"/>
                      <w:sz w:val="21"/>
                      <w:szCs w:val="21"/>
                      <w:lang w:val="en-US"/>
                    </w:rPr>
                  </w:pPr>
                  <w:r>
                    <w:rPr>
                      <w:rFonts w:hint="eastAsia" w:cs="Times New Roman"/>
                      <w:color w:val="auto"/>
                      <w:sz w:val="21"/>
                      <w:szCs w:val="21"/>
                      <w:highlight w:val="none"/>
                      <w:lang w:val="en-US" w:eastAsia="zh-CN"/>
                    </w:rPr>
                    <w:t>48</w:t>
                  </w:r>
                </w:p>
              </w:tc>
              <w:tc>
                <w:tcPr>
                  <w:tcW w:w="632" w:type="pct"/>
                  <w:tcBorders>
                    <w:top w:val="single" w:color="auto" w:sz="6" w:space="0"/>
                    <w:left w:val="single" w:color="auto" w:sz="6" w:space="0"/>
                    <w:bottom w:val="single" w:color="auto" w:sz="6" w:space="0"/>
                    <w:right w:val="single" w:color="auto" w:sz="4" w:space="0"/>
                  </w:tcBorders>
                  <w:noWrap w:val="0"/>
                  <w:vAlign w:val="center"/>
                </w:tcPr>
                <w:p>
                  <w:pPr>
                    <w:keepNext w:val="0"/>
                    <w:keepLines w:val="0"/>
                    <w:pageBreakBefore w:val="0"/>
                    <w:widowControl w:val="0"/>
                    <w:suppressLineNumbers w:val="0"/>
                    <w:wordWrap/>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s="Times New Roman"/>
                      <w:color w:val="auto"/>
                      <w:sz w:val="21"/>
                      <w:szCs w:val="21"/>
                      <w:highlight w:val="none"/>
                      <w:lang w:val="en-US" w:eastAsia="zh-CN"/>
                    </w:rPr>
                    <w:t>43</w:t>
                  </w:r>
                </w:p>
              </w:tc>
              <w:tc>
                <w:tcPr>
                  <w:tcW w:w="2019" w:type="pct"/>
                  <w:vMerge w:val="restart"/>
                  <w:tcBorders>
                    <w:top w:val="single" w:color="auto" w:sz="6" w:space="0"/>
                    <w:left w:val="single" w:color="auto" w:sz="6" w:space="0"/>
                    <w:right w:val="single" w:color="auto" w:sz="6" w:space="0"/>
                  </w:tcBorders>
                  <w:noWrap w:val="0"/>
                  <w:vAlign w:val="center"/>
                </w:tcPr>
                <w:p>
                  <w:pPr>
                    <w:pStyle w:val="176"/>
                    <w:keepNext w:val="0"/>
                    <w:keepLines w:val="0"/>
                    <w:pageBreakBefore w:val="0"/>
                    <w:widowControl w:val="0"/>
                    <w:suppressLineNumbers w:val="0"/>
                    <w:wordWrap/>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昼间</w:t>
                  </w:r>
                  <w:r>
                    <w:rPr>
                      <w:rFonts w:hint="eastAsia" w:ascii="Times New Roman" w:hAnsi="Times New Roman" w:cs="Times New Roman"/>
                      <w:color w:val="auto"/>
                      <w:sz w:val="21"/>
                      <w:szCs w:val="21"/>
                      <w:lang w:val="en-US" w:eastAsia="zh-CN"/>
                    </w:rPr>
                    <w:t>55</w:t>
                  </w:r>
                  <w:r>
                    <w:rPr>
                      <w:rFonts w:ascii="Times New Roman" w:hAnsi="Times New Roman" w:cs="Times New Roman"/>
                      <w:color w:val="auto"/>
                      <w:sz w:val="21"/>
                      <w:szCs w:val="21"/>
                    </w:rPr>
                    <w:t>dB（A）</w:t>
                  </w:r>
                </w:p>
                <w:p>
                  <w:pPr>
                    <w:pStyle w:val="176"/>
                    <w:keepNext w:val="0"/>
                    <w:keepLines w:val="0"/>
                    <w:pageBreakBefore w:val="0"/>
                    <w:widowControl w:val="0"/>
                    <w:suppressLineNumbers w:val="0"/>
                    <w:wordWrap/>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夜间</w:t>
                  </w:r>
                  <w:r>
                    <w:rPr>
                      <w:rFonts w:hint="eastAsia" w:ascii="Times New Roman" w:hAnsi="Times New Roman" w:cs="Times New Roman"/>
                      <w:color w:val="auto"/>
                      <w:sz w:val="21"/>
                      <w:szCs w:val="21"/>
                      <w:lang w:val="en-US" w:eastAsia="zh-CN"/>
                    </w:rPr>
                    <w:t>45</w:t>
                  </w:r>
                  <w:r>
                    <w:rPr>
                      <w:rFonts w:ascii="Times New Roman" w:hAnsi="Times New Roman" w:cs="Times New Roman"/>
                      <w:color w:val="auto"/>
                      <w:sz w:val="21"/>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38" w:type="pct"/>
                  <w:tcBorders>
                    <w:top w:val="single" w:color="auto" w:sz="6" w:space="0"/>
                    <w:left w:val="single" w:color="auto" w:sz="4" w:space="0"/>
                    <w:bottom w:val="single" w:color="auto" w:sz="6" w:space="0"/>
                    <w:right w:val="single" w:color="auto" w:sz="6" w:space="0"/>
                  </w:tcBorders>
                  <w:noWrap w:val="0"/>
                  <w:vAlign w:val="center"/>
                </w:tcPr>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rPr>
                      <w:rFonts w:cs="Times New Roman"/>
                      <w:color w:val="auto"/>
                      <w:sz w:val="21"/>
                      <w:szCs w:val="21"/>
                    </w:rPr>
                  </w:pPr>
                  <w:r>
                    <w:rPr>
                      <w:rFonts w:cs="Times New Roman"/>
                      <w:color w:val="auto"/>
                      <w:sz w:val="21"/>
                      <w:szCs w:val="21"/>
                    </w:rPr>
                    <w:t>2</w:t>
                  </w:r>
                </w:p>
              </w:tc>
              <w:tc>
                <w:tcPr>
                  <w:tcW w:w="1075" w:type="pct"/>
                  <w:tcBorders>
                    <w:top w:val="single" w:color="auto" w:sz="6" w:space="0"/>
                    <w:left w:val="single" w:color="auto" w:sz="6" w:space="0"/>
                    <w:bottom w:val="single" w:color="auto" w:sz="6" w:space="0"/>
                    <w:right w:val="single" w:color="auto" w:sz="6" w:space="0"/>
                  </w:tcBorders>
                  <w:noWrap w:val="0"/>
                  <w:vAlign w:val="center"/>
                </w:tcPr>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eastAsia="宋体"/>
                      <w:color w:val="auto"/>
                      <w:sz w:val="21"/>
                      <w:szCs w:val="21"/>
                      <w:lang w:eastAsia="zh-CN"/>
                    </w:rPr>
                  </w:pPr>
                  <w:r>
                    <w:rPr>
                      <w:rFonts w:hint="eastAsia" w:cs="Times New Roman"/>
                      <w:color w:val="auto"/>
                      <w:sz w:val="21"/>
                      <w:szCs w:val="21"/>
                      <w:lang w:val="en-US" w:eastAsia="zh-CN"/>
                    </w:rPr>
                    <w:t>喜上园小区</w:t>
                  </w:r>
                  <w:r>
                    <w:rPr>
                      <w:rFonts w:hint="eastAsia" w:ascii="Times New Roman" w:hAnsi="Times New Roman" w:eastAsia="宋体" w:cs="Times New Roman"/>
                      <w:color w:val="auto"/>
                      <w:sz w:val="21"/>
                      <w:szCs w:val="21"/>
                      <w:lang w:val="en-US" w:eastAsia="zh-CN"/>
                    </w:rPr>
                    <w:t>-3层</w:t>
                  </w:r>
                </w:p>
              </w:tc>
              <w:tc>
                <w:tcPr>
                  <w:tcW w:w="734"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suppressLineNumbers w:val="0"/>
                    <w:wordWrap/>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s="Times New Roman"/>
                      <w:color w:val="auto"/>
                      <w:sz w:val="21"/>
                      <w:szCs w:val="21"/>
                      <w:highlight w:val="none"/>
                      <w:lang w:val="en-US" w:eastAsia="zh-CN"/>
                    </w:rPr>
                    <w:t>47</w:t>
                  </w:r>
                </w:p>
              </w:tc>
              <w:tc>
                <w:tcPr>
                  <w:tcW w:w="632" w:type="pct"/>
                  <w:tcBorders>
                    <w:top w:val="single" w:color="auto" w:sz="6" w:space="0"/>
                    <w:left w:val="single" w:color="auto" w:sz="6" w:space="0"/>
                    <w:bottom w:val="single" w:color="auto" w:sz="6" w:space="0"/>
                    <w:right w:val="single" w:color="auto" w:sz="4" w:space="0"/>
                  </w:tcBorders>
                  <w:noWrap w:val="0"/>
                  <w:vAlign w:val="center"/>
                </w:tcPr>
                <w:p>
                  <w:pPr>
                    <w:keepNext w:val="0"/>
                    <w:keepLines w:val="0"/>
                    <w:pageBreakBefore w:val="0"/>
                    <w:widowControl w:val="0"/>
                    <w:suppressLineNumbers w:val="0"/>
                    <w:wordWrap/>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s="Times New Roman"/>
                      <w:color w:val="auto"/>
                      <w:sz w:val="21"/>
                      <w:szCs w:val="21"/>
                      <w:highlight w:val="none"/>
                      <w:lang w:val="en-US" w:eastAsia="zh-CN"/>
                    </w:rPr>
                    <w:t>42</w:t>
                  </w:r>
                </w:p>
              </w:tc>
              <w:tc>
                <w:tcPr>
                  <w:tcW w:w="2019" w:type="pct"/>
                  <w:vMerge w:val="continue"/>
                  <w:tcBorders>
                    <w:left w:val="single" w:color="auto" w:sz="6" w:space="0"/>
                    <w:right w:val="single" w:color="auto" w:sz="6" w:space="0"/>
                  </w:tcBorders>
                  <w:noWrap w:val="0"/>
                  <w:vAlign w:val="center"/>
                </w:tcPr>
                <w:p>
                  <w:pPr>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38" w:type="pct"/>
                  <w:tcBorders>
                    <w:top w:val="single" w:color="auto" w:sz="6" w:space="0"/>
                    <w:left w:val="single" w:color="auto" w:sz="4" w:space="0"/>
                    <w:bottom w:val="single" w:color="auto" w:sz="6" w:space="0"/>
                    <w:right w:val="single" w:color="auto" w:sz="6" w:space="0"/>
                  </w:tcBorders>
                  <w:noWrap w:val="0"/>
                  <w:vAlign w:val="center"/>
                </w:tcPr>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rPr>
                      <w:rFonts w:hint="eastAsia" w:eastAsia="宋体" w:cs="Times New Roman"/>
                      <w:color w:val="auto"/>
                      <w:sz w:val="21"/>
                      <w:szCs w:val="21"/>
                      <w:lang w:val="en-US" w:eastAsia="zh-CN"/>
                    </w:rPr>
                  </w:pPr>
                  <w:r>
                    <w:rPr>
                      <w:rFonts w:hint="eastAsia" w:cs="Times New Roman"/>
                      <w:color w:val="auto"/>
                      <w:sz w:val="21"/>
                      <w:szCs w:val="21"/>
                      <w:lang w:val="en-US" w:eastAsia="zh-CN"/>
                    </w:rPr>
                    <w:t>3</w:t>
                  </w:r>
                </w:p>
              </w:tc>
              <w:tc>
                <w:tcPr>
                  <w:tcW w:w="1075" w:type="pct"/>
                  <w:tcBorders>
                    <w:top w:val="single" w:color="auto" w:sz="6" w:space="0"/>
                    <w:left w:val="single" w:color="auto" w:sz="6" w:space="0"/>
                    <w:bottom w:val="single" w:color="auto" w:sz="6" w:space="0"/>
                    <w:right w:val="single" w:color="auto" w:sz="6" w:space="0"/>
                  </w:tcBorders>
                  <w:noWrap w:val="0"/>
                  <w:vAlign w:val="center"/>
                </w:tcPr>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color w:val="auto"/>
                      <w:lang w:val="en-US" w:eastAsia="zh-CN"/>
                    </w:rPr>
                  </w:pPr>
                  <w:r>
                    <w:rPr>
                      <w:rFonts w:hint="eastAsia" w:cs="Times New Roman"/>
                      <w:color w:val="auto"/>
                      <w:sz w:val="21"/>
                      <w:szCs w:val="21"/>
                      <w:lang w:val="en-US" w:eastAsia="zh-CN"/>
                    </w:rPr>
                    <w:t>喜上园小区</w:t>
                  </w:r>
                  <w:r>
                    <w:rPr>
                      <w:rFonts w:hint="eastAsia" w:ascii="Times New Roman" w:hAnsi="Times New Roman" w:eastAsia="宋体" w:cs="Times New Roman"/>
                      <w:color w:val="auto"/>
                      <w:sz w:val="21"/>
                      <w:szCs w:val="21"/>
                      <w:lang w:val="en-US" w:eastAsia="zh-CN"/>
                    </w:rPr>
                    <w:t>-5层</w:t>
                  </w:r>
                </w:p>
              </w:tc>
              <w:tc>
                <w:tcPr>
                  <w:tcW w:w="734"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suppressLineNumbers w:val="0"/>
                    <w:wordWrap/>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45</w:t>
                  </w:r>
                </w:p>
              </w:tc>
              <w:tc>
                <w:tcPr>
                  <w:tcW w:w="632" w:type="pct"/>
                  <w:tcBorders>
                    <w:top w:val="single" w:color="auto" w:sz="6" w:space="0"/>
                    <w:left w:val="single" w:color="auto" w:sz="6" w:space="0"/>
                    <w:bottom w:val="single" w:color="auto" w:sz="6" w:space="0"/>
                    <w:right w:val="single" w:color="auto" w:sz="4" w:space="0"/>
                  </w:tcBorders>
                  <w:noWrap w:val="0"/>
                  <w:vAlign w:val="center"/>
                </w:tcPr>
                <w:p>
                  <w:pPr>
                    <w:keepNext w:val="0"/>
                    <w:keepLines w:val="0"/>
                    <w:pageBreakBefore w:val="0"/>
                    <w:widowControl w:val="0"/>
                    <w:suppressLineNumbers w:val="0"/>
                    <w:wordWrap/>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41</w:t>
                  </w:r>
                </w:p>
              </w:tc>
              <w:tc>
                <w:tcPr>
                  <w:tcW w:w="2019" w:type="pct"/>
                  <w:vMerge w:val="continue"/>
                  <w:tcBorders>
                    <w:left w:val="single" w:color="auto" w:sz="6" w:space="0"/>
                    <w:right w:val="single" w:color="auto" w:sz="6" w:space="0"/>
                  </w:tcBorders>
                  <w:noWrap w:val="0"/>
                  <w:vAlign w:val="center"/>
                </w:tcPr>
                <w:p>
                  <w:pPr>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38" w:type="pct"/>
                  <w:tcBorders>
                    <w:top w:val="single" w:color="auto" w:sz="6" w:space="0"/>
                    <w:left w:val="single" w:color="auto" w:sz="4" w:space="0"/>
                    <w:bottom w:val="single" w:color="auto" w:sz="6" w:space="0"/>
                    <w:right w:val="single" w:color="auto" w:sz="6" w:space="0"/>
                  </w:tcBorders>
                  <w:noWrap w:val="0"/>
                  <w:vAlign w:val="center"/>
                </w:tcPr>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rPr>
                      <w:rFonts w:hint="default" w:cs="Times New Roman"/>
                      <w:color w:val="auto"/>
                      <w:sz w:val="21"/>
                      <w:szCs w:val="21"/>
                      <w:lang w:val="en-US" w:eastAsia="zh-CN"/>
                    </w:rPr>
                  </w:pPr>
                  <w:r>
                    <w:rPr>
                      <w:rFonts w:hint="eastAsia" w:cs="Times New Roman"/>
                      <w:color w:val="auto"/>
                      <w:sz w:val="21"/>
                      <w:szCs w:val="21"/>
                      <w:lang w:val="en-US" w:eastAsia="zh-CN"/>
                    </w:rPr>
                    <w:t>4</w:t>
                  </w:r>
                </w:p>
              </w:tc>
              <w:tc>
                <w:tcPr>
                  <w:tcW w:w="1075" w:type="pct"/>
                  <w:tcBorders>
                    <w:top w:val="single" w:color="auto" w:sz="6" w:space="0"/>
                    <w:left w:val="single" w:color="auto" w:sz="6" w:space="0"/>
                    <w:bottom w:val="single" w:color="auto" w:sz="6" w:space="0"/>
                    <w:right w:val="single" w:color="auto" w:sz="6" w:space="0"/>
                  </w:tcBorders>
                  <w:noWrap w:val="0"/>
                  <w:vAlign w:val="center"/>
                </w:tcPr>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cs="Times New Roman"/>
                      <w:color w:val="auto"/>
                      <w:sz w:val="21"/>
                      <w:szCs w:val="21"/>
                      <w:lang w:val="en-US" w:eastAsia="zh-CN"/>
                    </w:rPr>
                  </w:pPr>
                  <w:r>
                    <w:rPr>
                      <w:rFonts w:hint="eastAsia" w:cs="Times New Roman"/>
                      <w:color w:val="auto"/>
                      <w:sz w:val="21"/>
                      <w:szCs w:val="21"/>
                      <w:lang w:val="en-US" w:eastAsia="zh-CN"/>
                    </w:rPr>
                    <w:t>金莲花酒店</w:t>
                  </w:r>
                  <w:r>
                    <w:rPr>
                      <w:rFonts w:hint="eastAsia" w:ascii="Times New Roman" w:hAnsi="Times New Roman" w:eastAsia="宋体" w:cs="Times New Roman"/>
                      <w:color w:val="auto"/>
                      <w:sz w:val="21"/>
                      <w:szCs w:val="21"/>
                      <w:lang w:val="en-US" w:eastAsia="zh-CN"/>
                    </w:rPr>
                    <w:t>-1层</w:t>
                  </w:r>
                </w:p>
              </w:tc>
              <w:tc>
                <w:tcPr>
                  <w:tcW w:w="734"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suppressLineNumbers w:val="0"/>
                    <w:wordWrap/>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52</w:t>
                  </w:r>
                </w:p>
              </w:tc>
              <w:tc>
                <w:tcPr>
                  <w:tcW w:w="632" w:type="pct"/>
                  <w:tcBorders>
                    <w:top w:val="single" w:color="auto" w:sz="6" w:space="0"/>
                    <w:left w:val="single" w:color="auto" w:sz="6" w:space="0"/>
                    <w:bottom w:val="single" w:color="auto" w:sz="6" w:space="0"/>
                    <w:right w:val="single" w:color="auto" w:sz="4" w:space="0"/>
                  </w:tcBorders>
                  <w:noWrap w:val="0"/>
                  <w:vAlign w:val="center"/>
                </w:tcPr>
                <w:p>
                  <w:pPr>
                    <w:keepNext w:val="0"/>
                    <w:keepLines w:val="0"/>
                    <w:pageBreakBefore w:val="0"/>
                    <w:widowControl w:val="0"/>
                    <w:suppressLineNumbers w:val="0"/>
                    <w:wordWrap/>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44</w:t>
                  </w:r>
                </w:p>
              </w:tc>
              <w:tc>
                <w:tcPr>
                  <w:tcW w:w="2019" w:type="pct"/>
                  <w:vMerge w:val="continue"/>
                  <w:tcBorders>
                    <w:left w:val="single" w:color="auto" w:sz="6" w:space="0"/>
                    <w:right w:val="single" w:color="auto" w:sz="6" w:space="0"/>
                  </w:tcBorders>
                  <w:noWrap w:val="0"/>
                  <w:vAlign w:val="center"/>
                </w:tcPr>
                <w:p>
                  <w:pPr>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38" w:type="pct"/>
                  <w:tcBorders>
                    <w:top w:val="single" w:color="auto" w:sz="6" w:space="0"/>
                    <w:left w:val="single" w:color="auto" w:sz="4" w:space="0"/>
                    <w:bottom w:val="single" w:color="auto" w:sz="6" w:space="0"/>
                    <w:right w:val="single" w:color="auto" w:sz="6" w:space="0"/>
                  </w:tcBorders>
                  <w:noWrap w:val="0"/>
                  <w:vAlign w:val="center"/>
                </w:tcPr>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rPr>
                      <w:rFonts w:hint="default" w:cs="Times New Roman"/>
                      <w:color w:val="auto"/>
                      <w:sz w:val="21"/>
                      <w:szCs w:val="21"/>
                      <w:lang w:val="en-US" w:eastAsia="zh-CN"/>
                    </w:rPr>
                  </w:pPr>
                  <w:r>
                    <w:rPr>
                      <w:rFonts w:hint="eastAsia" w:cs="Times New Roman"/>
                      <w:color w:val="auto"/>
                      <w:sz w:val="21"/>
                      <w:szCs w:val="21"/>
                      <w:lang w:val="en-US" w:eastAsia="zh-CN"/>
                    </w:rPr>
                    <w:t>5</w:t>
                  </w:r>
                </w:p>
              </w:tc>
              <w:tc>
                <w:tcPr>
                  <w:tcW w:w="1075" w:type="pct"/>
                  <w:tcBorders>
                    <w:top w:val="single" w:color="auto" w:sz="6" w:space="0"/>
                    <w:left w:val="single" w:color="auto" w:sz="6" w:space="0"/>
                    <w:bottom w:val="single" w:color="auto" w:sz="6" w:space="0"/>
                    <w:right w:val="single" w:color="auto" w:sz="6" w:space="0"/>
                  </w:tcBorders>
                  <w:noWrap w:val="0"/>
                  <w:vAlign w:val="center"/>
                </w:tcPr>
                <w:p>
                  <w:pPr>
                    <w:pStyle w:val="199"/>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cs="Times New Roman"/>
                      <w:color w:val="auto"/>
                      <w:sz w:val="21"/>
                      <w:szCs w:val="21"/>
                      <w:lang w:val="en-US" w:eastAsia="zh-CN"/>
                    </w:rPr>
                  </w:pPr>
                  <w:r>
                    <w:rPr>
                      <w:rFonts w:hint="eastAsia" w:cs="Times New Roman"/>
                      <w:color w:val="auto"/>
                      <w:sz w:val="21"/>
                      <w:szCs w:val="21"/>
                      <w:lang w:val="en-US" w:eastAsia="zh-CN"/>
                    </w:rPr>
                    <w:t>金莲花酒店</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4</w:t>
                  </w:r>
                  <w:r>
                    <w:rPr>
                      <w:rFonts w:hint="eastAsia" w:ascii="Times New Roman" w:hAnsi="Times New Roman" w:eastAsia="宋体" w:cs="Times New Roman"/>
                      <w:color w:val="auto"/>
                      <w:sz w:val="21"/>
                      <w:szCs w:val="21"/>
                      <w:lang w:val="en-US" w:eastAsia="zh-CN"/>
                    </w:rPr>
                    <w:t>层</w:t>
                  </w:r>
                </w:p>
              </w:tc>
              <w:tc>
                <w:tcPr>
                  <w:tcW w:w="734"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suppressLineNumbers w:val="0"/>
                    <w:wordWrap/>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51</w:t>
                  </w:r>
                </w:p>
              </w:tc>
              <w:tc>
                <w:tcPr>
                  <w:tcW w:w="632" w:type="pct"/>
                  <w:tcBorders>
                    <w:top w:val="single" w:color="auto" w:sz="6" w:space="0"/>
                    <w:left w:val="single" w:color="auto" w:sz="6" w:space="0"/>
                    <w:bottom w:val="single" w:color="auto" w:sz="6" w:space="0"/>
                    <w:right w:val="single" w:color="auto" w:sz="4" w:space="0"/>
                  </w:tcBorders>
                  <w:noWrap w:val="0"/>
                  <w:vAlign w:val="center"/>
                </w:tcPr>
                <w:p>
                  <w:pPr>
                    <w:keepNext w:val="0"/>
                    <w:keepLines w:val="0"/>
                    <w:pageBreakBefore w:val="0"/>
                    <w:widowControl w:val="0"/>
                    <w:suppressLineNumbers w:val="0"/>
                    <w:wordWrap/>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43</w:t>
                  </w:r>
                </w:p>
              </w:tc>
              <w:tc>
                <w:tcPr>
                  <w:tcW w:w="2019" w:type="pct"/>
                  <w:vMerge w:val="continue"/>
                  <w:tcBorders>
                    <w:left w:val="single" w:color="auto" w:sz="6" w:space="0"/>
                    <w:right w:val="single" w:color="auto" w:sz="6" w:space="0"/>
                  </w:tcBorders>
                  <w:noWrap w:val="0"/>
                  <w:vAlign w:val="center"/>
                </w:tcPr>
                <w:p>
                  <w:pPr>
                    <w:keepNext w:val="0"/>
                    <w:keepLines w:val="0"/>
                    <w:pageBreakBefore w:val="0"/>
                    <w:widowControl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rPr>
                      <w:color w:val="auto"/>
                      <w:sz w:val="21"/>
                      <w:szCs w:val="21"/>
                    </w:rPr>
                  </w:pPr>
                </w:p>
              </w:tc>
            </w:tr>
          </w:tbl>
          <w:p>
            <w:pPr>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由监测结果可知，</w:t>
            </w:r>
            <w:r>
              <w:rPr>
                <w:rFonts w:hint="eastAsia" w:ascii="Times New Roman" w:hAnsi="Times New Roman" w:eastAsia="宋体" w:cs="Times New Roman"/>
                <w:color w:val="auto"/>
                <w:lang w:val="en-US" w:eastAsia="zh-CN"/>
              </w:rPr>
              <w:t>敏感点</w:t>
            </w:r>
            <w:r>
              <w:rPr>
                <w:rFonts w:hint="default" w:ascii="Times New Roman" w:hAnsi="Times New Roman" w:eastAsia="宋体" w:cs="Times New Roman"/>
                <w:color w:val="auto"/>
                <w:lang w:val="en-US" w:eastAsia="zh-CN"/>
              </w:rPr>
              <w:t>声环境</w:t>
            </w:r>
            <w:r>
              <w:rPr>
                <w:rFonts w:hint="eastAsia" w:ascii="Times New Roman" w:hAnsi="Times New Roman" w:eastAsia="宋体" w:cs="Times New Roman"/>
                <w:color w:val="auto"/>
                <w:lang w:val="en-US" w:eastAsia="zh-CN"/>
              </w:rPr>
              <w:t>监测</w:t>
            </w:r>
            <w:r>
              <w:rPr>
                <w:rFonts w:hint="default" w:ascii="Times New Roman" w:hAnsi="Times New Roman" w:eastAsia="宋体" w:cs="Times New Roman"/>
                <w:color w:val="auto"/>
                <w:lang w:val="en-US" w:eastAsia="zh-CN"/>
              </w:rPr>
              <w:t>满足《声环境质量标准》（GB3096-2008）中</w:t>
            </w:r>
            <w:r>
              <w:rPr>
                <w:rFonts w:hint="eastAsia" w:ascii="Times New Roman" w:hAnsi="Times New Roman" w:eastAsia="宋体" w:cs="Times New Roman"/>
                <w:color w:val="auto"/>
                <w:lang w:val="en-US" w:eastAsia="zh-CN"/>
              </w:rPr>
              <w:t>1</w:t>
            </w:r>
            <w:r>
              <w:rPr>
                <w:rFonts w:hint="default" w:ascii="Times New Roman" w:hAnsi="Times New Roman" w:eastAsia="宋体" w:cs="Times New Roman"/>
                <w:color w:val="auto"/>
                <w:lang w:val="en-US" w:eastAsia="zh-CN"/>
              </w:rPr>
              <w:t>类标准。</w:t>
            </w:r>
          </w:p>
          <w:p>
            <w:pPr>
              <w:pStyle w:val="5"/>
              <w:suppressLineNumbers w:val="0"/>
              <w:bidi w:val="0"/>
              <w:spacing w:before="0" w:beforeAutospacing="0" w:after="0" w:afterAutospacing="0"/>
              <w:ind w:left="0" w:right="0"/>
              <w:rPr>
                <w:rFonts w:hint="default" w:cs="Times New Roman"/>
                <w:lang w:val="en-US" w:eastAsia="zh-CN"/>
              </w:rPr>
            </w:pPr>
            <w:r>
              <w:rPr>
                <w:rFonts w:hint="eastAsia" w:cs="Times New Roman"/>
                <w:lang w:val="en-US" w:eastAsia="zh-CN"/>
              </w:rPr>
              <w:t>4</w:t>
            </w:r>
            <w:r>
              <w:rPr>
                <w:rFonts w:cs="Times New Roman"/>
                <w:lang w:val="en-US" w:eastAsia="zh-CN"/>
              </w:rPr>
              <w:t>、地下水</w:t>
            </w:r>
            <w:r>
              <w:rPr>
                <w:rFonts w:hint="eastAsia" w:cs="Times New Roman"/>
                <w:lang w:val="en-US" w:eastAsia="zh-CN"/>
              </w:rPr>
              <w:t>、</w:t>
            </w:r>
            <w:r>
              <w:rPr>
                <w:rFonts w:cs="Times New Roman"/>
                <w:lang w:val="en-US" w:eastAsia="zh-CN"/>
              </w:rPr>
              <w:t>土壤环境</w:t>
            </w:r>
            <w:r>
              <w:rPr>
                <w:rFonts w:hint="eastAsia" w:cs="Times New Roman"/>
                <w:lang w:val="en-US" w:eastAsia="zh-CN"/>
              </w:rPr>
              <w:t>质量现状</w:t>
            </w:r>
          </w:p>
          <w:p>
            <w:pPr>
              <w:keepNext w:val="0"/>
              <w:keepLines w:val="0"/>
              <w:suppressLineNumbers w:val="0"/>
              <w:bidi w:val="0"/>
              <w:spacing w:before="0" w:beforeAutospacing="0" w:after="0" w:afterAutospacing="0"/>
              <w:ind w:left="0" w:right="0"/>
              <w:rPr>
                <w:rFonts w:hint="eastAsia" w:cs="Times New Roman"/>
                <w:lang w:val="en-US" w:eastAsia="zh-CN"/>
              </w:rPr>
            </w:pPr>
            <w:r>
              <w:rPr>
                <w:rFonts w:hint="eastAsia" w:cs="Times New Roman"/>
                <w:lang w:val="en-US" w:eastAsia="zh-CN"/>
              </w:rPr>
              <w:t>根据《建设项目环境影响报告表编制技术指南（污染影响类）》（试行）（环办</w:t>
            </w:r>
            <w:r>
              <w:rPr>
                <w:rFonts w:hint="default" w:cs="Times New Roman"/>
                <w:lang w:val="en-US" w:eastAsia="zh-CN"/>
              </w:rPr>
              <w:t>[2020]33</w:t>
            </w:r>
            <w:r>
              <w:rPr>
                <w:rFonts w:hint="eastAsia" w:cs="Times New Roman"/>
                <w:lang w:val="en-US" w:eastAsia="zh-CN"/>
              </w:rPr>
              <w:t>号），原则上不开展地下水、土壤环境质量现状调查，建设项目存在土壤、地下水环境污染途径的，应结合污染源、保护目标分布情况开展现状调查以留作背景值。</w:t>
            </w:r>
          </w:p>
          <w:p>
            <w:pPr>
              <w:keepNext w:val="0"/>
              <w:keepLines w:val="0"/>
              <w:suppressLineNumbers w:val="0"/>
              <w:bidi w:val="0"/>
              <w:spacing w:before="0" w:beforeAutospacing="0" w:after="0" w:afterAutospacing="0"/>
              <w:ind w:left="0" w:right="0"/>
              <w:rPr>
                <w:rFonts w:hint="eastAsia" w:cs="Times New Roman"/>
                <w:lang w:val="en-US" w:eastAsia="zh-CN"/>
              </w:rPr>
            </w:pPr>
            <w:r>
              <w:rPr>
                <w:szCs w:val="24"/>
              </w:rPr>
              <w:t>本项目为</w:t>
            </w:r>
            <w:r>
              <w:rPr>
                <w:rFonts w:hint="eastAsia"/>
                <w:szCs w:val="24"/>
                <w:lang w:eastAsia="zh-CN"/>
              </w:rPr>
              <w:t>医疗废物</w:t>
            </w:r>
            <w:r>
              <w:rPr>
                <w:rFonts w:hint="eastAsia"/>
                <w:szCs w:val="24"/>
              </w:rPr>
              <w:t>暂存间建</w:t>
            </w:r>
            <w:r>
              <w:rPr>
                <w:szCs w:val="24"/>
              </w:rPr>
              <w:t>设项目，</w:t>
            </w:r>
            <w:r>
              <w:rPr>
                <w:rFonts w:hint="eastAsia"/>
                <w:szCs w:val="24"/>
                <w:lang w:eastAsia="zh-CN"/>
              </w:rPr>
              <w:t>地面按要求进行重点防渗</w:t>
            </w:r>
            <w:r>
              <w:rPr>
                <w:szCs w:val="24"/>
              </w:rPr>
              <w:t>，因此，项目不存在地下水</w:t>
            </w:r>
            <w:r>
              <w:rPr>
                <w:rFonts w:hint="eastAsia"/>
                <w:szCs w:val="24"/>
              </w:rPr>
              <w:t>和土壤</w:t>
            </w:r>
            <w:r>
              <w:rPr>
                <w:szCs w:val="24"/>
              </w:rPr>
              <w:t>污染途径，不需要开展地下水</w:t>
            </w:r>
            <w:r>
              <w:rPr>
                <w:rFonts w:hint="eastAsia"/>
                <w:szCs w:val="24"/>
              </w:rPr>
              <w:t>和土壤</w:t>
            </w:r>
            <w:r>
              <w:rPr>
                <w:szCs w:val="24"/>
              </w:rPr>
              <w:t>环境现状调查</w:t>
            </w:r>
            <w:r>
              <w:rPr>
                <w:rFonts w:hint="eastAsia"/>
                <w:szCs w:val="24"/>
              </w:rPr>
              <w:t>。</w:t>
            </w:r>
          </w:p>
          <w:p>
            <w:pPr>
              <w:pStyle w:val="5"/>
              <w:suppressLineNumbers w:val="0"/>
              <w:bidi w:val="0"/>
              <w:spacing w:before="0" w:beforeAutospacing="0" w:after="0" w:afterAutospacing="0"/>
              <w:ind w:left="0" w:right="0"/>
              <w:rPr>
                <w:rFonts w:hint="default" w:cs="Times New Roman"/>
                <w:lang w:val="en-US" w:eastAsia="zh-CN"/>
              </w:rPr>
            </w:pPr>
            <w:r>
              <w:rPr>
                <w:rFonts w:hint="eastAsia" w:cs="Times New Roman"/>
                <w:lang w:val="en-US" w:eastAsia="zh-CN"/>
              </w:rPr>
              <w:t>5、生态环境现状</w:t>
            </w:r>
          </w:p>
          <w:p>
            <w:pPr>
              <w:keepNext w:val="0"/>
              <w:keepLines w:val="0"/>
              <w:suppressLineNumbers w:val="0"/>
              <w:bidi w:val="0"/>
              <w:spacing w:before="0" w:beforeAutospacing="0" w:after="0" w:afterAutospacing="0"/>
              <w:ind w:left="0" w:right="0"/>
              <w:rPr>
                <w:rFonts w:hint="eastAsia" w:ascii="Times New Roman" w:hAnsi="宋体" w:eastAsia="宋体" w:cs="Times New Roman"/>
                <w:color w:val="000000"/>
                <w:szCs w:val="24"/>
                <w:lang w:val="en-US" w:eastAsia="zh-CN"/>
              </w:rPr>
            </w:pPr>
            <w:r>
              <w:rPr>
                <w:rFonts w:hint="eastAsia" w:cs="Times New Roman"/>
              </w:rPr>
              <w:t>本项目位于</w:t>
            </w:r>
            <w:r>
              <w:rPr>
                <w:rFonts w:hint="eastAsia" w:cs="Times New Roman"/>
                <w:lang w:eastAsia="zh-CN"/>
              </w:rPr>
              <w:t>锡林郭勒盟正蓝旗上都镇</w:t>
            </w:r>
            <w:r>
              <w:rPr>
                <w:rFonts w:hint="eastAsia" w:cs="Times New Roman"/>
                <w:lang w:val="en-US" w:eastAsia="zh-CN"/>
              </w:rPr>
              <w:t>，利用</w:t>
            </w:r>
            <w:r>
              <w:rPr>
                <w:rFonts w:hint="eastAsia" w:ascii="Times New Roman" w:hAnsi="Times New Roman" w:eastAsia="宋体" w:cs="Times New Roman"/>
                <w:color w:val="auto"/>
                <w:lang w:val="en-US" w:eastAsia="zh-CN"/>
              </w:rPr>
              <w:t>正蓝旗动物疫病预防控制中心</w:t>
            </w:r>
            <w:r>
              <w:rPr>
                <w:rFonts w:hint="eastAsia" w:cs="Times New Roman"/>
                <w:color w:val="auto"/>
                <w:lang w:val="en-US" w:eastAsia="zh-CN"/>
              </w:rPr>
              <w:t>厂区院内西南侧</w:t>
            </w:r>
            <w:r>
              <w:rPr>
                <w:rFonts w:hint="eastAsia" w:ascii="宋体" w:hAnsi="宋体" w:eastAsia="宋体" w:cs="宋体"/>
                <w:color w:val="000000"/>
                <w:kern w:val="0"/>
                <w:sz w:val="24"/>
                <w:szCs w:val="24"/>
                <w:lang w:val="en-US" w:eastAsia="zh-CN" w:bidi="ar"/>
              </w:rPr>
              <w:t>空地</w:t>
            </w:r>
            <w:r>
              <w:rPr>
                <w:rFonts w:hint="eastAsia" w:ascii="宋体" w:hAnsi="宋体" w:cs="宋体"/>
                <w:color w:val="000000"/>
                <w:kern w:val="0"/>
                <w:sz w:val="24"/>
                <w:szCs w:val="24"/>
                <w:lang w:val="en-US" w:eastAsia="zh-CN" w:bidi="ar"/>
              </w:rPr>
              <w:t>建设</w:t>
            </w:r>
            <w:r>
              <w:rPr>
                <w:rFonts w:hint="eastAsia" w:cs="Times New Roman"/>
                <w:color w:val="auto"/>
                <w:highlight w:val="none"/>
                <w:lang w:val="en-US" w:eastAsia="zh-CN"/>
              </w:rPr>
              <w:t>，不新增占地，且</w:t>
            </w:r>
            <w:r>
              <w:rPr>
                <w:rFonts w:hint="default" w:ascii="Times New Roman" w:hAnsi="Times New Roman" w:eastAsia="宋体" w:cs="Times New Roman"/>
                <w:bCs/>
                <w:color w:val="auto"/>
                <w:kern w:val="0"/>
                <w:sz w:val="24"/>
                <w:highlight w:val="none"/>
                <w:lang w:val="en-US" w:eastAsia="zh-CN"/>
              </w:rPr>
              <w:t>用地范围内不涉及生态环境保护目标，</w:t>
            </w:r>
            <w:r>
              <w:rPr>
                <w:rFonts w:hint="eastAsia" w:cs="Times New Roman"/>
                <w:lang w:val="en-US" w:eastAsia="zh-CN"/>
              </w:rPr>
              <w:t>根据《建设项目环境影响报告表编制技术指南（污染影响类）》（试行）（环办[2020]33号），不进行生态现状调查</w:t>
            </w:r>
            <w:r>
              <w:rPr>
                <w:rFonts w:hint="eastAsia" w:cs="Times New Roman"/>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26" w:hRule="atLeast"/>
          <w:jc w:val="center"/>
        </w:trPr>
        <w:tc>
          <w:tcPr>
            <w:tcW w:w="671" w:type="dxa"/>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cs="Times New Roman"/>
                <w:color w:val="000000"/>
                <w:kern w:val="0"/>
                <w:sz w:val="24"/>
              </w:rPr>
            </w:pPr>
            <w:r>
              <w:rPr>
                <w:rFonts w:hAnsi="宋体" w:cs="Times New Roman"/>
                <w:color w:val="000000"/>
                <w:kern w:val="0"/>
                <w:sz w:val="24"/>
              </w:rPr>
              <w:t>环境</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cs="Times New Roman"/>
                <w:color w:val="000000"/>
                <w:kern w:val="0"/>
                <w:sz w:val="24"/>
              </w:rPr>
            </w:pPr>
            <w:r>
              <w:rPr>
                <w:rFonts w:hAnsi="宋体" w:cs="Times New Roman"/>
                <w:color w:val="000000"/>
                <w:kern w:val="0"/>
                <w:sz w:val="24"/>
              </w:rPr>
              <w:t>保护</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cs="Times New Roman"/>
                <w:color w:val="000000"/>
                <w:kern w:val="0"/>
                <w:sz w:val="24"/>
              </w:rPr>
            </w:pPr>
            <w:r>
              <w:rPr>
                <w:rFonts w:hAnsi="宋体" w:cs="Times New Roman"/>
                <w:color w:val="000000"/>
                <w:kern w:val="0"/>
                <w:sz w:val="24"/>
              </w:rPr>
              <w:t>目标</w:t>
            </w:r>
          </w:p>
        </w:tc>
        <w:tc>
          <w:tcPr>
            <w:tcW w:w="8402"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79" w:beforeLines="25" w:beforeAutospacing="0" w:after="0" w:afterAutospacing="0" w:line="480" w:lineRule="exact"/>
              <w:ind w:left="0" w:leftChars="0" w:right="0" w:firstLine="480" w:firstLineChars="200"/>
              <w:jc w:val="both"/>
              <w:textAlignment w:val="auto"/>
              <w:rPr>
                <w:rFonts w:hint="default" w:ascii="Times New Roman" w:hAnsi="Times New Roman" w:eastAsia="宋体" w:cs="Times New Roman"/>
                <w:b w:val="0"/>
                <w:bCs w:val="0"/>
                <w:color w:val="000000"/>
                <w:kern w:val="0"/>
                <w:sz w:val="24"/>
                <w:szCs w:val="24"/>
                <w:lang w:val="en-US" w:eastAsia="zh-CN" w:bidi="en-US"/>
              </w:rPr>
            </w:pPr>
            <w:r>
              <w:rPr>
                <w:rFonts w:hint="eastAsia" w:ascii="Times New Roman" w:hAnsi="Times New Roman" w:eastAsia="宋体" w:cs="Times New Roman"/>
                <w:b w:val="0"/>
                <w:bCs w:val="0"/>
                <w:color w:val="000000"/>
                <w:kern w:val="0"/>
                <w:sz w:val="24"/>
                <w:szCs w:val="24"/>
                <w:lang w:val="en-US" w:eastAsia="zh-CN" w:bidi="en-US"/>
              </w:rPr>
              <w:t>根据《建设项目环境影响报告表编制技术指南（污染影响类）》（试行），</w:t>
            </w:r>
            <w:r>
              <w:rPr>
                <w:rFonts w:hint="default" w:ascii="Times New Roman" w:hAnsi="Times New Roman" w:eastAsia="宋体" w:cs="Times New Roman"/>
                <w:b w:val="0"/>
                <w:bCs w:val="0"/>
                <w:color w:val="000000"/>
                <w:kern w:val="0"/>
                <w:sz w:val="24"/>
                <w:szCs w:val="24"/>
                <w:lang w:val="en-US" w:eastAsia="zh-CN" w:bidi="en-US"/>
              </w:rPr>
              <w:t>本项目环境保护目标调查如下：</w:t>
            </w:r>
          </w:p>
          <w:p>
            <w:pPr>
              <w:keepNext w:val="0"/>
              <w:keepLines w:val="0"/>
              <w:pageBreakBefore w:val="0"/>
              <w:widowControl w:val="0"/>
              <w:suppressLineNumbers w:val="0"/>
              <w:kinsoku/>
              <w:wordWrap/>
              <w:overflowPunct/>
              <w:topLinePunct w:val="0"/>
              <w:autoSpaceDE/>
              <w:autoSpaceDN/>
              <w:bidi w:val="0"/>
              <w:adjustRightInd/>
              <w:snapToGrid/>
              <w:spacing w:before="79" w:beforeLines="25" w:beforeAutospacing="0" w:after="0" w:afterAutospacing="0" w:line="480" w:lineRule="exact"/>
              <w:ind w:left="0" w:leftChars="0" w:right="0" w:firstLine="480" w:firstLineChars="200"/>
              <w:jc w:val="both"/>
              <w:textAlignment w:val="auto"/>
              <w:rPr>
                <w:rFonts w:hint="eastAsia" w:ascii="Times New Roman" w:hAnsi="Times New Roman" w:eastAsia="宋体" w:cs="Times New Roman"/>
                <w:b w:val="0"/>
                <w:bCs w:val="0"/>
                <w:color w:val="auto"/>
                <w:kern w:val="0"/>
                <w:sz w:val="24"/>
                <w:szCs w:val="24"/>
                <w:highlight w:val="none"/>
                <w:lang w:val="en-US" w:eastAsia="zh-CN" w:bidi="en-US"/>
              </w:rPr>
            </w:pPr>
            <w:r>
              <w:rPr>
                <w:rFonts w:hint="eastAsia" w:cs="Times New Roman"/>
                <w:b w:val="0"/>
                <w:bCs w:val="0"/>
                <w:color w:val="auto"/>
                <w:kern w:val="0"/>
                <w:sz w:val="24"/>
                <w:szCs w:val="24"/>
                <w:highlight w:val="none"/>
                <w:lang w:val="en-US" w:eastAsia="zh-CN" w:bidi="en-US"/>
              </w:rPr>
              <w:t>1、</w:t>
            </w:r>
            <w:r>
              <w:rPr>
                <w:rFonts w:hint="eastAsia" w:ascii="Times New Roman" w:hAnsi="Times New Roman" w:eastAsia="宋体" w:cs="Times New Roman"/>
                <w:b w:val="0"/>
                <w:bCs w:val="0"/>
                <w:color w:val="auto"/>
                <w:kern w:val="0"/>
                <w:sz w:val="24"/>
                <w:szCs w:val="24"/>
                <w:highlight w:val="none"/>
                <w:lang w:val="en-US" w:eastAsia="zh-CN" w:bidi="en-US"/>
              </w:rPr>
              <w:t>大气环境</w:t>
            </w:r>
          </w:p>
          <w:p>
            <w:pPr>
              <w:keepNext w:val="0"/>
              <w:keepLines w:val="0"/>
              <w:pageBreakBefore w:val="0"/>
              <w:widowControl w:val="0"/>
              <w:suppressLineNumbers w:val="0"/>
              <w:kinsoku/>
              <w:wordWrap/>
              <w:overflowPunct/>
              <w:topLinePunct w:val="0"/>
              <w:autoSpaceDE/>
              <w:autoSpaceDN/>
              <w:bidi w:val="0"/>
              <w:adjustRightInd/>
              <w:snapToGrid/>
              <w:spacing w:before="79" w:beforeLines="25" w:beforeAutospacing="0" w:after="0" w:afterAutospacing="0" w:line="480" w:lineRule="exact"/>
              <w:ind w:left="0" w:leftChars="0" w:right="0" w:firstLine="480" w:firstLineChars="200"/>
              <w:jc w:val="both"/>
              <w:textAlignment w:val="auto"/>
              <w:rPr>
                <w:rFonts w:hint="eastAsia" w:ascii="Times New Roman" w:hAnsi="Times New Roman" w:eastAsia="宋体" w:cs="Times New Roman"/>
                <w:b w:val="0"/>
                <w:bCs w:val="0"/>
                <w:color w:val="auto"/>
                <w:kern w:val="0"/>
                <w:sz w:val="24"/>
                <w:szCs w:val="24"/>
                <w:highlight w:val="none"/>
                <w:lang w:val="en-US" w:eastAsia="zh-CN" w:bidi="en-US"/>
              </w:rPr>
            </w:pPr>
            <w:r>
              <w:rPr>
                <w:rFonts w:hint="eastAsia" w:ascii="Times New Roman" w:hAnsi="Times New Roman" w:eastAsia="宋体" w:cs="Times New Roman"/>
                <w:b w:val="0"/>
                <w:bCs w:val="0"/>
                <w:color w:val="auto"/>
                <w:kern w:val="0"/>
                <w:sz w:val="24"/>
                <w:szCs w:val="24"/>
                <w:highlight w:val="none"/>
                <w:lang w:val="en-US" w:eastAsia="zh-CN" w:bidi="en-US"/>
              </w:rPr>
              <w:t>拟建项目厂界外500米范围内不涉及自然保护区、风景名胜区</w:t>
            </w:r>
            <w:r>
              <w:rPr>
                <w:rFonts w:hint="eastAsia" w:cs="Times New Roman"/>
                <w:b w:val="0"/>
                <w:bCs w:val="0"/>
                <w:color w:val="auto"/>
                <w:kern w:val="0"/>
                <w:sz w:val="24"/>
                <w:szCs w:val="24"/>
                <w:highlight w:val="none"/>
                <w:lang w:val="en-US" w:eastAsia="zh-CN" w:bidi="en-US"/>
              </w:rPr>
              <w:t>，</w:t>
            </w:r>
            <w:r>
              <w:rPr>
                <w:rFonts w:hint="eastAsia" w:ascii="Times New Roman" w:hAnsi="Times New Roman" w:eastAsia="宋体" w:cs="Times New Roman"/>
                <w:b w:val="0"/>
                <w:bCs w:val="0"/>
                <w:color w:val="auto"/>
                <w:kern w:val="0"/>
                <w:sz w:val="24"/>
                <w:szCs w:val="24"/>
                <w:highlight w:val="none"/>
                <w:lang w:val="en-US" w:eastAsia="zh-CN" w:bidi="en-US"/>
              </w:rPr>
              <w:t>大气环境保护目标详见表</w:t>
            </w:r>
            <w:r>
              <w:rPr>
                <w:rFonts w:hint="eastAsia" w:cs="Times New Roman"/>
                <w:b w:val="0"/>
                <w:bCs w:val="0"/>
                <w:color w:val="auto"/>
                <w:kern w:val="0"/>
                <w:sz w:val="24"/>
                <w:szCs w:val="24"/>
                <w:highlight w:val="none"/>
                <w:lang w:val="en-US" w:eastAsia="zh-CN" w:bidi="en-US"/>
              </w:rPr>
              <w:t>3-3</w:t>
            </w:r>
            <w:r>
              <w:rPr>
                <w:rFonts w:hint="eastAsia" w:ascii="Times New Roman" w:hAnsi="Times New Roman" w:eastAsia="宋体" w:cs="Times New Roman"/>
                <w:b w:val="0"/>
                <w:bCs w:val="0"/>
                <w:color w:val="auto"/>
                <w:kern w:val="0"/>
                <w:sz w:val="24"/>
                <w:szCs w:val="24"/>
                <w:highlight w:val="none"/>
                <w:lang w:val="en-US" w:eastAsia="zh-CN" w:bidi="en-US"/>
              </w:rPr>
              <w:t>。</w:t>
            </w:r>
          </w:p>
          <w:p>
            <w:pPr>
              <w:pStyle w:val="9"/>
              <w:suppressLineNumbers w:val="0"/>
              <w:bidi w:val="0"/>
              <w:spacing w:before="0" w:beforeAutospacing="0" w:after="0" w:afterAutospacing="0"/>
              <w:ind w:left="0" w:right="0"/>
              <w:rPr>
                <w:rFonts w:hint="eastAsia" w:cs="Times New Roman"/>
                <w:color w:val="auto"/>
                <w:highlight w:val="none"/>
              </w:rPr>
            </w:pPr>
            <w:r>
              <w:rPr>
                <w:rFonts w:hint="eastAsia" w:cs="Times New Roman"/>
                <w:color w:val="auto"/>
                <w:highlight w:val="none"/>
              </w:rPr>
              <w:t>表</w:t>
            </w:r>
            <w:r>
              <w:rPr>
                <w:rFonts w:hint="eastAsia" w:cs="Times New Roman"/>
                <w:color w:val="auto"/>
                <w:highlight w:val="none"/>
                <w:lang w:val="en-US" w:eastAsia="zh-CN"/>
              </w:rPr>
              <w:t>3-3</w:t>
            </w:r>
            <w:r>
              <w:rPr>
                <w:rFonts w:cs="Times New Roman"/>
                <w:color w:val="auto"/>
                <w:highlight w:val="none"/>
              </w:rPr>
              <w:t xml:space="preserve">  </w:t>
            </w:r>
            <w:r>
              <w:rPr>
                <w:rFonts w:hint="eastAsia" w:cs="Times New Roman"/>
                <w:color w:val="auto"/>
                <w:highlight w:val="none"/>
                <w:lang w:val="en-US" w:eastAsia="zh-CN"/>
              </w:rPr>
              <w:t>大气</w:t>
            </w:r>
            <w:r>
              <w:rPr>
                <w:rFonts w:hint="eastAsia" w:cs="Times New Roman"/>
                <w:color w:val="auto"/>
                <w:highlight w:val="none"/>
              </w:rPr>
              <w:t>环境保护目标一览表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86"/>
              <w:gridCol w:w="1225"/>
              <w:gridCol w:w="1534"/>
              <w:gridCol w:w="684"/>
              <w:gridCol w:w="1740"/>
              <w:gridCol w:w="611"/>
              <w:gridCol w:w="612"/>
              <w:gridCol w:w="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69" w:type="pct"/>
                  <w:vMerge w:val="restar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en-US" w:eastAsia="zh-CN"/>
                    </w:rPr>
                    <w:t>名称</w:t>
                  </w:r>
                </w:p>
              </w:tc>
              <w:tc>
                <w:tcPr>
                  <w:tcW w:w="1649" w:type="pct"/>
                  <w:gridSpan w:val="2"/>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en-US" w:eastAsia="zh-CN"/>
                    </w:rPr>
                    <w:t>坐标</w:t>
                  </w:r>
                </w:p>
              </w:tc>
              <w:tc>
                <w:tcPr>
                  <w:tcW w:w="409" w:type="pct"/>
                  <w:vMerge w:val="restar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保护</w:t>
                  </w:r>
                </w:p>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对象</w:t>
                  </w:r>
                </w:p>
              </w:tc>
              <w:tc>
                <w:tcPr>
                  <w:tcW w:w="1040" w:type="pct"/>
                  <w:vMerge w:val="restar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en-US" w:eastAsia="zh-CN"/>
                    </w:rPr>
                    <w:t>保护内容</w:t>
                  </w:r>
                </w:p>
              </w:tc>
              <w:tc>
                <w:tcPr>
                  <w:tcW w:w="365" w:type="pct"/>
                  <w:vMerge w:val="restar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en-US" w:eastAsia="zh-CN"/>
                    </w:rPr>
                    <w:t>环境功能区划</w:t>
                  </w:r>
                </w:p>
              </w:tc>
              <w:tc>
                <w:tcPr>
                  <w:tcW w:w="366" w:type="pct"/>
                  <w:vMerge w:val="restar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en-US" w:eastAsia="zh-CN"/>
                    </w:rPr>
                    <w:t>相对厂址方位</w:t>
                  </w:r>
                </w:p>
              </w:tc>
              <w:tc>
                <w:tcPr>
                  <w:tcW w:w="399" w:type="pct"/>
                  <w:vMerge w:val="restar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相对厂址距离</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zh-CN" w:eastAsia="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69" w:type="pct"/>
                  <w:vMerge w:val="continue"/>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zh-CN" w:eastAsia="zh-CN"/>
                    </w:rPr>
                  </w:pPr>
                </w:p>
              </w:tc>
              <w:tc>
                <w:tcPr>
                  <w:tcW w:w="732"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0"/>
                      <w:sz w:val="21"/>
                      <w:szCs w:val="24"/>
                      <w:highlight w:val="none"/>
                      <w:lang w:val="en-US" w:eastAsia="zh-CN" w:bidi="ar-SA"/>
                    </w:rPr>
                  </w:pPr>
                  <w:r>
                    <w:rPr>
                      <w:rFonts w:hint="eastAsia" w:cs="Times New Roman"/>
                      <w:color w:val="auto"/>
                      <w:kern w:val="0"/>
                      <w:sz w:val="21"/>
                      <w:szCs w:val="24"/>
                      <w:highlight w:val="none"/>
                      <w:lang w:val="en-US" w:eastAsia="zh-CN" w:bidi="ar-SA"/>
                    </w:rPr>
                    <w:t>经度</w:t>
                  </w:r>
                </w:p>
              </w:tc>
              <w:tc>
                <w:tcPr>
                  <w:tcW w:w="91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ar-SA"/>
                    </w:rPr>
                  </w:pPr>
                  <w:r>
                    <w:rPr>
                      <w:rFonts w:hint="eastAsia" w:cs="Times New Roman"/>
                      <w:color w:val="auto"/>
                      <w:highlight w:val="none"/>
                      <w:lang w:val="en-US" w:eastAsia="zh-CN"/>
                    </w:rPr>
                    <w:t>纬度</w:t>
                  </w:r>
                </w:p>
              </w:tc>
              <w:tc>
                <w:tcPr>
                  <w:tcW w:w="409" w:type="pct"/>
                  <w:vMerge w:val="continue"/>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zh-CN" w:eastAsia="zh-CN"/>
                    </w:rPr>
                  </w:pPr>
                </w:p>
              </w:tc>
              <w:tc>
                <w:tcPr>
                  <w:tcW w:w="1040" w:type="pct"/>
                  <w:vMerge w:val="continue"/>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zh-CN" w:eastAsia="zh-CN"/>
                    </w:rPr>
                  </w:pPr>
                </w:p>
              </w:tc>
              <w:tc>
                <w:tcPr>
                  <w:tcW w:w="365" w:type="pct"/>
                  <w:vMerge w:val="continue"/>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zh-CN" w:eastAsia="zh-CN"/>
                    </w:rPr>
                  </w:pPr>
                </w:p>
              </w:tc>
              <w:tc>
                <w:tcPr>
                  <w:tcW w:w="366" w:type="pct"/>
                  <w:vMerge w:val="continue"/>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zh-CN" w:eastAsia="zh-CN"/>
                    </w:rPr>
                  </w:pPr>
                </w:p>
              </w:tc>
              <w:tc>
                <w:tcPr>
                  <w:tcW w:w="399" w:type="pct"/>
                  <w:vMerge w:val="continue"/>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zh-CN"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6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zh-CN" w:eastAsia="zh-CN"/>
                    </w:rPr>
                  </w:pPr>
                  <w:r>
                    <w:rPr>
                      <w:rFonts w:hint="eastAsia" w:cs="Times New Roman"/>
                      <w:color w:val="auto"/>
                      <w:highlight w:val="none"/>
                      <w:lang w:val="zh-CN" w:eastAsia="zh-CN"/>
                    </w:rPr>
                    <w:t>金莲花酒店</w:t>
                  </w:r>
                </w:p>
              </w:tc>
              <w:tc>
                <w:tcPr>
                  <w:tcW w:w="732"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115°59′4</w:t>
                  </w:r>
                  <w:r>
                    <w:rPr>
                      <w:rFonts w:hint="eastAsia" w:cs="Times New Roman"/>
                      <w:color w:val="auto"/>
                      <w:highlight w:val="none"/>
                      <w:lang w:val="en-US" w:eastAsia="zh-CN"/>
                    </w:rPr>
                    <w:t>1</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59</w:t>
                  </w:r>
                  <w:r>
                    <w:rPr>
                      <w:rFonts w:hint="default" w:ascii="Times New Roman" w:hAnsi="Times New Roman" w:eastAsia="宋体" w:cs="Times New Roman"/>
                      <w:color w:val="auto"/>
                      <w:highlight w:val="none"/>
                      <w:lang w:val="en-US" w:eastAsia="zh-CN"/>
                    </w:rPr>
                    <w:t>″</w:t>
                  </w:r>
                </w:p>
              </w:tc>
              <w:tc>
                <w:tcPr>
                  <w:tcW w:w="91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42°13′4</w:t>
                  </w:r>
                  <w:r>
                    <w:rPr>
                      <w:rFonts w:hint="eastAsia" w:cs="Times New Roman"/>
                      <w:color w:val="auto"/>
                      <w:highlight w:val="none"/>
                      <w:lang w:val="en-US" w:eastAsia="zh-CN"/>
                    </w:rPr>
                    <w:t>0</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94</w:t>
                  </w:r>
                  <w:r>
                    <w:rPr>
                      <w:rFonts w:hint="default" w:ascii="Times New Roman" w:hAnsi="Times New Roman" w:eastAsia="宋体" w:cs="Times New Roman"/>
                      <w:color w:val="auto"/>
                      <w:highlight w:val="none"/>
                      <w:lang w:val="en-US" w:eastAsia="zh-CN"/>
                    </w:rPr>
                    <w:t>″</w:t>
                  </w:r>
                </w:p>
              </w:tc>
              <w:tc>
                <w:tcPr>
                  <w:tcW w:w="40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zh-CN" w:eastAsia="zh-CN"/>
                    </w:rPr>
                  </w:pPr>
                  <w:r>
                    <w:rPr>
                      <w:rFonts w:hint="eastAsia" w:cs="Times New Roman"/>
                      <w:color w:val="auto"/>
                      <w:highlight w:val="none"/>
                      <w:lang w:val="zh-CN" w:eastAsia="zh-CN"/>
                    </w:rPr>
                    <w:t>住宿人员</w:t>
                  </w:r>
                </w:p>
              </w:tc>
              <w:tc>
                <w:tcPr>
                  <w:tcW w:w="1040"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zh-CN" w:eastAsia="zh-CN"/>
                    </w:rPr>
                  </w:pPr>
                  <w:r>
                    <w:rPr>
                      <w:rFonts w:hint="eastAsia" w:ascii="Times New Roman" w:hAnsi="Times New Roman" w:eastAsia="宋体" w:cs="Times New Roman"/>
                      <w:color w:val="auto"/>
                      <w:highlight w:val="none"/>
                      <w:lang w:val="en-US" w:eastAsia="zh-CN"/>
                    </w:rPr>
                    <w:t>约</w:t>
                  </w:r>
                  <w:r>
                    <w:rPr>
                      <w:rFonts w:hint="eastAsia" w:cs="Times New Roman"/>
                      <w:color w:val="auto"/>
                      <w:highlight w:val="none"/>
                      <w:lang w:val="en-US" w:eastAsia="zh-CN"/>
                    </w:rPr>
                    <w:t>50</w:t>
                  </w:r>
                  <w:r>
                    <w:rPr>
                      <w:rFonts w:hint="eastAsia" w:ascii="Times New Roman" w:hAnsi="Times New Roman" w:eastAsia="宋体" w:cs="Times New Roman"/>
                      <w:color w:val="auto"/>
                      <w:highlight w:val="none"/>
                      <w:lang w:val="en-US" w:eastAsia="zh-CN"/>
                    </w:rPr>
                    <w:t>人</w:t>
                  </w:r>
                  <w:r>
                    <w:rPr>
                      <w:rFonts w:hint="default" w:ascii="Times New Roman" w:hAnsi="Times New Roman" w:eastAsia="宋体" w:cs="Times New Roman"/>
                      <w:color w:val="auto"/>
                      <w:highlight w:val="none"/>
                      <w:lang w:val="zh-CN" w:eastAsia="zh-CN"/>
                    </w:rPr>
                    <w:t>，</w:t>
                  </w:r>
                  <w:r>
                    <w:rPr>
                      <w:rFonts w:hint="default" w:ascii="Times New Roman" w:hAnsi="Times New Roman" w:eastAsia="宋体" w:cs="Times New Roman"/>
                      <w:color w:val="auto"/>
                      <w:highlight w:val="none"/>
                      <w:lang w:val="en-US" w:eastAsia="zh-CN"/>
                    </w:rPr>
                    <w:t>大气环境</w:t>
                  </w:r>
                </w:p>
              </w:tc>
              <w:tc>
                <w:tcPr>
                  <w:tcW w:w="365"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en-US" w:eastAsia="zh-CN"/>
                    </w:rPr>
                    <w:t>二类区</w:t>
                  </w:r>
                </w:p>
              </w:tc>
              <w:tc>
                <w:tcPr>
                  <w:tcW w:w="36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zh-CN" w:eastAsia="zh-CN"/>
                    </w:rPr>
                  </w:pPr>
                  <w:r>
                    <w:rPr>
                      <w:rFonts w:hint="eastAsia"/>
                      <w:color w:val="auto"/>
                      <w:lang w:val="en-US" w:eastAsia="zh-CN"/>
                    </w:rPr>
                    <w:t>西</w:t>
                  </w:r>
                </w:p>
              </w:tc>
              <w:tc>
                <w:tcPr>
                  <w:tcW w:w="39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zh-CN" w:eastAsia="zh-CN"/>
                    </w:rPr>
                  </w:pPr>
                  <w:r>
                    <w:rPr>
                      <w:rFonts w:hint="eastAsia" w:cs="Times New Roman"/>
                      <w:color w:val="auto"/>
                      <w:highlight w:val="none"/>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6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highlight w:val="none"/>
                      <w:lang w:val="en-US" w:eastAsia="zh-CN"/>
                    </w:rPr>
                  </w:pPr>
                  <w:r>
                    <w:rPr>
                      <w:rFonts w:hint="eastAsia" w:cs="Times New Roman"/>
                      <w:color w:val="auto"/>
                      <w:spacing w:val="-6"/>
                      <w:sz w:val="21"/>
                      <w:highlight w:val="none"/>
                      <w:lang w:val="en-US" w:eastAsia="zh-CN"/>
                    </w:rPr>
                    <w:t>喜上园移民小区</w:t>
                  </w:r>
                </w:p>
              </w:tc>
              <w:tc>
                <w:tcPr>
                  <w:tcW w:w="732"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115°59′42.09″</w:t>
                  </w:r>
                </w:p>
              </w:tc>
              <w:tc>
                <w:tcPr>
                  <w:tcW w:w="91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42°13′47.87″</w:t>
                  </w:r>
                </w:p>
              </w:tc>
              <w:tc>
                <w:tcPr>
                  <w:tcW w:w="40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居民</w:t>
                  </w:r>
                </w:p>
              </w:tc>
              <w:tc>
                <w:tcPr>
                  <w:tcW w:w="1040"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约160人</w:t>
                  </w:r>
                  <w:r>
                    <w:rPr>
                      <w:rFonts w:hint="default" w:ascii="Times New Roman" w:hAnsi="Times New Roman" w:eastAsia="宋体" w:cs="Times New Roman"/>
                      <w:color w:val="auto"/>
                      <w:highlight w:val="none"/>
                      <w:lang w:val="zh-CN" w:eastAsia="zh-CN"/>
                    </w:rPr>
                    <w:t>，</w:t>
                  </w:r>
                  <w:r>
                    <w:rPr>
                      <w:rFonts w:hint="default" w:ascii="Times New Roman" w:hAnsi="Times New Roman" w:eastAsia="宋体" w:cs="Times New Roman"/>
                      <w:color w:val="auto"/>
                      <w:highlight w:val="none"/>
                      <w:lang w:val="en-US" w:eastAsia="zh-CN"/>
                    </w:rPr>
                    <w:t>大气环境</w:t>
                  </w:r>
                </w:p>
              </w:tc>
              <w:tc>
                <w:tcPr>
                  <w:tcW w:w="365"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二类区</w:t>
                  </w:r>
                </w:p>
              </w:tc>
              <w:tc>
                <w:tcPr>
                  <w:tcW w:w="36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en-US" w:eastAsia="zh-CN"/>
                    </w:rPr>
                  </w:pPr>
                  <w:r>
                    <w:rPr>
                      <w:rFonts w:hint="eastAsia"/>
                      <w:color w:val="auto"/>
                      <w:lang w:val="en-US" w:eastAsia="zh-CN"/>
                    </w:rPr>
                    <w:t>北</w:t>
                  </w:r>
                </w:p>
              </w:tc>
              <w:tc>
                <w:tcPr>
                  <w:tcW w:w="39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69" w:type="pct"/>
                  <w:tcBorders>
                    <w:tl2br w:val="nil"/>
                    <w:tr2bl w:val="nil"/>
                  </w:tcBorders>
                  <w:noWrap w:val="0"/>
                  <w:vAlign w:val="center"/>
                </w:tcPr>
                <w:p>
                  <w:pPr>
                    <w:pStyle w:val="226"/>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highlight w:val="none"/>
                      <w:lang w:val="en-US" w:eastAsia="zh-CN"/>
                    </w:rPr>
                  </w:pPr>
                  <w:r>
                    <w:rPr>
                      <w:rFonts w:hint="eastAsia"/>
                      <w:color w:val="auto"/>
                      <w:lang w:val="en-US" w:eastAsia="zh-CN"/>
                    </w:rPr>
                    <w:t>正蓝旗交通运输局</w:t>
                  </w:r>
                </w:p>
              </w:tc>
              <w:tc>
                <w:tcPr>
                  <w:tcW w:w="732" w:type="pct"/>
                  <w:tcBorders>
                    <w:tl2br w:val="nil"/>
                    <w:tr2bl w:val="nil"/>
                  </w:tcBorders>
                  <w:noWrap w:val="0"/>
                  <w:vAlign w:val="center"/>
                </w:tcPr>
                <w:p>
                  <w:pPr>
                    <w:pStyle w:val="226"/>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highlight w:val="none"/>
                      <w:lang w:val="en-US" w:eastAsia="zh-CN"/>
                    </w:rPr>
                  </w:pPr>
                  <w:r>
                    <w:rPr>
                      <w:rFonts w:hint="default"/>
                      <w:color w:val="auto"/>
                      <w:lang w:val="en-US" w:eastAsia="zh-CN"/>
                    </w:rPr>
                    <w:t>115°59′33.55″</w:t>
                  </w:r>
                </w:p>
              </w:tc>
              <w:tc>
                <w:tcPr>
                  <w:tcW w:w="916" w:type="pct"/>
                  <w:tcBorders>
                    <w:tl2br w:val="nil"/>
                    <w:tr2bl w:val="nil"/>
                  </w:tcBorders>
                  <w:noWrap w:val="0"/>
                  <w:vAlign w:val="center"/>
                </w:tcPr>
                <w:p>
                  <w:pPr>
                    <w:pStyle w:val="226"/>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highlight w:val="none"/>
                      <w:lang w:val="en-US" w:eastAsia="zh-CN"/>
                    </w:rPr>
                  </w:pPr>
                  <w:r>
                    <w:rPr>
                      <w:rFonts w:hint="default"/>
                      <w:color w:val="auto"/>
                      <w:lang w:val="en-US" w:eastAsia="zh-CN"/>
                    </w:rPr>
                    <w:t>42°13′49.03″</w:t>
                  </w:r>
                </w:p>
              </w:tc>
              <w:tc>
                <w:tcPr>
                  <w:tcW w:w="40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eastAsia" w:cs="Times New Roman"/>
                      <w:color w:val="auto"/>
                      <w:highlight w:val="none"/>
                      <w:lang w:val="en-US" w:eastAsia="zh-CN"/>
                    </w:rPr>
                  </w:pPr>
                  <w:r>
                    <w:rPr>
                      <w:rFonts w:hint="eastAsia" w:cs="Times New Roman"/>
                      <w:color w:val="auto"/>
                      <w:highlight w:val="none"/>
                      <w:lang w:val="en-US" w:eastAsia="zh-CN"/>
                    </w:rPr>
                    <w:t>办公</w:t>
                  </w:r>
                </w:p>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人员</w:t>
                  </w:r>
                </w:p>
              </w:tc>
              <w:tc>
                <w:tcPr>
                  <w:tcW w:w="1040"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约20人</w:t>
                  </w:r>
                  <w:r>
                    <w:rPr>
                      <w:rFonts w:hint="default" w:ascii="Times New Roman" w:hAnsi="Times New Roman" w:eastAsia="宋体" w:cs="Times New Roman"/>
                      <w:color w:val="auto"/>
                      <w:highlight w:val="none"/>
                      <w:lang w:val="zh-CN" w:eastAsia="zh-CN"/>
                    </w:rPr>
                    <w:t>，</w:t>
                  </w:r>
                  <w:r>
                    <w:rPr>
                      <w:rFonts w:hint="default" w:ascii="Times New Roman" w:hAnsi="Times New Roman" w:eastAsia="宋体" w:cs="Times New Roman"/>
                      <w:color w:val="auto"/>
                      <w:highlight w:val="none"/>
                      <w:lang w:val="en-US" w:eastAsia="zh-CN"/>
                    </w:rPr>
                    <w:t>大气环境</w:t>
                  </w:r>
                </w:p>
              </w:tc>
              <w:tc>
                <w:tcPr>
                  <w:tcW w:w="365"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二类区</w:t>
                  </w:r>
                </w:p>
              </w:tc>
              <w:tc>
                <w:tcPr>
                  <w:tcW w:w="366" w:type="pct"/>
                  <w:tcBorders>
                    <w:tl2br w:val="nil"/>
                    <w:tr2bl w:val="nil"/>
                  </w:tcBorders>
                  <w:noWrap w:val="0"/>
                  <w:vAlign w:val="center"/>
                </w:tcPr>
                <w:p>
                  <w:pPr>
                    <w:pStyle w:val="226"/>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highlight w:val="none"/>
                      <w:lang w:val="en-US" w:eastAsia="zh-CN"/>
                    </w:rPr>
                  </w:pPr>
                  <w:r>
                    <w:rPr>
                      <w:rFonts w:hint="eastAsia"/>
                      <w:color w:val="auto"/>
                      <w:lang w:val="en-US" w:eastAsia="zh-CN"/>
                    </w:rPr>
                    <w:t>西北</w:t>
                  </w:r>
                </w:p>
              </w:tc>
              <w:tc>
                <w:tcPr>
                  <w:tcW w:w="399" w:type="pct"/>
                  <w:tcBorders>
                    <w:tl2br w:val="nil"/>
                    <w:tr2bl w:val="nil"/>
                  </w:tcBorders>
                  <w:noWrap w:val="0"/>
                  <w:vAlign w:val="center"/>
                </w:tcPr>
                <w:p>
                  <w:pPr>
                    <w:pStyle w:val="226"/>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highlight w:val="none"/>
                      <w:lang w:val="en-US" w:eastAsia="zh-CN"/>
                    </w:rPr>
                  </w:pPr>
                  <w:r>
                    <w:rPr>
                      <w:rFonts w:hint="eastAsia"/>
                      <w:color w:val="auto"/>
                      <w:lang w:val="en-US" w:eastAsia="zh-CN"/>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6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eastAsia" w:cs="Times New Roman"/>
                      <w:color w:val="auto"/>
                      <w:kern w:val="0"/>
                      <w:sz w:val="21"/>
                      <w:szCs w:val="24"/>
                      <w:highlight w:val="none"/>
                      <w:lang w:val="en-US" w:eastAsia="zh-CN" w:bidi="ar-SA"/>
                    </w:rPr>
                    <w:t>正蓝旗民政局</w:t>
                  </w:r>
                </w:p>
              </w:tc>
              <w:tc>
                <w:tcPr>
                  <w:tcW w:w="732"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115°59′34.44″</w:t>
                  </w:r>
                </w:p>
              </w:tc>
              <w:tc>
                <w:tcPr>
                  <w:tcW w:w="91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42°13′53.82″</w:t>
                  </w:r>
                </w:p>
              </w:tc>
              <w:tc>
                <w:tcPr>
                  <w:tcW w:w="40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eastAsia" w:cs="Times New Roman"/>
                      <w:color w:val="auto"/>
                      <w:highlight w:val="none"/>
                      <w:lang w:val="en-US" w:eastAsia="zh-CN"/>
                    </w:rPr>
                  </w:pPr>
                  <w:r>
                    <w:rPr>
                      <w:rFonts w:hint="eastAsia" w:cs="Times New Roman"/>
                      <w:color w:val="auto"/>
                      <w:highlight w:val="none"/>
                      <w:lang w:val="en-US" w:eastAsia="zh-CN"/>
                    </w:rPr>
                    <w:t>办公</w:t>
                  </w:r>
                </w:p>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人员</w:t>
                  </w:r>
                </w:p>
              </w:tc>
              <w:tc>
                <w:tcPr>
                  <w:tcW w:w="1040"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约</w:t>
                  </w:r>
                  <w:r>
                    <w:rPr>
                      <w:rFonts w:hint="eastAsia" w:cs="Times New Roman"/>
                      <w:color w:val="auto"/>
                      <w:highlight w:val="none"/>
                      <w:lang w:val="en-US" w:eastAsia="zh-CN"/>
                    </w:rPr>
                    <w:t>15</w:t>
                  </w:r>
                  <w:r>
                    <w:rPr>
                      <w:rFonts w:hint="eastAsia" w:ascii="Times New Roman" w:hAnsi="Times New Roman" w:eastAsia="宋体" w:cs="Times New Roman"/>
                      <w:color w:val="auto"/>
                      <w:highlight w:val="none"/>
                      <w:lang w:val="en-US" w:eastAsia="zh-CN"/>
                    </w:rPr>
                    <w:t>人</w:t>
                  </w:r>
                  <w:r>
                    <w:rPr>
                      <w:rFonts w:hint="default" w:ascii="Times New Roman" w:hAnsi="Times New Roman" w:eastAsia="宋体" w:cs="Times New Roman"/>
                      <w:color w:val="auto"/>
                      <w:highlight w:val="none"/>
                      <w:lang w:val="zh-CN" w:eastAsia="zh-CN"/>
                    </w:rPr>
                    <w:t>，</w:t>
                  </w:r>
                  <w:r>
                    <w:rPr>
                      <w:rFonts w:hint="default" w:ascii="Times New Roman" w:hAnsi="Times New Roman" w:eastAsia="宋体" w:cs="Times New Roman"/>
                      <w:color w:val="auto"/>
                      <w:highlight w:val="none"/>
                      <w:lang w:val="en-US" w:eastAsia="zh-CN"/>
                    </w:rPr>
                    <w:t>大气环境</w:t>
                  </w:r>
                </w:p>
              </w:tc>
              <w:tc>
                <w:tcPr>
                  <w:tcW w:w="365"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二类区</w:t>
                  </w:r>
                </w:p>
              </w:tc>
              <w:tc>
                <w:tcPr>
                  <w:tcW w:w="36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eastAsia"/>
                      <w:color w:val="auto"/>
                      <w:lang w:val="en-US" w:eastAsia="zh-CN"/>
                    </w:rPr>
                    <w:t>北</w:t>
                  </w:r>
                </w:p>
              </w:tc>
              <w:tc>
                <w:tcPr>
                  <w:tcW w:w="39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6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Times New Roman" w:hAnsi="Times New Roman" w:eastAsia="宋体" w:cs="Times New Roman"/>
                      <w:color w:val="auto"/>
                      <w:kern w:val="0"/>
                      <w:sz w:val="21"/>
                      <w:szCs w:val="24"/>
                      <w:highlight w:val="none"/>
                      <w:lang w:val="en-US" w:eastAsia="zh-CN" w:bidi="ar-SA"/>
                    </w:rPr>
                  </w:pPr>
                  <w:r>
                    <w:rPr>
                      <w:rFonts w:hint="eastAsia" w:cs="Times New Roman"/>
                      <w:color w:val="auto"/>
                      <w:kern w:val="0"/>
                      <w:sz w:val="21"/>
                      <w:szCs w:val="24"/>
                      <w:highlight w:val="none"/>
                      <w:lang w:val="en-US" w:eastAsia="zh-CN" w:bidi="ar-SA"/>
                    </w:rPr>
                    <w:t>正蓝旗劳动保障局</w:t>
                  </w:r>
                </w:p>
              </w:tc>
              <w:tc>
                <w:tcPr>
                  <w:tcW w:w="732"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115°59′29.65″</w:t>
                  </w:r>
                </w:p>
              </w:tc>
              <w:tc>
                <w:tcPr>
                  <w:tcW w:w="91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42°13′55.05″</w:t>
                  </w:r>
                </w:p>
              </w:tc>
              <w:tc>
                <w:tcPr>
                  <w:tcW w:w="40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eastAsia" w:cs="Times New Roman"/>
                      <w:color w:val="auto"/>
                      <w:highlight w:val="none"/>
                      <w:lang w:val="en-US" w:eastAsia="zh-CN"/>
                    </w:rPr>
                  </w:pPr>
                  <w:r>
                    <w:rPr>
                      <w:rFonts w:hint="eastAsia" w:cs="Times New Roman"/>
                      <w:color w:val="auto"/>
                      <w:highlight w:val="none"/>
                      <w:lang w:val="en-US" w:eastAsia="zh-CN"/>
                    </w:rPr>
                    <w:t>办公</w:t>
                  </w:r>
                </w:p>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Times New Roman" w:hAnsi="Times New Roman" w:eastAsia="宋体" w:cs="Times New Roman"/>
                      <w:color w:val="auto"/>
                      <w:kern w:val="0"/>
                      <w:sz w:val="21"/>
                      <w:szCs w:val="24"/>
                      <w:highlight w:val="none"/>
                      <w:lang w:val="en-US" w:eastAsia="zh-CN" w:bidi="ar-SA"/>
                    </w:rPr>
                  </w:pPr>
                  <w:r>
                    <w:rPr>
                      <w:rFonts w:hint="eastAsia" w:cs="Times New Roman"/>
                      <w:color w:val="auto"/>
                      <w:highlight w:val="none"/>
                      <w:lang w:val="en-US" w:eastAsia="zh-CN"/>
                    </w:rPr>
                    <w:t>人员</w:t>
                  </w:r>
                </w:p>
              </w:tc>
              <w:tc>
                <w:tcPr>
                  <w:tcW w:w="1040"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eastAsia="宋体" w:cs="Times New Roman"/>
                      <w:color w:val="auto"/>
                      <w:highlight w:val="none"/>
                      <w:lang w:val="en-US" w:eastAsia="zh-CN"/>
                    </w:rPr>
                    <w:t>约</w:t>
                  </w:r>
                  <w:r>
                    <w:rPr>
                      <w:rFonts w:hint="eastAsia" w:cs="Times New Roman"/>
                      <w:color w:val="auto"/>
                      <w:highlight w:val="none"/>
                      <w:lang w:val="en-US" w:eastAsia="zh-CN"/>
                    </w:rPr>
                    <w:t>18</w:t>
                  </w:r>
                  <w:r>
                    <w:rPr>
                      <w:rFonts w:hint="eastAsia" w:ascii="Times New Roman" w:hAnsi="Times New Roman" w:eastAsia="宋体" w:cs="Times New Roman"/>
                      <w:color w:val="auto"/>
                      <w:highlight w:val="none"/>
                      <w:lang w:val="en-US" w:eastAsia="zh-CN"/>
                    </w:rPr>
                    <w:t>人</w:t>
                  </w:r>
                  <w:r>
                    <w:rPr>
                      <w:rFonts w:hint="default" w:ascii="Times New Roman" w:hAnsi="Times New Roman" w:eastAsia="宋体" w:cs="Times New Roman"/>
                      <w:color w:val="auto"/>
                      <w:highlight w:val="none"/>
                      <w:lang w:val="zh-CN" w:eastAsia="zh-CN"/>
                    </w:rPr>
                    <w:t>，</w:t>
                  </w:r>
                  <w:r>
                    <w:rPr>
                      <w:rFonts w:hint="default" w:ascii="Times New Roman" w:hAnsi="Times New Roman" w:eastAsia="宋体" w:cs="Times New Roman"/>
                      <w:color w:val="auto"/>
                      <w:highlight w:val="none"/>
                      <w:lang w:val="en-US" w:eastAsia="zh-CN"/>
                    </w:rPr>
                    <w:t>大气环境</w:t>
                  </w:r>
                </w:p>
              </w:tc>
              <w:tc>
                <w:tcPr>
                  <w:tcW w:w="365"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二类区</w:t>
                  </w:r>
                </w:p>
              </w:tc>
              <w:tc>
                <w:tcPr>
                  <w:tcW w:w="36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Times New Roman" w:hAnsi="Times New Roman" w:eastAsia="宋体" w:cs="Times New Roman"/>
                      <w:color w:val="auto"/>
                      <w:kern w:val="0"/>
                      <w:sz w:val="21"/>
                      <w:szCs w:val="24"/>
                      <w:highlight w:val="none"/>
                      <w:lang w:val="en-US" w:eastAsia="zh-CN" w:bidi="ar-SA"/>
                    </w:rPr>
                  </w:pPr>
                  <w:r>
                    <w:rPr>
                      <w:rFonts w:hint="eastAsia"/>
                      <w:color w:val="auto"/>
                      <w:lang w:val="en-US" w:eastAsia="zh-CN"/>
                    </w:rPr>
                    <w:t>西北</w:t>
                  </w:r>
                </w:p>
              </w:tc>
              <w:tc>
                <w:tcPr>
                  <w:tcW w:w="39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Times New Roman" w:hAnsi="Times New Roman" w:eastAsia="宋体" w:cs="Times New Roman"/>
                      <w:color w:val="auto"/>
                      <w:kern w:val="0"/>
                      <w:sz w:val="21"/>
                      <w:szCs w:val="24"/>
                      <w:highlight w:val="none"/>
                      <w:lang w:val="en-US" w:eastAsia="zh-CN" w:bidi="ar-SA"/>
                    </w:rPr>
                  </w:pPr>
                  <w:r>
                    <w:rPr>
                      <w:rFonts w:hint="eastAsia" w:cs="Times New Roman"/>
                      <w:color w:val="auto"/>
                      <w:kern w:val="0"/>
                      <w:sz w:val="21"/>
                      <w:szCs w:val="24"/>
                      <w:highlight w:val="none"/>
                      <w:lang w:val="en-US" w:eastAsia="zh-CN" w:bidi="ar-SA"/>
                    </w:rPr>
                    <w:t>470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6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百盛家园</w:t>
                  </w:r>
                </w:p>
              </w:tc>
              <w:tc>
                <w:tcPr>
                  <w:tcW w:w="732"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115°59′35.98″</w:t>
                  </w:r>
                </w:p>
              </w:tc>
              <w:tc>
                <w:tcPr>
                  <w:tcW w:w="91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42°13′57.37″</w:t>
                  </w:r>
                </w:p>
              </w:tc>
              <w:tc>
                <w:tcPr>
                  <w:tcW w:w="40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居民</w:t>
                  </w:r>
                </w:p>
              </w:tc>
              <w:tc>
                <w:tcPr>
                  <w:tcW w:w="1040"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约</w:t>
                  </w:r>
                  <w:r>
                    <w:rPr>
                      <w:rFonts w:hint="eastAsia" w:cs="Times New Roman"/>
                      <w:color w:val="auto"/>
                      <w:highlight w:val="none"/>
                      <w:lang w:val="en-US" w:eastAsia="zh-CN"/>
                    </w:rPr>
                    <w:t>200</w:t>
                  </w:r>
                  <w:r>
                    <w:rPr>
                      <w:rFonts w:hint="eastAsia" w:ascii="Times New Roman" w:hAnsi="Times New Roman" w:eastAsia="宋体" w:cs="Times New Roman"/>
                      <w:color w:val="auto"/>
                      <w:highlight w:val="none"/>
                      <w:lang w:val="en-US" w:eastAsia="zh-CN"/>
                    </w:rPr>
                    <w:t>人</w:t>
                  </w:r>
                  <w:r>
                    <w:rPr>
                      <w:rFonts w:hint="default" w:ascii="Times New Roman" w:hAnsi="Times New Roman" w:eastAsia="宋体" w:cs="Times New Roman"/>
                      <w:color w:val="auto"/>
                      <w:highlight w:val="none"/>
                      <w:lang w:val="zh-CN" w:eastAsia="zh-CN"/>
                    </w:rPr>
                    <w:t>，</w:t>
                  </w:r>
                  <w:r>
                    <w:rPr>
                      <w:rFonts w:hint="default" w:ascii="Times New Roman" w:hAnsi="Times New Roman" w:eastAsia="宋体" w:cs="Times New Roman"/>
                      <w:color w:val="auto"/>
                      <w:highlight w:val="none"/>
                      <w:lang w:val="en-US" w:eastAsia="zh-CN"/>
                    </w:rPr>
                    <w:t>大气环境</w:t>
                  </w:r>
                </w:p>
              </w:tc>
              <w:tc>
                <w:tcPr>
                  <w:tcW w:w="365"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二类区</w:t>
                  </w:r>
                </w:p>
              </w:tc>
              <w:tc>
                <w:tcPr>
                  <w:tcW w:w="36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eastAsia"/>
                      <w:color w:val="auto"/>
                      <w:lang w:val="en-US" w:eastAsia="zh-CN"/>
                    </w:rPr>
                    <w:t>北</w:t>
                  </w:r>
                </w:p>
              </w:tc>
              <w:tc>
                <w:tcPr>
                  <w:tcW w:w="39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6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cs="Times New Roman"/>
                      <w:color w:val="auto"/>
                      <w:highlight w:val="none"/>
                      <w:lang w:val="en-US" w:eastAsia="zh-CN"/>
                    </w:rPr>
                  </w:pPr>
                  <w:r>
                    <w:rPr>
                      <w:rFonts w:hint="eastAsia" w:cs="Times New Roman"/>
                      <w:color w:val="auto"/>
                      <w:highlight w:val="none"/>
                      <w:lang w:val="en-US" w:eastAsia="zh-CN"/>
                    </w:rPr>
                    <w:t>名佳花园</w:t>
                  </w:r>
                </w:p>
              </w:tc>
              <w:tc>
                <w:tcPr>
                  <w:tcW w:w="732"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115°59′42.74″</w:t>
                  </w:r>
                </w:p>
              </w:tc>
              <w:tc>
                <w:tcPr>
                  <w:tcW w:w="91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42°14′1.89″"</w:t>
                  </w:r>
                </w:p>
              </w:tc>
              <w:tc>
                <w:tcPr>
                  <w:tcW w:w="40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居民</w:t>
                  </w:r>
                </w:p>
              </w:tc>
              <w:tc>
                <w:tcPr>
                  <w:tcW w:w="1040"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约</w:t>
                  </w:r>
                  <w:r>
                    <w:rPr>
                      <w:rFonts w:hint="eastAsia" w:cs="Times New Roman"/>
                      <w:color w:val="auto"/>
                      <w:highlight w:val="none"/>
                      <w:lang w:val="en-US" w:eastAsia="zh-CN"/>
                    </w:rPr>
                    <w:t>150</w:t>
                  </w:r>
                  <w:r>
                    <w:rPr>
                      <w:rFonts w:hint="eastAsia" w:ascii="Times New Roman" w:hAnsi="Times New Roman" w:eastAsia="宋体" w:cs="Times New Roman"/>
                      <w:color w:val="auto"/>
                      <w:highlight w:val="none"/>
                      <w:lang w:val="en-US" w:eastAsia="zh-CN"/>
                    </w:rPr>
                    <w:t>人</w:t>
                  </w:r>
                  <w:r>
                    <w:rPr>
                      <w:rFonts w:hint="default" w:ascii="Times New Roman" w:hAnsi="Times New Roman" w:eastAsia="宋体" w:cs="Times New Roman"/>
                      <w:color w:val="auto"/>
                      <w:highlight w:val="none"/>
                      <w:lang w:val="zh-CN" w:eastAsia="zh-CN"/>
                    </w:rPr>
                    <w:t>，</w:t>
                  </w:r>
                  <w:r>
                    <w:rPr>
                      <w:rFonts w:hint="default" w:ascii="Times New Roman" w:hAnsi="Times New Roman" w:eastAsia="宋体" w:cs="Times New Roman"/>
                      <w:color w:val="auto"/>
                      <w:highlight w:val="none"/>
                      <w:lang w:val="en-US" w:eastAsia="zh-CN"/>
                    </w:rPr>
                    <w:t>大气环境</w:t>
                  </w:r>
                </w:p>
              </w:tc>
              <w:tc>
                <w:tcPr>
                  <w:tcW w:w="365"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二类区</w:t>
                  </w:r>
                </w:p>
              </w:tc>
              <w:tc>
                <w:tcPr>
                  <w:tcW w:w="36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eastAsia"/>
                      <w:color w:val="auto"/>
                      <w:lang w:val="en-US" w:eastAsia="zh-CN"/>
                    </w:rPr>
                  </w:pPr>
                  <w:r>
                    <w:rPr>
                      <w:rFonts w:hint="eastAsia"/>
                      <w:color w:val="auto"/>
                      <w:lang w:val="en-US" w:eastAsia="zh-CN"/>
                    </w:rPr>
                    <w:t>东北</w:t>
                  </w:r>
                </w:p>
              </w:tc>
              <w:tc>
                <w:tcPr>
                  <w:tcW w:w="39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cs="Times New Roman"/>
                      <w:color w:val="auto"/>
                      <w:highlight w:val="none"/>
                      <w:lang w:val="en-US" w:eastAsia="zh-CN"/>
                    </w:rPr>
                  </w:pPr>
                  <w:r>
                    <w:rPr>
                      <w:rFonts w:hint="eastAsia" w:cs="Times New Roman"/>
                      <w:color w:val="auto"/>
                      <w:highlight w:val="none"/>
                      <w:lang w:val="en-US" w:eastAsia="zh-CN"/>
                    </w:rPr>
                    <w:t>465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6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cs="Times New Roman"/>
                      <w:color w:val="auto"/>
                      <w:highlight w:val="none"/>
                      <w:lang w:val="en-US" w:eastAsia="zh-CN"/>
                    </w:rPr>
                  </w:pPr>
                  <w:r>
                    <w:rPr>
                      <w:rFonts w:hint="eastAsia" w:cs="Times New Roman"/>
                      <w:color w:val="auto"/>
                      <w:highlight w:val="none"/>
                      <w:lang w:val="en-US" w:eastAsia="zh-CN"/>
                    </w:rPr>
                    <w:t>精诚祥纳都</w:t>
                  </w:r>
                </w:p>
              </w:tc>
              <w:tc>
                <w:tcPr>
                  <w:tcW w:w="732"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115°59′54.76″</w:t>
                  </w:r>
                </w:p>
              </w:tc>
              <w:tc>
                <w:tcPr>
                  <w:tcW w:w="91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42°13′52.5″</w:t>
                  </w:r>
                </w:p>
              </w:tc>
              <w:tc>
                <w:tcPr>
                  <w:tcW w:w="40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居民</w:t>
                  </w:r>
                </w:p>
              </w:tc>
              <w:tc>
                <w:tcPr>
                  <w:tcW w:w="1040"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约120人</w:t>
                  </w:r>
                  <w:r>
                    <w:rPr>
                      <w:rFonts w:hint="default" w:ascii="Times New Roman" w:hAnsi="Times New Roman" w:eastAsia="宋体" w:cs="Times New Roman"/>
                      <w:color w:val="auto"/>
                      <w:highlight w:val="none"/>
                      <w:lang w:val="zh-CN" w:eastAsia="zh-CN"/>
                    </w:rPr>
                    <w:t>，</w:t>
                  </w:r>
                  <w:r>
                    <w:rPr>
                      <w:rFonts w:hint="default" w:ascii="Times New Roman" w:hAnsi="Times New Roman" w:eastAsia="宋体" w:cs="Times New Roman"/>
                      <w:color w:val="auto"/>
                      <w:highlight w:val="none"/>
                      <w:lang w:val="en-US" w:eastAsia="zh-CN"/>
                    </w:rPr>
                    <w:t>大气环境</w:t>
                  </w:r>
                </w:p>
              </w:tc>
              <w:tc>
                <w:tcPr>
                  <w:tcW w:w="365"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二类区</w:t>
                  </w:r>
                </w:p>
              </w:tc>
              <w:tc>
                <w:tcPr>
                  <w:tcW w:w="36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color w:val="auto"/>
                      <w:lang w:val="en-US" w:eastAsia="zh-CN"/>
                    </w:rPr>
                  </w:pPr>
                  <w:r>
                    <w:rPr>
                      <w:rFonts w:hint="eastAsia"/>
                      <w:color w:val="auto"/>
                      <w:lang w:val="en-US" w:eastAsia="zh-CN"/>
                    </w:rPr>
                    <w:t>东</w:t>
                  </w:r>
                </w:p>
              </w:tc>
              <w:tc>
                <w:tcPr>
                  <w:tcW w:w="39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cs="Times New Roman"/>
                      <w:color w:val="auto"/>
                      <w:highlight w:val="none"/>
                      <w:lang w:val="en-US" w:eastAsia="zh-CN"/>
                    </w:rPr>
                  </w:pPr>
                  <w:r>
                    <w:rPr>
                      <w:rFonts w:hint="eastAsia" w:cs="Times New Roman"/>
                      <w:color w:val="auto"/>
                      <w:highlight w:val="none"/>
                      <w:lang w:val="en-US" w:eastAsia="zh-CN"/>
                    </w:rPr>
                    <w:t>265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76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cs="Times New Roman"/>
                      <w:color w:val="auto"/>
                      <w:highlight w:val="none"/>
                      <w:lang w:val="en-US" w:eastAsia="zh-CN"/>
                    </w:rPr>
                  </w:pPr>
                  <w:r>
                    <w:rPr>
                      <w:rFonts w:hint="eastAsia" w:cs="Times New Roman"/>
                      <w:color w:val="auto"/>
                      <w:highlight w:val="none"/>
                      <w:lang w:val="en-US" w:eastAsia="zh-CN"/>
                    </w:rPr>
                    <w:t>正蓝旗人民检察院</w:t>
                  </w:r>
                </w:p>
              </w:tc>
              <w:tc>
                <w:tcPr>
                  <w:tcW w:w="732"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115°59′48″</w:t>
                  </w:r>
                </w:p>
              </w:tc>
              <w:tc>
                <w:tcPr>
                  <w:tcW w:w="91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42°13′42.65″</w:t>
                  </w:r>
                </w:p>
              </w:tc>
              <w:tc>
                <w:tcPr>
                  <w:tcW w:w="40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eastAsia" w:cs="Times New Roman"/>
                      <w:color w:val="auto"/>
                      <w:highlight w:val="none"/>
                      <w:lang w:val="en-US" w:eastAsia="zh-CN"/>
                    </w:rPr>
                  </w:pPr>
                  <w:r>
                    <w:rPr>
                      <w:rFonts w:hint="eastAsia" w:cs="Times New Roman"/>
                      <w:color w:val="auto"/>
                      <w:highlight w:val="none"/>
                      <w:lang w:val="en-US" w:eastAsia="zh-CN"/>
                    </w:rPr>
                    <w:t>办公</w:t>
                  </w:r>
                </w:p>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人员</w:t>
                  </w:r>
                </w:p>
              </w:tc>
              <w:tc>
                <w:tcPr>
                  <w:tcW w:w="1040"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约</w:t>
                  </w:r>
                  <w:r>
                    <w:rPr>
                      <w:rFonts w:hint="eastAsia" w:cs="Times New Roman"/>
                      <w:color w:val="auto"/>
                      <w:highlight w:val="none"/>
                      <w:lang w:val="en-US" w:eastAsia="zh-CN"/>
                    </w:rPr>
                    <w:t>18</w:t>
                  </w:r>
                  <w:r>
                    <w:rPr>
                      <w:rFonts w:hint="eastAsia" w:ascii="Times New Roman" w:hAnsi="Times New Roman" w:eastAsia="宋体" w:cs="Times New Roman"/>
                      <w:color w:val="auto"/>
                      <w:highlight w:val="none"/>
                      <w:lang w:val="en-US" w:eastAsia="zh-CN"/>
                    </w:rPr>
                    <w:t>人</w:t>
                  </w:r>
                  <w:r>
                    <w:rPr>
                      <w:rFonts w:hint="default" w:ascii="Times New Roman" w:hAnsi="Times New Roman" w:eastAsia="宋体" w:cs="Times New Roman"/>
                      <w:color w:val="auto"/>
                      <w:highlight w:val="none"/>
                      <w:lang w:val="zh-CN" w:eastAsia="zh-CN"/>
                    </w:rPr>
                    <w:t>，</w:t>
                  </w:r>
                  <w:r>
                    <w:rPr>
                      <w:rFonts w:hint="default" w:ascii="Times New Roman" w:hAnsi="Times New Roman" w:eastAsia="宋体" w:cs="Times New Roman"/>
                      <w:color w:val="auto"/>
                      <w:highlight w:val="none"/>
                      <w:lang w:val="en-US" w:eastAsia="zh-CN"/>
                    </w:rPr>
                    <w:t>大气环境</w:t>
                  </w:r>
                </w:p>
              </w:tc>
              <w:tc>
                <w:tcPr>
                  <w:tcW w:w="365"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二类区</w:t>
                  </w:r>
                </w:p>
              </w:tc>
              <w:tc>
                <w:tcPr>
                  <w:tcW w:w="36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color w:val="auto"/>
                      <w:lang w:val="en-US" w:eastAsia="zh-CN"/>
                    </w:rPr>
                  </w:pPr>
                  <w:r>
                    <w:rPr>
                      <w:rFonts w:hint="eastAsia"/>
                      <w:color w:val="auto"/>
                      <w:lang w:val="en-US" w:eastAsia="zh-CN"/>
                    </w:rPr>
                    <w:t>东</w:t>
                  </w:r>
                </w:p>
              </w:tc>
              <w:tc>
                <w:tcPr>
                  <w:tcW w:w="39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cs="Times New Roman"/>
                      <w:color w:val="auto"/>
                      <w:highlight w:val="none"/>
                      <w:lang w:val="en-US" w:eastAsia="zh-CN"/>
                    </w:rPr>
                  </w:pPr>
                  <w:r>
                    <w:rPr>
                      <w:rFonts w:hint="eastAsia" w:cs="Times New Roman"/>
                      <w:color w:val="auto"/>
                      <w:highlight w:val="none"/>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6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cs="Times New Roman"/>
                      <w:color w:val="auto"/>
                      <w:highlight w:val="none"/>
                      <w:lang w:val="en-US" w:eastAsia="zh-CN"/>
                    </w:rPr>
                  </w:pPr>
                  <w:r>
                    <w:rPr>
                      <w:rFonts w:hint="eastAsia" w:cs="Times New Roman"/>
                      <w:color w:val="auto"/>
                      <w:highlight w:val="none"/>
                      <w:lang w:val="en-US" w:eastAsia="zh-CN"/>
                    </w:rPr>
                    <w:t>正蓝旗信访局</w:t>
                  </w:r>
                </w:p>
              </w:tc>
              <w:tc>
                <w:tcPr>
                  <w:tcW w:w="732"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115°59′50.74″</w:t>
                  </w:r>
                </w:p>
              </w:tc>
              <w:tc>
                <w:tcPr>
                  <w:tcW w:w="91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42°13′44.55″</w:t>
                  </w:r>
                </w:p>
              </w:tc>
              <w:tc>
                <w:tcPr>
                  <w:tcW w:w="40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办公人员</w:t>
                  </w:r>
                </w:p>
              </w:tc>
              <w:tc>
                <w:tcPr>
                  <w:tcW w:w="1040"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约</w:t>
                  </w:r>
                  <w:r>
                    <w:rPr>
                      <w:rFonts w:hint="eastAsia" w:cs="Times New Roman"/>
                      <w:color w:val="auto"/>
                      <w:highlight w:val="none"/>
                      <w:lang w:val="en-US" w:eastAsia="zh-CN"/>
                    </w:rPr>
                    <w:t>15</w:t>
                  </w:r>
                  <w:r>
                    <w:rPr>
                      <w:rFonts w:hint="eastAsia" w:ascii="Times New Roman" w:hAnsi="Times New Roman" w:eastAsia="宋体" w:cs="Times New Roman"/>
                      <w:color w:val="auto"/>
                      <w:highlight w:val="none"/>
                      <w:lang w:val="en-US" w:eastAsia="zh-CN"/>
                    </w:rPr>
                    <w:t>人</w:t>
                  </w:r>
                  <w:r>
                    <w:rPr>
                      <w:rFonts w:hint="default" w:ascii="Times New Roman" w:hAnsi="Times New Roman" w:eastAsia="宋体" w:cs="Times New Roman"/>
                      <w:color w:val="auto"/>
                      <w:highlight w:val="none"/>
                      <w:lang w:val="zh-CN" w:eastAsia="zh-CN"/>
                    </w:rPr>
                    <w:t>，</w:t>
                  </w:r>
                  <w:r>
                    <w:rPr>
                      <w:rFonts w:hint="default" w:ascii="Times New Roman" w:hAnsi="Times New Roman" w:eastAsia="宋体" w:cs="Times New Roman"/>
                      <w:color w:val="auto"/>
                      <w:highlight w:val="none"/>
                      <w:lang w:val="en-US" w:eastAsia="zh-CN"/>
                    </w:rPr>
                    <w:t>大气环境</w:t>
                  </w:r>
                </w:p>
              </w:tc>
              <w:tc>
                <w:tcPr>
                  <w:tcW w:w="365"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二类区</w:t>
                  </w:r>
                </w:p>
              </w:tc>
              <w:tc>
                <w:tcPr>
                  <w:tcW w:w="36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eastAsia"/>
                      <w:color w:val="auto"/>
                      <w:lang w:val="en-US" w:eastAsia="zh-CN"/>
                    </w:rPr>
                  </w:pPr>
                  <w:r>
                    <w:rPr>
                      <w:rFonts w:hint="eastAsia"/>
                      <w:color w:val="auto"/>
                      <w:lang w:val="en-US" w:eastAsia="zh-CN"/>
                    </w:rPr>
                    <w:t>东</w:t>
                  </w:r>
                </w:p>
              </w:tc>
              <w:tc>
                <w:tcPr>
                  <w:tcW w:w="39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cs="Times New Roman"/>
                      <w:color w:val="auto"/>
                      <w:highlight w:val="none"/>
                      <w:lang w:val="en-US" w:eastAsia="zh-CN"/>
                    </w:rPr>
                  </w:pPr>
                  <w:r>
                    <w:rPr>
                      <w:rFonts w:hint="eastAsia" w:cs="Times New Roman"/>
                      <w:color w:val="auto"/>
                      <w:highlight w:val="no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6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cs="Times New Roman"/>
                      <w:color w:val="auto"/>
                      <w:highlight w:val="none"/>
                      <w:lang w:val="en-US" w:eastAsia="zh-CN"/>
                    </w:rPr>
                  </w:pPr>
                  <w:r>
                    <w:rPr>
                      <w:rFonts w:hint="eastAsia" w:cs="Times New Roman"/>
                      <w:color w:val="auto"/>
                      <w:highlight w:val="none"/>
                      <w:lang w:val="en-US" w:eastAsia="zh-CN"/>
                    </w:rPr>
                    <w:t>上都镇派出所</w:t>
                  </w:r>
                </w:p>
              </w:tc>
              <w:tc>
                <w:tcPr>
                  <w:tcW w:w="732"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115°59′52.55″</w:t>
                  </w:r>
                </w:p>
              </w:tc>
              <w:tc>
                <w:tcPr>
                  <w:tcW w:w="91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42°13′40.76″</w:t>
                  </w:r>
                </w:p>
              </w:tc>
              <w:tc>
                <w:tcPr>
                  <w:tcW w:w="40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eastAsia" w:cs="Times New Roman"/>
                      <w:color w:val="auto"/>
                      <w:highlight w:val="none"/>
                      <w:lang w:val="en-US" w:eastAsia="zh-CN"/>
                    </w:rPr>
                  </w:pPr>
                  <w:r>
                    <w:rPr>
                      <w:rFonts w:hint="eastAsia" w:cs="Times New Roman"/>
                      <w:color w:val="auto"/>
                      <w:highlight w:val="none"/>
                      <w:lang w:val="en-US" w:eastAsia="zh-CN"/>
                    </w:rPr>
                    <w:t>办公</w:t>
                  </w:r>
                </w:p>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人员</w:t>
                  </w:r>
                </w:p>
              </w:tc>
              <w:tc>
                <w:tcPr>
                  <w:tcW w:w="1040"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约</w:t>
                  </w:r>
                  <w:r>
                    <w:rPr>
                      <w:rFonts w:hint="eastAsia" w:cs="Times New Roman"/>
                      <w:color w:val="auto"/>
                      <w:highlight w:val="none"/>
                      <w:lang w:val="en-US" w:eastAsia="zh-CN"/>
                    </w:rPr>
                    <w:t>15</w:t>
                  </w:r>
                  <w:r>
                    <w:rPr>
                      <w:rFonts w:hint="eastAsia" w:ascii="Times New Roman" w:hAnsi="Times New Roman" w:eastAsia="宋体" w:cs="Times New Roman"/>
                      <w:color w:val="auto"/>
                      <w:highlight w:val="none"/>
                      <w:lang w:val="en-US" w:eastAsia="zh-CN"/>
                    </w:rPr>
                    <w:t>人</w:t>
                  </w:r>
                  <w:r>
                    <w:rPr>
                      <w:rFonts w:hint="default" w:ascii="Times New Roman" w:hAnsi="Times New Roman" w:eastAsia="宋体" w:cs="Times New Roman"/>
                      <w:color w:val="auto"/>
                      <w:highlight w:val="none"/>
                      <w:lang w:val="zh-CN" w:eastAsia="zh-CN"/>
                    </w:rPr>
                    <w:t>，</w:t>
                  </w:r>
                  <w:r>
                    <w:rPr>
                      <w:rFonts w:hint="default" w:ascii="Times New Roman" w:hAnsi="Times New Roman" w:eastAsia="宋体" w:cs="Times New Roman"/>
                      <w:color w:val="auto"/>
                      <w:highlight w:val="none"/>
                      <w:lang w:val="en-US" w:eastAsia="zh-CN"/>
                    </w:rPr>
                    <w:t>大气环境</w:t>
                  </w:r>
                </w:p>
              </w:tc>
              <w:tc>
                <w:tcPr>
                  <w:tcW w:w="365"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二类区</w:t>
                  </w:r>
                </w:p>
              </w:tc>
              <w:tc>
                <w:tcPr>
                  <w:tcW w:w="36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eastAsia"/>
                      <w:color w:val="auto"/>
                      <w:lang w:val="en-US" w:eastAsia="zh-CN"/>
                    </w:rPr>
                  </w:pPr>
                  <w:r>
                    <w:rPr>
                      <w:rFonts w:hint="eastAsia"/>
                      <w:color w:val="auto"/>
                      <w:lang w:val="en-US" w:eastAsia="zh-CN"/>
                    </w:rPr>
                    <w:t>东南</w:t>
                  </w:r>
                </w:p>
              </w:tc>
              <w:tc>
                <w:tcPr>
                  <w:tcW w:w="39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cs="Times New Roman"/>
                      <w:color w:val="auto"/>
                      <w:highlight w:val="none"/>
                      <w:lang w:val="en-US" w:eastAsia="zh-CN"/>
                    </w:rPr>
                  </w:pPr>
                  <w:r>
                    <w:rPr>
                      <w:rFonts w:hint="eastAsia" w:cs="Times New Roman"/>
                      <w:color w:val="auto"/>
                      <w:highlight w:val="none"/>
                      <w:lang w:val="en-US" w:eastAsia="zh-CN"/>
                    </w:rPr>
                    <w:t>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69" w:type="pct"/>
                  <w:tcBorders>
                    <w:tl2br w:val="nil"/>
                    <w:tr2bl w:val="nil"/>
                  </w:tcBorders>
                  <w:noWrap w:val="0"/>
                  <w:vAlign w:val="center"/>
                </w:tcPr>
                <w:p>
                  <w:pPr>
                    <w:pStyle w:val="226"/>
                    <w:keepNext w:val="0"/>
                    <w:keepLines w:val="0"/>
                    <w:suppressLineNumbers w:val="0"/>
                    <w:bidi w:val="0"/>
                    <w:spacing w:before="0" w:beforeAutospacing="0" w:after="0" w:afterAutospacing="0"/>
                    <w:ind w:left="0" w:leftChars="0" w:right="0" w:rightChars="0" w:firstLine="0" w:firstLineChars="0"/>
                    <w:rPr>
                      <w:rFonts w:hint="default" w:cs="Times New Roman"/>
                      <w:color w:val="auto"/>
                      <w:highlight w:val="none"/>
                      <w:lang w:val="en-US" w:eastAsia="zh-CN"/>
                    </w:rPr>
                  </w:pPr>
                  <w:r>
                    <w:rPr>
                      <w:rFonts w:hint="eastAsia"/>
                      <w:color w:val="auto"/>
                      <w:lang w:val="en-US" w:eastAsia="zh-CN"/>
                    </w:rPr>
                    <w:t>正蓝旗蒙龙养老院</w:t>
                  </w:r>
                </w:p>
              </w:tc>
              <w:tc>
                <w:tcPr>
                  <w:tcW w:w="732" w:type="pct"/>
                  <w:tcBorders>
                    <w:tl2br w:val="nil"/>
                    <w:tr2bl w:val="nil"/>
                  </w:tcBorders>
                  <w:noWrap w:val="0"/>
                  <w:vAlign w:val="center"/>
                </w:tcPr>
                <w:p>
                  <w:pPr>
                    <w:pStyle w:val="226"/>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highlight w:val="none"/>
                      <w:lang w:val="en-US" w:eastAsia="zh-CN"/>
                    </w:rPr>
                  </w:pPr>
                  <w:r>
                    <w:rPr>
                      <w:rFonts w:hint="default"/>
                      <w:color w:val="auto"/>
                      <w:lang w:val="en-US" w:eastAsia="zh-CN"/>
                    </w:rPr>
                    <w:t>116°00′0.24″</w:t>
                  </w:r>
                </w:p>
              </w:tc>
              <w:tc>
                <w:tcPr>
                  <w:tcW w:w="916" w:type="pct"/>
                  <w:tcBorders>
                    <w:tl2br w:val="nil"/>
                    <w:tr2bl w:val="nil"/>
                  </w:tcBorders>
                  <w:noWrap w:val="0"/>
                  <w:vAlign w:val="center"/>
                </w:tcPr>
                <w:p>
                  <w:pPr>
                    <w:pStyle w:val="226"/>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highlight w:val="none"/>
                      <w:lang w:val="en-US" w:eastAsia="zh-CN"/>
                    </w:rPr>
                  </w:pPr>
                  <w:r>
                    <w:rPr>
                      <w:rFonts w:hint="default"/>
                      <w:color w:val="auto"/>
                      <w:lang w:val="en-US" w:eastAsia="zh-CN"/>
                    </w:rPr>
                    <w:t>42°13′43.27″</w:t>
                  </w:r>
                </w:p>
              </w:tc>
              <w:tc>
                <w:tcPr>
                  <w:tcW w:w="40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办公、</w:t>
                  </w:r>
                  <w:r>
                    <w:rPr>
                      <w:rFonts w:hint="eastAsia"/>
                      <w:color w:val="auto"/>
                      <w:lang w:val="en-US" w:eastAsia="zh-CN"/>
                    </w:rPr>
                    <w:t>养老</w:t>
                  </w:r>
                  <w:r>
                    <w:rPr>
                      <w:rFonts w:hint="eastAsia" w:cs="Times New Roman"/>
                      <w:color w:val="auto"/>
                      <w:highlight w:val="none"/>
                      <w:lang w:val="en-US" w:eastAsia="zh-CN"/>
                    </w:rPr>
                    <w:t>人员</w:t>
                  </w:r>
                </w:p>
              </w:tc>
              <w:tc>
                <w:tcPr>
                  <w:tcW w:w="1040"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约20人</w:t>
                  </w:r>
                  <w:r>
                    <w:rPr>
                      <w:rFonts w:hint="default" w:ascii="Times New Roman" w:hAnsi="Times New Roman" w:eastAsia="宋体" w:cs="Times New Roman"/>
                      <w:color w:val="auto"/>
                      <w:highlight w:val="none"/>
                      <w:lang w:val="zh-CN" w:eastAsia="zh-CN"/>
                    </w:rPr>
                    <w:t>，</w:t>
                  </w:r>
                  <w:r>
                    <w:rPr>
                      <w:rFonts w:hint="default" w:ascii="Times New Roman" w:hAnsi="Times New Roman" w:eastAsia="宋体" w:cs="Times New Roman"/>
                      <w:color w:val="auto"/>
                      <w:highlight w:val="none"/>
                      <w:lang w:val="en-US" w:eastAsia="zh-CN"/>
                    </w:rPr>
                    <w:t>大气环境</w:t>
                  </w:r>
                </w:p>
              </w:tc>
              <w:tc>
                <w:tcPr>
                  <w:tcW w:w="365"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二类区</w:t>
                  </w:r>
                </w:p>
              </w:tc>
              <w:tc>
                <w:tcPr>
                  <w:tcW w:w="36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eastAsia"/>
                      <w:color w:val="auto"/>
                      <w:lang w:val="en-US" w:eastAsia="zh-CN"/>
                    </w:rPr>
                  </w:pPr>
                  <w:r>
                    <w:rPr>
                      <w:rFonts w:hint="eastAsia"/>
                      <w:color w:val="auto"/>
                      <w:lang w:val="en-US" w:eastAsia="zh-CN"/>
                    </w:rPr>
                    <w:t>东南</w:t>
                  </w:r>
                </w:p>
              </w:tc>
              <w:tc>
                <w:tcPr>
                  <w:tcW w:w="39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cs="Times New Roman"/>
                      <w:color w:val="auto"/>
                      <w:highlight w:val="none"/>
                      <w:lang w:val="en-US" w:eastAsia="zh-CN"/>
                    </w:rPr>
                  </w:pPr>
                  <w:r>
                    <w:rPr>
                      <w:rFonts w:hint="eastAsia" w:cs="Times New Roman"/>
                      <w:color w:val="auto"/>
                      <w:highlight w:val="none"/>
                      <w:lang w:val="en-US" w:eastAsia="zh-CN"/>
                    </w:rPr>
                    <w:t>385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69" w:type="pct"/>
                  <w:tcBorders>
                    <w:tl2br w:val="nil"/>
                    <w:tr2bl w:val="nil"/>
                  </w:tcBorders>
                  <w:noWrap w:val="0"/>
                  <w:vAlign w:val="center"/>
                </w:tcPr>
                <w:p>
                  <w:pPr>
                    <w:pStyle w:val="226"/>
                    <w:keepNext w:val="0"/>
                    <w:keepLines w:val="0"/>
                    <w:suppressLineNumbers w:val="0"/>
                    <w:bidi w:val="0"/>
                    <w:spacing w:before="0" w:beforeAutospacing="0" w:after="0" w:afterAutospacing="0"/>
                    <w:ind w:left="0" w:leftChars="0" w:right="0" w:rightChars="0" w:firstLine="0" w:firstLineChars="0"/>
                    <w:rPr>
                      <w:rFonts w:hint="eastAsia"/>
                      <w:color w:val="auto"/>
                      <w:lang w:val="en-US" w:eastAsia="zh-CN"/>
                    </w:rPr>
                  </w:pPr>
                  <w:r>
                    <w:rPr>
                      <w:rFonts w:hint="eastAsia"/>
                      <w:color w:val="auto"/>
                      <w:lang w:val="en-US" w:eastAsia="zh-CN"/>
                    </w:rPr>
                    <w:t>正蓝旗疾病</w:t>
                  </w:r>
                </w:p>
                <w:p>
                  <w:pPr>
                    <w:pStyle w:val="226"/>
                    <w:keepNext w:val="0"/>
                    <w:keepLines w:val="0"/>
                    <w:suppressLineNumbers w:val="0"/>
                    <w:bidi w:val="0"/>
                    <w:spacing w:before="0" w:beforeAutospacing="0" w:after="0" w:afterAutospacing="0"/>
                    <w:ind w:left="0" w:leftChars="0" w:right="0" w:rightChars="0" w:firstLine="0" w:firstLineChars="0"/>
                    <w:rPr>
                      <w:rFonts w:hint="default" w:cs="Times New Roman"/>
                      <w:color w:val="auto"/>
                      <w:highlight w:val="none"/>
                      <w:lang w:val="en-US" w:eastAsia="zh-CN"/>
                    </w:rPr>
                  </w:pPr>
                  <w:r>
                    <w:rPr>
                      <w:rFonts w:hint="eastAsia"/>
                      <w:color w:val="auto"/>
                      <w:lang w:val="en-US" w:eastAsia="zh-CN"/>
                    </w:rPr>
                    <w:t>控制中心</w:t>
                  </w:r>
                </w:p>
              </w:tc>
              <w:tc>
                <w:tcPr>
                  <w:tcW w:w="732" w:type="pct"/>
                  <w:tcBorders>
                    <w:tl2br w:val="nil"/>
                    <w:tr2bl w:val="nil"/>
                  </w:tcBorders>
                  <w:noWrap w:val="0"/>
                  <w:vAlign w:val="center"/>
                </w:tcPr>
                <w:p>
                  <w:pPr>
                    <w:pStyle w:val="226"/>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lang w:val="en-US" w:eastAsia="zh-CN"/>
                    </w:rPr>
                    <w:t>116°00′2.33″</w:t>
                  </w:r>
                </w:p>
              </w:tc>
              <w:tc>
                <w:tcPr>
                  <w:tcW w:w="916" w:type="pct"/>
                  <w:tcBorders>
                    <w:tl2br w:val="nil"/>
                    <w:tr2bl w:val="nil"/>
                  </w:tcBorders>
                  <w:noWrap w:val="0"/>
                  <w:vAlign w:val="center"/>
                </w:tcPr>
                <w:p>
                  <w:pPr>
                    <w:pStyle w:val="226"/>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highlight w:val="none"/>
                      <w:lang w:val="en-US" w:eastAsia="zh-CN"/>
                    </w:rPr>
                  </w:pPr>
                  <w:r>
                    <w:rPr>
                      <w:rFonts w:hint="default"/>
                      <w:color w:val="auto"/>
                      <w:lang w:val="en-US" w:eastAsia="zh-CN"/>
                    </w:rPr>
                    <w:t>42°13′45.36″</w:t>
                  </w:r>
                </w:p>
              </w:tc>
              <w:tc>
                <w:tcPr>
                  <w:tcW w:w="40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eastAsia" w:cs="Times New Roman"/>
                      <w:color w:val="auto"/>
                      <w:highlight w:val="none"/>
                      <w:lang w:val="en-US" w:eastAsia="zh-CN"/>
                    </w:rPr>
                  </w:pPr>
                  <w:r>
                    <w:rPr>
                      <w:rFonts w:hint="eastAsia" w:cs="Times New Roman"/>
                      <w:color w:val="auto"/>
                      <w:highlight w:val="none"/>
                      <w:lang w:val="en-US" w:eastAsia="zh-CN"/>
                    </w:rPr>
                    <w:t>办公</w:t>
                  </w:r>
                </w:p>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人员</w:t>
                  </w:r>
                </w:p>
              </w:tc>
              <w:tc>
                <w:tcPr>
                  <w:tcW w:w="1040"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约</w:t>
                  </w:r>
                  <w:r>
                    <w:rPr>
                      <w:rFonts w:hint="eastAsia" w:cs="Times New Roman"/>
                      <w:color w:val="auto"/>
                      <w:highlight w:val="none"/>
                      <w:lang w:val="en-US" w:eastAsia="zh-CN"/>
                    </w:rPr>
                    <w:t>15</w:t>
                  </w:r>
                  <w:r>
                    <w:rPr>
                      <w:rFonts w:hint="eastAsia" w:ascii="Times New Roman" w:hAnsi="Times New Roman" w:eastAsia="宋体" w:cs="Times New Roman"/>
                      <w:color w:val="auto"/>
                      <w:highlight w:val="none"/>
                      <w:lang w:val="en-US" w:eastAsia="zh-CN"/>
                    </w:rPr>
                    <w:t>人</w:t>
                  </w:r>
                  <w:r>
                    <w:rPr>
                      <w:rFonts w:hint="default" w:ascii="Times New Roman" w:hAnsi="Times New Roman" w:eastAsia="宋体" w:cs="Times New Roman"/>
                      <w:color w:val="auto"/>
                      <w:highlight w:val="none"/>
                      <w:lang w:val="zh-CN" w:eastAsia="zh-CN"/>
                    </w:rPr>
                    <w:t>，</w:t>
                  </w:r>
                  <w:r>
                    <w:rPr>
                      <w:rFonts w:hint="default" w:ascii="Times New Roman" w:hAnsi="Times New Roman" w:eastAsia="宋体" w:cs="Times New Roman"/>
                      <w:color w:val="auto"/>
                      <w:highlight w:val="none"/>
                      <w:lang w:val="en-US" w:eastAsia="zh-CN"/>
                    </w:rPr>
                    <w:t>大气环境</w:t>
                  </w:r>
                </w:p>
              </w:tc>
              <w:tc>
                <w:tcPr>
                  <w:tcW w:w="365"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二类区</w:t>
                  </w:r>
                </w:p>
              </w:tc>
              <w:tc>
                <w:tcPr>
                  <w:tcW w:w="366"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color w:val="auto"/>
                      <w:lang w:val="en-US" w:eastAsia="zh-CN"/>
                    </w:rPr>
                  </w:pPr>
                  <w:r>
                    <w:rPr>
                      <w:rFonts w:hint="eastAsia"/>
                      <w:color w:val="auto"/>
                      <w:lang w:val="en-US" w:eastAsia="zh-CN"/>
                    </w:rPr>
                    <w:t>东南</w:t>
                  </w:r>
                </w:p>
              </w:tc>
              <w:tc>
                <w:tcPr>
                  <w:tcW w:w="39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cs="Times New Roman"/>
                      <w:color w:val="auto"/>
                      <w:highlight w:val="none"/>
                      <w:lang w:val="en-US" w:eastAsia="zh-CN"/>
                    </w:rPr>
                  </w:pPr>
                  <w:r>
                    <w:rPr>
                      <w:rFonts w:hint="eastAsia" w:cs="Times New Roman"/>
                      <w:color w:val="auto"/>
                      <w:highlight w:val="none"/>
                      <w:lang w:val="en-US" w:eastAsia="zh-CN"/>
                    </w:rPr>
                    <w:t>385</w:t>
                  </w:r>
                </w:p>
              </w:tc>
            </w:tr>
          </w:tbl>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157" w:beforeLines="50" w:beforeAutospacing="0" w:after="0" w:afterAutospacing="0"/>
              <w:ind w:left="480" w:leftChars="200" w:right="0" w:rightChars="0"/>
              <w:textAlignment w:val="auto"/>
              <w:rPr>
                <w:rFonts w:hint="eastAsia" w:ascii="Times New Roman" w:hAnsi="Times New Roman" w:cs="宋体"/>
                <w:color w:val="auto"/>
                <w:sz w:val="24"/>
                <w:highlight w:val="none"/>
                <w:lang w:bidi="ar"/>
              </w:rPr>
            </w:pPr>
            <w:r>
              <w:rPr>
                <w:rFonts w:hint="eastAsia" w:cs="宋体"/>
                <w:color w:val="auto"/>
                <w:sz w:val="24"/>
                <w:highlight w:val="none"/>
                <w:lang w:val="en-US" w:eastAsia="zh-CN" w:bidi="ar"/>
              </w:rPr>
              <w:t>2、</w:t>
            </w:r>
            <w:r>
              <w:rPr>
                <w:rFonts w:hint="eastAsia" w:ascii="Times New Roman" w:hAnsi="Times New Roman" w:cs="宋体"/>
                <w:color w:val="auto"/>
                <w:sz w:val="24"/>
                <w:highlight w:val="none"/>
                <w:lang w:bidi="ar"/>
              </w:rPr>
              <w:t>声环境</w:t>
            </w:r>
          </w:p>
          <w:p>
            <w:pPr>
              <w:keepNext w:val="0"/>
              <w:keepLines w:val="0"/>
              <w:numPr>
                <w:ilvl w:val="0"/>
                <w:numId w:val="0"/>
              </w:numPr>
              <w:suppressLineNumbers w:val="0"/>
              <w:bidi w:val="0"/>
              <w:spacing w:before="0" w:beforeAutospacing="0" w:after="0" w:afterAutospacing="0"/>
              <w:ind w:left="480" w:leftChars="200" w:right="0"/>
              <w:rPr>
                <w:rFonts w:hint="eastAsia" w:ascii="Times New Roman" w:hAnsi="Times New Roman" w:cs="宋体"/>
                <w:color w:val="auto"/>
                <w:sz w:val="24"/>
                <w:highlight w:val="yellow"/>
                <w:lang w:val="en-US" w:eastAsia="zh-CN" w:bidi="ar"/>
              </w:rPr>
            </w:pPr>
            <w:r>
              <w:rPr>
                <w:rFonts w:hint="eastAsia" w:ascii="Times New Roman" w:hAnsi="Times New Roman" w:cs="宋体"/>
                <w:color w:val="auto"/>
                <w:sz w:val="24"/>
                <w:highlight w:val="none"/>
                <w:lang w:bidi="ar"/>
              </w:rPr>
              <w:t>拟建项目厂界外50米范围内</w:t>
            </w:r>
            <w:r>
              <w:rPr>
                <w:rFonts w:hint="eastAsia" w:ascii="Times New Roman" w:hAnsi="Times New Roman" w:cs="宋体"/>
                <w:color w:val="auto"/>
                <w:sz w:val="24"/>
                <w:highlight w:val="none"/>
                <w:lang w:val="en-US" w:eastAsia="zh-CN" w:bidi="ar"/>
              </w:rPr>
              <w:t>涉及</w:t>
            </w:r>
            <w:r>
              <w:rPr>
                <w:rFonts w:hint="eastAsia" w:ascii="Times New Roman" w:hAnsi="Times New Roman" w:cs="宋体"/>
                <w:color w:val="auto"/>
                <w:sz w:val="24"/>
                <w:highlight w:val="none"/>
                <w:lang w:bidi="ar"/>
              </w:rPr>
              <w:t>声环境保护目标</w:t>
            </w:r>
            <w:r>
              <w:rPr>
                <w:rFonts w:hint="eastAsia" w:ascii="Times New Roman" w:hAnsi="Times New Roman" w:cs="宋体"/>
                <w:color w:val="auto"/>
                <w:sz w:val="24"/>
                <w:highlight w:val="none"/>
                <w:lang w:val="en-US" w:eastAsia="zh-CN" w:bidi="ar"/>
              </w:rPr>
              <w:t>详见表</w:t>
            </w:r>
            <w:r>
              <w:rPr>
                <w:rFonts w:hint="eastAsia" w:cs="宋体"/>
                <w:color w:val="auto"/>
                <w:sz w:val="24"/>
                <w:highlight w:val="none"/>
                <w:lang w:val="en-US" w:eastAsia="zh-CN" w:bidi="ar"/>
              </w:rPr>
              <w:t>3-4</w:t>
            </w:r>
            <w:r>
              <w:rPr>
                <w:rFonts w:hint="eastAsia" w:ascii="Times New Roman" w:hAnsi="Times New Roman" w:cs="宋体"/>
                <w:color w:val="auto"/>
                <w:sz w:val="24"/>
                <w:highlight w:val="none"/>
                <w:lang w:val="en-US" w:eastAsia="zh-CN" w:bidi="ar"/>
              </w:rPr>
              <w:t>。</w:t>
            </w:r>
          </w:p>
          <w:p>
            <w:pPr>
              <w:pStyle w:val="9"/>
              <w:suppressLineNumbers w:val="0"/>
              <w:bidi w:val="0"/>
              <w:spacing w:before="0" w:beforeAutospacing="0" w:after="0" w:afterAutospacing="0"/>
              <w:ind w:left="0" w:right="0"/>
              <w:rPr>
                <w:rFonts w:hint="eastAsia" w:cs="Times New Roman"/>
                <w:color w:val="auto"/>
                <w:lang w:val="en-US" w:eastAsia="zh-CN"/>
              </w:rPr>
            </w:pPr>
            <w:r>
              <w:rPr>
                <w:rFonts w:hint="eastAsia" w:cs="Times New Roman"/>
                <w:color w:val="auto"/>
              </w:rPr>
              <w:t>表</w:t>
            </w:r>
            <w:r>
              <w:rPr>
                <w:rFonts w:hint="eastAsia" w:cs="Times New Roman"/>
                <w:color w:val="auto"/>
                <w:lang w:val="en-US" w:eastAsia="zh-CN"/>
              </w:rPr>
              <w:t>3-4</w:t>
            </w:r>
            <w:r>
              <w:rPr>
                <w:rFonts w:cs="Times New Roman"/>
                <w:color w:val="auto"/>
              </w:rPr>
              <w:t xml:space="preserve">  </w:t>
            </w:r>
            <w:r>
              <w:rPr>
                <w:rFonts w:hint="eastAsia" w:cs="Times New Roman"/>
                <w:color w:val="auto"/>
                <w:lang w:val="en-US" w:eastAsia="zh-CN"/>
              </w:rPr>
              <w:t>声</w:t>
            </w:r>
            <w:r>
              <w:rPr>
                <w:rFonts w:hint="eastAsia" w:cs="Times New Roman"/>
                <w:color w:val="auto"/>
              </w:rPr>
              <w:t>环境保护目标一览表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30"/>
              <w:gridCol w:w="950"/>
              <w:gridCol w:w="1225"/>
              <w:gridCol w:w="1121"/>
              <w:gridCol w:w="527"/>
              <w:gridCol w:w="457"/>
              <w:gridCol w:w="1633"/>
              <w:gridCol w:w="21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97" w:type="pct"/>
                  <w:vMerge w:val="restar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序号</w:t>
                  </w:r>
                </w:p>
              </w:tc>
              <w:tc>
                <w:tcPr>
                  <w:tcW w:w="568" w:type="pct"/>
                  <w:vMerge w:val="restar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声环境保护目标名称</w:t>
                  </w:r>
                </w:p>
              </w:tc>
              <w:tc>
                <w:tcPr>
                  <w:tcW w:w="1402" w:type="pct"/>
                  <w:gridSpan w:val="2"/>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zh-CN" w:eastAsia="zh-CN"/>
                    </w:rPr>
                  </w:pPr>
                  <w:r>
                    <w:rPr>
                      <w:rFonts w:hint="default"/>
                      <w:color w:val="auto"/>
                      <w:lang w:val="en-US" w:eastAsia="zh-CN"/>
                    </w:rPr>
                    <w:t>坐标</w:t>
                  </w:r>
                </w:p>
              </w:tc>
              <w:tc>
                <w:tcPr>
                  <w:tcW w:w="315" w:type="pct"/>
                  <w:vMerge w:val="restar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距厂界最近距离/m</w:t>
                  </w:r>
                </w:p>
              </w:tc>
              <w:tc>
                <w:tcPr>
                  <w:tcW w:w="273" w:type="pct"/>
                  <w:vMerge w:val="restar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方位</w:t>
                  </w:r>
                </w:p>
              </w:tc>
              <w:tc>
                <w:tcPr>
                  <w:tcW w:w="976" w:type="pct"/>
                  <w:vMerge w:val="restar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执行标准/功能区类别</w:t>
                  </w:r>
                </w:p>
              </w:tc>
              <w:tc>
                <w:tcPr>
                  <w:tcW w:w="1265" w:type="pct"/>
                  <w:vMerge w:val="restar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声环境保护目标情况说明（介绍声环境保护目标建筑结构、朝向、楼层、周围环境情况）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97" w:type="pct"/>
                  <w:vMerge w:val="continue"/>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zh-CN" w:eastAsia="zh-CN"/>
                    </w:rPr>
                  </w:pPr>
                </w:p>
              </w:tc>
              <w:tc>
                <w:tcPr>
                  <w:tcW w:w="568" w:type="pct"/>
                  <w:vMerge w:val="continue"/>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zh-CN" w:eastAsia="zh-CN"/>
                    </w:rPr>
                  </w:pPr>
                </w:p>
              </w:tc>
              <w:tc>
                <w:tcPr>
                  <w:tcW w:w="732"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color w:val="auto"/>
                      <w:lang w:val="zh-CN" w:eastAsia="zh-CN"/>
                    </w:rPr>
                  </w:pPr>
                  <w:r>
                    <w:rPr>
                      <w:rFonts w:hint="eastAsia" w:cs="Times New Roman"/>
                      <w:color w:val="auto"/>
                      <w:kern w:val="0"/>
                      <w:sz w:val="21"/>
                      <w:szCs w:val="24"/>
                      <w:highlight w:val="none"/>
                      <w:lang w:val="en-US" w:eastAsia="zh-CN" w:bidi="ar-SA"/>
                    </w:rPr>
                    <w:t>经度</w:t>
                  </w:r>
                </w:p>
              </w:tc>
              <w:tc>
                <w:tcPr>
                  <w:tcW w:w="66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color w:val="auto"/>
                      <w:lang w:val="zh-CN" w:eastAsia="zh-CN"/>
                    </w:rPr>
                  </w:pPr>
                  <w:r>
                    <w:rPr>
                      <w:rFonts w:hint="eastAsia" w:cs="Times New Roman"/>
                      <w:color w:val="auto"/>
                      <w:highlight w:val="none"/>
                      <w:lang w:val="en-US" w:eastAsia="zh-CN"/>
                    </w:rPr>
                    <w:t>纬度</w:t>
                  </w:r>
                </w:p>
              </w:tc>
              <w:tc>
                <w:tcPr>
                  <w:tcW w:w="315" w:type="pct"/>
                  <w:vMerge w:val="continue"/>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zh-CN" w:eastAsia="zh-CN"/>
                    </w:rPr>
                  </w:pPr>
                </w:p>
              </w:tc>
              <w:tc>
                <w:tcPr>
                  <w:tcW w:w="273" w:type="pct"/>
                  <w:vMerge w:val="continue"/>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zh-CN" w:eastAsia="zh-CN"/>
                    </w:rPr>
                  </w:pPr>
                </w:p>
              </w:tc>
              <w:tc>
                <w:tcPr>
                  <w:tcW w:w="976" w:type="pct"/>
                  <w:vMerge w:val="continue"/>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zh-CN" w:eastAsia="zh-CN"/>
                    </w:rPr>
                  </w:pPr>
                </w:p>
              </w:tc>
              <w:tc>
                <w:tcPr>
                  <w:tcW w:w="1265" w:type="pct"/>
                  <w:vMerge w:val="continue"/>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zh-CN"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97"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w:t>
                  </w:r>
                </w:p>
              </w:tc>
              <w:tc>
                <w:tcPr>
                  <w:tcW w:w="568"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color w:val="auto"/>
                      <w:lang w:val="zh-CN" w:eastAsia="zh-CN"/>
                    </w:rPr>
                  </w:pPr>
                  <w:r>
                    <w:rPr>
                      <w:rFonts w:hint="eastAsia" w:cs="Times New Roman"/>
                      <w:color w:val="auto"/>
                      <w:highlight w:val="none"/>
                      <w:lang w:val="zh-CN" w:eastAsia="zh-CN"/>
                    </w:rPr>
                    <w:t>金莲花酒店</w:t>
                  </w:r>
                </w:p>
              </w:tc>
              <w:tc>
                <w:tcPr>
                  <w:tcW w:w="732"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eastAsia"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115°59′4</w:t>
                  </w:r>
                  <w:r>
                    <w:rPr>
                      <w:rFonts w:hint="eastAsia" w:cs="Times New Roman"/>
                      <w:color w:val="auto"/>
                      <w:highlight w:val="none"/>
                      <w:lang w:val="en-US" w:eastAsia="zh-CN"/>
                    </w:rPr>
                    <w:t>1</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59</w:t>
                  </w:r>
                  <w:r>
                    <w:rPr>
                      <w:rFonts w:hint="default" w:ascii="Times New Roman" w:hAnsi="Times New Roman" w:eastAsia="宋体" w:cs="Times New Roman"/>
                      <w:color w:val="auto"/>
                      <w:highlight w:val="none"/>
                      <w:lang w:val="en-US" w:eastAsia="zh-CN"/>
                    </w:rPr>
                    <w:t>″</w:t>
                  </w:r>
                </w:p>
              </w:tc>
              <w:tc>
                <w:tcPr>
                  <w:tcW w:w="66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eastAsia" w:cs="Times New Roman"/>
                      <w:color w:val="auto"/>
                      <w:highlight w:val="none"/>
                      <w:lang w:val="en-US" w:eastAsia="zh-CN"/>
                    </w:rPr>
                  </w:pPr>
                  <w:r>
                    <w:rPr>
                      <w:rFonts w:hint="default" w:ascii="Times New Roman" w:hAnsi="Times New Roman" w:eastAsia="宋体" w:cs="Times New Roman"/>
                      <w:color w:val="auto"/>
                      <w:highlight w:val="none"/>
                      <w:lang w:val="en-US" w:eastAsia="zh-CN"/>
                    </w:rPr>
                    <w:t>42°13′4</w:t>
                  </w:r>
                  <w:r>
                    <w:rPr>
                      <w:rFonts w:hint="eastAsia" w:cs="Times New Roman"/>
                      <w:color w:val="auto"/>
                      <w:highlight w:val="none"/>
                      <w:lang w:val="en-US" w:eastAsia="zh-CN"/>
                    </w:rPr>
                    <w:t>0</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94</w:t>
                  </w:r>
                  <w:r>
                    <w:rPr>
                      <w:rFonts w:hint="default" w:ascii="Times New Roman" w:hAnsi="Times New Roman" w:eastAsia="宋体" w:cs="Times New Roman"/>
                      <w:color w:val="auto"/>
                      <w:highlight w:val="none"/>
                      <w:lang w:val="en-US" w:eastAsia="zh-CN"/>
                    </w:rPr>
                    <w:t>″</w:t>
                  </w:r>
                </w:p>
              </w:tc>
              <w:tc>
                <w:tcPr>
                  <w:tcW w:w="315"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8</w:t>
                  </w:r>
                </w:p>
              </w:tc>
              <w:tc>
                <w:tcPr>
                  <w:tcW w:w="273"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zh-CN" w:eastAsia="zh-CN"/>
                    </w:rPr>
                  </w:pPr>
                  <w:r>
                    <w:rPr>
                      <w:rFonts w:hint="eastAsia"/>
                      <w:color w:val="auto"/>
                      <w:lang w:val="zh-CN" w:eastAsia="zh-CN"/>
                    </w:rPr>
                    <w:t>西</w:t>
                  </w:r>
                </w:p>
              </w:tc>
              <w:tc>
                <w:tcPr>
                  <w:tcW w:w="976" w:type="pct"/>
                  <w:vMerge w:val="restar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《声环境质量标准》</w:t>
                  </w:r>
                  <w:r>
                    <w:rPr>
                      <w:rFonts w:hint="eastAsia"/>
                      <w:color w:val="auto"/>
                      <w:lang w:val="en-US" w:eastAsia="zh-CN"/>
                    </w:rPr>
                    <w:t>（</w:t>
                  </w:r>
                  <w:r>
                    <w:rPr>
                      <w:rFonts w:hint="default"/>
                      <w:color w:val="auto"/>
                      <w:lang w:val="en-US" w:eastAsia="zh-CN"/>
                    </w:rPr>
                    <w:t>GB3096-2008</w:t>
                  </w:r>
                  <w:r>
                    <w:rPr>
                      <w:rFonts w:hint="eastAsia"/>
                      <w:color w:val="auto"/>
                      <w:lang w:val="en-US" w:eastAsia="zh-CN"/>
                    </w:rPr>
                    <w:t>）1</w:t>
                  </w:r>
                  <w:r>
                    <w:rPr>
                      <w:rFonts w:hint="default"/>
                      <w:color w:val="auto"/>
                      <w:lang w:val="en-US" w:eastAsia="zh-CN"/>
                    </w:rPr>
                    <w:t>类标准</w:t>
                  </w:r>
                  <w:r>
                    <w:rPr>
                      <w:rFonts w:hint="eastAsia"/>
                      <w:color w:val="auto"/>
                      <w:lang w:val="en-US" w:eastAsia="zh-CN"/>
                    </w:rPr>
                    <w:t>/1类功能区</w:t>
                  </w:r>
                </w:p>
              </w:tc>
              <w:tc>
                <w:tcPr>
                  <w:tcW w:w="1265"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zh-CN" w:eastAsia="zh-CN"/>
                    </w:rPr>
                  </w:pPr>
                  <w:r>
                    <w:rPr>
                      <w:rFonts w:hint="eastAsia"/>
                      <w:color w:val="auto"/>
                      <w:lang w:val="en-US" w:eastAsia="zh-CN"/>
                    </w:rPr>
                    <w:t>砖混、朝西、</w:t>
                  </w:r>
                  <w:r>
                    <w:rPr>
                      <w:rFonts w:hint="eastAsia"/>
                      <w:color w:val="auto"/>
                      <w:spacing w:val="-6"/>
                      <w:sz w:val="21"/>
                      <w:shd w:val="clear" w:color="auto" w:fill="auto"/>
                      <w:lang w:val="en-US" w:eastAsia="zh-CN"/>
                    </w:rPr>
                    <w:t>4层楼房</w:t>
                  </w:r>
                  <w:r>
                    <w:rPr>
                      <w:rFonts w:hint="eastAsia"/>
                      <w:color w:val="auto"/>
                      <w:lang w:val="en-US" w:eastAsia="zh-CN"/>
                    </w:rPr>
                    <w:t>、周围行政办公、居住为主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97"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w:t>
                  </w:r>
                </w:p>
              </w:tc>
              <w:tc>
                <w:tcPr>
                  <w:tcW w:w="568"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喜上园小区</w:t>
                  </w:r>
                </w:p>
              </w:tc>
              <w:tc>
                <w:tcPr>
                  <w:tcW w:w="732"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color w:val="auto"/>
                      <w:lang w:val="en-US" w:eastAsia="zh-CN"/>
                    </w:rPr>
                  </w:pPr>
                  <w:r>
                    <w:rPr>
                      <w:rFonts w:hint="default" w:ascii="Times New Roman" w:hAnsi="Times New Roman" w:eastAsia="宋体" w:cs="Times New Roman"/>
                      <w:color w:val="auto"/>
                      <w:highlight w:val="none"/>
                      <w:lang w:val="en-US" w:eastAsia="zh-CN"/>
                    </w:rPr>
                    <w:t>115°59′42.09″</w:t>
                  </w:r>
                </w:p>
              </w:tc>
              <w:tc>
                <w:tcPr>
                  <w:tcW w:w="669" w:type="pct"/>
                  <w:tcBorders>
                    <w:tl2br w:val="nil"/>
                    <w:tr2bl w:val="nil"/>
                  </w:tcBorders>
                  <w:noWrap w:val="0"/>
                  <w:vAlign w:val="center"/>
                </w:tcPr>
                <w:p>
                  <w:pPr>
                    <w:pStyle w:val="2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color w:val="auto"/>
                      <w:lang w:val="en-US" w:eastAsia="zh-CN"/>
                    </w:rPr>
                  </w:pPr>
                  <w:r>
                    <w:rPr>
                      <w:rFonts w:hint="default" w:ascii="Times New Roman" w:hAnsi="Times New Roman" w:eastAsia="宋体" w:cs="Times New Roman"/>
                      <w:color w:val="auto"/>
                      <w:highlight w:val="none"/>
                      <w:lang w:val="en-US" w:eastAsia="zh-CN"/>
                    </w:rPr>
                    <w:t>42°13′47.87″</w:t>
                  </w:r>
                </w:p>
              </w:tc>
              <w:tc>
                <w:tcPr>
                  <w:tcW w:w="315"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45</w:t>
                  </w:r>
                </w:p>
              </w:tc>
              <w:tc>
                <w:tcPr>
                  <w:tcW w:w="273"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北</w:t>
                  </w:r>
                </w:p>
              </w:tc>
              <w:tc>
                <w:tcPr>
                  <w:tcW w:w="976" w:type="pct"/>
                  <w:vMerge w:val="continue"/>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en-US" w:eastAsia="zh-CN"/>
                    </w:rPr>
                  </w:pPr>
                </w:p>
              </w:tc>
              <w:tc>
                <w:tcPr>
                  <w:tcW w:w="1265" w:type="pct"/>
                  <w:tcBorders>
                    <w:tl2br w:val="nil"/>
                    <w:tr2bl w:val="nil"/>
                  </w:tcBorders>
                  <w:noWrap w:val="0"/>
                  <w:vAlign w:val="center"/>
                </w:tcPr>
                <w:p>
                  <w:pPr>
                    <w:pStyle w:val="22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砖混、朝北、</w:t>
                  </w:r>
                  <w:r>
                    <w:rPr>
                      <w:rFonts w:hint="eastAsia"/>
                      <w:color w:val="auto"/>
                      <w:spacing w:val="-6"/>
                      <w:sz w:val="21"/>
                      <w:shd w:val="clear" w:color="auto" w:fill="auto"/>
                      <w:lang w:val="en-US" w:eastAsia="zh-CN"/>
                    </w:rPr>
                    <w:t>5层楼房</w:t>
                  </w:r>
                  <w:r>
                    <w:rPr>
                      <w:rFonts w:hint="eastAsia"/>
                      <w:color w:val="auto"/>
                      <w:lang w:val="en-US" w:eastAsia="zh-CN"/>
                    </w:rPr>
                    <w:t>、周围行政办公、居住为主</w:t>
                  </w:r>
                </w:p>
              </w:tc>
            </w:tr>
          </w:tbl>
          <w:p>
            <w:pPr>
              <w:keepNext w:val="0"/>
              <w:keepLines w:val="0"/>
              <w:pageBreakBefore w:val="0"/>
              <w:widowControl w:val="0"/>
              <w:suppressLineNumbers w:val="0"/>
              <w:kinsoku/>
              <w:wordWrap/>
              <w:overflowPunct/>
              <w:topLinePunct w:val="0"/>
              <w:autoSpaceDE/>
              <w:autoSpaceDN/>
              <w:bidi w:val="0"/>
              <w:adjustRightInd/>
              <w:snapToGrid/>
              <w:spacing w:before="79" w:beforeLines="25" w:beforeAutospacing="0" w:after="0" w:afterAutospacing="0" w:line="480" w:lineRule="exact"/>
              <w:ind w:left="0" w:leftChars="0" w:right="0" w:firstLine="480" w:firstLineChars="200"/>
              <w:jc w:val="both"/>
              <w:textAlignment w:val="auto"/>
              <w:rPr>
                <w:rFonts w:hint="eastAsia" w:ascii="Times New Roman" w:hAnsi="Times New Roman" w:eastAsia="宋体" w:cs="宋体"/>
                <w:color w:val="000000"/>
                <w:sz w:val="24"/>
                <w:lang w:eastAsia="zh-CN" w:bidi="ar"/>
              </w:rPr>
            </w:pPr>
            <w:r>
              <w:rPr>
                <w:rFonts w:hint="eastAsia" w:ascii="Times New Roman" w:hAnsi="Times New Roman" w:cs="宋体"/>
                <w:color w:val="000000"/>
                <w:sz w:val="24"/>
                <w:lang w:bidi="ar"/>
              </w:rPr>
              <w:t>3、地下水环境。拟建项目厂界外500米范围内不涉及地下水集中式饮用水水源和热水、矿泉水、温泉等特殊地下水资源</w:t>
            </w:r>
            <w:r>
              <w:rPr>
                <w:rFonts w:hint="eastAsia" w:ascii="Times New Roman" w:hAnsi="Times New Roman" w:cs="宋体"/>
                <w:color w:val="000000"/>
                <w:sz w:val="24"/>
                <w:lang w:eastAsia="zh-CN" w:bidi="ar"/>
              </w:rPr>
              <w:t>；</w:t>
            </w:r>
          </w:p>
          <w:p>
            <w:pPr>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0" w:afterAutospacing="0" w:line="480" w:lineRule="exact"/>
              <w:ind w:left="0" w:right="0" w:firstLine="480" w:firstLineChars="200"/>
              <w:textAlignment w:val="auto"/>
              <w:rPr>
                <w:rFonts w:hint="default" w:cs="Times New Roman"/>
                <w:color w:val="000000"/>
                <w:lang w:val="en-US" w:eastAsia="zh-CN"/>
              </w:rPr>
            </w:pPr>
            <w:r>
              <w:rPr>
                <w:rFonts w:hint="eastAsia" w:ascii="Times New Roman" w:hAnsi="Times New Roman" w:cs="宋体"/>
                <w:color w:val="000000"/>
                <w:sz w:val="24"/>
                <w:lang w:bidi="ar"/>
              </w:rPr>
              <w:t>4、生态环境。</w:t>
            </w:r>
            <w:r>
              <w:rPr>
                <w:rFonts w:hint="eastAsia" w:cs="宋体"/>
                <w:color w:val="000000"/>
                <w:sz w:val="24"/>
                <w:lang w:val="en-US" w:eastAsia="zh-CN" w:bidi="ar"/>
              </w:rPr>
              <w:t>本项目</w:t>
            </w:r>
            <w:r>
              <w:rPr>
                <w:rFonts w:hint="default" w:ascii="Times New Roman" w:hAnsi="Times New Roman" w:eastAsia="宋体" w:cs="Times New Roman"/>
                <w:bCs/>
                <w:color w:val="auto"/>
                <w:kern w:val="0"/>
                <w:sz w:val="24"/>
                <w:highlight w:val="none"/>
                <w:lang w:val="en-US" w:eastAsia="zh-CN"/>
              </w:rPr>
              <w:t>用地范围内不涉及生态环境保护目标</w:t>
            </w:r>
            <w:r>
              <w:rPr>
                <w:rFonts w:hint="eastAsia" w:cs="Times New Roman"/>
                <w:bCs/>
                <w:color w:val="auto"/>
                <w:kern w:val="0"/>
                <w:sz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90" w:hRule="atLeast"/>
          <w:jc w:val="center"/>
        </w:trPr>
        <w:tc>
          <w:tcPr>
            <w:tcW w:w="671" w:type="dxa"/>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hAnsi="宋体" w:cs="Times New Roman"/>
                <w:color w:val="000000"/>
                <w:kern w:val="0"/>
                <w:sz w:val="24"/>
              </w:rPr>
            </w:pPr>
            <w:r>
              <w:rPr>
                <w:rFonts w:hAnsi="宋体" w:cs="Times New Roman"/>
                <w:color w:val="000000"/>
                <w:kern w:val="0"/>
                <w:sz w:val="24"/>
              </w:rPr>
              <w:t>污</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cs="Times New Roman"/>
                <w:color w:val="000000"/>
                <w:kern w:val="0"/>
                <w:sz w:val="24"/>
              </w:rPr>
            </w:pPr>
            <w:r>
              <w:rPr>
                <w:rFonts w:hAnsi="宋体" w:cs="Times New Roman"/>
                <w:color w:val="000000"/>
                <w:kern w:val="0"/>
                <w:sz w:val="24"/>
              </w:rPr>
              <w:t>染</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hAnsi="宋体" w:cs="Times New Roman"/>
                <w:color w:val="000000"/>
                <w:kern w:val="0"/>
                <w:sz w:val="24"/>
              </w:rPr>
            </w:pPr>
            <w:r>
              <w:rPr>
                <w:rFonts w:hAnsi="宋体" w:cs="Times New Roman"/>
                <w:color w:val="000000"/>
                <w:kern w:val="0"/>
                <w:sz w:val="24"/>
              </w:rPr>
              <w:t>物</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cs="Times New Roman"/>
                <w:color w:val="000000"/>
                <w:kern w:val="0"/>
                <w:sz w:val="24"/>
              </w:rPr>
            </w:pPr>
            <w:r>
              <w:rPr>
                <w:rFonts w:hAnsi="宋体" w:cs="Times New Roman"/>
                <w:color w:val="000000"/>
                <w:kern w:val="0"/>
                <w:sz w:val="24"/>
              </w:rPr>
              <w:t>排</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hAnsi="宋体" w:cs="Times New Roman"/>
                <w:color w:val="000000"/>
                <w:kern w:val="0"/>
                <w:sz w:val="24"/>
              </w:rPr>
            </w:pPr>
            <w:r>
              <w:rPr>
                <w:rFonts w:hAnsi="宋体" w:cs="Times New Roman"/>
                <w:color w:val="000000"/>
                <w:kern w:val="0"/>
                <w:sz w:val="24"/>
              </w:rPr>
              <w:t>放</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cs="Times New Roman"/>
                <w:color w:val="000000"/>
                <w:kern w:val="0"/>
                <w:sz w:val="24"/>
              </w:rPr>
            </w:pPr>
            <w:r>
              <w:rPr>
                <w:rFonts w:hAnsi="宋体" w:cs="Times New Roman"/>
                <w:color w:val="000000"/>
                <w:kern w:val="0"/>
                <w:sz w:val="24"/>
              </w:rPr>
              <w:t>控</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hAnsi="宋体" w:cs="Times New Roman"/>
                <w:color w:val="000000"/>
                <w:kern w:val="0"/>
                <w:sz w:val="24"/>
              </w:rPr>
            </w:pPr>
            <w:r>
              <w:rPr>
                <w:rFonts w:hAnsi="宋体" w:cs="Times New Roman"/>
                <w:color w:val="000000"/>
                <w:kern w:val="0"/>
                <w:sz w:val="24"/>
              </w:rPr>
              <w:t>制</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cs="Times New Roman"/>
                <w:color w:val="000000"/>
                <w:kern w:val="0"/>
                <w:sz w:val="24"/>
              </w:rPr>
            </w:pPr>
            <w:r>
              <w:rPr>
                <w:rFonts w:hAnsi="宋体" w:cs="Times New Roman"/>
                <w:color w:val="000000"/>
                <w:kern w:val="0"/>
                <w:sz w:val="24"/>
              </w:rPr>
              <w:t>标</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hAnsi="宋体" w:cs="Times New Roman"/>
                <w:color w:val="000000"/>
                <w:kern w:val="0"/>
                <w:sz w:val="24"/>
              </w:rPr>
            </w:pPr>
            <w:r>
              <w:rPr>
                <w:rFonts w:hAnsi="宋体" w:cs="Times New Roman"/>
                <w:color w:val="000000"/>
                <w:kern w:val="0"/>
                <w:sz w:val="24"/>
              </w:rPr>
              <w:t>准</w:t>
            </w:r>
          </w:p>
        </w:tc>
        <w:tc>
          <w:tcPr>
            <w:tcW w:w="8402" w:type="dxa"/>
            <w:noWrap w:val="0"/>
            <w:vAlign w:val="center"/>
          </w:tcPr>
          <w:p>
            <w:pPr>
              <w:pStyle w:val="5"/>
              <w:keepNext/>
              <w:keepLines/>
              <w:pageBreakBefore w:val="0"/>
              <w:widowControl w:val="0"/>
              <w:suppressLineNumbers w:val="0"/>
              <w:kinsoku/>
              <w:wordWrap/>
              <w:overflowPunct/>
              <w:topLinePunct w:val="0"/>
              <w:autoSpaceDE w:val="0"/>
              <w:autoSpaceDN w:val="0"/>
              <w:bidi w:val="0"/>
              <w:adjustRightInd w:val="0"/>
              <w:snapToGrid w:val="0"/>
              <w:spacing w:before="157" w:beforeLines="50" w:beforeAutospacing="0" w:after="0" w:afterAutospacing="0"/>
              <w:ind w:left="0" w:right="0"/>
              <w:textAlignment w:val="auto"/>
              <w:rPr>
                <w:rFonts w:cs="Times New Roman"/>
                <w:color w:val="000000"/>
              </w:rPr>
            </w:pPr>
            <w:r>
              <w:rPr>
                <w:rFonts w:cs="Times New Roman"/>
                <w:color w:val="000000"/>
              </w:rPr>
              <w:t>1、大气污染物排放标准</w:t>
            </w:r>
          </w:p>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textAlignment w:val="auto"/>
              <w:rPr>
                <w:rFonts w:hint="eastAsia" w:cs="Times New Roman"/>
                <w:color w:val="000000"/>
                <w:lang w:val="en-US" w:eastAsia="zh-CN"/>
              </w:rPr>
            </w:pPr>
            <w:r>
              <w:rPr>
                <w:rFonts w:hint="eastAsia" w:cs="Times New Roman"/>
                <w:color w:val="000000"/>
                <w:lang w:val="en-US" w:eastAsia="zh-CN"/>
              </w:rPr>
              <w:t>（1）施工期</w:t>
            </w:r>
          </w:p>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textAlignment w:val="auto"/>
              <w:rPr>
                <w:rFonts w:hint="default" w:cs="Times New Roman"/>
                <w:color w:val="000000"/>
                <w:lang w:val="en-US" w:eastAsia="zh-CN"/>
              </w:rPr>
            </w:pPr>
            <w:r>
              <w:rPr>
                <w:rFonts w:hint="default" w:cs="Times New Roman"/>
                <w:color w:val="000000"/>
                <w:lang w:val="en-US" w:eastAsia="zh-CN"/>
              </w:rPr>
              <w:t>本项目施工期产生的扬尘执行《大气污染物综合排放标准》（GB16297-1996）表2新污染源大气污染物排放限值中的无组织排放监控浓度限值</w:t>
            </w:r>
            <w:r>
              <w:rPr>
                <w:rFonts w:hint="eastAsia" w:cs="Times New Roman"/>
                <w:color w:val="000000"/>
                <w:lang w:val="en-US" w:eastAsia="zh-CN"/>
              </w:rPr>
              <w:t>（颗粒物：1.0mg/m</w:t>
            </w:r>
            <w:r>
              <w:rPr>
                <w:rFonts w:hint="eastAsia" w:cs="Times New Roman"/>
                <w:color w:val="000000"/>
                <w:vertAlign w:val="superscript"/>
                <w:lang w:val="en-US" w:eastAsia="zh-CN"/>
              </w:rPr>
              <w:t>3</w:t>
            </w:r>
            <w:r>
              <w:rPr>
                <w:rFonts w:hint="eastAsia" w:cs="Times New Roman"/>
                <w:color w:val="000000"/>
                <w:lang w:val="en-US" w:eastAsia="zh-CN"/>
              </w:rPr>
              <w:t>）</w:t>
            </w:r>
            <w:r>
              <w:rPr>
                <w:rFonts w:hint="default" w:cs="Times New Roman"/>
                <w:color w:val="000000"/>
                <w:lang w:val="en-US" w:eastAsia="zh-CN"/>
              </w:rPr>
              <w:t>。</w:t>
            </w:r>
          </w:p>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textAlignment w:val="auto"/>
              <w:rPr>
                <w:rFonts w:hint="default" w:cs="Times New Roman"/>
                <w:color w:val="FF0000"/>
                <w:lang w:val="en-US" w:eastAsia="zh-CN"/>
              </w:rPr>
            </w:pPr>
            <w:r>
              <w:rPr>
                <w:rFonts w:hint="eastAsia" w:cs="Times New Roman"/>
                <w:color w:val="FF0000"/>
                <w:lang w:val="en-US" w:eastAsia="zh-CN"/>
              </w:rPr>
              <w:t>（2）运营期</w:t>
            </w:r>
          </w:p>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textAlignment w:val="auto"/>
              <w:rPr>
                <w:rFonts w:hint="default" w:cs="Times New Roman"/>
                <w:color w:val="000000"/>
                <w:lang w:val="en-US" w:eastAsia="zh-CN"/>
              </w:rPr>
            </w:pPr>
            <w:r>
              <w:rPr>
                <w:rFonts w:hint="eastAsia" w:cs="Times New Roman"/>
                <w:color w:val="FF0000"/>
                <w:lang w:val="en-US" w:eastAsia="zh-CN"/>
              </w:rPr>
              <w:t>厂界无组织臭气浓度执行《恶臭污染物排放标准》（GB14554-93）中表1中相关限值要求（臭气浓度20（无量纲））。</w:t>
            </w:r>
          </w:p>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textAlignment w:val="auto"/>
              <w:rPr>
                <w:rFonts w:hint="eastAsia" w:cs="Times New Roman"/>
                <w:color w:val="000000"/>
                <w:lang w:val="en-US" w:eastAsia="zh-CN"/>
              </w:rPr>
            </w:pPr>
            <w:r>
              <w:rPr>
                <w:rFonts w:hint="eastAsia" w:cs="Times New Roman"/>
                <w:color w:val="000000"/>
                <w:lang w:val="en-US" w:eastAsia="zh-CN"/>
              </w:rPr>
              <w:t>2、水污染物排放标准</w:t>
            </w:r>
          </w:p>
          <w:p>
            <w:pPr>
              <w:pStyle w:val="5"/>
              <w:keepNext/>
              <w:keepLines/>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textAlignment w:val="auto"/>
              <w:rPr>
                <w:rFonts w:hint="default" w:cs="Times New Roman"/>
                <w:b w:val="0"/>
                <w:bCs w:val="0"/>
                <w:lang w:val="en-US" w:eastAsia="zh-CN"/>
              </w:rPr>
            </w:pPr>
            <w:r>
              <w:rPr>
                <w:rFonts w:hint="eastAsia" w:cs="Times New Roman"/>
                <w:b w:val="0"/>
                <w:bCs w:val="0"/>
                <w:lang w:val="en-US" w:eastAsia="zh-CN"/>
              </w:rPr>
              <w:t>本项目运营期无废水排放。</w:t>
            </w:r>
          </w:p>
          <w:p>
            <w:pPr>
              <w:pStyle w:val="5"/>
              <w:keepNext/>
              <w:keepLines/>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textAlignment w:val="auto"/>
              <w:rPr>
                <w:rFonts w:hint="eastAsia" w:cs="Times New Roman"/>
                <w:lang w:val="en-US" w:eastAsia="zh-CN"/>
              </w:rPr>
            </w:pPr>
            <w:r>
              <w:rPr>
                <w:rFonts w:hint="eastAsia" w:cs="Times New Roman"/>
                <w:lang w:val="en-US" w:eastAsia="zh-CN"/>
              </w:rPr>
              <w:t>3、噪声排放标准</w:t>
            </w:r>
          </w:p>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textAlignment w:val="auto"/>
              <w:rPr>
                <w:rFonts w:hint="eastAsia" w:cs="Times New Roman"/>
              </w:rPr>
            </w:pPr>
            <w:r>
              <w:rPr>
                <w:rFonts w:hint="eastAsia" w:cs="Times New Roman"/>
              </w:rPr>
              <w:t>施工期噪声执行《建筑施工场界环境噪声排放标准》（GB12523-2011）中噪声排放限值，具体标准见表</w:t>
            </w:r>
            <w:r>
              <w:rPr>
                <w:rFonts w:hint="eastAsia" w:cs="Times New Roman"/>
                <w:lang w:val="en-US" w:eastAsia="zh-CN"/>
              </w:rPr>
              <w:t>3-5</w:t>
            </w:r>
            <w:r>
              <w:rPr>
                <w:rFonts w:hint="eastAsia" w:cs="Times New Roman"/>
              </w:rPr>
              <w:t>。</w:t>
            </w:r>
          </w:p>
          <w:p>
            <w:pPr>
              <w:pStyle w:val="9"/>
              <w:suppressLineNumbers w:val="0"/>
              <w:bidi w:val="0"/>
              <w:spacing w:before="0" w:beforeAutospacing="0" w:after="0" w:afterAutospacing="0"/>
              <w:ind w:left="0" w:right="0"/>
              <w:rPr>
                <w:rFonts w:cs="Times New Roman"/>
                <w:color w:val="000000"/>
              </w:rPr>
            </w:pPr>
            <w:r>
              <w:rPr>
                <w:rFonts w:cs="Times New Roman"/>
                <w:color w:val="000000"/>
              </w:rPr>
              <w:t>表</w:t>
            </w:r>
            <w:r>
              <w:rPr>
                <w:rFonts w:hint="eastAsia" w:cs="Times New Roman"/>
                <w:color w:val="000000"/>
                <w:lang w:val="en-US" w:eastAsia="zh-CN"/>
              </w:rPr>
              <w:t xml:space="preserve">3-5  </w:t>
            </w:r>
            <w:r>
              <w:rPr>
                <w:rFonts w:cs="Times New Roman"/>
                <w:color w:val="000000"/>
              </w:rPr>
              <w:t xml:space="preserve">建筑施工场界环境噪声排放标准 </w:t>
            </w:r>
            <w:r>
              <w:rPr>
                <w:rFonts w:hint="eastAsia" w:cs="Times New Roman"/>
                <w:color w:val="000000"/>
                <w:lang w:val="en-US" w:eastAsia="zh-CN"/>
              </w:rPr>
              <w:t xml:space="preserve"> </w:t>
            </w:r>
            <w:r>
              <w:rPr>
                <w:rFonts w:cs="Times New Roman"/>
                <w:color w:val="000000"/>
              </w:rPr>
              <w:t xml:space="preserve"> 单位：dB(A)</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08"/>
              <w:gridCol w:w="4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08" w:type="dxa"/>
                  <w:tcBorders>
                    <w:top w:val="single" w:color="auto" w:sz="4"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昼间</w:t>
                  </w:r>
                </w:p>
              </w:tc>
              <w:tc>
                <w:tcPr>
                  <w:tcW w:w="4057" w:type="dxa"/>
                  <w:tcBorders>
                    <w:top w:val="single" w:color="auto" w:sz="4"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08" w:type="dxa"/>
                  <w:tcBorders>
                    <w:top w:val="single" w:color="auto" w:sz="4"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70</w:t>
                  </w:r>
                </w:p>
              </w:tc>
              <w:tc>
                <w:tcPr>
                  <w:tcW w:w="4057" w:type="dxa"/>
                  <w:tcBorders>
                    <w:top w:val="single" w:color="auto" w:sz="4"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55</w:t>
                  </w:r>
                </w:p>
              </w:tc>
            </w:tr>
          </w:tbl>
          <w:p>
            <w:pPr>
              <w:keepNext w:val="0"/>
              <w:keepLines w:val="0"/>
              <w:pageBreakBefore w:val="0"/>
              <w:widowControl w:val="0"/>
              <w:suppressLineNumbers w:val="0"/>
              <w:kinsoku/>
              <w:wordWrap/>
              <w:overflowPunct/>
              <w:topLinePunct w:val="0"/>
              <w:autoSpaceDE w:val="0"/>
              <w:autoSpaceDN w:val="0"/>
              <w:bidi w:val="0"/>
              <w:adjustRightInd w:val="0"/>
              <w:snapToGrid w:val="0"/>
              <w:spacing w:before="157" w:beforeLines="50" w:beforeAutospacing="0" w:after="0" w:afterAutospacing="0"/>
              <w:ind w:left="0" w:right="0"/>
              <w:textAlignment w:val="auto"/>
              <w:rPr>
                <w:rFonts w:hint="eastAsia" w:cs="Times New Roman"/>
              </w:rPr>
            </w:pPr>
            <w:r>
              <w:rPr>
                <w:rFonts w:hint="eastAsia" w:cs="Times New Roman"/>
              </w:rPr>
              <w:t>运营期厂界噪声执行《工业企业厂界环境噪声排放标准》（GB12348-2008）</w:t>
            </w:r>
            <w:r>
              <w:rPr>
                <w:rFonts w:hint="eastAsia" w:cs="Times New Roman"/>
                <w:lang w:val="en-US" w:eastAsia="zh-CN"/>
              </w:rPr>
              <w:t>1</w:t>
            </w:r>
            <w:r>
              <w:rPr>
                <w:rFonts w:hint="eastAsia" w:cs="Times New Roman"/>
              </w:rPr>
              <w:t>类标准，具体标准值见表</w:t>
            </w:r>
            <w:r>
              <w:rPr>
                <w:rFonts w:hint="eastAsia" w:cs="Times New Roman"/>
                <w:lang w:val="en-US" w:eastAsia="zh-CN"/>
              </w:rPr>
              <w:t>3-6</w:t>
            </w:r>
            <w:r>
              <w:rPr>
                <w:rFonts w:hint="eastAsia" w:cs="Times New Roman"/>
              </w:rPr>
              <w:t>。</w:t>
            </w:r>
          </w:p>
          <w:p>
            <w:pPr>
              <w:pStyle w:val="9"/>
              <w:suppressLineNumbers w:val="0"/>
              <w:bidi w:val="0"/>
              <w:spacing w:before="0" w:beforeAutospacing="0" w:after="0" w:afterAutospacing="0"/>
              <w:ind w:left="0" w:right="0"/>
              <w:rPr>
                <w:rFonts w:cs="Times New Roman"/>
                <w:color w:val="000000"/>
                <w:highlight w:val="none"/>
              </w:rPr>
            </w:pPr>
            <w:r>
              <w:rPr>
                <w:rFonts w:cs="Times New Roman"/>
                <w:color w:val="000000"/>
                <w:highlight w:val="none"/>
              </w:rPr>
              <w:t>表</w:t>
            </w:r>
            <w:r>
              <w:rPr>
                <w:rFonts w:hint="eastAsia" w:cs="Times New Roman"/>
                <w:color w:val="000000"/>
                <w:highlight w:val="none"/>
                <w:lang w:val="en-US" w:eastAsia="zh-CN"/>
              </w:rPr>
              <w:t>3-6</w:t>
            </w:r>
            <w:r>
              <w:rPr>
                <w:rFonts w:cs="Times New Roman"/>
                <w:color w:val="000000"/>
                <w:highlight w:val="none"/>
              </w:rPr>
              <w:t xml:space="preserve"> </w:t>
            </w:r>
            <w:r>
              <w:rPr>
                <w:rFonts w:hint="eastAsia" w:cs="Times New Roman"/>
                <w:color w:val="000000"/>
                <w:highlight w:val="none"/>
                <w:lang w:val="en-US" w:eastAsia="zh-CN"/>
              </w:rPr>
              <w:t xml:space="preserve"> </w:t>
            </w:r>
            <w:r>
              <w:rPr>
                <w:rFonts w:cs="Times New Roman"/>
                <w:color w:val="000000"/>
                <w:highlight w:val="none"/>
              </w:rPr>
              <w:t>工业企业厂界环境噪声排放标准  单位：dB(A)</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6"/>
              <w:gridCol w:w="2883"/>
              <w:gridCol w:w="34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6" w:type="dxa"/>
                  <w:tcBorders>
                    <w:top w:val="single" w:color="auto" w:sz="4"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highlight w:val="none"/>
                    </w:rPr>
                  </w:pPr>
                  <w:r>
                    <w:rPr>
                      <w:color w:val="000000"/>
                      <w:kern w:val="2"/>
                      <w:highlight w:val="none"/>
                    </w:rPr>
                    <w:t>标准</w:t>
                  </w:r>
                </w:p>
              </w:tc>
              <w:tc>
                <w:tcPr>
                  <w:tcW w:w="2883" w:type="dxa"/>
                  <w:tcBorders>
                    <w:top w:val="single" w:color="auto" w:sz="4"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highlight w:val="none"/>
                    </w:rPr>
                  </w:pPr>
                  <w:r>
                    <w:rPr>
                      <w:color w:val="000000"/>
                      <w:kern w:val="2"/>
                      <w:highlight w:val="none"/>
                    </w:rPr>
                    <w:t>昼间</w:t>
                  </w:r>
                </w:p>
              </w:tc>
              <w:tc>
                <w:tcPr>
                  <w:tcW w:w="3466" w:type="dxa"/>
                  <w:tcBorders>
                    <w:top w:val="single" w:color="auto" w:sz="4"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highlight w:val="none"/>
                    </w:rPr>
                  </w:pPr>
                  <w:r>
                    <w:rPr>
                      <w:color w:val="000000"/>
                      <w:kern w:val="2"/>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6" w:type="dxa"/>
                  <w:tcBorders>
                    <w:top w:val="single" w:color="auto" w:sz="4"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highlight w:val="none"/>
                    </w:rPr>
                  </w:pPr>
                  <w:r>
                    <w:rPr>
                      <w:rFonts w:hint="eastAsia"/>
                      <w:color w:val="000000"/>
                      <w:kern w:val="2"/>
                      <w:highlight w:val="none"/>
                      <w:lang w:val="en-US" w:eastAsia="zh-CN"/>
                    </w:rPr>
                    <w:t>1</w:t>
                  </w:r>
                  <w:r>
                    <w:rPr>
                      <w:color w:val="000000"/>
                      <w:kern w:val="2"/>
                      <w:highlight w:val="none"/>
                    </w:rPr>
                    <w:t>类</w:t>
                  </w:r>
                </w:p>
              </w:tc>
              <w:tc>
                <w:tcPr>
                  <w:tcW w:w="2883" w:type="dxa"/>
                  <w:tcBorders>
                    <w:top w:val="single" w:color="auto" w:sz="4"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rFonts w:hint="default" w:eastAsia="宋体"/>
                      <w:color w:val="000000"/>
                      <w:kern w:val="2"/>
                      <w:highlight w:val="none"/>
                      <w:lang w:val="en-US" w:eastAsia="zh-CN"/>
                    </w:rPr>
                  </w:pPr>
                  <w:r>
                    <w:rPr>
                      <w:rFonts w:hint="eastAsia"/>
                      <w:color w:val="000000"/>
                      <w:kern w:val="2"/>
                      <w:highlight w:val="none"/>
                      <w:lang w:val="en-US" w:eastAsia="zh-CN"/>
                    </w:rPr>
                    <w:t>55</w:t>
                  </w:r>
                </w:p>
              </w:tc>
              <w:tc>
                <w:tcPr>
                  <w:tcW w:w="3466" w:type="dxa"/>
                  <w:tcBorders>
                    <w:top w:val="single" w:color="auto" w:sz="4"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rFonts w:hint="default" w:eastAsia="宋体"/>
                      <w:color w:val="000000"/>
                      <w:kern w:val="2"/>
                      <w:highlight w:val="none"/>
                      <w:lang w:val="en-US" w:eastAsia="zh-CN"/>
                    </w:rPr>
                  </w:pPr>
                  <w:r>
                    <w:rPr>
                      <w:rFonts w:hint="eastAsia"/>
                      <w:color w:val="000000"/>
                      <w:kern w:val="2"/>
                      <w:highlight w:val="none"/>
                      <w:lang w:val="en-US" w:eastAsia="zh-CN"/>
                    </w:rPr>
                    <w:t>45</w:t>
                  </w:r>
                </w:p>
              </w:tc>
            </w:tr>
          </w:tbl>
          <w:p>
            <w:pPr>
              <w:keepNext w:val="0"/>
              <w:keepLines w:val="0"/>
              <w:suppressLineNumbers w:val="0"/>
              <w:spacing w:before="60" w:beforeLines="25" w:beforeAutospacing="0" w:after="0" w:afterAutospacing="0" w:line="480" w:lineRule="exact"/>
              <w:ind w:left="0" w:right="0" w:firstLine="481" w:firstLineChars="200"/>
              <w:rPr>
                <w:rFonts w:ascii="Times New Roman" w:hAnsi="Times New Roman" w:cs="Times New Roman"/>
                <w:b/>
                <w:color w:val="000000"/>
                <w:sz w:val="24"/>
                <w:szCs w:val="20"/>
              </w:rPr>
            </w:pPr>
            <w:r>
              <w:rPr>
                <w:rFonts w:hint="eastAsia" w:ascii="Times New Roman" w:hAnsi="Times New Roman" w:cs="Times New Roman"/>
                <w:b/>
                <w:color w:val="000000"/>
                <w:sz w:val="24"/>
                <w:szCs w:val="20"/>
                <w:lang w:val="en-US" w:eastAsia="zh-CN" w:bidi="ar"/>
              </w:rPr>
              <w:t>4</w:t>
            </w:r>
            <w:r>
              <w:rPr>
                <w:rFonts w:ascii="Times New Roman" w:hAnsi="Times New Roman" w:cs="Times New Roman"/>
                <w:b/>
                <w:color w:val="000000"/>
                <w:sz w:val="24"/>
                <w:szCs w:val="20"/>
                <w:lang w:bidi="ar"/>
              </w:rPr>
              <w:t>、固体废物排放标准</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157" w:beforeLines="50" w:beforeAutospacing="0" w:after="0" w:afterAutospacing="0"/>
              <w:ind w:left="0" w:right="0"/>
              <w:textAlignment w:val="auto"/>
              <w:rPr>
                <w:rFonts w:hint="eastAsia" w:ascii="Times New Roman" w:hAnsi="Times New Roman" w:eastAsia="宋体" w:cs="宋体"/>
                <w:color w:val="000000"/>
                <w:sz w:val="24"/>
                <w:lang w:eastAsia="zh-CN" w:bidi="ar"/>
              </w:rPr>
            </w:pPr>
            <w:r>
              <w:rPr>
                <w:rFonts w:hint="eastAsia" w:cs="Times New Roman"/>
              </w:rPr>
              <w:t>危险废物管理执行《国家危险废物名录》（2025年版）、《危险废物贮存污染控制标准》（GB18597-2023）中相关要求。医疗废物暂存、储运过程按照《医疗废物管理条例》（中华人民共和国国务院令第380号）及2011年修订版要求、《医疗废物集中处置技术规范（试行）》（环发〔2003〕206号））、《医疗废物专用包装袋、容器和警示标志标准》（HJ421-2008）</w:t>
            </w:r>
            <w:r>
              <w:rPr>
                <w:rFonts w:hint="eastAsia" w:cs="Times New Roman"/>
                <w:lang w:eastAsia="zh-CN"/>
              </w:rPr>
              <w:t>等</w:t>
            </w:r>
            <w:r>
              <w:rPr>
                <w:rFonts w:hint="eastAsia" w:cs="Times New Roman"/>
              </w:rPr>
              <w:t>要求</w:t>
            </w:r>
            <w:r>
              <w:rPr>
                <w:rFonts w:hint="eastAsia" w:cs="Times New Roman"/>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5" w:hRule="atLeast"/>
          <w:jc w:val="center"/>
        </w:trPr>
        <w:tc>
          <w:tcPr>
            <w:tcW w:w="671" w:type="dxa"/>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cs="Times New Roman"/>
                <w:color w:val="000000"/>
                <w:kern w:val="0"/>
                <w:sz w:val="24"/>
              </w:rPr>
            </w:pPr>
            <w:r>
              <w:rPr>
                <w:rFonts w:hAnsi="宋体" w:cs="Times New Roman"/>
                <w:color w:val="000000"/>
                <w:kern w:val="0"/>
                <w:sz w:val="24"/>
              </w:rPr>
              <w:t>总量</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cs="Times New Roman"/>
                <w:color w:val="000000"/>
                <w:kern w:val="0"/>
                <w:sz w:val="24"/>
              </w:rPr>
            </w:pPr>
            <w:r>
              <w:rPr>
                <w:rFonts w:hAnsi="宋体" w:cs="Times New Roman"/>
                <w:color w:val="000000"/>
                <w:kern w:val="0"/>
                <w:sz w:val="24"/>
              </w:rPr>
              <w:t>控制</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hAnsi="宋体" w:cs="Times New Roman"/>
                <w:color w:val="000000"/>
                <w:kern w:val="0"/>
                <w:sz w:val="24"/>
              </w:rPr>
            </w:pPr>
            <w:r>
              <w:rPr>
                <w:rFonts w:hAnsi="宋体" w:cs="Times New Roman"/>
                <w:color w:val="000000"/>
                <w:kern w:val="0"/>
                <w:sz w:val="24"/>
              </w:rPr>
              <w:t>指标</w:t>
            </w:r>
          </w:p>
        </w:tc>
        <w:tc>
          <w:tcPr>
            <w:tcW w:w="8402" w:type="dxa"/>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157" w:beforeLines="50" w:beforeAutospacing="0" w:after="0" w:afterAutospacing="0"/>
              <w:ind w:left="0" w:right="0"/>
              <w:jc w:val="both"/>
              <w:textAlignment w:val="auto"/>
              <w:rPr>
                <w:rFonts w:hint="default" w:cs="Times New Roman"/>
                <w:lang w:eastAsia="zh-CN"/>
              </w:rPr>
            </w:pPr>
            <w:r>
              <w:rPr>
                <w:rFonts w:hint="default" w:cs="Times New Roman"/>
                <w:lang w:eastAsia="zh-CN"/>
              </w:rPr>
              <w:t>根据《主要污染物总量减排核算技术指南（2022年修订）》，主要污染物是指实施总量控制的化学需氧量（COD）、氨氮（NH</w:t>
            </w:r>
            <w:r>
              <w:rPr>
                <w:rFonts w:hint="default" w:cs="Times New Roman"/>
                <w:vertAlign w:val="subscript"/>
                <w:lang w:eastAsia="zh-CN"/>
              </w:rPr>
              <w:t>3</w:t>
            </w:r>
            <w:r>
              <w:rPr>
                <w:rFonts w:hint="default" w:cs="Times New Roman"/>
                <w:lang w:eastAsia="zh-CN"/>
              </w:rPr>
              <w:t>-N）、氮氧化物（NOx）、挥发性有机物（VOCs）等4项污染物。</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jc w:val="both"/>
              <w:textAlignment w:val="auto"/>
              <w:rPr>
                <w:rFonts w:hint="eastAsia" w:ascii="Times New Roman" w:eastAsia="宋体" w:cs="Times New Roman"/>
                <w:color w:val="000000"/>
                <w:sz w:val="24"/>
                <w:highlight w:val="none"/>
                <w:lang w:eastAsia="zh-CN"/>
              </w:rPr>
            </w:pPr>
            <w:r>
              <w:rPr>
                <w:rFonts w:hint="eastAsia" w:cs="Times New Roman"/>
                <w:lang w:val="en-US" w:eastAsia="zh-CN"/>
              </w:rPr>
              <w:t>本项目不涉及废气和废水排放。因此，</w:t>
            </w:r>
            <w:r>
              <w:rPr>
                <w:rFonts w:hint="default" w:cs="Times New Roman"/>
                <w:lang w:eastAsia="zh-CN"/>
              </w:rPr>
              <w:t>本项目不</w:t>
            </w:r>
            <w:r>
              <w:rPr>
                <w:rFonts w:hint="eastAsia" w:cs="Times New Roman"/>
                <w:lang w:val="en-US" w:eastAsia="zh-CN"/>
              </w:rPr>
              <w:t>涉及</w:t>
            </w:r>
            <w:r>
              <w:rPr>
                <w:rFonts w:hint="default" w:cs="Times New Roman"/>
                <w:lang w:eastAsia="zh-CN"/>
              </w:rPr>
              <w:t>总量控制指标。</w:t>
            </w:r>
          </w:p>
        </w:tc>
      </w:tr>
    </w:tbl>
    <w:p>
      <w:pPr>
        <w:pStyle w:val="29"/>
        <w:spacing w:before="240" w:beforeLines="100" w:beforeAutospacing="0" w:after="240" w:afterLines="100" w:afterAutospacing="0"/>
        <w:jc w:val="center"/>
        <w:outlineLvl w:val="0"/>
        <w:rPr>
          <w:rStyle w:val="44"/>
          <w:color w:val="000000"/>
        </w:rPr>
      </w:pPr>
      <w:r>
        <w:rPr>
          <w:rFonts w:ascii="黑体" w:hAnsi="黑体" w:eastAsia="黑体"/>
          <w:snapToGrid w:val="0"/>
          <w:color w:val="000000"/>
          <w:sz w:val="36"/>
          <w:szCs w:val="36"/>
        </w:rPr>
        <w:br w:type="page"/>
      </w:r>
      <w:r>
        <w:rPr>
          <w:rStyle w:val="43"/>
          <w:rFonts w:hint="eastAsia"/>
          <w:color w:val="000000"/>
        </w:rPr>
        <w:t>四、主要环境影响和保护措施</w:t>
      </w:r>
    </w:p>
    <w:tbl>
      <w:tblPr>
        <w:tblStyle w:val="34"/>
        <w:tblW w:w="908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10"/>
        <w:gridCol w:w="857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8" w:hRule="atLeast"/>
          <w:jc w:val="center"/>
        </w:trPr>
        <w:tc>
          <w:tcPr>
            <w:tcW w:w="510" w:type="dxa"/>
            <w:noWrap w:val="0"/>
            <w:tcMar>
              <w:left w:w="28" w:type="dxa"/>
              <w:right w:w="28" w:type="dxa"/>
            </w:tcMar>
            <w:vAlign w:val="center"/>
          </w:tcPr>
          <w:p>
            <w:pPr>
              <w:pStyle w:val="2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Times New Roman" w:cs="Times New Roman"/>
                <w:color w:val="000000"/>
                <w:kern w:val="2"/>
                <w:szCs w:val="24"/>
                <w:lang w:val="en-US" w:eastAsia="zh-CN"/>
              </w:rPr>
            </w:pPr>
            <w:r>
              <w:rPr>
                <w:rFonts w:ascii="Times New Roman" w:cs="Times New Roman"/>
                <w:color w:val="000000"/>
                <w:kern w:val="2"/>
                <w:szCs w:val="24"/>
                <w:lang w:val="en-US" w:eastAsia="zh-CN"/>
              </w:rPr>
              <w:t>施</w:t>
            </w:r>
          </w:p>
          <w:p>
            <w:pPr>
              <w:pStyle w:val="2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ascii="Times New Roman" w:hAnsi="Times New Roman" w:cs="Times New Roman"/>
                <w:color w:val="000000"/>
                <w:kern w:val="2"/>
                <w:szCs w:val="24"/>
                <w:lang w:val="en-US" w:eastAsia="zh-CN"/>
              </w:rPr>
            </w:pPr>
            <w:r>
              <w:rPr>
                <w:rFonts w:ascii="Times New Roman" w:cs="Times New Roman"/>
                <w:color w:val="000000"/>
                <w:kern w:val="2"/>
                <w:szCs w:val="24"/>
                <w:lang w:val="en-US" w:eastAsia="zh-CN"/>
              </w:rPr>
              <w:t>工</w:t>
            </w:r>
          </w:p>
          <w:p>
            <w:pPr>
              <w:pStyle w:val="2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Times New Roman" w:cs="Times New Roman"/>
                <w:color w:val="000000"/>
                <w:kern w:val="2"/>
                <w:szCs w:val="24"/>
                <w:lang w:val="en-US" w:eastAsia="zh-CN"/>
              </w:rPr>
            </w:pPr>
            <w:r>
              <w:rPr>
                <w:rFonts w:ascii="Times New Roman" w:cs="Times New Roman"/>
                <w:color w:val="000000"/>
                <w:kern w:val="2"/>
                <w:szCs w:val="24"/>
                <w:lang w:val="en-US" w:eastAsia="zh-CN"/>
              </w:rPr>
              <w:t>期</w:t>
            </w:r>
          </w:p>
          <w:p>
            <w:pPr>
              <w:pStyle w:val="2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ascii="Times New Roman" w:hAnsi="Times New Roman" w:cs="Times New Roman"/>
                <w:color w:val="000000"/>
                <w:kern w:val="2"/>
                <w:szCs w:val="24"/>
                <w:lang w:val="en-US" w:eastAsia="zh-CN"/>
              </w:rPr>
            </w:pPr>
            <w:r>
              <w:rPr>
                <w:rFonts w:ascii="Times New Roman" w:cs="Times New Roman"/>
                <w:color w:val="000000"/>
                <w:kern w:val="2"/>
                <w:szCs w:val="24"/>
                <w:lang w:val="en-US" w:eastAsia="zh-CN"/>
              </w:rPr>
              <w:t>环</w:t>
            </w:r>
          </w:p>
          <w:p>
            <w:pPr>
              <w:pStyle w:val="2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Times New Roman" w:cs="Times New Roman"/>
                <w:color w:val="000000"/>
                <w:kern w:val="2"/>
                <w:szCs w:val="24"/>
                <w:lang w:val="en-US" w:eastAsia="zh-CN"/>
              </w:rPr>
            </w:pPr>
            <w:r>
              <w:rPr>
                <w:rFonts w:ascii="Times New Roman" w:cs="Times New Roman"/>
                <w:color w:val="000000"/>
                <w:kern w:val="2"/>
                <w:szCs w:val="24"/>
                <w:lang w:val="en-US" w:eastAsia="zh-CN"/>
              </w:rPr>
              <w:t>境</w:t>
            </w:r>
          </w:p>
          <w:p>
            <w:pPr>
              <w:pStyle w:val="2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ascii="Times New Roman" w:hAnsi="Times New Roman" w:cs="Times New Roman"/>
                <w:color w:val="000000"/>
                <w:kern w:val="2"/>
                <w:szCs w:val="24"/>
                <w:lang w:val="en-US" w:eastAsia="zh-CN"/>
              </w:rPr>
            </w:pPr>
            <w:r>
              <w:rPr>
                <w:rFonts w:ascii="Times New Roman" w:cs="Times New Roman"/>
                <w:color w:val="000000"/>
                <w:kern w:val="2"/>
                <w:szCs w:val="24"/>
                <w:lang w:val="en-US" w:eastAsia="zh-CN"/>
              </w:rPr>
              <w:t>保</w:t>
            </w:r>
          </w:p>
          <w:p>
            <w:pPr>
              <w:pStyle w:val="2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Times New Roman" w:cs="Times New Roman"/>
                <w:color w:val="000000"/>
                <w:kern w:val="2"/>
                <w:szCs w:val="24"/>
                <w:lang w:val="en-US" w:eastAsia="zh-CN"/>
              </w:rPr>
            </w:pPr>
            <w:r>
              <w:rPr>
                <w:rFonts w:ascii="Times New Roman" w:cs="Times New Roman"/>
                <w:color w:val="000000"/>
                <w:kern w:val="2"/>
                <w:szCs w:val="24"/>
                <w:lang w:val="en-US" w:eastAsia="zh-CN"/>
              </w:rPr>
              <w:t>护</w:t>
            </w:r>
          </w:p>
          <w:p>
            <w:pPr>
              <w:pStyle w:val="2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Times New Roman" w:cs="Times New Roman"/>
                <w:color w:val="000000"/>
                <w:kern w:val="2"/>
                <w:szCs w:val="24"/>
                <w:lang w:val="en-US" w:eastAsia="zh-CN"/>
              </w:rPr>
            </w:pPr>
            <w:r>
              <w:rPr>
                <w:rFonts w:hint="eastAsia" w:ascii="Times New Roman" w:cs="Times New Roman"/>
                <w:color w:val="000000"/>
                <w:kern w:val="2"/>
                <w:szCs w:val="24"/>
                <w:lang w:val="en-US" w:eastAsia="zh-CN"/>
              </w:rPr>
              <w:t>措</w:t>
            </w:r>
          </w:p>
          <w:p>
            <w:pPr>
              <w:pStyle w:val="2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cs="Times New Roman"/>
                <w:color w:val="000000"/>
                <w:kern w:val="2"/>
                <w:szCs w:val="24"/>
                <w:lang w:val="en-US" w:eastAsia="zh-CN"/>
              </w:rPr>
            </w:pPr>
            <w:r>
              <w:rPr>
                <w:rFonts w:hint="eastAsia" w:ascii="Times New Roman" w:cs="Times New Roman"/>
                <w:color w:val="000000"/>
                <w:kern w:val="2"/>
                <w:szCs w:val="24"/>
                <w:lang w:val="en-US" w:eastAsia="zh-CN"/>
              </w:rPr>
              <w:t>施</w:t>
            </w:r>
          </w:p>
        </w:tc>
        <w:tc>
          <w:tcPr>
            <w:tcW w:w="8575" w:type="dxa"/>
            <w:noWrap w:val="0"/>
            <w:vAlign w:val="top"/>
          </w:tcPr>
          <w:p>
            <w:pPr>
              <w:keepNext w:val="0"/>
              <w:keepLines w:val="0"/>
              <w:pageBreakBefore w:val="0"/>
              <w:widowControl w:val="0"/>
              <w:suppressLineNumbers w:val="0"/>
              <w:kinsoku/>
              <w:wordWrap/>
              <w:overflowPunct/>
              <w:topLinePunct w:val="0"/>
              <w:autoSpaceDE w:val="0"/>
              <w:autoSpaceDN w:val="0"/>
              <w:bidi w:val="0"/>
              <w:adjustRightInd w:val="0"/>
              <w:snapToGrid w:val="0"/>
              <w:spacing w:before="157" w:beforeLines="50" w:beforeAutospacing="0" w:after="0" w:afterAutospacing="0"/>
              <w:ind w:left="0" w:right="0"/>
              <w:textAlignment w:val="auto"/>
              <w:rPr>
                <w:rFonts w:hint="default" w:cs="Times New Roman"/>
              </w:rPr>
            </w:pPr>
            <w:r>
              <w:rPr>
                <w:rFonts w:hint="eastAsia" w:cs="Times New Roman"/>
              </w:rPr>
              <w:t>本项目施工期施工规模小，产生的污染小，且施工期短。</w:t>
            </w:r>
            <w:r>
              <w:rPr>
                <w:rFonts w:cs="Times New Roman"/>
              </w:rPr>
              <w:t>施工</w:t>
            </w:r>
            <w:r>
              <w:rPr>
                <w:rFonts w:hint="eastAsia" w:cs="Times New Roman"/>
              </w:rPr>
              <w:t>期</w:t>
            </w:r>
            <w:r>
              <w:rPr>
                <w:rFonts w:cs="Times New Roman"/>
              </w:rPr>
              <w:t>产生的污染都是暂时的，随着施工过程的结束，影响也将在短期内消失。施工期环境影响主要从大气环境影响、水环境影响、声环境影响</w:t>
            </w:r>
            <w:r>
              <w:rPr>
                <w:rFonts w:hint="eastAsia" w:cs="Times New Roman"/>
              </w:rPr>
              <w:t>及固体废物</w:t>
            </w:r>
            <w:r>
              <w:rPr>
                <w:rFonts w:cs="Times New Roman"/>
              </w:rPr>
              <w:t>环境影响进行分析。</w:t>
            </w:r>
          </w:p>
          <w:p>
            <w:pPr>
              <w:keepNext w:val="0"/>
              <w:keepLines w:val="0"/>
              <w:suppressLineNumbers w:val="0"/>
              <w:bidi w:val="0"/>
              <w:spacing w:before="0" w:beforeAutospacing="0" w:after="0" w:afterAutospacing="0"/>
              <w:ind w:left="0" w:right="0"/>
              <w:rPr>
                <w:rFonts w:cs="Times New Roman"/>
                <w:b/>
                <w:bCs/>
              </w:rPr>
            </w:pPr>
            <w:r>
              <w:rPr>
                <w:rFonts w:hint="default" w:cs="Times New Roman"/>
                <w:b/>
                <w:bCs/>
              </w:rPr>
              <w:t>1</w:t>
            </w:r>
            <w:r>
              <w:rPr>
                <w:rFonts w:cs="Times New Roman"/>
                <w:b/>
                <w:bCs/>
              </w:rPr>
              <w:t>、施工期</w:t>
            </w:r>
            <w:r>
              <w:rPr>
                <w:rFonts w:hint="eastAsia" w:cs="Times New Roman"/>
                <w:b/>
                <w:bCs/>
                <w:lang w:val="en-US" w:eastAsia="zh-CN"/>
              </w:rPr>
              <w:t>废气防治</w:t>
            </w:r>
            <w:r>
              <w:rPr>
                <w:rFonts w:cs="Times New Roman"/>
                <w:b/>
                <w:bCs/>
              </w:rPr>
              <w:t>措施</w:t>
            </w:r>
          </w:p>
          <w:p>
            <w:pPr>
              <w:keepNext w:val="0"/>
              <w:keepLines w:val="0"/>
              <w:suppressLineNumbers w:val="0"/>
              <w:bidi w:val="0"/>
              <w:spacing w:before="0" w:beforeAutospacing="0" w:after="0" w:afterAutospacing="0"/>
              <w:ind w:left="0" w:right="0"/>
              <w:rPr>
                <w:rFonts w:hint="eastAsia" w:cs="Times New Roman"/>
              </w:rPr>
            </w:pPr>
            <w:r>
              <w:rPr>
                <w:rFonts w:hint="eastAsia" w:cs="Times New Roman"/>
              </w:rPr>
              <w:t>施工期废气主要为</w:t>
            </w:r>
            <w:r>
              <w:rPr>
                <w:rFonts w:hint="eastAsia" w:cs="Times New Roman"/>
                <w:lang w:eastAsia="zh-CN"/>
              </w:rPr>
              <w:t>场地平整</w:t>
            </w:r>
            <w:r>
              <w:rPr>
                <w:rFonts w:hint="eastAsia" w:cs="Times New Roman"/>
              </w:rPr>
              <w:t>及</w:t>
            </w:r>
            <w:r>
              <w:rPr>
                <w:rFonts w:hint="eastAsia" w:cs="Times New Roman"/>
                <w:lang w:eastAsia="zh-CN"/>
              </w:rPr>
              <w:t>医疗废物暂存间</w:t>
            </w:r>
            <w:r>
              <w:rPr>
                <w:rFonts w:hint="eastAsia" w:cs="Times New Roman"/>
              </w:rPr>
              <w:t>设备安装</w:t>
            </w:r>
            <w:r>
              <w:rPr>
                <w:rFonts w:hint="eastAsia" w:cs="Times New Roman"/>
                <w:lang w:eastAsia="zh-CN"/>
              </w:rPr>
              <w:t>、地面防渗等</w:t>
            </w:r>
            <w:r>
              <w:rPr>
                <w:rFonts w:hint="eastAsia" w:cs="Times New Roman"/>
              </w:rPr>
              <w:t>过程</w:t>
            </w:r>
            <w:r>
              <w:rPr>
                <w:rFonts w:hint="eastAsia" w:cs="Times New Roman"/>
                <w:lang w:eastAsia="zh-CN"/>
              </w:rPr>
              <w:t>产生的</w:t>
            </w:r>
            <w:r>
              <w:rPr>
                <w:rFonts w:hint="eastAsia" w:cs="Times New Roman"/>
              </w:rPr>
              <w:t>少量粉尘以及运输车辆产生的尾气。污染物产量</w:t>
            </w:r>
            <w:r>
              <w:rPr>
                <w:rFonts w:hint="eastAsia" w:cs="Times New Roman"/>
                <w:lang w:val="en-US" w:eastAsia="zh-CN"/>
              </w:rPr>
              <w:t>较少</w:t>
            </w:r>
            <w:r>
              <w:rPr>
                <w:rFonts w:hint="eastAsia" w:cs="Times New Roman"/>
              </w:rPr>
              <w:t>，不会影响到周边居民及区域大气环境。但为降低对周围环境的影响，应采取以下防治措施：</w:t>
            </w:r>
          </w:p>
          <w:p>
            <w:pPr>
              <w:keepNext w:val="0"/>
              <w:keepLines w:val="0"/>
              <w:suppressLineNumbers w:val="0"/>
              <w:bidi w:val="0"/>
              <w:spacing w:before="0" w:beforeAutospacing="0" w:after="0" w:afterAutospacing="0"/>
              <w:ind w:left="0" w:right="0"/>
              <w:rPr>
                <w:rFonts w:hint="eastAsia" w:cs="Times New Roman"/>
              </w:rPr>
            </w:pPr>
            <w:r>
              <w:rPr>
                <w:rFonts w:hint="eastAsia" w:cs="Times New Roman"/>
                <w:spacing w:val="-6"/>
                <w:sz w:val="24"/>
              </w:rPr>
              <w:t>①合理安排</w:t>
            </w:r>
            <w:r>
              <w:rPr>
                <w:rFonts w:hint="eastAsia" w:cs="Times New Roman"/>
                <w:spacing w:val="-6"/>
                <w:sz w:val="24"/>
                <w:lang w:val="en-US" w:eastAsia="zh-CN"/>
              </w:rPr>
              <w:t>施工工序，减少</w:t>
            </w:r>
            <w:r>
              <w:rPr>
                <w:rFonts w:hint="eastAsia" w:cs="Times New Roman"/>
                <w:spacing w:val="-6"/>
                <w:sz w:val="24"/>
              </w:rPr>
              <w:t>施工机械使用次数</w:t>
            </w:r>
            <w:r>
              <w:rPr>
                <w:rFonts w:hint="eastAsia" w:cs="Times New Roman"/>
                <w:spacing w:val="-6"/>
                <w:sz w:val="24"/>
                <w:lang w:eastAsia="zh-CN"/>
              </w:rPr>
              <w:t>，</w:t>
            </w:r>
            <w:r>
              <w:rPr>
                <w:rFonts w:hint="eastAsia" w:cs="Times New Roman"/>
                <w:spacing w:val="-6"/>
                <w:sz w:val="24"/>
                <w:lang w:val="en-US" w:eastAsia="zh-CN"/>
              </w:rPr>
              <w:t>缩短施工工期，减少影响时间</w:t>
            </w:r>
            <w:r>
              <w:rPr>
                <w:rFonts w:hint="eastAsia" w:cs="Times New Roman"/>
                <w:spacing w:val="-6"/>
                <w:sz w:val="24"/>
              </w:rPr>
              <w:t>。</w:t>
            </w:r>
          </w:p>
          <w:p>
            <w:pPr>
              <w:keepNext w:val="0"/>
              <w:keepLines w:val="0"/>
              <w:suppressLineNumbers w:val="0"/>
              <w:bidi w:val="0"/>
              <w:spacing w:before="0" w:beforeAutospacing="0" w:after="0" w:afterAutospacing="0"/>
              <w:ind w:left="0" w:right="0"/>
              <w:rPr>
                <w:rFonts w:hint="eastAsia" w:cs="Times New Roman"/>
              </w:rPr>
            </w:pPr>
            <w:r>
              <w:rPr>
                <w:rFonts w:hint="eastAsia" w:cs="Times New Roman"/>
              </w:rPr>
              <w:t>②</w:t>
            </w:r>
            <w:r>
              <w:rPr>
                <w:rFonts w:hint="eastAsia" w:cs="Times New Roman"/>
                <w:lang w:val="en-US" w:eastAsia="zh-CN"/>
              </w:rPr>
              <w:t>厂房内装修等采用环保型材料，减少环境污染</w:t>
            </w:r>
            <w:r>
              <w:rPr>
                <w:rFonts w:hint="eastAsia" w:cs="Times New Roman"/>
              </w:rPr>
              <w:t>。</w:t>
            </w:r>
          </w:p>
          <w:p>
            <w:pPr>
              <w:keepNext w:val="0"/>
              <w:keepLines w:val="0"/>
              <w:suppressLineNumbers w:val="0"/>
              <w:bidi w:val="0"/>
              <w:spacing w:before="0" w:beforeAutospacing="0" w:after="0" w:afterAutospacing="0"/>
              <w:ind w:left="0" w:right="0"/>
              <w:rPr>
                <w:rFonts w:hint="eastAsia" w:eastAsia="宋体" w:cs="Times New Roman"/>
                <w:lang w:val="en-US" w:eastAsia="zh-CN"/>
              </w:rPr>
            </w:pPr>
            <w:r>
              <w:rPr>
                <w:rFonts w:hint="eastAsia" w:cs="Times New Roman"/>
                <w:lang w:val="en-US" w:eastAsia="zh-CN"/>
              </w:rPr>
              <w:t>③</w:t>
            </w:r>
            <w:r>
              <w:t>实施材料切割等作业，应当采取洒水、密闭</w:t>
            </w:r>
            <w:r>
              <w:rPr>
                <w:spacing w:val="-1"/>
              </w:rPr>
              <w:t>、湿法施工等措施</w:t>
            </w:r>
            <w:r>
              <w:rPr>
                <w:rFonts w:hint="eastAsia"/>
                <w:spacing w:val="-1"/>
                <w:lang w:eastAsia="zh-CN"/>
              </w:rPr>
              <w:t>。</w:t>
            </w:r>
          </w:p>
          <w:p>
            <w:pPr>
              <w:keepNext w:val="0"/>
              <w:keepLines w:val="0"/>
              <w:suppressLineNumbers w:val="0"/>
              <w:bidi w:val="0"/>
              <w:spacing w:before="0" w:beforeAutospacing="0" w:after="0" w:afterAutospacing="0"/>
              <w:ind w:left="0" w:right="0"/>
              <w:rPr>
                <w:rFonts w:hint="eastAsia"/>
                <w:spacing w:val="-1"/>
                <w:lang w:eastAsia="zh-CN"/>
              </w:rPr>
            </w:pPr>
            <w:r>
              <w:rPr>
                <w:rFonts w:hint="eastAsia" w:cs="Times New Roman"/>
                <w:lang w:val="en-US" w:eastAsia="zh-CN"/>
              </w:rPr>
              <w:t>④</w:t>
            </w:r>
            <w:r>
              <w:rPr>
                <w:spacing w:val="1"/>
              </w:rPr>
              <w:t>清理建筑垃圾，应当采取洒水、喷淋等措施，建筑物高处清扫出的垃圾</w:t>
            </w:r>
            <w:r>
              <w:t>应当密封清运，不得高空抛洒；建筑垃圾应</w:t>
            </w:r>
            <w:r>
              <w:rPr>
                <w:spacing w:val="-1"/>
              </w:rPr>
              <w:t>当集中堆放，及时清运</w:t>
            </w:r>
            <w:r>
              <w:rPr>
                <w:rFonts w:hint="eastAsia"/>
                <w:spacing w:val="-1"/>
                <w:lang w:eastAsia="zh-CN"/>
              </w:rPr>
              <w:t>。</w:t>
            </w:r>
          </w:p>
          <w:p>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⑤</w:t>
            </w:r>
            <w:r>
              <w:rPr>
                <w:spacing w:val="-1"/>
              </w:rPr>
              <w:t>加强车辆及施工机械的维护保养。</w:t>
            </w:r>
          </w:p>
          <w:p>
            <w:pPr>
              <w:keepNext w:val="0"/>
              <w:keepLines w:val="0"/>
              <w:suppressLineNumbers w:val="0"/>
              <w:bidi w:val="0"/>
              <w:spacing w:before="0" w:beforeAutospacing="0" w:after="0" w:afterAutospacing="0"/>
              <w:ind w:left="0" w:right="0"/>
              <w:rPr>
                <w:rFonts w:hint="eastAsia" w:cs="Times New Roman"/>
              </w:rPr>
            </w:pPr>
            <w:r>
              <w:rPr>
                <w:rFonts w:hint="eastAsia" w:cs="Times New Roman"/>
              </w:rPr>
              <w:t>采取以上措施后，项目施工期对周围大气环境的影响很小。</w:t>
            </w:r>
          </w:p>
          <w:p>
            <w:pPr>
              <w:keepNext w:val="0"/>
              <w:keepLines w:val="0"/>
              <w:suppressLineNumbers w:val="0"/>
              <w:bidi w:val="0"/>
              <w:spacing w:before="0" w:beforeAutospacing="0" w:after="0" w:afterAutospacing="0"/>
              <w:ind w:left="0" w:right="0"/>
              <w:rPr>
                <w:rFonts w:cs="Times New Roman"/>
                <w:highlight w:val="none"/>
              </w:rPr>
            </w:pPr>
            <w:r>
              <w:rPr>
                <w:rFonts w:cs="Times New Roman"/>
                <w:b/>
                <w:bCs/>
                <w:highlight w:val="none"/>
              </w:rPr>
              <w:t>2、施工期</w:t>
            </w:r>
            <w:r>
              <w:rPr>
                <w:rFonts w:hint="eastAsia" w:cs="Times New Roman"/>
                <w:b/>
                <w:bCs/>
                <w:highlight w:val="none"/>
                <w:lang w:val="en-US" w:eastAsia="zh-CN"/>
              </w:rPr>
              <w:t>废水防治</w:t>
            </w:r>
            <w:r>
              <w:rPr>
                <w:rFonts w:cs="Times New Roman"/>
                <w:b/>
                <w:bCs/>
                <w:highlight w:val="none"/>
              </w:rPr>
              <w:t>措施</w:t>
            </w:r>
          </w:p>
          <w:p>
            <w:pPr>
              <w:keepNext w:val="0"/>
              <w:keepLines w:val="0"/>
              <w:suppressLineNumbers w:val="0"/>
              <w:bidi w:val="0"/>
              <w:spacing w:before="0" w:beforeAutospacing="0" w:after="0" w:afterAutospacing="0"/>
              <w:ind w:left="0" w:right="0"/>
              <w:rPr>
                <w:rFonts w:cs="Times New Roman"/>
              </w:rPr>
            </w:pPr>
            <w:r>
              <w:rPr>
                <w:rFonts w:ascii="Times New Roman" w:hAnsi="Times New Roman"/>
                <w:color w:val="auto"/>
                <w:sz w:val="24"/>
                <w:lang w:bidi="ar"/>
              </w:rPr>
              <w:t>本项目施工期产生的废水主要为施工人员产生的生活污水和少量设备冲洗废水。施工人员的生活污水中含有一定量的有机物，设备冲洗废水中主要是含有一些由水泥碎粒、砂土构成的悬浮物。作为应对措施，施工单位在施工场地设置临时沉淀池，施工废水经沉淀池处理后回用于施工过程或地面洒水降尘；施工人员</w:t>
            </w:r>
            <w:r>
              <w:rPr>
                <w:rFonts w:hint="eastAsia" w:ascii="Times New Roman" w:hAnsi="Times New Roman"/>
                <w:color w:val="auto"/>
                <w:sz w:val="24"/>
                <w:lang w:val="en-US" w:eastAsia="zh-CN" w:bidi="ar"/>
              </w:rPr>
              <w:t>生活污水依托</w:t>
            </w:r>
            <w:r>
              <w:rPr>
                <w:rFonts w:hint="eastAsia"/>
                <w:color w:val="auto"/>
                <w:sz w:val="24"/>
                <w:lang w:val="en-US" w:eastAsia="zh-CN" w:bidi="ar"/>
              </w:rPr>
              <w:t>企业现有厕所</w:t>
            </w:r>
            <w:r>
              <w:rPr>
                <w:rFonts w:ascii="Times New Roman" w:hAnsi="Times New Roman"/>
                <w:color w:val="auto"/>
                <w:sz w:val="24"/>
                <w:lang w:bidi="ar"/>
              </w:rPr>
              <w:t>。</w:t>
            </w:r>
          </w:p>
          <w:p>
            <w:pPr>
              <w:keepNext w:val="0"/>
              <w:keepLines w:val="0"/>
              <w:suppressLineNumbers w:val="0"/>
              <w:bidi w:val="0"/>
              <w:spacing w:before="0" w:beforeAutospacing="0" w:after="0" w:afterAutospacing="0"/>
              <w:ind w:left="0" w:right="0"/>
              <w:rPr>
                <w:rFonts w:cs="Times New Roman"/>
                <w:b/>
                <w:bCs/>
                <w:highlight w:val="none"/>
              </w:rPr>
            </w:pPr>
            <w:r>
              <w:rPr>
                <w:rFonts w:cs="Times New Roman"/>
                <w:b/>
                <w:bCs/>
                <w:highlight w:val="none"/>
              </w:rPr>
              <w:t>3、施工期</w:t>
            </w:r>
            <w:r>
              <w:rPr>
                <w:rFonts w:hint="eastAsia" w:cs="Times New Roman"/>
                <w:b/>
                <w:bCs/>
                <w:highlight w:val="none"/>
                <w:lang w:val="en-US" w:eastAsia="zh-CN"/>
              </w:rPr>
              <w:t>噪声防治</w:t>
            </w:r>
            <w:r>
              <w:rPr>
                <w:rFonts w:cs="Times New Roman"/>
                <w:b/>
                <w:bCs/>
                <w:highlight w:val="none"/>
              </w:rPr>
              <w:t>措施</w:t>
            </w:r>
          </w:p>
          <w:p>
            <w:pPr>
              <w:keepNext w:val="0"/>
              <w:keepLines w:val="0"/>
              <w:suppressLineNumbers w:val="0"/>
              <w:bidi w:val="0"/>
              <w:spacing w:before="0" w:beforeAutospacing="0" w:after="0" w:afterAutospacing="0"/>
              <w:ind w:left="0" w:right="0"/>
              <w:rPr>
                <w:rFonts w:cs="Times New Roman"/>
              </w:rPr>
            </w:pPr>
            <w:r>
              <w:rPr>
                <w:rFonts w:cs="Times New Roman"/>
              </w:rPr>
              <w:t>本项目施工期噪声主要为施工机械</w:t>
            </w:r>
            <w:r>
              <w:rPr>
                <w:rFonts w:hint="eastAsia" w:cs="Times New Roman"/>
              </w:rPr>
              <w:t>设备</w:t>
            </w:r>
            <w:r>
              <w:rPr>
                <w:rFonts w:cs="Times New Roman"/>
              </w:rPr>
              <w:t>噪声和交通噪声。</w:t>
            </w:r>
            <w:r>
              <w:rPr>
                <w:rFonts w:hint="eastAsia" w:cs="Times New Roman"/>
              </w:rPr>
              <w:t>施工期噪声主要是项目在安装设备过程中使用钻机等产生噪声，噪声源强度在70~100dB(A)</w:t>
            </w:r>
            <w:r>
              <w:rPr>
                <w:rFonts w:hint="eastAsia" w:cs="Times New Roman"/>
                <w:lang w:eastAsia="zh-CN"/>
              </w:rPr>
              <w:t>。</w:t>
            </w:r>
            <w:r>
              <w:rPr>
                <w:rFonts w:hint="eastAsia" w:cs="Times New Roman"/>
              </w:rPr>
              <w:t>本项目</w:t>
            </w:r>
            <w:r>
              <w:rPr>
                <w:rFonts w:hint="eastAsia" w:cs="Times New Roman"/>
                <w:lang w:val="en-US" w:eastAsia="zh-CN"/>
              </w:rPr>
              <w:t>合格安排施工工序，</w:t>
            </w:r>
            <w:r>
              <w:rPr>
                <w:rFonts w:hint="eastAsia" w:cs="Times New Roman"/>
              </w:rPr>
              <w:t>夜间禁止施工，且设备安装均在厂房内进行</w:t>
            </w:r>
            <w:r>
              <w:rPr>
                <w:rFonts w:hint="eastAsia" w:cs="Times New Roman"/>
                <w:lang w:eastAsia="zh-CN"/>
              </w:rPr>
              <w:t>，</w:t>
            </w:r>
            <w:r>
              <w:rPr>
                <w:rFonts w:hint="eastAsia" w:cs="Times New Roman"/>
              </w:rPr>
              <w:t>施工噪声扰民影响有限</w:t>
            </w:r>
            <w:r>
              <w:rPr>
                <w:rFonts w:hint="eastAsia" w:cs="Times New Roman"/>
                <w:lang w:eastAsia="zh-CN"/>
              </w:rPr>
              <w:t>。</w:t>
            </w:r>
            <w:r>
              <w:rPr>
                <w:rFonts w:hint="eastAsia" w:cs="Times New Roman"/>
                <w:lang w:val="en-US" w:eastAsia="zh-CN"/>
              </w:rPr>
              <w:t>本</w:t>
            </w:r>
            <w:r>
              <w:rPr>
                <w:rFonts w:hint="eastAsia" w:cs="Times New Roman"/>
              </w:rPr>
              <w:t>项目设备</w:t>
            </w:r>
            <w:r>
              <w:rPr>
                <w:rFonts w:hint="eastAsia" w:cs="Times New Roman"/>
                <w:lang w:val="en-US" w:eastAsia="zh-CN"/>
              </w:rPr>
              <w:t>为成型成套设备，</w:t>
            </w:r>
            <w:r>
              <w:rPr>
                <w:rFonts w:hint="eastAsia" w:cs="Times New Roman"/>
              </w:rPr>
              <w:t>安装内容</w:t>
            </w:r>
            <w:r>
              <w:rPr>
                <w:rFonts w:hint="eastAsia" w:cs="Times New Roman"/>
                <w:lang w:val="en-US" w:eastAsia="zh-CN"/>
              </w:rPr>
              <w:t>相对较少</w:t>
            </w:r>
            <w:r>
              <w:rPr>
                <w:rFonts w:hint="eastAsia" w:cs="Times New Roman"/>
              </w:rPr>
              <w:t>，</w:t>
            </w:r>
            <w:r>
              <w:rPr>
                <w:rFonts w:hint="eastAsia" w:cs="Times New Roman"/>
                <w:lang w:val="en-US" w:eastAsia="zh-CN"/>
              </w:rPr>
              <w:t>且</w:t>
            </w:r>
            <w:r>
              <w:rPr>
                <w:rFonts w:hint="eastAsia" w:cs="Times New Roman"/>
              </w:rPr>
              <w:t>施工噪声产生的影响短暂，随施工的结束而消失</w:t>
            </w:r>
            <w:r>
              <w:rPr>
                <w:rFonts w:hint="eastAsia" w:cs="Times New Roman"/>
                <w:lang w:eastAsia="zh-CN"/>
              </w:rPr>
              <w:t>，</w:t>
            </w:r>
            <w:r>
              <w:rPr>
                <w:rFonts w:hint="eastAsia" w:cs="Times New Roman"/>
                <w:lang w:val="en-US" w:eastAsia="zh-CN"/>
              </w:rPr>
              <w:t>对周围声环境保护目标影响较少</w:t>
            </w:r>
            <w:r>
              <w:rPr>
                <w:rFonts w:hint="eastAsia" w:cs="Times New Roman"/>
              </w:rPr>
              <w:t>；对于交通噪声，</w:t>
            </w:r>
            <w:r>
              <w:rPr>
                <w:rFonts w:cs="Times New Roman"/>
              </w:rPr>
              <w:t>来往车辆</w:t>
            </w:r>
            <w:r>
              <w:rPr>
                <w:rFonts w:hint="eastAsia" w:cs="Times New Roman"/>
              </w:rPr>
              <w:t>采取</w:t>
            </w:r>
            <w:r>
              <w:rPr>
                <w:rFonts w:cs="Times New Roman"/>
              </w:rPr>
              <w:t>限制车速</w:t>
            </w:r>
            <w:r>
              <w:rPr>
                <w:rFonts w:hint="eastAsia" w:cs="Times New Roman"/>
              </w:rPr>
              <w:t>、</w:t>
            </w:r>
            <w:r>
              <w:rPr>
                <w:rFonts w:cs="Times New Roman"/>
              </w:rPr>
              <w:t>禁止</w:t>
            </w:r>
            <w:r>
              <w:rPr>
                <w:rFonts w:hint="eastAsia" w:cs="Times New Roman"/>
              </w:rPr>
              <w:t>鸣笛等措施。</w:t>
            </w:r>
          </w:p>
          <w:p>
            <w:pPr>
              <w:keepNext w:val="0"/>
              <w:keepLines w:val="0"/>
              <w:suppressLineNumbers w:val="0"/>
              <w:bidi w:val="0"/>
              <w:spacing w:before="0" w:beforeAutospacing="0" w:after="0" w:afterAutospacing="0"/>
              <w:ind w:left="0" w:right="0"/>
              <w:rPr>
                <w:rFonts w:cs="Times New Roman"/>
                <w:b/>
                <w:bCs/>
              </w:rPr>
            </w:pPr>
            <w:r>
              <w:rPr>
                <w:rFonts w:cs="Times New Roman"/>
                <w:b/>
                <w:bCs/>
              </w:rPr>
              <w:t>4、施工期固体废物</w:t>
            </w:r>
            <w:r>
              <w:rPr>
                <w:rFonts w:hint="eastAsia" w:cs="Times New Roman"/>
                <w:b/>
                <w:bCs/>
                <w:lang w:val="en-US" w:eastAsia="zh-CN"/>
              </w:rPr>
              <w:t>防治</w:t>
            </w:r>
            <w:r>
              <w:rPr>
                <w:rFonts w:cs="Times New Roman"/>
                <w:b/>
                <w:bCs/>
              </w:rPr>
              <w:t>措施</w:t>
            </w:r>
          </w:p>
          <w:p>
            <w:pPr>
              <w:keepNext w:val="0"/>
              <w:keepLines w:val="0"/>
              <w:suppressLineNumbers w:val="0"/>
              <w:bidi w:val="0"/>
              <w:spacing w:before="0" w:beforeAutospacing="0" w:after="0" w:afterAutospacing="0"/>
              <w:ind w:left="0" w:right="0"/>
              <w:rPr>
                <w:rFonts w:cs="Times New Roman"/>
                <w:color w:val="auto"/>
              </w:rPr>
            </w:pPr>
            <w:r>
              <w:rPr>
                <w:rFonts w:hint="eastAsia" w:cs="Times New Roman"/>
              </w:rPr>
              <w:t>本项目施工期固体废物主要为</w:t>
            </w:r>
            <w:r>
              <w:rPr>
                <w:rFonts w:cs="Times New Roman"/>
              </w:rPr>
              <w:t>施工人员产生的生活垃圾</w:t>
            </w:r>
            <w:r>
              <w:rPr>
                <w:rFonts w:hint="eastAsia" w:cs="Times New Roman"/>
                <w:lang w:val="en-US" w:eastAsia="zh-CN"/>
              </w:rPr>
              <w:t>及施工产生的少量建筑垃圾及设备拆装产生的</w:t>
            </w:r>
            <w:r>
              <w:rPr>
                <w:rFonts w:hint="eastAsia" w:cs="Times New Roman"/>
                <w:color w:val="auto"/>
                <w:lang w:val="en-US" w:eastAsia="zh-CN"/>
              </w:rPr>
              <w:t>废包装材料</w:t>
            </w:r>
            <w:r>
              <w:rPr>
                <w:rFonts w:cs="Times New Roman"/>
                <w:color w:val="auto"/>
              </w:rPr>
              <w:t>。</w:t>
            </w:r>
          </w:p>
          <w:p>
            <w:pPr>
              <w:keepNext w:val="0"/>
              <w:keepLines w:val="0"/>
              <w:suppressLineNumbers w:val="0"/>
              <w:bidi w:val="0"/>
              <w:spacing w:before="0" w:beforeAutospacing="0" w:after="0" w:afterAutospacing="0"/>
              <w:ind w:left="0" w:right="0"/>
              <w:rPr>
                <w:rFonts w:hint="default" w:ascii="Times New Roman" w:hAnsi="Times New Roman" w:eastAsia="宋体" w:cs="Times New Roman"/>
                <w:color w:val="000000"/>
                <w:lang w:val="en-US" w:eastAsia="zh-CN"/>
              </w:rPr>
            </w:pPr>
            <w:r>
              <w:rPr>
                <w:rFonts w:hint="eastAsia" w:cs="Times New Roman"/>
                <w:lang w:val="en-US" w:eastAsia="zh-CN"/>
              </w:rPr>
              <w:t>本项目</w:t>
            </w:r>
            <w:r>
              <w:rPr>
                <w:rFonts w:cs="Times New Roman"/>
              </w:rPr>
              <w:t>施工过程中</w:t>
            </w:r>
            <w:r>
              <w:rPr>
                <w:rFonts w:hint="eastAsia" w:cs="Times New Roman"/>
              </w:rPr>
              <w:t>对施工人员产生的</w:t>
            </w:r>
            <w:r>
              <w:rPr>
                <w:rFonts w:cs="Times New Roman"/>
              </w:rPr>
              <w:t>生活垃圾</w:t>
            </w:r>
            <w:r>
              <w:rPr>
                <w:rFonts w:hint="eastAsia" w:cs="Times New Roman"/>
              </w:rPr>
              <w:t>进行收集</w:t>
            </w:r>
            <w:r>
              <w:rPr>
                <w:rFonts w:cs="Times New Roman"/>
              </w:rPr>
              <w:t>，</w:t>
            </w:r>
            <w:r>
              <w:rPr>
                <w:rFonts w:hint="eastAsia" w:cs="Times New Roman"/>
              </w:rPr>
              <w:t>交由环卫部门进行处置</w:t>
            </w:r>
            <w:r>
              <w:rPr>
                <w:rFonts w:hint="eastAsia" w:cs="Times New Roman"/>
                <w:lang w:eastAsia="zh-CN"/>
              </w:rPr>
              <w:t>；</w:t>
            </w:r>
            <w:r>
              <w:rPr>
                <w:rFonts w:hint="eastAsia" w:cs="Times New Roman"/>
                <w:lang w:val="en-US" w:eastAsia="zh-CN"/>
              </w:rPr>
              <w:t>建筑垃圾收集后及时清运至指定的建筑垃圾堆放地点，不得随意倾倒或堆放；</w:t>
            </w:r>
            <w:r>
              <w:rPr>
                <w:rFonts w:hint="eastAsia" w:cs="Times New Roman"/>
                <w:color w:val="auto"/>
                <w:lang w:val="en-US" w:eastAsia="zh-CN"/>
              </w:rPr>
              <w:t>废包装材料外</w:t>
            </w:r>
            <w:r>
              <w:rPr>
                <w:rFonts w:hint="eastAsia" w:cs="Times New Roman"/>
                <w:lang w:val="en-US" w:eastAsia="zh-CN"/>
              </w:rPr>
              <w:t>售废品回收站，回收再利用。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8" w:hRule="atLeast"/>
          <w:jc w:val="center"/>
        </w:trPr>
        <w:tc>
          <w:tcPr>
            <w:tcW w:w="510"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hint="eastAsia" w:hAnsi="宋体" w:cs="Times New Roman"/>
                <w:bCs/>
                <w:color w:val="000000"/>
                <w:sz w:val="24"/>
              </w:rPr>
            </w:pPr>
            <w:r>
              <w:rPr>
                <w:rFonts w:hAnsi="宋体" w:cs="Times New Roman"/>
                <w:bCs/>
                <w:color w:val="000000"/>
                <w:sz w:val="24"/>
              </w:rPr>
              <w:t>运</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cs="Times New Roman"/>
                <w:bCs/>
                <w:color w:val="000000"/>
                <w:sz w:val="24"/>
              </w:rPr>
            </w:pPr>
            <w:r>
              <w:rPr>
                <w:rFonts w:hAnsi="宋体" w:cs="Times New Roman"/>
                <w:bCs/>
                <w:color w:val="000000"/>
                <w:sz w:val="24"/>
              </w:rPr>
              <w:t>营</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hint="eastAsia" w:hAnsi="宋体" w:cs="Times New Roman"/>
                <w:bCs/>
                <w:color w:val="000000"/>
                <w:sz w:val="24"/>
              </w:rPr>
            </w:pPr>
            <w:r>
              <w:rPr>
                <w:rFonts w:hAnsi="宋体" w:cs="Times New Roman"/>
                <w:bCs/>
                <w:color w:val="000000"/>
                <w:sz w:val="24"/>
              </w:rPr>
              <w:t>期</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cs="Times New Roman"/>
                <w:bCs/>
                <w:color w:val="000000"/>
                <w:sz w:val="24"/>
              </w:rPr>
            </w:pPr>
            <w:r>
              <w:rPr>
                <w:rFonts w:hAnsi="宋体" w:cs="Times New Roman"/>
                <w:bCs/>
                <w:color w:val="000000"/>
                <w:sz w:val="24"/>
              </w:rPr>
              <w:t>环</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hint="eastAsia" w:hAnsi="宋体" w:cs="Times New Roman"/>
                <w:bCs/>
                <w:color w:val="000000"/>
                <w:sz w:val="24"/>
              </w:rPr>
            </w:pPr>
            <w:r>
              <w:rPr>
                <w:rFonts w:hAnsi="宋体" w:cs="Times New Roman"/>
                <w:bCs/>
                <w:color w:val="000000"/>
                <w:sz w:val="24"/>
              </w:rPr>
              <w:t>境</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cs="Times New Roman"/>
                <w:bCs/>
                <w:color w:val="000000"/>
                <w:sz w:val="24"/>
              </w:rPr>
            </w:pPr>
            <w:r>
              <w:rPr>
                <w:rFonts w:hAnsi="宋体" w:cs="Times New Roman"/>
                <w:bCs/>
                <w:color w:val="000000"/>
                <w:sz w:val="24"/>
              </w:rPr>
              <w:t>影</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hint="eastAsia" w:hAnsi="宋体" w:cs="Times New Roman"/>
                <w:bCs/>
                <w:color w:val="000000"/>
                <w:sz w:val="24"/>
              </w:rPr>
            </w:pPr>
            <w:r>
              <w:rPr>
                <w:rFonts w:hAnsi="宋体" w:cs="Times New Roman"/>
                <w:bCs/>
                <w:color w:val="000000"/>
                <w:sz w:val="24"/>
              </w:rPr>
              <w:t>响</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cs="Times New Roman"/>
                <w:bCs/>
                <w:color w:val="000000"/>
                <w:sz w:val="24"/>
              </w:rPr>
            </w:pPr>
            <w:r>
              <w:rPr>
                <w:rFonts w:hAnsi="宋体" w:cs="Times New Roman"/>
                <w:bCs/>
                <w:color w:val="000000"/>
                <w:sz w:val="24"/>
              </w:rPr>
              <w:t>和</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hint="eastAsia" w:hAnsi="宋体" w:cs="Times New Roman"/>
                <w:bCs/>
                <w:color w:val="000000"/>
                <w:sz w:val="24"/>
              </w:rPr>
            </w:pPr>
            <w:r>
              <w:rPr>
                <w:rFonts w:hAnsi="宋体" w:cs="Times New Roman"/>
                <w:bCs/>
                <w:color w:val="000000"/>
                <w:sz w:val="24"/>
              </w:rPr>
              <w:t>保</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cs="Times New Roman"/>
                <w:bCs/>
                <w:color w:val="000000"/>
                <w:sz w:val="24"/>
              </w:rPr>
            </w:pPr>
            <w:r>
              <w:rPr>
                <w:rFonts w:hAnsi="宋体" w:cs="Times New Roman"/>
                <w:bCs/>
                <w:color w:val="000000"/>
                <w:sz w:val="24"/>
              </w:rPr>
              <w:t>护</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auto"/>
              <w:rPr>
                <w:rFonts w:hAnsi="宋体" w:cs="Times New Roman"/>
                <w:bCs/>
                <w:color w:val="000000"/>
                <w:sz w:val="24"/>
              </w:rPr>
            </w:pPr>
            <w:r>
              <w:rPr>
                <w:rFonts w:hAnsi="宋体" w:cs="Times New Roman"/>
                <w:bCs/>
                <w:color w:val="000000"/>
                <w:sz w:val="24"/>
              </w:rPr>
              <w:t>措</w:t>
            </w:r>
          </w:p>
          <w:p>
            <w:pPr>
              <w:pStyle w:val="2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Times New Roman" w:cs="Times New Roman"/>
                <w:color w:val="000000"/>
                <w:kern w:val="2"/>
                <w:szCs w:val="24"/>
                <w:lang w:val="en-US" w:eastAsia="zh-CN"/>
              </w:rPr>
            </w:pPr>
            <w:r>
              <w:rPr>
                <w:rFonts w:hAnsi="宋体" w:cs="Times New Roman"/>
                <w:bCs/>
                <w:color w:val="000000"/>
                <w:sz w:val="24"/>
              </w:rPr>
              <w:t>施</w:t>
            </w:r>
          </w:p>
        </w:tc>
        <w:tc>
          <w:tcPr>
            <w:tcW w:w="8575" w:type="dxa"/>
            <w:noWrap w:val="0"/>
            <w:vAlign w:val="top"/>
          </w:tcPr>
          <w:p>
            <w:pPr>
              <w:pStyle w:val="5"/>
              <w:keepNext/>
              <w:keepLines/>
              <w:pageBreakBefore w:val="0"/>
              <w:widowControl w:val="0"/>
              <w:suppressLineNumbers w:val="0"/>
              <w:kinsoku/>
              <w:wordWrap/>
              <w:overflowPunct/>
              <w:topLinePunct w:val="0"/>
              <w:autoSpaceDE w:val="0"/>
              <w:autoSpaceDN w:val="0"/>
              <w:bidi w:val="0"/>
              <w:adjustRightInd w:val="0"/>
              <w:snapToGrid w:val="0"/>
              <w:spacing w:before="157" w:beforeLines="50" w:beforeAutospacing="0" w:after="0" w:afterAutospacing="0"/>
              <w:ind w:left="0" w:right="0"/>
              <w:textAlignment w:val="auto"/>
              <w:rPr>
                <w:rFonts w:hint="eastAsia" w:eastAsia="宋体" w:cs="Times New Roman"/>
                <w:color w:val="000000"/>
                <w:lang w:eastAsia="zh-CN"/>
              </w:rPr>
            </w:pPr>
            <w:r>
              <w:rPr>
                <w:rFonts w:cs="Times New Roman"/>
                <w:color w:val="000000"/>
              </w:rPr>
              <w:t>1、运营期废气</w:t>
            </w:r>
            <w:r>
              <w:rPr>
                <w:rFonts w:hint="eastAsia" w:cs="Times New Roman"/>
                <w:color w:val="000000"/>
                <w:lang w:eastAsia="zh-CN"/>
              </w:rPr>
              <w:t>环境影响分析</w:t>
            </w:r>
          </w:p>
          <w:p>
            <w:pPr>
              <w:keepNext w:val="0"/>
              <w:keepLines w:val="0"/>
              <w:widowControl/>
              <w:suppressLineNumbers w:val="0"/>
              <w:spacing w:before="0" w:beforeAutospacing="0" w:after="0" w:afterAutospacing="0"/>
              <w:ind w:left="0" w:right="0"/>
              <w:jc w:val="left"/>
              <w:rPr>
                <w:rFonts w:hint="eastAsia" w:ascii="宋体" w:hAnsi="宋体" w:eastAsia="宋体" w:cs="宋体"/>
                <w:color w:val="FF0000"/>
                <w:kern w:val="0"/>
                <w:sz w:val="24"/>
                <w:szCs w:val="24"/>
                <w:lang w:val="en-US" w:eastAsia="zh-CN" w:bidi="ar"/>
              </w:rPr>
            </w:pPr>
            <w:r>
              <w:rPr>
                <w:rFonts w:hint="eastAsia" w:ascii="宋体" w:hAnsi="宋体" w:eastAsia="宋体" w:cs="宋体"/>
                <w:color w:val="000000"/>
                <w:kern w:val="0"/>
                <w:sz w:val="24"/>
                <w:szCs w:val="24"/>
                <w:lang w:val="en-US" w:eastAsia="zh-CN" w:bidi="ar"/>
              </w:rPr>
              <w:t>本项目不对危险废物进行处理处置，只收集暂存，</w:t>
            </w:r>
            <w:r>
              <w:rPr>
                <w:rFonts w:hint="eastAsia" w:ascii="宋体" w:hAnsi="宋体" w:cs="宋体"/>
                <w:color w:val="FF0000"/>
                <w:kern w:val="0"/>
                <w:sz w:val="24"/>
                <w:szCs w:val="24"/>
                <w:lang w:val="en-US" w:eastAsia="zh-CN" w:bidi="ar"/>
              </w:rPr>
              <w:t>项目</w:t>
            </w:r>
            <w:r>
              <w:rPr>
                <w:rFonts w:hint="eastAsia" w:ascii="宋体" w:hAnsi="宋体" w:eastAsia="宋体" w:cs="宋体"/>
                <w:color w:val="FF0000"/>
                <w:kern w:val="0"/>
                <w:sz w:val="24"/>
                <w:szCs w:val="24"/>
                <w:lang w:val="en-US" w:eastAsia="zh-CN" w:bidi="ar"/>
              </w:rPr>
              <w:t>无粉尘、</w:t>
            </w:r>
            <w:r>
              <w:rPr>
                <w:rFonts w:hint="default" w:ascii="Times New Roman" w:hAnsi="Times New Roman" w:eastAsia="宋体" w:cs="Times New Roman"/>
                <w:color w:val="FF0000"/>
                <w:kern w:val="0"/>
                <w:sz w:val="24"/>
                <w:szCs w:val="24"/>
                <w:lang w:val="en-US" w:eastAsia="zh-CN" w:bidi="ar"/>
              </w:rPr>
              <w:t>VOCs</w:t>
            </w:r>
            <w:r>
              <w:rPr>
                <w:rFonts w:hint="eastAsia" w:ascii="宋体" w:hAnsi="宋体" w:eastAsia="宋体" w:cs="宋体"/>
                <w:color w:val="FF0000"/>
                <w:kern w:val="0"/>
                <w:sz w:val="24"/>
                <w:szCs w:val="24"/>
                <w:lang w:val="en-US" w:eastAsia="zh-CN" w:bidi="ar"/>
              </w:rPr>
              <w:t>、酸雾、有毒有害大气污染物</w:t>
            </w:r>
            <w:r>
              <w:rPr>
                <w:rFonts w:hint="eastAsia" w:ascii="宋体" w:hAnsi="宋体" w:cs="宋体"/>
                <w:color w:val="FF0000"/>
                <w:kern w:val="0"/>
                <w:sz w:val="24"/>
                <w:szCs w:val="24"/>
                <w:lang w:val="en-US" w:eastAsia="zh-CN" w:bidi="ar"/>
              </w:rPr>
              <w:t>产生，会产生少量异味，由于项目医疗</w:t>
            </w:r>
            <w:r>
              <w:rPr>
                <w:rFonts w:hint="eastAsia" w:ascii="宋体" w:hAnsi="宋体" w:eastAsia="宋体" w:cs="宋体"/>
                <w:color w:val="FF0000"/>
                <w:kern w:val="0"/>
                <w:sz w:val="24"/>
                <w:szCs w:val="24"/>
                <w:lang w:val="en-US" w:eastAsia="zh-CN" w:bidi="ar"/>
              </w:rPr>
              <w:t>废物都是密闭收集暂存，</w:t>
            </w:r>
            <w:r>
              <w:rPr>
                <w:rFonts w:hint="eastAsia" w:ascii="宋体" w:hAnsi="宋体" w:cs="宋体"/>
                <w:color w:val="FF0000"/>
                <w:kern w:val="0"/>
                <w:sz w:val="24"/>
                <w:szCs w:val="24"/>
                <w:lang w:val="en-US" w:eastAsia="zh-CN" w:bidi="ar"/>
              </w:rPr>
              <w:t>暂存量较小，环评不再定量分析</w:t>
            </w:r>
            <w:r>
              <w:rPr>
                <w:rFonts w:hint="eastAsia" w:cs="Times New Roman"/>
                <w:color w:val="FF0000"/>
                <w:kern w:val="2"/>
                <w:highlight w:val="none"/>
                <w:lang w:val="en-US" w:eastAsia="zh-CN"/>
              </w:rPr>
              <w:t>，</w:t>
            </w:r>
            <w:r>
              <w:rPr>
                <w:rFonts w:hint="eastAsia" w:ascii="Times New Roman" w:hAnsi="Times New Roman" w:eastAsia="宋体" w:cs="Times New Roman"/>
                <w:color w:val="FF0000"/>
                <w:kern w:val="2"/>
                <w:highlight w:val="none"/>
                <w:lang w:val="en-US" w:eastAsia="zh-CN"/>
              </w:rPr>
              <w:t>暂存间通过</w:t>
            </w:r>
            <w:r>
              <w:rPr>
                <w:rFonts w:hint="eastAsia" w:cs="Times New Roman"/>
                <w:color w:val="FF0000"/>
                <w:kern w:val="2"/>
                <w:highlight w:val="none"/>
                <w:lang w:val="en-US" w:eastAsia="zh-CN"/>
              </w:rPr>
              <w:t>定期消毒，</w:t>
            </w:r>
            <w:r>
              <w:rPr>
                <w:rFonts w:hint="eastAsia" w:ascii="Times New Roman" w:hAnsi="Times New Roman" w:eastAsia="宋体" w:cs="Times New Roman"/>
                <w:color w:val="FF0000"/>
                <w:kern w:val="2"/>
                <w:highlight w:val="none"/>
                <w:lang w:val="en-US" w:eastAsia="zh-CN"/>
              </w:rPr>
              <w:t>安装排气扇加强通风</w:t>
            </w:r>
            <w:r>
              <w:rPr>
                <w:rFonts w:hint="eastAsia" w:cs="Times New Roman"/>
                <w:color w:val="FF0000"/>
                <w:kern w:val="2"/>
                <w:highlight w:val="none"/>
                <w:lang w:val="en-US" w:eastAsia="zh-CN"/>
              </w:rPr>
              <w:t>来处理</w:t>
            </w:r>
            <w:r>
              <w:rPr>
                <w:rFonts w:hint="eastAsia" w:ascii="Times New Roman" w:hAnsi="Times New Roman" w:eastAsia="宋体" w:cs="Times New Roman"/>
                <w:color w:val="FF0000"/>
                <w:kern w:val="2"/>
                <w:highlight w:val="none"/>
                <w:lang w:val="en-US" w:eastAsia="zh-CN"/>
              </w:rPr>
              <w:t>，</w:t>
            </w:r>
            <w:r>
              <w:rPr>
                <w:rFonts w:hint="eastAsia" w:cs="Times New Roman"/>
                <w:color w:val="FF0000"/>
                <w:kern w:val="2"/>
                <w:highlight w:val="none"/>
                <w:lang w:val="en-US" w:eastAsia="zh-CN"/>
              </w:rPr>
              <w:t>同时，企业</w:t>
            </w:r>
            <w:r>
              <w:rPr>
                <w:rFonts w:hint="eastAsia" w:ascii="Times New Roman" w:hAnsi="Times New Roman" w:eastAsia="宋体" w:cs="Times New Roman"/>
                <w:color w:val="FF0000"/>
                <w:kern w:val="2"/>
                <w:highlight w:val="none"/>
                <w:lang w:val="en-US" w:eastAsia="zh-CN"/>
              </w:rPr>
              <w:t>重点防范包装破损情况，确保</w:t>
            </w:r>
            <w:r>
              <w:rPr>
                <w:rFonts w:hint="eastAsia" w:cs="Times New Roman"/>
                <w:color w:val="FF0000"/>
                <w:kern w:val="2"/>
                <w:highlight w:val="none"/>
                <w:lang w:val="en-US" w:eastAsia="zh-CN"/>
              </w:rPr>
              <w:t>医疗</w:t>
            </w:r>
            <w:r>
              <w:rPr>
                <w:rFonts w:hint="eastAsia" w:ascii="Times New Roman" w:hAnsi="Times New Roman" w:eastAsia="宋体" w:cs="Times New Roman"/>
                <w:color w:val="FF0000"/>
                <w:kern w:val="2"/>
                <w:highlight w:val="none"/>
                <w:lang w:val="en-US" w:eastAsia="zh-CN"/>
              </w:rPr>
              <w:t>废物密闭暂存</w:t>
            </w:r>
            <w:r>
              <w:rPr>
                <w:rFonts w:hint="eastAsia" w:cs="Times New Roman"/>
                <w:color w:val="FF0000"/>
                <w:kern w:val="2"/>
                <w:highlight w:val="none"/>
                <w:lang w:val="en-US" w:eastAsia="zh-CN"/>
              </w:rPr>
              <w:t>，采取以上措施后，项目异味基本不会对周边大气环境产生影响</w:t>
            </w:r>
            <w:r>
              <w:rPr>
                <w:rFonts w:hint="eastAsia" w:ascii="宋体" w:hAnsi="宋体" w:eastAsia="宋体" w:cs="宋体"/>
                <w:color w:val="FF0000"/>
                <w:kern w:val="0"/>
                <w:sz w:val="24"/>
                <w:szCs w:val="24"/>
                <w:lang w:val="en-US" w:eastAsia="zh-CN" w:bidi="ar"/>
              </w:rPr>
              <w:t>。</w:t>
            </w:r>
          </w:p>
          <w:p>
            <w:pPr>
              <w:keepNext w:val="0"/>
              <w:keepLines w:val="0"/>
              <w:widowControl/>
              <w:suppressLineNumbers w:val="0"/>
              <w:spacing w:before="0" w:beforeAutospacing="0" w:after="0" w:afterAutospacing="0"/>
              <w:ind w:left="0" w:right="0"/>
              <w:jc w:val="left"/>
            </w:pPr>
            <w:r>
              <w:rPr>
                <w:rFonts w:hint="eastAsia" w:ascii="宋体" w:hAnsi="宋体" w:eastAsia="宋体" w:cs="宋体"/>
                <w:color w:val="000000"/>
                <w:kern w:val="0"/>
                <w:sz w:val="24"/>
                <w:szCs w:val="24"/>
                <w:lang w:val="en-US" w:eastAsia="zh-CN" w:bidi="ar"/>
              </w:rPr>
              <w:t>根据《排污许可申请与核发技术规范 总则》（</w:t>
            </w:r>
            <w:r>
              <w:rPr>
                <w:rFonts w:hint="default" w:ascii="Times New Roman" w:hAnsi="Times New Roman" w:eastAsia="宋体" w:cs="Times New Roman"/>
                <w:color w:val="000000"/>
                <w:kern w:val="0"/>
                <w:sz w:val="24"/>
                <w:szCs w:val="24"/>
                <w:lang w:val="en-US" w:eastAsia="zh-CN" w:bidi="ar"/>
              </w:rPr>
              <w:t>HJ942-2018</w:t>
            </w:r>
            <w:r>
              <w:rPr>
                <w:rFonts w:hint="eastAsia" w:ascii="宋体" w:hAnsi="宋体" w:eastAsia="宋体" w:cs="宋体"/>
                <w:color w:val="000000"/>
                <w:kern w:val="0"/>
                <w:sz w:val="24"/>
                <w:szCs w:val="24"/>
                <w:lang w:val="en-US" w:eastAsia="zh-CN" w:bidi="ar"/>
              </w:rPr>
              <w:t>）、《排污单位自行监测技术指南 总则》（</w:t>
            </w:r>
            <w:r>
              <w:rPr>
                <w:rFonts w:hint="default" w:ascii="Times New Roman" w:hAnsi="Times New Roman" w:eastAsia="宋体" w:cs="Times New Roman"/>
                <w:color w:val="000000"/>
                <w:kern w:val="0"/>
                <w:sz w:val="24"/>
                <w:szCs w:val="24"/>
                <w:lang w:val="en-US" w:eastAsia="zh-CN" w:bidi="ar"/>
              </w:rPr>
              <w:t>HJ819-2017</w:t>
            </w:r>
            <w:r>
              <w:rPr>
                <w:rFonts w:hint="eastAsia" w:ascii="宋体" w:hAnsi="宋体" w:eastAsia="宋体" w:cs="宋体"/>
                <w:color w:val="000000"/>
                <w:kern w:val="0"/>
                <w:sz w:val="24"/>
                <w:szCs w:val="24"/>
                <w:lang w:val="en-US" w:eastAsia="zh-CN" w:bidi="ar"/>
              </w:rPr>
              <w:t>）排污单位应开展自行监测工作，本项目</w:t>
            </w:r>
            <w:r>
              <w:rPr>
                <w:rFonts w:hint="eastAsia" w:ascii="宋体" w:hAnsi="宋体" w:cs="宋体"/>
                <w:color w:val="000000"/>
                <w:kern w:val="0"/>
                <w:sz w:val="24"/>
                <w:szCs w:val="24"/>
                <w:lang w:val="en-US" w:eastAsia="zh-CN" w:bidi="ar"/>
              </w:rPr>
              <w:t>废气</w:t>
            </w:r>
            <w:r>
              <w:rPr>
                <w:rFonts w:hint="eastAsia" w:ascii="宋体" w:hAnsi="宋体" w:eastAsia="宋体" w:cs="宋体"/>
                <w:color w:val="000000"/>
                <w:kern w:val="0"/>
                <w:sz w:val="24"/>
                <w:szCs w:val="24"/>
                <w:lang w:val="en-US" w:eastAsia="zh-CN" w:bidi="ar"/>
              </w:rPr>
              <w:t>自行监测计划见下表。</w:t>
            </w:r>
          </w:p>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表4-</w:t>
            </w:r>
            <w:r>
              <w:rPr>
                <w:rFonts w:hint="default" w:ascii="Times New Roman" w:hAnsi="Times New Roman" w:cs="Times New Roman"/>
                <w:b/>
                <w:bCs/>
                <w:color w:val="auto"/>
                <w:sz w:val="21"/>
                <w:szCs w:val="21"/>
                <w:lang w:val="en-US" w:eastAsia="zh-CN"/>
              </w:rPr>
              <w:t>1</w:t>
            </w:r>
            <w:r>
              <w:rPr>
                <w:rFonts w:hint="default" w:ascii="Times New Roman" w:hAnsi="Times New Roman" w:cs="Times New Roman"/>
                <w:b/>
                <w:bCs/>
                <w:color w:val="auto"/>
                <w:sz w:val="21"/>
                <w:szCs w:val="21"/>
              </w:rPr>
              <w:t xml:space="preserve">  废气监测要求</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9"/>
              <w:gridCol w:w="739"/>
              <w:gridCol w:w="1116"/>
              <w:gridCol w:w="2195"/>
              <w:gridCol w:w="1167"/>
              <w:gridCol w:w="26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9" w:type="pct"/>
                  <w:gridSpan w:val="2"/>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类别</w:t>
                  </w:r>
                </w:p>
              </w:tc>
              <w:tc>
                <w:tcPr>
                  <w:tcW w:w="668"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监测点位</w:t>
                  </w:r>
                </w:p>
              </w:tc>
              <w:tc>
                <w:tcPr>
                  <w:tcW w:w="1315"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监测项目</w:t>
                  </w:r>
                </w:p>
              </w:tc>
              <w:tc>
                <w:tcPr>
                  <w:tcW w:w="699"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监测频次</w:t>
                  </w:r>
                </w:p>
              </w:tc>
              <w:tc>
                <w:tcPr>
                  <w:tcW w:w="1587"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286"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污染源监测</w:t>
                  </w:r>
                </w:p>
              </w:tc>
              <w:tc>
                <w:tcPr>
                  <w:tcW w:w="442"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无组织</w:t>
                  </w:r>
                </w:p>
              </w:tc>
              <w:tc>
                <w:tcPr>
                  <w:tcW w:w="668"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厂界</w:t>
                  </w:r>
                </w:p>
              </w:tc>
              <w:tc>
                <w:tcPr>
                  <w:tcW w:w="1315"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臭气浓度</w:t>
                  </w:r>
                </w:p>
              </w:tc>
              <w:tc>
                <w:tcPr>
                  <w:tcW w:w="699"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1次/年</w:t>
                  </w:r>
                </w:p>
              </w:tc>
              <w:tc>
                <w:tcPr>
                  <w:tcW w:w="1587" w:type="pct"/>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w:t>
                  </w:r>
                  <w:r>
                    <w:rPr>
                      <w:rFonts w:hint="eastAsia" w:ascii="Times New Roman" w:hAnsi="Times New Roman" w:cs="Times New Roman"/>
                      <w:sz w:val="21"/>
                      <w:szCs w:val="21"/>
                      <w:lang w:eastAsia="zh-CN"/>
                    </w:rPr>
                    <w:t>恶臭污染物排放标准</w:t>
                  </w:r>
                  <w:r>
                    <w:rPr>
                      <w:rFonts w:hint="default" w:ascii="Times New Roman" w:hAnsi="Times New Roman" w:cs="Times New Roman"/>
                      <w:sz w:val="21"/>
                      <w:szCs w:val="21"/>
                    </w:rPr>
                    <w:t>》（GB</w:t>
                  </w:r>
                  <w:r>
                    <w:rPr>
                      <w:rFonts w:hint="eastAsia" w:ascii="Times New Roman" w:hAnsi="Times New Roman" w:cs="Times New Roman"/>
                      <w:sz w:val="21"/>
                      <w:szCs w:val="21"/>
                      <w:lang w:val="en-US" w:eastAsia="zh-CN"/>
                    </w:rPr>
                    <w:t>14554</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93</w:t>
                  </w:r>
                  <w:r>
                    <w:rPr>
                      <w:rFonts w:hint="default" w:ascii="Times New Roman" w:hAnsi="Times New Roman" w:cs="Times New Roman"/>
                      <w:sz w:val="21"/>
                      <w:szCs w:val="21"/>
                    </w:rPr>
                    <w:t>）</w:t>
                  </w:r>
                </w:p>
              </w:tc>
            </w:tr>
          </w:tbl>
          <w:p>
            <w:pPr>
              <w:pStyle w:val="5"/>
              <w:suppressLineNumbers w:val="0"/>
              <w:bidi w:val="0"/>
              <w:spacing w:before="0" w:beforeAutospacing="0" w:after="0" w:afterAutospacing="0"/>
              <w:ind w:left="0" w:right="0"/>
              <w:rPr>
                <w:rFonts w:hint="eastAsia" w:eastAsia="宋体" w:cs="Times New Roman"/>
                <w:lang w:eastAsia="zh-CN"/>
              </w:rPr>
            </w:pPr>
            <w:r>
              <w:rPr>
                <w:rFonts w:cs="Times New Roman"/>
              </w:rPr>
              <w:t>2、运营期废水</w:t>
            </w:r>
            <w:r>
              <w:rPr>
                <w:rFonts w:hint="eastAsia" w:cs="Times New Roman"/>
                <w:lang w:eastAsia="zh-CN"/>
              </w:rPr>
              <w:t>环境影响分析</w:t>
            </w:r>
          </w:p>
          <w:p>
            <w:pPr>
              <w:keepNext w:val="0"/>
              <w:keepLines w:val="0"/>
              <w:widowControl/>
              <w:suppressLineNumbers w:val="0"/>
              <w:spacing w:before="0" w:beforeAutospacing="0" w:after="0" w:afterAutospacing="0"/>
              <w:ind w:left="0" w:right="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本项目无生产废水产生，</w:t>
            </w:r>
            <w:r>
              <w:rPr>
                <w:rFonts w:hint="eastAsia" w:ascii="Times New Roman" w:hAnsi="Times New Roman" w:eastAsia="宋体" w:cs="Times New Roman"/>
                <w:color w:val="auto"/>
                <w:kern w:val="2"/>
                <w:lang w:val="en-US" w:eastAsia="zh-CN"/>
              </w:rPr>
              <w:t>项目依托企业现有职工</w:t>
            </w:r>
            <w:r>
              <w:rPr>
                <w:rFonts w:hint="eastAsia" w:ascii="宋体" w:hAnsi="宋体" w:eastAsia="宋体" w:cs="宋体"/>
                <w:color w:val="000000"/>
                <w:kern w:val="0"/>
                <w:sz w:val="24"/>
                <w:szCs w:val="24"/>
                <w:lang w:val="en-US" w:eastAsia="zh-CN" w:bidi="ar"/>
              </w:rPr>
              <w:t>，</w:t>
            </w:r>
            <w:r>
              <w:rPr>
                <w:rFonts w:hint="eastAsia" w:ascii="Times New Roman" w:hAnsi="Times New Roman" w:eastAsia="宋体" w:cs="Times New Roman"/>
                <w:color w:val="auto"/>
                <w:kern w:val="2"/>
                <w:lang w:val="en-US" w:eastAsia="zh-CN"/>
              </w:rPr>
              <w:t>不新增劳动定员</w:t>
            </w:r>
            <w:r>
              <w:rPr>
                <w:rFonts w:hint="eastAsia" w:ascii="宋体" w:hAnsi="宋体" w:eastAsia="宋体" w:cs="宋体"/>
                <w:color w:val="000000"/>
                <w:kern w:val="0"/>
                <w:sz w:val="24"/>
                <w:szCs w:val="24"/>
                <w:lang w:val="en-US" w:eastAsia="zh-CN" w:bidi="ar"/>
              </w:rPr>
              <w:t>，不产生生活污水。</w:t>
            </w:r>
          </w:p>
          <w:p>
            <w:pPr>
              <w:pStyle w:val="5"/>
              <w:suppressLineNumbers w:val="0"/>
              <w:bidi w:val="0"/>
              <w:spacing w:before="0" w:beforeAutospacing="0" w:after="0" w:afterAutospacing="0"/>
              <w:ind w:left="0" w:right="0"/>
              <w:rPr>
                <w:rFonts w:hint="eastAsia" w:eastAsia="宋体" w:cs="Times New Roman"/>
                <w:lang w:eastAsia="zh-CN"/>
              </w:rPr>
            </w:pPr>
            <w:r>
              <w:rPr>
                <w:rFonts w:hint="eastAsia" w:cs="Times New Roman"/>
                <w:lang w:val="en-US" w:eastAsia="zh-CN"/>
              </w:rPr>
              <w:t>3、</w:t>
            </w:r>
            <w:r>
              <w:rPr>
                <w:rFonts w:cs="Times New Roman"/>
              </w:rPr>
              <w:t>运营期</w:t>
            </w:r>
            <w:r>
              <w:rPr>
                <w:rFonts w:hint="eastAsia" w:cs="Times New Roman"/>
                <w:lang w:eastAsia="zh-CN"/>
              </w:rPr>
              <w:t>噪声环境影响分析</w:t>
            </w:r>
          </w:p>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ind w:left="0" w:right="0"/>
              <w:jc w:val="both"/>
              <w:textAlignment w:val="auto"/>
              <w:rPr>
                <w:rFonts w:hint="default" w:ascii="Times New Roman" w:hAnsi="Times New Roman" w:cs="Times New Roman"/>
                <w:color w:val="000000"/>
                <w:kern w:val="0"/>
                <w:sz w:val="24"/>
                <w:szCs w:val="24"/>
                <w:lang w:val="en-US" w:eastAsia="zh-CN" w:bidi="ar"/>
              </w:rPr>
            </w:pPr>
            <w:r>
              <w:rPr>
                <w:rFonts w:hint="eastAsia" w:ascii="Times New Roman" w:hAnsi="Times New Roman" w:cs="Times New Roman"/>
                <w:color w:val="000000"/>
                <w:kern w:val="0"/>
                <w:sz w:val="24"/>
                <w:szCs w:val="24"/>
                <w:lang w:val="en-US" w:eastAsia="zh-CN" w:bidi="ar"/>
              </w:rPr>
              <w:t>（1）环境影响分析</w:t>
            </w:r>
          </w:p>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ind w:left="0" w:right="0"/>
              <w:jc w:val="both"/>
              <w:textAlignment w:val="auto"/>
              <w:rPr>
                <w:rFonts w:hint="default" w:ascii="Times New Roman" w:hAnsi="Times New Roman" w:cs="Times New Roman"/>
                <w:color w:val="000000"/>
                <w:kern w:val="0"/>
                <w:sz w:val="24"/>
                <w:szCs w:val="24"/>
                <w:lang w:val="en-US" w:eastAsia="zh-CN" w:bidi="ar"/>
              </w:rPr>
            </w:pPr>
            <w:r>
              <w:rPr>
                <w:rFonts w:hint="default" w:ascii="Times New Roman" w:hAnsi="Times New Roman" w:cs="Times New Roman"/>
                <w:color w:val="000000"/>
                <w:kern w:val="0"/>
                <w:sz w:val="24"/>
                <w:szCs w:val="24"/>
                <w:lang w:val="en-US" w:eastAsia="zh-CN" w:bidi="ar"/>
              </w:rPr>
              <w:t>本项目建设地点位于正蓝旗动物疫病预防控制中心</w:t>
            </w:r>
            <w:r>
              <w:rPr>
                <w:rFonts w:hint="eastAsia" w:ascii="Times New Roman" w:hAnsi="Times New Roman" w:cs="Times New Roman"/>
                <w:color w:val="000000"/>
                <w:kern w:val="0"/>
                <w:sz w:val="24"/>
                <w:szCs w:val="24"/>
                <w:lang w:val="en-US" w:eastAsia="zh-CN" w:bidi="ar"/>
              </w:rPr>
              <w:t>院内</w:t>
            </w:r>
            <w:r>
              <w:rPr>
                <w:rFonts w:hint="default" w:ascii="Times New Roman" w:hAnsi="Times New Roman" w:cs="Times New Roman"/>
                <w:color w:val="000000"/>
                <w:kern w:val="0"/>
                <w:sz w:val="24"/>
                <w:szCs w:val="24"/>
                <w:lang w:val="en-US" w:eastAsia="zh-CN" w:bidi="ar"/>
              </w:rPr>
              <w:t>厂区西南侧空地内，根据《声环境质量标准》（GB3096-2008）的规定，项目周围声环境执行1类区标准（昼间55dB（A），夜间45dB（A））。</w:t>
            </w:r>
          </w:p>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ind w:left="0" w:right="0"/>
              <w:jc w:val="both"/>
              <w:textAlignment w:val="auto"/>
              <w:rPr>
                <w:rFonts w:hint="default" w:ascii="Times New Roman" w:hAnsi="Times New Roman" w:cs="Times New Roman"/>
                <w:color w:val="000000"/>
                <w:kern w:val="0"/>
                <w:sz w:val="24"/>
                <w:szCs w:val="24"/>
                <w:lang w:val="en-US" w:eastAsia="zh-CN" w:bidi="ar"/>
              </w:rPr>
            </w:pPr>
            <w:r>
              <w:rPr>
                <w:rFonts w:hint="default" w:ascii="Times New Roman" w:hAnsi="Times New Roman" w:cs="Times New Roman"/>
                <w:color w:val="auto"/>
                <w:kern w:val="0"/>
                <w:sz w:val="24"/>
                <w:szCs w:val="24"/>
                <w:lang w:val="en-US" w:eastAsia="zh-CN" w:bidi="ar"/>
              </w:rPr>
              <w:t>本项目</w:t>
            </w:r>
            <w:r>
              <w:rPr>
                <w:rFonts w:hint="eastAsia" w:cs="Times New Roman"/>
                <w:color w:val="auto"/>
                <w:kern w:val="0"/>
                <w:sz w:val="24"/>
                <w:szCs w:val="24"/>
                <w:lang w:val="en-US" w:eastAsia="zh-CN" w:bidi="ar"/>
              </w:rPr>
              <w:t>医疗废物暂存间内无固定噪声源，</w:t>
            </w:r>
            <w:r>
              <w:rPr>
                <w:rFonts w:hint="default" w:ascii="Times New Roman" w:hAnsi="Times New Roman" w:cs="Times New Roman"/>
                <w:color w:val="auto"/>
                <w:kern w:val="0"/>
                <w:sz w:val="24"/>
                <w:szCs w:val="24"/>
                <w:lang w:val="en-US" w:eastAsia="zh-CN" w:bidi="ar"/>
              </w:rPr>
              <w:t>噪声</w:t>
            </w:r>
            <w:r>
              <w:rPr>
                <w:rFonts w:hint="default" w:ascii="Times New Roman" w:hAnsi="Times New Roman" w:cs="Times New Roman"/>
                <w:color w:val="000000"/>
                <w:kern w:val="0"/>
                <w:sz w:val="24"/>
                <w:szCs w:val="24"/>
                <w:lang w:val="en-US" w:eastAsia="zh-CN" w:bidi="ar"/>
              </w:rPr>
              <w:t>源主要为转移</w:t>
            </w:r>
            <w:r>
              <w:rPr>
                <w:rFonts w:hint="eastAsia" w:cs="Times New Roman"/>
                <w:color w:val="000000"/>
                <w:kern w:val="0"/>
                <w:sz w:val="24"/>
                <w:szCs w:val="24"/>
                <w:lang w:val="en-US" w:eastAsia="zh-CN" w:bidi="ar"/>
              </w:rPr>
              <w:t>医疗</w:t>
            </w:r>
            <w:r>
              <w:rPr>
                <w:rFonts w:hint="default" w:ascii="Times New Roman" w:hAnsi="Times New Roman" w:cs="Times New Roman"/>
                <w:color w:val="000000"/>
                <w:kern w:val="0"/>
                <w:sz w:val="24"/>
                <w:szCs w:val="24"/>
                <w:lang w:val="en-US" w:eastAsia="zh-CN" w:bidi="ar"/>
              </w:rPr>
              <w:t>废物过程中叉车产生的噪声，噪声级约为65~75dB（A）</w:t>
            </w:r>
            <w:r>
              <w:rPr>
                <w:rFonts w:hint="eastAsia" w:ascii="Times New Roman" w:hAnsi="Times New Roman" w:cs="Times New Roman"/>
                <w:color w:val="000000"/>
                <w:kern w:val="0"/>
                <w:sz w:val="24"/>
                <w:szCs w:val="24"/>
                <w:lang w:val="en-US" w:eastAsia="zh-CN" w:bidi="ar"/>
              </w:rPr>
              <w:t>，且为间歇运行</w:t>
            </w:r>
            <w:r>
              <w:rPr>
                <w:rFonts w:hint="default" w:ascii="Times New Roman" w:hAnsi="Times New Roman" w:cs="Times New Roman"/>
                <w:color w:val="000000"/>
                <w:kern w:val="0"/>
                <w:sz w:val="24"/>
                <w:szCs w:val="24"/>
                <w:lang w:val="en-US" w:eastAsia="zh-CN" w:bidi="ar"/>
              </w:rPr>
              <w:t>。企业采取以下相应的污染防治措施：</w:t>
            </w:r>
          </w:p>
          <w:p>
            <w:pPr>
              <w:keepNext w:val="0"/>
              <w:keepLines w:val="0"/>
              <w:widowControl/>
              <w:suppressLineNumbers w:val="0"/>
              <w:spacing w:before="0" w:beforeAutospacing="0" w:after="0" w:afterAutospacing="0"/>
              <w:ind w:left="0" w:right="0"/>
              <w:jc w:val="left"/>
            </w:pP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宋体" w:hAnsi="宋体" w:eastAsia="宋体" w:cs="宋体"/>
                <w:color w:val="000000"/>
                <w:kern w:val="0"/>
                <w:sz w:val="24"/>
                <w:szCs w:val="24"/>
                <w:lang w:val="en-US" w:eastAsia="zh-CN" w:bidi="ar"/>
              </w:rPr>
              <w:t>）车辆进出时限制车速、严禁鸣笛；</w:t>
            </w:r>
          </w:p>
          <w:p>
            <w:pPr>
              <w:keepNext w:val="0"/>
              <w:keepLines w:val="0"/>
              <w:widowControl/>
              <w:suppressLineNumbers w:val="0"/>
              <w:spacing w:before="0" w:beforeAutospacing="0" w:after="0" w:afterAutospacing="0"/>
              <w:ind w:left="0" w:right="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宋体" w:hAnsi="宋体" w:eastAsia="宋体" w:cs="宋体"/>
                <w:color w:val="000000"/>
                <w:kern w:val="0"/>
                <w:sz w:val="24"/>
                <w:szCs w:val="24"/>
                <w:lang w:val="en-US" w:eastAsia="zh-CN" w:bidi="ar"/>
              </w:rPr>
              <w:t>）定期对车辆维修与保养，使其始终处于最佳运行状态；</w:t>
            </w:r>
          </w:p>
          <w:p>
            <w:pPr>
              <w:keepNext w:val="0"/>
              <w:keepLines w:val="0"/>
              <w:widowControl/>
              <w:suppressLineNumbers w:val="0"/>
              <w:spacing w:before="0" w:beforeAutospacing="0" w:after="0" w:afterAutospacing="0"/>
              <w:ind w:left="0" w:right="0"/>
              <w:jc w:val="left"/>
              <w:rPr>
                <w:rFonts w:hint="eastAsia" w:cs="Times New Roman"/>
                <w:color w:val="auto"/>
                <w:lang w:val="en-US" w:eastAsia="zh-CN"/>
              </w:rPr>
            </w:pPr>
            <w:r>
              <w:rPr>
                <w:rFonts w:hint="eastAsia"/>
                <w:lang w:val="en-US" w:eastAsia="zh-CN"/>
              </w:rPr>
              <w:t>采取上述措施，并经距离衰减后，项目四侧贡献值可满足《工业企业厂界环境噪声排放标准》（</w:t>
            </w:r>
            <w:r>
              <w:rPr>
                <w:rFonts w:hint="default"/>
                <w:lang w:val="en-US" w:eastAsia="zh-CN"/>
              </w:rPr>
              <w:t>GB12348-2008</w:t>
            </w:r>
            <w:r>
              <w:rPr>
                <w:rFonts w:hint="eastAsia"/>
                <w:lang w:val="en-US" w:eastAsia="zh-CN"/>
              </w:rPr>
              <w:t>）1类标准；</w:t>
            </w:r>
            <w:r>
              <w:rPr>
                <w:rFonts w:hint="eastAsia"/>
                <w:color w:val="auto"/>
                <w:lang w:val="en-US" w:eastAsia="zh-CN"/>
              </w:rPr>
              <w:t>北侧喜上园小区和西侧金莲花酒店能</w:t>
            </w:r>
            <w:r>
              <w:rPr>
                <w:rFonts w:hint="default" w:ascii="Times New Roman" w:hAnsi="Times New Roman" w:eastAsia="宋体" w:cs="Times New Roman"/>
                <w:color w:val="auto"/>
                <w:lang w:val="en-US" w:eastAsia="zh-CN"/>
              </w:rPr>
              <w:t>满足《声环境质量标准》（GB3096-2008）中</w:t>
            </w:r>
            <w:r>
              <w:rPr>
                <w:rFonts w:hint="eastAsia" w:ascii="Times New Roman" w:hAnsi="Times New Roman" w:eastAsia="宋体" w:cs="Times New Roman"/>
                <w:color w:val="auto"/>
                <w:lang w:val="en-US" w:eastAsia="zh-CN"/>
              </w:rPr>
              <w:t>1</w:t>
            </w:r>
            <w:r>
              <w:rPr>
                <w:rFonts w:hint="default" w:ascii="Times New Roman" w:hAnsi="Times New Roman" w:eastAsia="宋体" w:cs="Times New Roman"/>
                <w:color w:val="auto"/>
                <w:lang w:val="en-US" w:eastAsia="zh-CN"/>
              </w:rPr>
              <w:t>类标准</w:t>
            </w:r>
            <w:r>
              <w:rPr>
                <w:rFonts w:hint="eastAsia" w:cs="Times New Roman"/>
                <w:color w:val="auto"/>
                <w:lang w:val="en-US" w:eastAsia="zh-CN"/>
              </w:rPr>
              <w:t>。</w:t>
            </w:r>
          </w:p>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ind w:left="0" w:right="0"/>
              <w:jc w:val="both"/>
              <w:textAlignment w:val="auto"/>
              <w:rPr>
                <w:rFonts w:hint="eastAsia" w:ascii="Times New Roman" w:hAnsi="Times New Roman" w:cs="Times New Roman"/>
                <w:color w:val="000000"/>
                <w:kern w:val="0"/>
                <w:sz w:val="24"/>
                <w:szCs w:val="24"/>
                <w:lang w:val="en-US" w:eastAsia="zh-CN" w:bidi="ar"/>
              </w:rPr>
            </w:pPr>
            <w:r>
              <w:rPr>
                <w:rFonts w:hint="eastAsia" w:ascii="Times New Roman" w:hAnsi="Times New Roman" w:cs="Times New Roman"/>
                <w:color w:val="000000"/>
                <w:kern w:val="0"/>
                <w:sz w:val="24"/>
                <w:szCs w:val="24"/>
                <w:lang w:val="en-US" w:eastAsia="zh-CN" w:bidi="ar"/>
              </w:rPr>
              <w:t>（2）监测要求</w:t>
            </w:r>
          </w:p>
          <w:p>
            <w:pPr>
              <w:keepNext w:val="0"/>
              <w:keepLines w:val="0"/>
              <w:widowControl/>
              <w:suppressLineNumbers w:val="0"/>
              <w:spacing w:before="0" w:beforeAutospacing="0" w:after="0" w:afterAutospacing="0"/>
              <w:ind w:left="0" w:right="0"/>
              <w:jc w:val="left"/>
            </w:pPr>
            <w:r>
              <w:rPr>
                <w:rFonts w:hint="eastAsia" w:ascii="宋体" w:hAnsi="宋体" w:eastAsia="宋体" w:cs="宋体"/>
                <w:color w:val="000000"/>
                <w:kern w:val="0"/>
                <w:sz w:val="24"/>
                <w:szCs w:val="24"/>
                <w:lang w:val="en-US" w:eastAsia="zh-CN" w:bidi="ar"/>
              </w:rPr>
              <w:t>根据《排污许可申请与核发技术规范 总则》（</w:t>
            </w:r>
            <w:r>
              <w:rPr>
                <w:rFonts w:hint="default" w:ascii="Times New Roman" w:hAnsi="Times New Roman" w:eastAsia="宋体" w:cs="Times New Roman"/>
                <w:color w:val="000000"/>
                <w:kern w:val="0"/>
                <w:sz w:val="24"/>
                <w:szCs w:val="24"/>
                <w:lang w:val="en-US" w:eastAsia="zh-CN" w:bidi="ar"/>
              </w:rPr>
              <w:t>HJ942-2018</w:t>
            </w:r>
            <w:r>
              <w:rPr>
                <w:rFonts w:hint="eastAsia" w:ascii="宋体" w:hAnsi="宋体" w:eastAsia="宋体" w:cs="宋体"/>
                <w:color w:val="000000"/>
                <w:kern w:val="0"/>
                <w:sz w:val="24"/>
                <w:szCs w:val="24"/>
                <w:lang w:val="en-US" w:eastAsia="zh-CN" w:bidi="ar"/>
              </w:rPr>
              <w:t>）、《排污单位自行监测技术指南 总则》（</w:t>
            </w:r>
            <w:r>
              <w:rPr>
                <w:rFonts w:hint="default" w:ascii="Times New Roman" w:hAnsi="Times New Roman" w:eastAsia="宋体" w:cs="Times New Roman"/>
                <w:color w:val="000000"/>
                <w:kern w:val="0"/>
                <w:sz w:val="24"/>
                <w:szCs w:val="24"/>
                <w:lang w:val="en-US" w:eastAsia="zh-CN" w:bidi="ar"/>
              </w:rPr>
              <w:t>HJ819-2017</w:t>
            </w:r>
            <w:r>
              <w:rPr>
                <w:rFonts w:hint="eastAsia" w:ascii="宋体" w:hAnsi="宋体" w:eastAsia="宋体" w:cs="宋体"/>
                <w:color w:val="000000"/>
                <w:kern w:val="0"/>
                <w:sz w:val="24"/>
                <w:szCs w:val="24"/>
                <w:lang w:val="en-US" w:eastAsia="zh-CN" w:bidi="ar"/>
              </w:rPr>
              <w:t>）排污单位应开展自行监测工作，本项目自行监测计划见下表。</w:t>
            </w:r>
          </w:p>
          <w:p>
            <w:pPr>
              <w:keepNext w:val="0"/>
              <w:keepLines w:val="0"/>
              <w:pageBreakBefore w:val="0"/>
              <w:widowControl w:val="0"/>
              <w:suppressLineNumbers w:val="0"/>
              <w:tabs>
                <w:tab w:val="left" w:pos="851"/>
              </w:tabs>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b/>
                <w:bCs/>
                <w:sz w:val="21"/>
                <w:szCs w:val="21"/>
              </w:rPr>
            </w:pPr>
            <w:r>
              <w:rPr>
                <w:rFonts w:ascii="Times New Roman" w:hAnsi="Times New Roman" w:eastAsia="宋体" w:cs="Times New Roman"/>
                <w:b/>
                <w:bCs/>
                <w:sz w:val="21"/>
                <w:szCs w:val="21"/>
              </w:rPr>
              <w:t>表</w:t>
            </w:r>
            <w:r>
              <w:rPr>
                <w:rFonts w:hint="eastAsia" w:ascii="Times New Roman" w:hAnsi="Times New Roman" w:eastAsia="宋体" w:cs="Times New Roman"/>
                <w:b/>
                <w:bCs/>
                <w:sz w:val="21"/>
                <w:szCs w:val="21"/>
              </w:rPr>
              <w:t>4-</w:t>
            </w:r>
            <w:r>
              <w:rPr>
                <w:rFonts w:hint="eastAsia" w:cs="Times New Roman"/>
                <w:b/>
                <w:bCs/>
                <w:sz w:val="21"/>
                <w:szCs w:val="21"/>
                <w:lang w:val="en-US" w:eastAsia="zh-CN"/>
              </w:rPr>
              <w:t>2</w:t>
            </w:r>
            <w:r>
              <w:rPr>
                <w:rFonts w:ascii="Times New Roman" w:hAnsi="Times New Roman" w:eastAsia="宋体" w:cs="Times New Roman"/>
                <w:b/>
                <w:bCs/>
                <w:sz w:val="21"/>
                <w:szCs w:val="21"/>
              </w:rPr>
              <w:t xml:space="preserve">  </w:t>
            </w:r>
            <w:r>
              <w:rPr>
                <w:rFonts w:hint="eastAsia" w:ascii="Times New Roman" w:hAnsi="Times New Roman" w:eastAsia="宋体" w:cs="Times New Roman"/>
                <w:b/>
                <w:bCs/>
                <w:sz w:val="21"/>
                <w:szCs w:val="21"/>
              </w:rPr>
              <w:t>本项目建成后噪声</w:t>
            </w:r>
            <w:r>
              <w:rPr>
                <w:rFonts w:ascii="Times New Roman" w:hAnsi="Times New Roman" w:eastAsia="宋体" w:cs="Times New Roman"/>
                <w:b/>
                <w:bCs/>
                <w:sz w:val="21"/>
                <w:szCs w:val="21"/>
              </w:rPr>
              <w:t>监测方案</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4"/>
              <w:gridCol w:w="1715"/>
              <w:gridCol w:w="1489"/>
              <w:gridCol w:w="1334"/>
              <w:gridCol w:w="25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3"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类别</w:t>
                  </w:r>
                </w:p>
              </w:tc>
              <w:tc>
                <w:tcPr>
                  <w:tcW w:w="102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监测点位</w:t>
                  </w:r>
                </w:p>
              </w:tc>
              <w:tc>
                <w:tcPr>
                  <w:tcW w:w="892"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监测项目</w:t>
                  </w:r>
                </w:p>
              </w:tc>
              <w:tc>
                <w:tcPr>
                  <w:tcW w:w="799"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监测频次</w:t>
                  </w:r>
                </w:p>
              </w:tc>
              <w:tc>
                <w:tcPr>
                  <w:tcW w:w="154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3"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噪声</w:t>
                  </w:r>
                </w:p>
              </w:tc>
              <w:tc>
                <w:tcPr>
                  <w:tcW w:w="102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eastAsia="zh-CN"/>
                    </w:rPr>
                    <w:t>四侧</w:t>
                  </w:r>
                  <w:r>
                    <w:rPr>
                      <w:rFonts w:hint="default" w:ascii="Times New Roman" w:hAnsi="Times New Roman" w:cs="Times New Roman"/>
                      <w:sz w:val="21"/>
                      <w:szCs w:val="21"/>
                    </w:rPr>
                    <w:t>厂界外1m</w:t>
                  </w:r>
                </w:p>
              </w:tc>
              <w:tc>
                <w:tcPr>
                  <w:tcW w:w="892"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等效连续A声级</w:t>
                  </w:r>
                </w:p>
              </w:tc>
              <w:tc>
                <w:tcPr>
                  <w:tcW w:w="799"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1次/季度</w:t>
                  </w:r>
                </w:p>
              </w:tc>
              <w:tc>
                <w:tcPr>
                  <w:tcW w:w="154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《工业企业厂界环境噪声排放标准》（GB12348-2008）中的</w:t>
                  </w:r>
                  <w:r>
                    <w:rPr>
                      <w:rFonts w:hint="eastAsia" w:ascii="Times New Roman" w:hAnsi="Times New Roman" w:cs="Times New Roman"/>
                      <w:sz w:val="21"/>
                      <w:szCs w:val="21"/>
                      <w:lang w:val="en-US" w:eastAsia="zh-CN"/>
                    </w:rPr>
                    <w:t>1</w:t>
                  </w:r>
                  <w:r>
                    <w:rPr>
                      <w:rFonts w:hint="default" w:ascii="Times New Roman" w:hAnsi="Times New Roman" w:cs="Times New Roman"/>
                      <w:sz w:val="21"/>
                      <w:szCs w:val="21"/>
                    </w:rPr>
                    <w:t>类标准要求</w:t>
                  </w:r>
                </w:p>
              </w:tc>
            </w:tr>
          </w:tbl>
          <w:p>
            <w:pPr>
              <w:pStyle w:val="5"/>
              <w:suppressLineNumbers w:val="0"/>
              <w:bidi w:val="0"/>
              <w:spacing w:before="0" w:beforeAutospacing="0" w:after="0" w:afterAutospacing="0"/>
              <w:ind w:left="0" w:right="0"/>
              <w:rPr>
                <w:rFonts w:hint="eastAsia" w:eastAsia="宋体" w:cs="Times New Roman"/>
                <w:highlight w:val="none"/>
                <w:lang w:eastAsia="zh-CN"/>
              </w:rPr>
            </w:pPr>
            <w:r>
              <w:rPr>
                <w:rFonts w:hint="eastAsia" w:cs="Times New Roman"/>
                <w:highlight w:val="none"/>
                <w:lang w:val="en-US" w:eastAsia="zh-CN"/>
              </w:rPr>
              <w:t>4</w:t>
            </w:r>
            <w:r>
              <w:rPr>
                <w:rFonts w:cs="Times New Roman"/>
                <w:highlight w:val="none"/>
              </w:rPr>
              <w:t>、运营期</w:t>
            </w:r>
            <w:r>
              <w:rPr>
                <w:rFonts w:hint="eastAsia" w:cs="Times New Roman"/>
                <w:highlight w:val="none"/>
                <w:lang w:eastAsia="zh-CN"/>
              </w:rPr>
              <w:t>固废境影响分析</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（1）危险废物暂存情况</w:t>
            </w:r>
          </w:p>
          <w:p>
            <w:pPr>
              <w:keepNext w:val="0"/>
              <w:keepLines w:val="0"/>
              <w:widowControl/>
              <w:suppressLineNumbers w:val="0"/>
              <w:spacing w:before="0" w:beforeAutospacing="0" w:after="0" w:afterAutospacing="0"/>
              <w:ind w:left="0" w:right="0"/>
              <w:jc w:val="left"/>
            </w:pPr>
            <w:r>
              <w:rPr>
                <w:rFonts w:hint="eastAsia" w:ascii="宋体" w:hAnsi="宋体" w:eastAsia="宋体" w:cs="宋体"/>
                <w:color w:val="000000"/>
                <w:kern w:val="0"/>
                <w:sz w:val="24"/>
                <w:szCs w:val="24"/>
                <w:lang w:val="en-US" w:eastAsia="zh-CN" w:bidi="ar"/>
              </w:rPr>
              <w:t>本项目为</w:t>
            </w:r>
            <w:r>
              <w:rPr>
                <w:rFonts w:hint="eastAsia" w:ascii="宋体" w:hAnsi="宋体" w:cs="宋体"/>
                <w:color w:val="000000"/>
                <w:kern w:val="0"/>
                <w:sz w:val="24"/>
                <w:szCs w:val="24"/>
                <w:lang w:val="en-US" w:eastAsia="zh-CN" w:bidi="ar"/>
              </w:rPr>
              <w:t>医疗废物暂存间</w:t>
            </w:r>
            <w:r>
              <w:rPr>
                <w:rFonts w:hint="eastAsia" w:ascii="宋体" w:hAnsi="宋体" w:eastAsia="宋体" w:cs="宋体"/>
                <w:color w:val="000000"/>
                <w:kern w:val="0"/>
                <w:sz w:val="24"/>
                <w:szCs w:val="24"/>
                <w:lang w:val="en-US" w:eastAsia="zh-CN" w:bidi="ar"/>
              </w:rPr>
              <w:t>建设项目，本项目本身不产生危险废物。暂存的危险废物情况详见下表。</w:t>
            </w:r>
          </w:p>
          <w:p>
            <w:pPr>
              <w:keepNext w:val="0"/>
              <w:keepLines w:val="0"/>
              <w:pageBreakBefore w:val="0"/>
              <w:widowControl w:val="0"/>
              <w:suppressLineNumbers w:val="0"/>
              <w:tabs>
                <w:tab w:val="left" w:pos="851"/>
              </w:tabs>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b/>
                <w:bCs/>
                <w:sz w:val="21"/>
                <w:szCs w:val="21"/>
              </w:rPr>
            </w:pPr>
            <w:r>
              <w:rPr>
                <w:b/>
                <w:bCs/>
                <w:sz w:val="21"/>
                <w:szCs w:val="21"/>
              </w:rPr>
              <w:t>表</w:t>
            </w:r>
            <w:r>
              <w:rPr>
                <w:rFonts w:hint="eastAsia"/>
                <w:b/>
                <w:bCs/>
                <w:sz w:val="21"/>
                <w:szCs w:val="21"/>
                <w:lang w:val="en-US" w:eastAsia="zh-CN"/>
              </w:rPr>
              <w:t>4-2</w:t>
            </w:r>
            <w:r>
              <w:rPr>
                <w:b/>
                <w:bCs/>
                <w:sz w:val="21"/>
                <w:szCs w:val="21"/>
              </w:rPr>
              <w:t xml:space="preserve">  </w:t>
            </w:r>
            <w:r>
              <w:rPr>
                <w:rFonts w:hint="eastAsia"/>
                <w:b/>
                <w:bCs/>
                <w:sz w:val="21"/>
                <w:szCs w:val="21"/>
              </w:rPr>
              <w:t>本项目</w:t>
            </w:r>
            <w:r>
              <w:rPr>
                <w:b/>
                <w:bCs/>
                <w:sz w:val="21"/>
                <w:szCs w:val="21"/>
              </w:rPr>
              <w:t>危险废物</w:t>
            </w:r>
            <w:r>
              <w:rPr>
                <w:rFonts w:hint="eastAsia"/>
                <w:b/>
                <w:bCs/>
                <w:sz w:val="21"/>
                <w:szCs w:val="21"/>
                <w:lang w:eastAsia="zh-CN"/>
              </w:rPr>
              <w:t>类型</w:t>
            </w:r>
            <w:r>
              <w:rPr>
                <w:b/>
                <w:bCs/>
                <w:sz w:val="21"/>
                <w:szCs w:val="21"/>
              </w:rPr>
              <w:t>情况一览表</w:t>
            </w:r>
          </w:p>
          <w:tbl>
            <w:tblPr>
              <w:tblStyle w:val="34"/>
              <w:tblW w:w="49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
              <w:gridCol w:w="637"/>
              <w:gridCol w:w="776"/>
              <w:gridCol w:w="874"/>
              <w:gridCol w:w="720"/>
              <w:gridCol w:w="690"/>
              <w:gridCol w:w="510"/>
              <w:gridCol w:w="1320"/>
              <w:gridCol w:w="645"/>
              <w:gridCol w:w="495"/>
              <w:gridCol w:w="742"/>
              <w:gridCol w:w="4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57"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序号</w:t>
                  </w:r>
                </w:p>
              </w:tc>
              <w:tc>
                <w:tcPr>
                  <w:tcW w:w="385"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危险废物名称</w:t>
                  </w:r>
                </w:p>
              </w:tc>
              <w:tc>
                <w:tcPr>
                  <w:tcW w:w="469"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危险废物类别</w:t>
                  </w:r>
                </w:p>
              </w:tc>
              <w:tc>
                <w:tcPr>
                  <w:tcW w:w="529"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危险废物代码</w:t>
                  </w:r>
                </w:p>
              </w:tc>
              <w:tc>
                <w:tcPr>
                  <w:tcW w:w="435"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产生量（t/a）</w:t>
                  </w:r>
                </w:p>
              </w:tc>
              <w:tc>
                <w:tcPr>
                  <w:tcW w:w="417"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产生工序</w:t>
                  </w:r>
                </w:p>
              </w:tc>
              <w:tc>
                <w:tcPr>
                  <w:tcW w:w="308"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形态</w:t>
                  </w:r>
                </w:p>
              </w:tc>
              <w:tc>
                <w:tcPr>
                  <w:tcW w:w="799"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主要成分</w:t>
                  </w:r>
                </w:p>
              </w:tc>
              <w:tc>
                <w:tcPr>
                  <w:tcW w:w="390"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有害成分</w:t>
                  </w:r>
                </w:p>
              </w:tc>
              <w:tc>
                <w:tcPr>
                  <w:tcW w:w="299"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产废周期</w:t>
                  </w:r>
                </w:p>
              </w:tc>
              <w:tc>
                <w:tcPr>
                  <w:tcW w:w="449"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危险</w:t>
                  </w:r>
                </w:p>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特性</w:t>
                  </w:r>
                </w:p>
              </w:tc>
              <w:tc>
                <w:tcPr>
                  <w:tcW w:w="257" w:type="pc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57" w:type="pct"/>
                  <w:vMerge w:val="restart"/>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85" w:type="pct"/>
                  <w:vMerge w:val="restart"/>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医疗废物</w:t>
                  </w:r>
                </w:p>
              </w:tc>
              <w:tc>
                <w:tcPr>
                  <w:tcW w:w="469" w:type="pct"/>
                  <w:vMerge w:val="restart"/>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HW</w:t>
                  </w:r>
                  <w:r>
                    <w:rPr>
                      <w:rFonts w:hint="eastAsia" w:ascii="Times New Roman" w:hAnsi="Times New Roman" w:cs="Times New Roman"/>
                      <w:sz w:val="21"/>
                      <w:szCs w:val="21"/>
                      <w:lang w:val="en-US" w:eastAsia="zh-CN"/>
                    </w:rPr>
                    <w:t>01</w:t>
                  </w:r>
                </w:p>
              </w:tc>
              <w:tc>
                <w:tcPr>
                  <w:tcW w:w="529" w:type="pct"/>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sz w:val="21"/>
                      <w:szCs w:val="21"/>
                    </w:rPr>
                  </w:pPr>
                  <w:r>
                    <w:rPr>
                      <w:rFonts w:hint="eastAsia" w:ascii="Times New Roman" w:hAnsi="Times New Roman" w:eastAsia="宋体" w:cs="Times New Roman"/>
                      <w:sz w:val="21"/>
                      <w:szCs w:val="21"/>
                      <w:lang w:val="en-US" w:eastAsia="zh-CN"/>
                    </w:rPr>
                    <w:t>841-001-01</w:t>
                  </w:r>
                </w:p>
              </w:tc>
              <w:tc>
                <w:tcPr>
                  <w:tcW w:w="435" w:type="pct"/>
                  <w:vMerge w:val="restart"/>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2.0</w:t>
                  </w:r>
                </w:p>
              </w:tc>
              <w:tc>
                <w:tcPr>
                  <w:tcW w:w="417" w:type="pct"/>
                  <w:vMerge w:val="restart"/>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检疫工作过程</w:t>
                  </w:r>
                </w:p>
              </w:tc>
              <w:tc>
                <w:tcPr>
                  <w:tcW w:w="308" w:type="pct"/>
                  <w:vMerge w:val="restart"/>
                  <w:vAlign w:val="center"/>
                </w:tcPr>
                <w:p>
                  <w:pPr>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default" w:ascii="Times New Roman" w:hAnsi="Times New Roman" w:cs="Times New Roman"/>
                      <w:sz w:val="21"/>
                      <w:szCs w:val="21"/>
                    </w:rPr>
                    <w:t>固态</w:t>
                  </w:r>
                  <w:r>
                    <w:rPr>
                      <w:rFonts w:hint="eastAsia" w:ascii="Times New Roman" w:hAnsi="Times New Roman" w:cs="Times New Roman"/>
                      <w:sz w:val="21"/>
                      <w:szCs w:val="21"/>
                      <w:lang w:eastAsia="zh-CN"/>
                    </w:rPr>
                    <w:t>、液态</w:t>
                  </w:r>
                </w:p>
              </w:tc>
              <w:tc>
                <w:tcPr>
                  <w:tcW w:w="799" w:type="pct"/>
                  <w:vMerge w:val="restart"/>
                  <w:vAlign w:val="center"/>
                </w:tcPr>
                <w:p>
                  <w:pPr>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废弃</w:t>
                  </w:r>
                  <w:r>
                    <w:rPr>
                      <w:rFonts w:hint="eastAsia" w:cs="Times New Roman"/>
                      <w:sz w:val="21"/>
                      <w:szCs w:val="21"/>
                      <w:lang w:eastAsia="zh-CN"/>
                    </w:rPr>
                    <w:t>、</w:t>
                  </w:r>
                  <w:r>
                    <w:rPr>
                      <w:rFonts w:hint="default" w:ascii="Times New Roman" w:hAnsi="Times New Roman" w:cs="Times New Roman"/>
                      <w:sz w:val="21"/>
                      <w:szCs w:val="21"/>
                    </w:rPr>
                    <w:t>动物组织</w:t>
                  </w:r>
                  <w:r>
                    <w:rPr>
                      <w:rFonts w:hint="eastAsia" w:cs="Times New Roman"/>
                      <w:sz w:val="21"/>
                      <w:szCs w:val="21"/>
                      <w:lang w:eastAsia="zh-CN"/>
                    </w:rPr>
                    <w:t>血液</w:t>
                  </w:r>
                  <w:r>
                    <w:rPr>
                      <w:rFonts w:hint="default" w:ascii="Times New Roman" w:hAnsi="Times New Roman" w:cs="Times New Roman"/>
                      <w:sz w:val="21"/>
                      <w:szCs w:val="21"/>
                    </w:rPr>
                    <w:t>、携病动物排泄物、废弃的一次性注射器、</w:t>
                  </w:r>
                  <w:r>
                    <w:rPr>
                      <w:rFonts w:hint="eastAsia" w:cs="Times New Roman"/>
                      <w:sz w:val="21"/>
                      <w:szCs w:val="21"/>
                      <w:lang w:eastAsia="zh-CN"/>
                    </w:rPr>
                    <w:t>采血管</w:t>
                  </w:r>
                  <w:r>
                    <w:rPr>
                      <w:rFonts w:hint="default" w:ascii="Times New Roman" w:hAnsi="Times New Roman" w:cs="Times New Roman"/>
                      <w:sz w:val="21"/>
                      <w:szCs w:val="21"/>
                    </w:rPr>
                    <w:t>、</w:t>
                  </w:r>
                  <w:r>
                    <w:rPr>
                      <w:rFonts w:hint="eastAsia" w:cs="Times New Roman"/>
                      <w:color w:val="FF0000"/>
                      <w:sz w:val="21"/>
                      <w:szCs w:val="21"/>
                      <w:lang w:eastAsia="zh-CN"/>
                    </w:rPr>
                    <w:t>过期药品、</w:t>
                  </w:r>
                  <w:r>
                    <w:rPr>
                      <w:rFonts w:hint="eastAsia" w:cs="Times New Roman"/>
                      <w:sz w:val="21"/>
                      <w:szCs w:val="21"/>
                      <w:lang w:eastAsia="zh-CN"/>
                    </w:rPr>
                    <w:t>防疫生物制剂</w:t>
                  </w:r>
                  <w:r>
                    <w:rPr>
                      <w:rFonts w:hint="default" w:ascii="Times New Roman" w:hAnsi="Times New Roman" w:cs="Times New Roman"/>
                      <w:sz w:val="21"/>
                      <w:szCs w:val="21"/>
                    </w:rPr>
                    <w:t>和容器等</w:t>
                  </w:r>
                </w:p>
              </w:tc>
              <w:tc>
                <w:tcPr>
                  <w:tcW w:w="390" w:type="pct"/>
                  <w:vMerge w:val="restart"/>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废弃血液、注射器等</w:t>
                  </w:r>
                </w:p>
              </w:tc>
              <w:tc>
                <w:tcPr>
                  <w:tcW w:w="299" w:type="pct"/>
                  <w:vMerge w:val="restart"/>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不定期</w:t>
                  </w:r>
                </w:p>
              </w:tc>
              <w:tc>
                <w:tcPr>
                  <w:tcW w:w="449" w:type="pct"/>
                  <w:vMerge w:val="restart"/>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T/C/I/R</w:t>
                  </w:r>
                  <w:r>
                    <w:rPr>
                      <w:rFonts w:hint="eastAsia" w:ascii="Times New Roman" w:hAnsi="Times New Roman" w:cs="Times New Roman"/>
                      <w:sz w:val="21"/>
                      <w:szCs w:val="21"/>
                      <w:lang w:val="en-US" w:eastAsia="zh-CN"/>
                    </w:rPr>
                    <w:t>/In</w:t>
                  </w:r>
                </w:p>
              </w:tc>
              <w:tc>
                <w:tcPr>
                  <w:tcW w:w="257" w:type="pct"/>
                  <w:vMerge w:val="restart"/>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57" w:type="pct"/>
                  <w:vMerge w:val="continue"/>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85"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6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529" w:type="pct"/>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sz w:val="21"/>
                      <w:szCs w:val="21"/>
                    </w:rPr>
                  </w:pPr>
                  <w:r>
                    <w:rPr>
                      <w:rFonts w:hint="eastAsia" w:ascii="Times New Roman" w:hAnsi="Times New Roman" w:eastAsia="宋体" w:cs="Times New Roman"/>
                      <w:sz w:val="21"/>
                      <w:szCs w:val="21"/>
                      <w:lang w:val="en-US" w:eastAsia="zh-CN"/>
                    </w:rPr>
                    <w:t>841-002-01</w:t>
                  </w:r>
                </w:p>
              </w:tc>
              <w:tc>
                <w:tcPr>
                  <w:tcW w:w="435"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17"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08" w:type="pct"/>
                  <w:vMerge w:val="continue"/>
                  <w:vAlign w:val="center"/>
                </w:tcPr>
                <w:p>
                  <w:pPr>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79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90"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29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4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257"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257" w:type="pct"/>
                  <w:vMerge w:val="continue"/>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85"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6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529" w:type="pct"/>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sz w:val="21"/>
                      <w:szCs w:val="21"/>
                    </w:rPr>
                  </w:pPr>
                  <w:r>
                    <w:rPr>
                      <w:rFonts w:hint="eastAsia" w:ascii="Times New Roman" w:hAnsi="Times New Roman" w:eastAsia="宋体" w:cs="Times New Roman"/>
                      <w:sz w:val="21"/>
                      <w:szCs w:val="21"/>
                      <w:lang w:val="en-US" w:eastAsia="zh-CN"/>
                    </w:rPr>
                    <w:t>841-003-01</w:t>
                  </w:r>
                </w:p>
              </w:tc>
              <w:tc>
                <w:tcPr>
                  <w:tcW w:w="435"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17"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08" w:type="pct"/>
                  <w:vMerge w:val="continue"/>
                  <w:vAlign w:val="center"/>
                </w:tcPr>
                <w:p>
                  <w:pPr>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79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90"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29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4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257"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57" w:type="pct"/>
                  <w:vMerge w:val="continue"/>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85"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6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529" w:type="pct"/>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sz w:val="21"/>
                      <w:szCs w:val="21"/>
                    </w:rPr>
                  </w:pPr>
                  <w:r>
                    <w:rPr>
                      <w:rFonts w:hint="eastAsia" w:ascii="Times New Roman" w:hAnsi="Times New Roman" w:eastAsia="宋体" w:cs="Times New Roman"/>
                      <w:sz w:val="21"/>
                      <w:szCs w:val="21"/>
                      <w:lang w:val="en-US" w:eastAsia="zh-CN"/>
                    </w:rPr>
                    <w:t>841-004-01</w:t>
                  </w:r>
                </w:p>
              </w:tc>
              <w:tc>
                <w:tcPr>
                  <w:tcW w:w="435"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17"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08" w:type="pct"/>
                  <w:vMerge w:val="continue"/>
                  <w:vAlign w:val="center"/>
                </w:tcPr>
                <w:p>
                  <w:pPr>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79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90"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29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4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257"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3" w:hRule="atLeast"/>
                <w:jc w:val="center"/>
              </w:trPr>
              <w:tc>
                <w:tcPr>
                  <w:tcW w:w="257" w:type="pct"/>
                  <w:vMerge w:val="continue"/>
                  <w:vAlign w:val="center"/>
                </w:tcPr>
                <w:p>
                  <w:pPr>
                    <w:keepNext w:val="0"/>
                    <w:keepLines w:val="0"/>
                    <w:pageBreakBefore w:val="0"/>
                    <w:widowControl w:val="0"/>
                    <w:suppressLineNumbers w:val="0"/>
                    <w:kinsoku/>
                    <w:wordWrap/>
                    <w:overflowPunct/>
                    <w:topLine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85"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6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529" w:type="pct"/>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sz w:val="21"/>
                      <w:szCs w:val="21"/>
                    </w:rPr>
                  </w:pPr>
                  <w:r>
                    <w:rPr>
                      <w:rFonts w:hint="eastAsia" w:ascii="Times New Roman" w:hAnsi="Times New Roman" w:eastAsia="宋体" w:cs="Times New Roman"/>
                      <w:sz w:val="21"/>
                      <w:szCs w:val="21"/>
                      <w:lang w:val="en-US" w:eastAsia="zh-CN"/>
                    </w:rPr>
                    <w:t>841-005-01</w:t>
                  </w:r>
                </w:p>
              </w:tc>
              <w:tc>
                <w:tcPr>
                  <w:tcW w:w="435"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17"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08" w:type="pct"/>
                  <w:vMerge w:val="continue"/>
                  <w:vAlign w:val="center"/>
                </w:tcPr>
                <w:p>
                  <w:pPr>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79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390"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29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49"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257" w:type="pct"/>
                  <w:vMerge w:val="continue"/>
                  <w:vAlign w:val="center"/>
                </w:tcPr>
                <w:p>
                  <w:pPr>
                    <w:pStyle w:val="233"/>
                    <w:keepNext w:val="0"/>
                    <w:keepLines w:val="0"/>
                    <w:pageBreakBefore w:val="0"/>
                    <w:widowControl w:val="0"/>
                    <w:suppressLineNumbers w:val="0"/>
                    <w:kinsoku/>
                    <w:wordWrap/>
                    <w:overflowPunct/>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r>
          </w:tbl>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（2）危险废物防治措施</w:t>
            </w:r>
          </w:p>
          <w:p>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eastAsia" w:ascii="Times New Roman" w:hAnsi="Times New Roman" w:eastAsia="宋体"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医疗废物</w:t>
            </w:r>
          </w:p>
          <w:p>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根据《国家危险废物名录》（2025年版）、《医疗废物分类目录》（2021年版）相关规定，项目产生的医疗废物属于危险废物，必须按照《医疗废物专用包装袋、容器和警示标志标准》（HJ421-2008）、</w:t>
            </w:r>
            <w:r>
              <w:rPr>
                <w:rFonts w:hint="eastAsia" w:cs="Times New Roman"/>
              </w:rPr>
              <w:t>《医疗废物管理条例》（中华人民共和国国务院令第380号）</w:t>
            </w:r>
            <w:r>
              <w:rPr>
                <w:rFonts w:hint="default" w:ascii="Times New Roman" w:hAnsi="Times New Roman" w:eastAsia="宋体" w:cs="Times New Roman"/>
                <w:color w:val="auto"/>
                <w:kern w:val="0"/>
                <w:sz w:val="24"/>
                <w:szCs w:val="24"/>
                <w:lang w:val="en-US" w:eastAsia="zh-CN" w:bidi="ar"/>
              </w:rPr>
              <w:t>、</w:t>
            </w:r>
            <w:r>
              <w:rPr>
                <w:rFonts w:hint="eastAsia" w:cs="Times New Roman"/>
              </w:rPr>
              <w:t>《医疗废物</w:t>
            </w:r>
            <w:r>
              <w:rPr>
                <w:rFonts w:hint="eastAsia" w:cs="Times New Roman"/>
                <w:lang w:eastAsia="zh-CN"/>
              </w:rPr>
              <w:t>集中处置技术规范（试行）</w:t>
            </w:r>
            <w:r>
              <w:rPr>
                <w:rFonts w:hint="eastAsia" w:cs="Times New Roman"/>
              </w:rPr>
              <w:t>》</w:t>
            </w:r>
            <w:r>
              <w:rPr>
                <w:rFonts w:hint="eastAsia" w:cs="Times New Roman"/>
                <w:lang w:eastAsia="zh-CN"/>
              </w:rPr>
              <w:t>（环发</w:t>
            </w:r>
            <w:r>
              <w:rPr>
                <w:rFonts w:hint="eastAsia" w:cs="Times New Roman"/>
                <w:lang w:val="en-US" w:eastAsia="zh-CN"/>
              </w:rPr>
              <w:t>[2003]206号</w:t>
            </w:r>
            <w:r>
              <w:rPr>
                <w:rFonts w:hint="eastAsia" w:cs="Times New Roman"/>
                <w:lang w:eastAsia="zh-CN"/>
              </w:rPr>
              <w:t>）</w:t>
            </w:r>
            <w:r>
              <w:rPr>
                <w:rFonts w:hint="eastAsia"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 xml:space="preserve">《危险废物贮存污染控制标准》（GB18597-2023）等相关要求进行管理，送有资质单位处置。 </w:t>
            </w:r>
          </w:p>
          <w:p>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①医疗废物的收集 </w:t>
            </w:r>
          </w:p>
          <w:p>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医疗废物应采用专用容器进行收集，明确各类废弃物标识，分类包装，并本着及时、方便、安全、快捷的原则，进行收集。感染性废物、损伤性废物、药物性废物及化学性废物不能混合收集；放入存放容器包装物内的各类废物不得取出。当盛装的医疗废物达到存储容器的3/4时，应当使用有效的封口方法对包装进行封口密封。医疗废物中的锐利物必须单独存放，并统一按照医学废物处理。收集锐利物的包装容器应使用硬质、防漏、防刺破的材料。 </w:t>
            </w:r>
          </w:p>
          <w:p>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②医疗废物包装</w:t>
            </w:r>
          </w:p>
          <w:p>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本项目医疗废物包装应符合《医疗废物专用包装袋、容器和警示标志标准》（HJ421-2008），除损伤性废物之外的医疗废物采用非聚氯乙烯原料制作，且符合一定防渗和撕裂强度性能要求的软质口袋进行包装。包装袋的颜色为黄色，并有盛装医疗废物类型的文字说明，如盛装感染性废物，应在包装袋上加注“感染性废物”字样。包装袋上印刷医疗废物警示标志。利器盒整体以硬质材料制成，其盛装的针头、碎玻璃等锐器不能刺穿利器盒。已装满的利器盒连续3次从1.5m高处垂直落至水泥地面后不能出现破裂、被刺穿等情况。利器盒整体颜色为黄色，在盒体侧面注明“损伤性物质”，利器盒上应印刷医疗废物警示标志。 </w:t>
            </w:r>
          </w:p>
          <w:p>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③危险废物暂存间</w:t>
            </w:r>
          </w:p>
          <w:p>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项目危险废物暂存间位于厂区西南侧，面积约12m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 xml:space="preserve">，设置明显的警示标识，医疗废物暂时贮存时间不得超过2天。 </w:t>
            </w:r>
          </w:p>
          <w:p>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由各收集点收集的医疗废物采用防渗漏、防遗撒、防锐器穿透的专用包装物或者密闭的容器，按照本单位确定的内部医疗废物运送时间、路线，将医疗废物收集、运送至暂时贮存设施贮存，然后运往有资质单位处理。 </w:t>
            </w:r>
          </w:p>
          <w:p>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④医疗废物交接、转移 </w:t>
            </w:r>
          </w:p>
          <w:p>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危险废物暂存间</w:t>
            </w:r>
            <w:r>
              <w:rPr>
                <w:rFonts w:hint="default" w:ascii="Times New Roman" w:hAnsi="Times New Roman" w:cs="Times New Roman"/>
                <w:color w:val="auto"/>
                <w:kern w:val="0"/>
                <w:sz w:val="24"/>
                <w:szCs w:val="24"/>
                <w:lang w:val="en-US" w:eastAsia="zh-CN" w:bidi="ar"/>
              </w:rPr>
              <w:t>暂存</w:t>
            </w:r>
            <w:r>
              <w:rPr>
                <w:rFonts w:hint="default" w:ascii="Times New Roman" w:hAnsi="Times New Roman" w:eastAsia="宋体" w:cs="Times New Roman"/>
                <w:color w:val="auto"/>
                <w:kern w:val="0"/>
                <w:sz w:val="24"/>
                <w:szCs w:val="24"/>
                <w:lang w:val="en-US" w:eastAsia="zh-CN" w:bidi="ar"/>
              </w:rPr>
              <w:t>的医疗废物定期交有明显医疗废物标识的专用车辆运至有资质的单位处理。医疗废物转移必须按照《危险废物转移管理办法》（生态环境部公安部交通运输部）的规定，执行危险废物转移联单制度。企业应对交接的医疗废物如实计量，严格按照有关规定进行交接登记，并将记录保存备查。转移医疗废物时按《登记表》要求逐项填写相应内容，交付有资质单位处理核实无误后双方签字确认。并依据《登记表》每月汇总医疗废物数量填写《医废联单》，一并交付有资质单位处理。医疗废物转移出口位于企业南侧，远离小区进出口，且转运时间为晚上，可满足人污分流要求。医疗废物处理单位应对医疗废物的来源、种类、数量、交接时间、处置方法等情况进行登记，按要求保存登记资料，定期接受环保、卫生部门检查。</w:t>
            </w:r>
          </w:p>
          <w:p>
            <w:pPr>
              <w:keepNext w:val="0"/>
              <w:keepLines w:val="0"/>
              <w:widowControl/>
              <w:suppressLineNumbers w:val="0"/>
              <w:spacing w:before="0" w:beforeAutospacing="0" w:after="0" w:afterAutospacing="0"/>
              <w:ind w:left="0" w:right="0"/>
              <w:jc w:val="left"/>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各类</w:t>
            </w:r>
            <w:r>
              <w:rPr>
                <w:rFonts w:hint="eastAsia" w:cs="Times New Roman"/>
                <w:color w:val="auto"/>
                <w:kern w:val="0"/>
                <w:sz w:val="24"/>
                <w:szCs w:val="24"/>
                <w:lang w:val="en-US" w:eastAsia="zh-CN" w:bidi="ar"/>
              </w:rPr>
              <w:t>医疗</w:t>
            </w:r>
            <w:r>
              <w:rPr>
                <w:rFonts w:hint="eastAsia" w:ascii="Times New Roman" w:hAnsi="Times New Roman" w:eastAsia="宋体" w:cs="Times New Roman"/>
                <w:color w:val="auto"/>
                <w:kern w:val="0"/>
                <w:sz w:val="24"/>
                <w:szCs w:val="24"/>
                <w:lang w:val="en-US" w:eastAsia="zh-CN" w:bidi="ar"/>
              </w:rPr>
              <w:t>废物在</w:t>
            </w:r>
            <w:r>
              <w:rPr>
                <w:rFonts w:hint="eastAsia" w:cs="Times New Roman"/>
                <w:color w:val="auto"/>
                <w:kern w:val="0"/>
                <w:sz w:val="24"/>
                <w:szCs w:val="24"/>
                <w:lang w:val="en-US" w:eastAsia="zh-CN" w:bidi="ar"/>
              </w:rPr>
              <w:t>医疗废物暂存间</w:t>
            </w:r>
            <w:r>
              <w:rPr>
                <w:rFonts w:hint="eastAsia" w:ascii="Times New Roman" w:hAnsi="Times New Roman" w:eastAsia="宋体" w:cs="Times New Roman"/>
                <w:color w:val="auto"/>
                <w:kern w:val="0"/>
                <w:sz w:val="24"/>
                <w:szCs w:val="24"/>
                <w:lang w:val="en-US" w:eastAsia="zh-CN" w:bidi="ar"/>
              </w:rPr>
              <w:t>贮存情况见下表</w:t>
            </w:r>
            <w:r>
              <w:rPr>
                <w:rFonts w:hint="eastAsia" w:cs="Times New Roman"/>
                <w:color w:val="auto"/>
                <w:kern w:val="0"/>
                <w:sz w:val="24"/>
                <w:szCs w:val="24"/>
                <w:lang w:val="en-US" w:eastAsia="zh-CN" w:bidi="ar"/>
              </w:rPr>
              <w:t>。</w:t>
            </w:r>
          </w:p>
          <w:p>
            <w:pPr>
              <w:keepNext w:val="0"/>
              <w:keepLines w:val="0"/>
              <w:pageBreakBefore w:val="0"/>
              <w:widowControl w:val="0"/>
              <w:suppressLineNumbers w:val="0"/>
              <w:tabs>
                <w:tab w:val="left" w:pos="851"/>
              </w:tabs>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b/>
                <w:bCs/>
                <w:sz w:val="21"/>
                <w:szCs w:val="21"/>
              </w:rPr>
            </w:pPr>
            <w:r>
              <w:rPr>
                <w:rFonts w:hint="eastAsia"/>
                <w:b/>
                <w:bCs/>
                <w:sz w:val="21"/>
                <w:szCs w:val="21"/>
                <w:lang w:val="en-US" w:eastAsia="zh-CN"/>
              </w:rPr>
              <w:t>表4-3  危险废物暂存情况表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108" w:type="dxa"/>
                <w:bottom w:w="0" w:type="dxa"/>
                <w:right w:w="108" w:type="dxa"/>
              </w:tblCellMar>
            </w:tblPr>
            <w:tblGrid>
              <w:gridCol w:w="757"/>
              <w:gridCol w:w="904"/>
              <w:gridCol w:w="780"/>
              <w:gridCol w:w="1245"/>
              <w:gridCol w:w="600"/>
              <w:gridCol w:w="720"/>
              <w:gridCol w:w="1168"/>
              <w:gridCol w:w="762"/>
              <w:gridCol w:w="705"/>
              <w:gridCol w:w="70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453" w:type="pct"/>
                  <w:vAlign w:val="center"/>
                </w:tcPr>
                <w:p>
                  <w:pPr>
                    <w:pStyle w:val="23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贮存场所名称</w:t>
                  </w:r>
                </w:p>
              </w:tc>
              <w:tc>
                <w:tcPr>
                  <w:tcW w:w="541" w:type="pct"/>
                  <w:vAlign w:val="center"/>
                </w:tcPr>
                <w:p>
                  <w:pPr>
                    <w:pStyle w:val="23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危废名称</w:t>
                  </w:r>
                </w:p>
              </w:tc>
              <w:tc>
                <w:tcPr>
                  <w:tcW w:w="467" w:type="pct"/>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危废</w:t>
                  </w:r>
                </w:p>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类别</w:t>
                  </w:r>
                </w:p>
              </w:tc>
              <w:tc>
                <w:tcPr>
                  <w:tcW w:w="745" w:type="pct"/>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危废</w:t>
                  </w:r>
                </w:p>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代码</w:t>
                  </w:r>
                </w:p>
              </w:tc>
              <w:tc>
                <w:tcPr>
                  <w:tcW w:w="359" w:type="pct"/>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位置</w:t>
                  </w:r>
                </w:p>
              </w:tc>
              <w:tc>
                <w:tcPr>
                  <w:tcW w:w="431" w:type="pct"/>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占地</w:t>
                  </w:r>
                </w:p>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面积</w:t>
                  </w:r>
                </w:p>
              </w:tc>
              <w:tc>
                <w:tcPr>
                  <w:tcW w:w="699" w:type="pct"/>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贮存方式</w:t>
                  </w:r>
                </w:p>
              </w:tc>
              <w:tc>
                <w:tcPr>
                  <w:tcW w:w="456" w:type="pct"/>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设计贮存能力（t）</w:t>
                  </w:r>
                </w:p>
              </w:tc>
              <w:tc>
                <w:tcPr>
                  <w:tcW w:w="422" w:type="pct"/>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本项目所需贮存量（t）</w:t>
                  </w:r>
                </w:p>
              </w:tc>
              <w:tc>
                <w:tcPr>
                  <w:tcW w:w="422" w:type="pct"/>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贮存周期</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540" w:hRule="atLeast"/>
                <w:jc w:val="center"/>
              </w:trPr>
              <w:tc>
                <w:tcPr>
                  <w:tcW w:w="453" w:type="pct"/>
                  <w:vMerge w:val="restart"/>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hAnsi="Times New Roman" w:cs="Times New Roman"/>
                      <w:sz w:val="21"/>
                      <w:szCs w:val="21"/>
                      <w:lang w:eastAsia="zh-CN"/>
                    </w:rPr>
                    <w:t>医疗废物暂存间</w:t>
                  </w:r>
                </w:p>
              </w:tc>
              <w:tc>
                <w:tcPr>
                  <w:tcW w:w="541" w:type="pct"/>
                  <w:vAlign w:val="center"/>
                </w:tcPr>
                <w:p>
                  <w:pPr>
                    <w:pStyle w:val="23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感染性废物</w:t>
                  </w:r>
                </w:p>
              </w:tc>
              <w:tc>
                <w:tcPr>
                  <w:tcW w:w="467" w:type="pct"/>
                  <w:vMerge w:val="restart"/>
                  <w:vAlign w:val="center"/>
                </w:tcPr>
                <w:p>
                  <w:pPr>
                    <w:pStyle w:val="23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HW</w:t>
                  </w:r>
                  <w:r>
                    <w:rPr>
                      <w:rFonts w:hint="eastAsia" w:ascii="Times New Roman" w:hAnsi="Times New Roman" w:cs="Times New Roman"/>
                      <w:sz w:val="21"/>
                      <w:szCs w:val="21"/>
                      <w:lang w:val="en-US" w:eastAsia="zh-CN"/>
                    </w:rPr>
                    <w:t>01</w:t>
                  </w:r>
                </w:p>
              </w:tc>
              <w:tc>
                <w:tcPr>
                  <w:tcW w:w="745" w:type="pct"/>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sz w:val="21"/>
                      <w:szCs w:val="21"/>
                    </w:rPr>
                  </w:pPr>
                  <w:r>
                    <w:rPr>
                      <w:rFonts w:hint="eastAsia" w:ascii="Times New Roman" w:hAnsi="Times New Roman" w:eastAsia="宋体" w:cs="Times New Roman"/>
                      <w:sz w:val="21"/>
                      <w:szCs w:val="21"/>
                      <w:lang w:val="en-US" w:eastAsia="zh-CN"/>
                    </w:rPr>
                    <w:t>841-001-01</w:t>
                  </w:r>
                </w:p>
              </w:tc>
              <w:tc>
                <w:tcPr>
                  <w:tcW w:w="359" w:type="pct"/>
                  <w:vMerge w:val="restart"/>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厂区西南侧</w:t>
                  </w:r>
                </w:p>
              </w:tc>
              <w:tc>
                <w:tcPr>
                  <w:tcW w:w="431" w:type="pct"/>
                  <w:vMerge w:val="restart"/>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r>
                    <w:rPr>
                      <w:rFonts w:hint="eastAsia" w:ascii="Times New Roman" w:hAnsi="Times New Roman" w:cs="Times New Roman"/>
                      <w:sz w:val="21"/>
                      <w:szCs w:val="21"/>
                      <w:lang w:val="en-US" w:eastAsia="zh-CN"/>
                    </w:rPr>
                    <w:t>12</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p>
              </w:tc>
              <w:tc>
                <w:tcPr>
                  <w:tcW w:w="699" w:type="pct"/>
                  <w:vMerge w:val="restart"/>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r>
                    <w:rPr>
                      <w:rFonts w:hint="eastAsia" w:ascii="Times New Roman" w:hAnsi="Times New Roman" w:cs="Times New Roman"/>
                      <w:sz w:val="21"/>
                      <w:szCs w:val="21"/>
                      <w:lang w:val="en-US" w:eastAsia="zh-CN"/>
                    </w:rPr>
                    <w:t>采用医疗废物包装袋</w:t>
                  </w:r>
                  <w:r>
                    <w:rPr>
                      <w:rFonts w:hint="eastAsia" w:hAnsi="Times New Roman" w:cs="Times New Roman"/>
                      <w:sz w:val="21"/>
                      <w:szCs w:val="21"/>
                      <w:lang w:val="en-US" w:eastAsia="zh-CN"/>
                    </w:rPr>
                    <w:t>/盒</w:t>
                  </w:r>
                  <w:r>
                    <w:rPr>
                      <w:rFonts w:hint="eastAsia" w:ascii="Times New Roman" w:hAnsi="Times New Roman" w:cs="Times New Roman"/>
                      <w:sz w:val="21"/>
                      <w:szCs w:val="21"/>
                      <w:lang w:val="en-US" w:eastAsia="zh-CN"/>
                    </w:rPr>
                    <w:t>收集后，暂存于专用的医疗废物桶内</w:t>
                  </w:r>
                </w:p>
              </w:tc>
              <w:tc>
                <w:tcPr>
                  <w:tcW w:w="456" w:type="pct"/>
                  <w:vMerge w:val="restart"/>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hAnsi="Times New Roman" w:cs="Times New Roman"/>
                      <w:sz w:val="21"/>
                      <w:szCs w:val="21"/>
                      <w:lang w:val="en-US" w:eastAsia="zh-CN"/>
                    </w:rPr>
                    <w:t>2.0</w:t>
                  </w:r>
                </w:p>
              </w:tc>
              <w:tc>
                <w:tcPr>
                  <w:tcW w:w="422" w:type="pct"/>
                  <w:vMerge w:val="restart"/>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w:t>
                  </w:r>
                  <w:r>
                    <w:rPr>
                      <w:rFonts w:hint="eastAsia" w:hAnsi="Times New Roman" w:cs="Times New Roman"/>
                      <w:sz w:val="21"/>
                      <w:szCs w:val="21"/>
                      <w:lang w:val="en-US" w:eastAsia="zh-CN"/>
                    </w:rPr>
                    <w:t>2</w:t>
                  </w:r>
                </w:p>
              </w:tc>
              <w:tc>
                <w:tcPr>
                  <w:tcW w:w="422" w:type="pct"/>
                  <w:vMerge w:val="restart"/>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2d</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453"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541" w:type="pct"/>
                  <w:vAlign w:val="center"/>
                </w:tcPr>
                <w:p>
                  <w:pPr>
                    <w:pStyle w:val="23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损伤性废物</w:t>
                  </w:r>
                </w:p>
              </w:tc>
              <w:tc>
                <w:tcPr>
                  <w:tcW w:w="467" w:type="pct"/>
                  <w:vMerge w:val="continue"/>
                  <w:vAlign w:val="center"/>
                </w:tcPr>
                <w:p>
                  <w:pPr>
                    <w:pStyle w:val="23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745" w:type="pct"/>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sz w:val="21"/>
                      <w:szCs w:val="21"/>
                    </w:rPr>
                  </w:pPr>
                  <w:r>
                    <w:rPr>
                      <w:rFonts w:hint="eastAsia" w:ascii="Times New Roman" w:hAnsi="Times New Roman" w:eastAsia="宋体" w:cs="Times New Roman"/>
                      <w:sz w:val="21"/>
                      <w:szCs w:val="21"/>
                      <w:lang w:val="en-US" w:eastAsia="zh-CN"/>
                    </w:rPr>
                    <w:t>841-002-01</w:t>
                  </w:r>
                </w:p>
              </w:tc>
              <w:tc>
                <w:tcPr>
                  <w:tcW w:w="359"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31"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699"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56"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22"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22"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787" w:hRule="atLeast"/>
                <w:jc w:val="center"/>
              </w:trPr>
              <w:tc>
                <w:tcPr>
                  <w:tcW w:w="453"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541" w:type="pct"/>
                  <w:vAlign w:val="center"/>
                </w:tcPr>
                <w:p>
                  <w:pPr>
                    <w:pStyle w:val="23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病理性废物</w:t>
                  </w:r>
                </w:p>
              </w:tc>
              <w:tc>
                <w:tcPr>
                  <w:tcW w:w="467" w:type="pct"/>
                  <w:vMerge w:val="continue"/>
                  <w:vAlign w:val="center"/>
                </w:tcPr>
                <w:p>
                  <w:pPr>
                    <w:pStyle w:val="23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745" w:type="pct"/>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sz w:val="21"/>
                      <w:szCs w:val="21"/>
                    </w:rPr>
                  </w:pPr>
                  <w:r>
                    <w:rPr>
                      <w:rFonts w:hint="eastAsia" w:ascii="Times New Roman" w:hAnsi="Times New Roman" w:eastAsia="宋体" w:cs="Times New Roman"/>
                      <w:sz w:val="21"/>
                      <w:szCs w:val="21"/>
                      <w:lang w:val="en-US" w:eastAsia="zh-CN"/>
                    </w:rPr>
                    <w:t>841-003-01</w:t>
                  </w:r>
                </w:p>
              </w:tc>
              <w:tc>
                <w:tcPr>
                  <w:tcW w:w="359"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31"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699"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56"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22"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22"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453"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541" w:type="pct"/>
                  <w:vAlign w:val="center"/>
                </w:tcPr>
                <w:p>
                  <w:pPr>
                    <w:pStyle w:val="23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药物性废物</w:t>
                  </w:r>
                </w:p>
              </w:tc>
              <w:tc>
                <w:tcPr>
                  <w:tcW w:w="467" w:type="pct"/>
                  <w:vMerge w:val="continue"/>
                  <w:vAlign w:val="center"/>
                </w:tcPr>
                <w:p>
                  <w:pPr>
                    <w:pStyle w:val="23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745" w:type="pct"/>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sz w:val="21"/>
                      <w:szCs w:val="21"/>
                    </w:rPr>
                  </w:pPr>
                  <w:r>
                    <w:rPr>
                      <w:rFonts w:hint="eastAsia" w:ascii="Times New Roman" w:hAnsi="Times New Roman" w:eastAsia="宋体" w:cs="Times New Roman"/>
                      <w:sz w:val="21"/>
                      <w:szCs w:val="21"/>
                      <w:lang w:val="en-US" w:eastAsia="zh-CN"/>
                    </w:rPr>
                    <w:t>841-004-01</w:t>
                  </w:r>
                </w:p>
              </w:tc>
              <w:tc>
                <w:tcPr>
                  <w:tcW w:w="359"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31"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699"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56"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22"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22"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453"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541" w:type="pct"/>
                  <w:vAlign w:val="center"/>
                </w:tcPr>
                <w:p>
                  <w:pPr>
                    <w:pStyle w:val="23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化学性废物</w:t>
                  </w:r>
                </w:p>
              </w:tc>
              <w:tc>
                <w:tcPr>
                  <w:tcW w:w="467" w:type="pct"/>
                  <w:vMerge w:val="continue"/>
                  <w:vAlign w:val="center"/>
                </w:tcPr>
                <w:p>
                  <w:pPr>
                    <w:pStyle w:val="23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rPr>
                  </w:pPr>
                </w:p>
              </w:tc>
              <w:tc>
                <w:tcPr>
                  <w:tcW w:w="745" w:type="pct"/>
                  <w:vAlign w:val="center"/>
                </w:tcPr>
                <w:p>
                  <w:pPr>
                    <w:keepNext w:val="0"/>
                    <w:keepLines w:val="0"/>
                    <w:pageBreakBefore w:val="0"/>
                    <w:widowControl w:val="0"/>
                    <w:suppressLineNumbers w:val="0"/>
                    <w:kinsoku/>
                    <w:wordWrap/>
                    <w:overflowPunct w:val="0"/>
                    <w:topLinePunct/>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sz w:val="21"/>
                      <w:szCs w:val="21"/>
                    </w:rPr>
                  </w:pPr>
                  <w:r>
                    <w:rPr>
                      <w:rFonts w:hint="eastAsia" w:ascii="Times New Roman" w:hAnsi="Times New Roman" w:eastAsia="宋体" w:cs="Times New Roman"/>
                      <w:sz w:val="21"/>
                      <w:szCs w:val="21"/>
                      <w:lang w:val="en-US" w:eastAsia="zh-CN"/>
                    </w:rPr>
                    <w:t>841-005-01</w:t>
                  </w:r>
                </w:p>
              </w:tc>
              <w:tc>
                <w:tcPr>
                  <w:tcW w:w="359"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31"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699" w:type="pct"/>
                  <w:vMerge w:val="continue"/>
                  <w:tcBorders>
                    <w:bottom w:val="single" w:color="auto" w:sz="4" w:space="0"/>
                  </w:tcBorders>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56"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22"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c>
                <w:tcPr>
                  <w:tcW w:w="422" w:type="pct"/>
                  <w:vMerge w:val="continue"/>
                  <w:vAlign w:val="center"/>
                </w:tcPr>
                <w:p>
                  <w:pPr>
                    <w:pStyle w:val="23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cs="Times New Roman"/>
                      <w:sz w:val="21"/>
                      <w:szCs w:val="21"/>
                    </w:rPr>
                  </w:pPr>
                </w:p>
              </w:tc>
            </w:tr>
          </w:tbl>
          <w:p>
            <w:pPr>
              <w:keepNext w:val="0"/>
              <w:keepLines w:val="0"/>
              <w:widowControl/>
              <w:suppressLineNumbers w:val="0"/>
              <w:spacing w:before="0" w:beforeAutospacing="0" w:after="0" w:afterAutospacing="0"/>
              <w:ind w:left="0" w:right="0"/>
              <w:jc w:val="left"/>
              <w:rPr>
                <w:color w:val="auto"/>
              </w:rPr>
            </w:pPr>
            <w:r>
              <w:rPr>
                <w:rFonts w:hint="eastAsia" w:ascii="宋体" w:hAnsi="宋体" w:eastAsia="宋体" w:cs="宋体"/>
                <w:color w:val="auto"/>
                <w:kern w:val="0"/>
                <w:sz w:val="24"/>
                <w:szCs w:val="24"/>
                <w:lang w:val="en-US" w:eastAsia="zh-CN" w:bidi="ar"/>
              </w:rPr>
              <w:t>综上所述，本项目</w:t>
            </w:r>
            <w:r>
              <w:rPr>
                <w:rFonts w:hint="eastAsia" w:ascii="宋体" w:hAnsi="宋体" w:cs="宋体"/>
                <w:color w:val="auto"/>
                <w:kern w:val="0"/>
                <w:sz w:val="24"/>
                <w:szCs w:val="24"/>
                <w:lang w:val="en-US" w:eastAsia="zh-CN" w:bidi="ar"/>
              </w:rPr>
              <w:t>医疗废物暂存间医疗废物按要求进行收集、贮存、转运和处置</w:t>
            </w:r>
            <w:r>
              <w:rPr>
                <w:rFonts w:hint="eastAsia" w:ascii="宋体" w:hAnsi="宋体" w:eastAsia="宋体" w:cs="宋体"/>
                <w:color w:val="auto"/>
                <w:kern w:val="0"/>
                <w:sz w:val="24"/>
                <w:szCs w:val="24"/>
                <w:lang w:val="en-US" w:eastAsia="zh-CN" w:bidi="ar"/>
              </w:rPr>
              <w:t>，不会对周边环境造成影响。</w:t>
            </w:r>
          </w:p>
          <w:p>
            <w:pPr>
              <w:pStyle w:val="5"/>
              <w:suppressLineNumbers w:val="0"/>
              <w:bidi w:val="0"/>
              <w:spacing w:before="0" w:beforeAutospacing="0" w:after="0" w:afterAutospacing="0"/>
              <w:ind w:left="0" w:right="0"/>
              <w:rPr>
                <w:rFonts w:hint="eastAsia" w:eastAsia="宋体" w:cs="Times New Roman"/>
                <w:lang w:eastAsia="zh-CN"/>
              </w:rPr>
            </w:pPr>
            <w:r>
              <w:rPr>
                <w:rFonts w:cs="Times New Roman"/>
              </w:rPr>
              <w:t>5、地下水</w:t>
            </w:r>
            <w:r>
              <w:rPr>
                <w:rFonts w:hint="eastAsia" w:cs="Times New Roman"/>
                <w:lang w:eastAsia="zh-CN"/>
              </w:rPr>
              <w:t>、</w:t>
            </w:r>
            <w:r>
              <w:rPr>
                <w:rFonts w:hint="eastAsia" w:cs="Times New Roman"/>
                <w:lang w:val="en-US" w:eastAsia="zh-CN"/>
              </w:rPr>
              <w:t>土壤</w:t>
            </w:r>
            <w:r>
              <w:rPr>
                <w:rFonts w:cs="Times New Roman"/>
              </w:rPr>
              <w:t>环境影响</w:t>
            </w:r>
            <w:r>
              <w:rPr>
                <w:rFonts w:hint="eastAsia" w:cs="Times New Roman"/>
                <w:lang w:eastAsia="zh-CN"/>
              </w:rPr>
              <w:t>分析</w:t>
            </w:r>
          </w:p>
          <w:p>
            <w:pPr>
              <w:keepNext w:val="0"/>
              <w:keepLines w:val="0"/>
              <w:suppressLineNumbers w:val="0"/>
              <w:spacing w:before="0" w:beforeAutospacing="0" w:after="0" w:afterAutospacing="0" w:line="360" w:lineRule="auto"/>
              <w:ind w:left="0" w:right="0"/>
              <w:rPr>
                <w:b/>
                <w:bCs/>
                <w:sz w:val="24"/>
              </w:rPr>
            </w:pPr>
            <w:r>
              <w:rPr>
                <w:b/>
                <w:bCs/>
                <w:sz w:val="24"/>
              </w:rPr>
              <w:t>5.1污染源和污染途径分析</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color w:val="000000"/>
                <w:kern w:val="0"/>
                <w:sz w:val="24"/>
              </w:rPr>
            </w:pPr>
            <w:r>
              <w:rPr>
                <w:rFonts w:hint="eastAsia"/>
                <w:color w:val="000000"/>
                <w:kern w:val="0"/>
                <w:sz w:val="24"/>
              </w:rPr>
              <w:t>本项目为</w:t>
            </w:r>
            <w:r>
              <w:rPr>
                <w:rFonts w:hint="eastAsia"/>
                <w:color w:val="000000"/>
                <w:kern w:val="0"/>
                <w:sz w:val="24"/>
                <w:lang w:eastAsia="zh-CN"/>
              </w:rPr>
              <w:t>医疗废物</w:t>
            </w:r>
            <w:r>
              <w:rPr>
                <w:rFonts w:hint="eastAsia"/>
                <w:color w:val="000000"/>
                <w:kern w:val="0"/>
                <w:sz w:val="24"/>
              </w:rPr>
              <w:t>暂存间</w:t>
            </w:r>
            <w:r>
              <w:rPr>
                <w:rFonts w:hint="eastAsia"/>
                <w:color w:val="000000"/>
                <w:kern w:val="0"/>
                <w:sz w:val="24"/>
                <w:lang w:eastAsia="zh-CN"/>
              </w:rPr>
              <w:t>建设项目</w:t>
            </w:r>
            <w:r>
              <w:rPr>
                <w:rFonts w:hint="eastAsia"/>
                <w:color w:val="000000"/>
                <w:kern w:val="0"/>
                <w:sz w:val="24"/>
              </w:rPr>
              <w:t>，按要求做好</w:t>
            </w:r>
            <w:r>
              <w:rPr>
                <w:rFonts w:hint="eastAsia"/>
                <w:color w:val="000000"/>
                <w:kern w:val="0"/>
                <w:sz w:val="24"/>
                <w:lang w:eastAsia="zh-CN"/>
              </w:rPr>
              <w:t>重点</w:t>
            </w:r>
            <w:r>
              <w:rPr>
                <w:rFonts w:hint="eastAsia"/>
                <w:color w:val="000000"/>
                <w:kern w:val="0"/>
                <w:sz w:val="24"/>
              </w:rPr>
              <w:t>防渗措施，项目不存在地下水和土壤污染途径。</w:t>
            </w:r>
          </w:p>
          <w:p>
            <w:pPr>
              <w:keepNext w:val="0"/>
              <w:keepLines w:val="0"/>
              <w:suppressLineNumbers w:val="0"/>
              <w:spacing w:before="0" w:beforeAutospacing="0" w:after="0" w:afterAutospacing="0" w:line="360" w:lineRule="auto"/>
              <w:ind w:left="0" w:right="0"/>
              <w:outlineLvl w:val="1"/>
              <w:rPr>
                <w:b/>
                <w:bCs/>
                <w:sz w:val="24"/>
              </w:rPr>
            </w:pPr>
            <w:r>
              <w:rPr>
                <w:b/>
                <w:bCs/>
                <w:sz w:val="24"/>
              </w:rPr>
              <w:t>5.2防控措施</w:t>
            </w:r>
          </w:p>
          <w:p>
            <w:pPr>
              <w:keepNext w:val="0"/>
              <w:keepLines w:val="0"/>
              <w:suppressLineNumbers w:val="0"/>
              <w:spacing w:before="0" w:beforeAutospacing="0" w:after="0" w:afterAutospacing="0" w:line="360" w:lineRule="auto"/>
              <w:ind w:left="0" w:right="0" w:firstLine="480" w:firstLineChars="200"/>
              <w:rPr>
                <w:sz w:val="24"/>
              </w:rPr>
            </w:pPr>
            <w:r>
              <w:rPr>
                <w:sz w:val="24"/>
              </w:rPr>
              <w:t>（1）防扩散措施</w:t>
            </w:r>
          </w:p>
          <w:p>
            <w:pPr>
              <w:keepNext w:val="0"/>
              <w:keepLines w:val="0"/>
              <w:suppressLineNumbers w:val="0"/>
              <w:spacing w:before="0" w:beforeAutospacing="0" w:after="0" w:afterAutospacing="0" w:line="360" w:lineRule="auto"/>
              <w:ind w:left="0" w:right="0" w:firstLine="480" w:firstLineChars="200"/>
              <w:rPr>
                <w:sz w:val="24"/>
              </w:rPr>
            </w:pPr>
            <w:r>
              <w:rPr>
                <w:rFonts w:hint="eastAsia"/>
                <w:sz w:val="24"/>
              </w:rPr>
              <w:t>本</w:t>
            </w:r>
            <w:r>
              <w:rPr>
                <w:sz w:val="24"/>
              </w:rPr>
              <w:t>项目运营期应加强人员环境管理、规范操作，防止人为因素造成污染环境情形。</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（2）本项目防渗分区情况</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rPr>
            </w:pPr>
            <w:r>
              <w:rPr>
                <w:rFonts w:hint="default" w:ascii="Times New Roman" w:hAnsi="Times New Roman" w:eastAsia="宋体" w:cs="Times New Roman"/>
                <w:sz w:val="24"/>
                <w:lang w:eastAsia="zh-CN"/>
              </w:rPr>
              <w:t>医疗</w:t>
            </w:r>
            <w:r>
              <w:rPr>
                <w:rFonts w:hint="default" w:ascii="Times New Roman" w:hAnsi="Times New Roman" w:eastAsia="宋体" w:cs="Times New Roman"/>
                <w:sz w:val="24"/>
              </w:rPr>
              <w:t>废物暂存间防渗参照《危险废物贮存污染控制标准》（GB18597-2023中的防渗要求</w:t>
            </w:r>
            <w:r>
              <w:rPr>
                <w:rFonts w:hint="default" w:ascii="Times New Roman" w:hAnsi="Times New Roman" w:eastAsia="宋体" w:cs="Times New Roman"/>
                <w:sz w:val="24"/>
                <w:lang w:eastAsia="zh-CN"/>
              </w:rPr>
              <w:t>建设：</w:t>
            </w:r>
            <w:r>
              <w:rPr>
                <w:rFonts w:hint="eastAsia" w:ascii="Times New Roman" w:hAnsi="Times New Roman" w:eastAsia="宋体" w:cs="Times New Roman"/>
                <w:color w:val="FF0000"/>
                <w:sz w:val="24"/>
                <w:lang w:eastAsia="zh-CN"/>
              </w:rPr>
              <w:t>本项目采用</w:t>
            </w:r>
            <w:r>
              <w:rPr>
                <w:rFonts w:hint="eastAsia" w:ascii="Times New Roman" w:hAnsi="Times New Roman" w:eastAsia="宋体" w:cs="Times New Roman"/>
                <w:color w:val="FF0000"/>
                <w:sz w:val="24"/>
                <w:lang w:val="en-US" w:eastAsia="zh-CN"/>
              </w:rPr>
              <w:t>轻钢柜体作为医疗废物暂存间</w:t>
            </w:r>
            <w:r>
              <w:rPr>
                <w:rFonts w:hint="eastAsia" w:ascii="Times New Roman" w:hAnsi="Times New Roman" w:eastAsia="宋体" w:cs="Times New Roman"/>
                <w:color w:val="FF0000"/>
                <w:sz w:val="24"/>
                <w:lang w:eastAsia="zh-CN"/>
              </w:rPr>
              <w:t>，</w:t>
            </w:r>
            <w:r>
              <w:rPr>
                <w:rFonts w:hint="default" w:ascii="Times New Roman" w:hAnsi="Times New Roman" w:eastAsia="宋体" w:cs="Times New Roman"/>
                <w:color w:val="FF0000"/>
                <w:sz w:val="24"/>
              </w:rPr>
              <w:t>分</w:t>
            </w:r>
            <w:r>
              <w:rPr>
                <w:rFonts w:hint="eastAsia" w:ascii="Times New Roman" w:hAnsi="Times New Roman" w:eastAsia="宋体" w:cs="Times New Roman"/>
                <w:color w:val="FF0000"/>
                <w:sz w:val="24"/>
                <w:lang w:eastAsia="zh-CN"/>
              </w:rPr>
              <w:t>五</w:t>
            </w:r>
            <w:r>
              <w:rPr>
                <w:rFonts w:hint="default" w:ascii="Times New Roman" w:hAnsi="Times New Roman" w:eastAsia="宋体" w:cs="Times New Roman"/>
                <w:color w:val="FF0000"/>
                <w:sz w:val="24"/>
              </w:rPr>
              <w:t>个区域贮存</w:t>
            </w:r>
            <w:r>
              <w:rPr>
                <w:rFonts w:hint="eastAsia" w:ascii="Times New Roman" w:hAnsi="Times New Roman" w:eastAsia="宋体" w:cs="Times New Roman"/>
                <w:color w:val="FF0000"/>
                <w:sz w:val="24"/>
                <w:lang w:val="en-US" w:eastAsia="zh-CN"/>
              </w:rPr>
              <w:t>HW01医疗废物，</w:t>
            </w:r>
            <w:r>
              <w:rPr>
                <w:rFonts w:hint="default" w:ascii="Times New Roman" w:hAnsi="Times New Roman" w:eastAsia="宋体" w:cs="Times New Roman"/>
                <w:color w:val="FF0000"/>
                <w:sz w:val="24"/>
              </w:rPr>
              <w:t>不相容的危废不接触、混合</w:t>
            </w:r>
            <w:r>
              <w:rPr>
                <w:rFonts w:hint="eastAsia" w:ascii="Times New Roman" w:hAnsi="Times New Roman" w:eastAsia="宋体" w:cs="Times New Roman"/>
                <w:color w:val="FF0000"/>
                <w:sz w:val="24"/>
                <w:lang w:eastAsia="zh-CN"/>
              </w:rPr>
              <w:t>，</w:t>
            </w:r>
            <w:r>
              <w:rPr>
                <w:rFonts w:hint="default" w:ascii="Times New Roman" w:hAnsi="Times New Roman" w:eastAsia="宋体" w:cs="Times New Roman"/>
                <w:color w:val="FF0000"/>
                <w:sz w:val="24"/>
              </w:rPr>
              <w:t>贮存设施地面与裙脚采取高密度聚乙烯</w:t>
            </w:r>
            <w:r>
              <w:rPr>
                <w:rFonts w:hint="eastAsia" w:ascii="Times New Roman" w:hAnsi="Times New Roman" w:eastAsia="宋体" w:cs="Times New Roman"/>
                <w:color w:val="FF0000"/>
                <w:sz w:val="24"/>
                <w:lang w:eastAsia="zh-CN"/>
              </w:rPr>
              <w:t>进行</w:t>
            </w:r>
            <w:r>
              <w:rPr>
                <w:rFonts w:hint="default" w:ascii="Times New Roman" w:hAnsi="Times New Roman" w:eastAsia="宋体" w:cs="Times New Roman"/>
                <w:color w:val="FF0000"/>
                <w:sz w:val="24"/>
              </w:rPr>
              <w:t>表面防渗</w:t>
            </w:r>
            <w:r>
              <w:rPr>
                <w:rFonts w:hint="default" w:ascii="Times New Roman" w:hAnsi="Times New Roman" w:eastAsia="宋体" w:cs="Times New Roman"/>
                <w:color w:val="FF0000"/>
                <w:sz w:val="24"/>
                <w:lang w:eastAsia="zh-CN"/>
              </w:rPr>
              <w:t>，</w:t>
            </w:r>
            <w:r>
              <w:rPr>
                <w:rFonts w:hint="eastAsia" w:ascii="Times New Roman" w:hAnsi="Times New Roman" w:eastAsia="宋体" w:cs="Times New Roman"/>
                <w:color w:val="FF0000"/>
                <w:sz w:val="24"/>
                <w:lang w:eastAsia="zh-CN"/>
              </w:rPr>
              <w:t>其中地面</w:t>
            </w:r>
            <w:r>
              <w:rPr>
                <w:rFonts w:hint="default" w:ascii="Times New Roman" w:hAnsi="Times New Roman" w:eastAsia="宋体" w:cs="Times New Roman"/>
                <w:color w:val="FF0000"/>
                <w:sz w:val="24"/>
                <w:lang w:eastAsia="zh-CN"/>
              </w:rPr>
              <w:t>采用</w:t>
            </w:r>
            <w:r>
              <w:rPr>
                <w:rFonts w:hint="default" w:ascii="Times New Roman" w:hAnsi="Times New Roman" w:eastAsia="宋体" w:cs="Times New Roman"/>
                <w:color w:val="FF0000"/>
                <w:sz w:val="24"/>
                <w:lang w:val="en-US" w:eastAsia="zh-CN"/>
              </w:rPr>
              <w:t>2</w:t>
            </w:r>
            <w:r>
              <w:rPr>
                <w:rFonts w:hint="default" w:ascii="Times New Roman" w:hAnsi="Times New Roman" w:eastAsia="宋体" w:cs="Times New Roman"/>
                <w:color w:val="FF0000"/>
                <w:sz w:val="24"/>
              </w:rPr>
              <w:t>mm厚高密度聚乙烯膜等人工防渗材料（渗透系数不大于</w:t>
            </w:r>
            <w:r>
              <w:rPr>
                <w:rFonts w:hint="eastAsia" w:ascii="Times New Roman" w:hAnsi="Times New Roman" w:eastAsia="宋体" w:cs="Times New Roman"/>
                <w:color w:val="FF0000"/>
                <w:sz w:val="24"/>
                <w:lang w:val="en-US" w:eastAsia="zh-CN"/>
              </w:rPr>
              <w:t>10</w:t>
            </w:r>
            <w:r>
              <w:rPr>
                <w:rFonts w:hint="default" w:ascii="Times New Roman" w:hAnsi="Times New Roman" w:eastAsia="宋体" w:cs="Times New Roman"/>
                <w:color w:val="FF0000"/>
                <w:sz w:val="24"/>
                <w:vertAlign w:val="superscript"/>
              </w:rPr>
              <w:t>-10</w:t>
            </w:r>
            <w:r>
              <w:rPr>
                <w:rFonts w:hint="default" w:ascii="Times New Roman" w:hAnsi="Times New Roman" w:eastAsia="宋体" w:cs="Times New Roman"/>
                <w:color w:val="FF0000"/>
                <w:sz w:val="24"/>
              </w:rPr>
              <w:t>cm/s）</w:t>
            </w:r>
            <w:r>
              <w:rPr>
                <w:rFonts w:hint="eastAsia" w:ascii="Times New Roman" w:hAnsi="Times New Roman" w:eastAsia="宋体" w:cs="Times New Roman"/>
                <w:color w:val="FF0000"/>
                <w:sz w:val="24"/>
                <w:lang w:eastAsia="zh-CN"/>
              </w:rPr>
              <w:t>，并在表面铺设一层环氧树脂进行防腐，不同分区均采用相同的防渗、防腐工艺</w:t>
            </w:r>
            <w:r>
              <w:rPr>
                <w:rFonts w:hint="default" w:ascii="Times New Roman" w:hAnsi="Times New Roman" w:eastAsia="宋体" w:cs="Times New Roman"/>
                <w:color w:val="FF0000"/>
                <w:sz w:val="24"/>
              </w:rPr>
              <w:t>。</w:t>
            </w:r>
          </w:p>
          <w:p>
            <w:pPr>
              <w:keepNext w:val="0"/>
              <w:keepLines w:val="0"/>
              <w:suppressLineNumbers w:val="0"/>
              <w:spacing w:before="0" w:beforeAutospacing="0" w:after="0" w:afterAutospacing="0" w:line="360" w:lineRule="auto"/>
              <w:ind w:left="0" w:right="0" w:firstLine="480" w:firstLineChars="200"/>
              <w:rPr>
                <w:rFonts w:hint="eastAsia" w:eastAsia="宋体"/>
                <w:color w:val="auto"/>
                <w:sz w:val="24"/>
                <w:lang w:eastAsia="zh-CN"/>
              </w:rPr>
            </w:pPr>
            <w:r>
              <w:rPr>
                <w:rFonts w:hint="eastAsia" w:ascii="Times New Roman" w:hAnsi="Times New Roman" w:eastAsia="宋体" w:cs="Times New Roman"/>
                <w:sz w:val="24"/>
                <w:lang w:eastAsia="zh-CN"/>
              </w:rPr>
              <w:t>采取上述措施后，本项目对土壤和地下水环境影响较小</w:t>
            </w:r>
            <w:r>
              <w:rPr>
                <w:rFonts w:hint="eastAsia"/>
                <w:color w:val="auto"/>
                <w:sz w:val="24"/>
                <w:lang w:eastAsia="zh-CN"/>
              </w:rPr>
              <w:t>。</w:t>
            </w:r>
          </w:p>
          <w:p>
            <w:pPr>
              <w:keepNext w:val="0"/>
              <w:keepLines w:val="0"/>
              <w:suppressLineNumbers w:val="0"/>
              <w:adjustRightInd w:val="0"/>
              <w:snapToGrid w:val="0"/>
              <w:spacing w:before="0" w:beforeAutospacing="0" w:after="0" w:afterAutospacing="0" w:line="360" w:lineRule="auto"/>
              <w:ind w:left="0" w:right="0" w:firstLine="441" w:firstLineChars="200"/>
              <w:rPr>
                <w:b/>
                <w:bCs/>
                <w:spacing w:val="-10"/>
                <w:sz w:val="24"/>
              </w:rPr>
            </w:pPr>
            <w:r>
              <w:rPr>
                <w:b/>
                <w:bCs/>
                <w:spacing w:val="-10"/>
                <w:sz w:val="24"/>
              </w:rPr>
              <w:t>6、环境风险</w:t>
            </w:r>
          </w:p>
          <w:p>
            <w:pPr>
              <w:keepNext w:val="0"/>
              <w:keepLines w:val="0"/>
              <w:suppressLineNumbers w:val="0"/>
              <w:adjustRightInd w:val="0"/>
              <w:snapToGrid w:val="0"/>
              <w:spacing w:before="0" w:beforeAutospacing="0" w:after="0" w:afterAutospacing="0" w:line="360" w:lineRule="auto"/>
              <w:ind w:left="0" w:right="0" w:firstLine="480" w:firstLineChars="200"/>
              <w:rPr>
                <w:color w:val="000000"/>
                <w:sz w:val="24"/>
              </w:rPr>
            </w:pPr>
            <w:r>
              <w:rPr>
                <w:rFonts w:hint="eastAsia"/>
                <w:color w:val="000000"/>
                <w:sz w:val="24"/>
              </w:rPr>
              <w:t>（1）风险源调查</w:t>
            </w:r>
          </w:p>
          <w:p>
            <w:pPr>
              <w:keepNext w:val="0"/>
              <w:keepLines w:val="0"/>
              <w:suppressLineNumbers w:val="0"/>
              <w:adjustRightInd w:val="0"/>
              <w:snapToGrid w:val="0"/>
              <w:spacing w:before="0" w:beforeAutospacing="0" w:after="0" w:afterAutospacing="0" w:line="360" w:lineRule="auto"/>
              <w:ind w:left="0" w:right="0" w:firstLine="480" w:firstLineChars="200"/>
              <w:rPr>
                <w:color w:val="000000"/>
                <w:sz w:val="24"/>
              </w:rPr>
            </w:pPr>
            <w:r>
              <w:rPr>
                <w:color w:val="000000"/>
                <w:sz w:val="24"/>
              </w:rPr>
              <w:t>本项目</w:t>
            </w:r>
            <w:r>
              <w:rPr>
                <w:rFonts w:hint="eastAsia"/>
                <w:color w:val="000000"/>
                <w:sz w:val="24"/>
              </w:rPr>
              <w:t>为</w:t>
            </w:r>
            <w:r>
              <w:rPr>
                <w:rFonts w:hint="eastAsia"/>
                <w:color w:val="000000"/>
                <w:sz w:val="24"/>
                <w:lang w:eastAsia="zh-CN"/>
              </w:rPr>
              <w:t>医疗废物暂存间</w:t>
            </w:r>
            <w:r>
              <w:rPr>
                <w:rFonts w:hint="eastAsia"/>
                <w:color w:val="000000"/>
                <w:sz w:val="24"/>
              </w:rPr>
              <w:t>建设</w:t>
            </w:r>
            <w:r>
              <w:rPr>
                <w:color w:val="000000"/>
                <w:sz w:val="24"/>
              </w:rPr>
              <w:t>，对照《建设项目环境风险评价技术导则》（HJ169-2018）附录B，项目涉及的环境风险物质主要是</w:t>
            </w:r>
            <w:r>
              <w:rPr>
                <w:rFonts w:hint="eastAsia"/>
                <w:color w:val="000000"/>
                <w:sz w:val="24"/>
                <w:lang w:eastAsia="zh-CN"/>
              </w:rPr>
              <w:t>废药液、废试剂</w:t>
            </w:r>
            <w:r>
              <w:rPr>
                <w:rFonts w:hint="eastAsia"/>
                <w:color w:val="000000"/>
                <w:sz w:val="24"/>
              </w:rPr>
              <w:t>等</w:t>
            </w:r>
            <w:r>
              <w:rPr>
                <w:color w:val="000000"/>
                <w:sz w:val="24"/>
              </w:rPr>
              <w:t>。</w:t>
            </w:r>
          </w:p>
          <w:p>
            <w:pPr>
              <w:keepNext w:val="0"/>
              <w:keepLines w:val="0"/>
              <w:suppressLineNumbers w:val="0"/>
              <w:topLinePunct/>
              <w:spacing w:before="0" w:beforeAutospacing="0" w:after="0" w:afterAutospacing="0" w:line="360" w:lineRule="auto"/>
              <w:ind w:left="0" w:right="0" w:firstLine="480" w:firstLineChars="200"/>
              <w:rPr>
                <w:color w:val="000000"/>
                <w:sz w:val="24"/>
              </w:rPr>
            </w:pPr>
            <w:r>
              <w:rPr>
                <w:rFonts w:hint="eastAsia"/>
                <w:color w:val="000000"/>
                <w:sz w:val="24"/>
              </w:rPr>
              <w:t>（2）</w:t>
            </w:r>
            <w:r>
              <w:rPr>
                <w:color w:val="000000"/>
                <w:sz w:val="24"/>
              </w:rPr>
              <w:t>环境风险潜势初判</w:t>
            </w:r>
          </w:p>
          <w:p>
            <w:pPr>
              <w:keepNext w:val="0"/>
              <w:keepLines w:val="0"/>
              <w:suppressLineNumbers w:val="0"/>
              <w:topLinePunct/>
              <w:spacing w:before="0" w:beforeAutospacing="0" w:after="0" w:afterAutospacing="0" w:line="360" w:lineRule="auto"/>
              <w:ind w:left="0" w:right="0" w:firstLine="480" w:firstLineChars="200"/>
              <w:rPr>
                <w:color w:val="000000"/>
                <w:sz w:val="24"/>
              </w:rPr>
            </w:pPr>
            <w:r>
              <w:rPr>
                <w:color w:val="000000"/>
                <w:sz w:val="24"/>
              </w:rPr>
              <w:t>根据《建设项目环境风险评价技术导则》（HJ169-2018），计算所涉及的每种危险物质在厂界内的最大存在总量与其在附录B中对应临界量的比值Q。在不同厂区的同一种物质，按其在厂界内的最大存在总量计算。</w:t>
            </w:r>
          </w:p>
          <w:p>
            <w:pPr>
              <w:keepNext w:val="0"/>
              <w:keepLines w:val="0"/>
              <w:suppressLineNumbers w:val="0"/>
              <w:topLinePunct/>
              <w:spacing w:before="0" w:beforeAutospacing="0" w:after="0" w:afterAutospacing="0" w:line="360" w:lineRule="auto"/>
              <w:ind w:left="0" w:right="0" w:firstLine="480" w:firstLineChars="200"/>
              <w:rPr>
                <w:color w:val="000000"/>
                <w:sz w:val="24"/>
              </w:rPr>
            </w:pPr>
            <w:r>
              <w:rPr>
                <w:color w:val="000000"/>
                <w:sz w:val="24"/>
              </w:rPr>
              <w:t>当只涉及一种危险物质时，计算该物质的总量与其临界量比值，即为Q；</w:t>
            </w:r>
          </w:p>
          <w:p>
            <w:pPr>
              <w:pStyle w:val="2"/>
              <w:keepNext w:val="0"/>
              <w:keepLines w:val="0"/>
              <w:suppressLineNumbers w:val="0"/>
              <w:spacing w:before="0" w:beforeAutospacing="0" w:after="0" w:afterAutospacing="0" w:line="360" w:lineRule="auto"/>
              <w:ind w:left="0" w:firstLine="480" w:firstLineChars="200"/>
              <w:jc w:val="both"/>
            </w:pPr>
            <w:r>
              <w:rPr>
                <w:color w:val="000000"/>
                <w:sz w:val="24"/>
              </w:rPr>
              <w:t>当存在多种危险物质时，则按下式计算物质总量与其临界量比值（Q）；</w:t>
            </w:r>
          </w:p>
          <w:p>
            <w:pPr>
              <w:keepNext w:val="0"/>
              <w:keepLines w:val="0"/>
              <w:suppressLineNumbers w:val="0"/>
              <w:spacing w:before="0" w:beforeAutospacing="0" w:after="0" w:afterAutospacing="0" w:line="360" w:lineRule="auto"/>
              <w:ind w:left="0" w:right="0" w:firstLine="480" w:firstLineChars="200"/>
              <w:jc w:val="center"/>
              <w:rPr>
                <w:color w:val="000000"/>
                <w:sz w:val="24"/>
              </w:rPr>
            </w:pPr>
            <w:r>
              <w:rPr>
                <w:color w:val="000000"/>
                <w:position w:val="-30"/>
                <w:sz w:val="24"/>
              </w:rPr>
              <w:object>
                <v:shape id="_x0000_i1025" o:spt="75" type="#_x0000_t75" style="height:33.95pt;width:108pt;" o:ole="t" filled="f" o:preferrelative="t" stroked="f" coordsize="21600,21600">
                  <v:path/>
                  <v:fill on="f" focussize="0,0"/>
                  <v:stroke on="f" joinstyle="miter"/>
                  <v:imagedata r:id="rId20" o:title=""/>
                  <o:lock v:ext="edit" aspectratio="t"/>
                  <w10:wrap type="none"/>
                  <w10:anchorlock/>
                </v:shape>
                <o:OLEObject Type="Embed" ProgID="Equation.3" ShapeID="_x0000_i1025" DrawAspect="Content" ObjectID="_1468075725" r:id="rId19">
                  <o:LockedField>false</o:LockedField>
                </o:OLEObject>
              </w:object>
            </w:r>
          </w:p>
          <w:p>
            <w:pPr>
              <w:keepNext w:val="0"/>
              <w:keepLines w:val="0"/>
              <w:suppressLineNumbers w:val="0"/>
              <w:topLinePunct/>
              <w:spacing w:before="0" w:beforeAutospacing="0" w:after="0" w:afterAutospacing="0" w:line="360" w:lineRule="auto"/>
              <w:ind w:left="0" w:right="0" w:firstLine="480" w:firstLineChars="200"/>
              <w:rPr>
                <w:color w:val="000000"/>
                <w:sz w:val="24"/>
              </w:rPr>
            </w:pPr>
            <w:r>
              <w:rPr>
                <w:color w:val="000000"/>
                <w:sz w:val="24"/>
              </w:rPr>
              <w:t>式中：q</w:t>
            </w:r>
            <w:r>
              <w:rPr>
                <w:color w:val="000000"/>
                <w:sz w:val="24"/>
                <w:vertAlign w:val="subscript"/>
              </w:rPr>
              <w:t>1</w:t>
            </w:r>
            <w:r>
              <w:rPr>
                <w:color w:val="000000"/>
                <w:sz w:val="24"/>
              </w:rPr>
              <w:t>，q</w:t>
            </w:r>
            <w:r>
              <w:rPr>
                <w:color w:val="000000"/>
                <w:sz w:val="24"/>
                <w:vertAlign w:val="subscript"/>
              </w:rPr>
              <w:t>2</w:t>
            </w:r>
            <w:r>
              <w:rPr>
                <w:color w:val="000000"/>
                <w:sz w:val="24"/>
              </w:rPr>
              <w:t>，…，q</w:t>
            </w:r>
            <w:r>
              <w:rPr>
                <w:color w:val="000000"/>
                <w:sz w:val="24"/>
                <w:vertAlign w:val="subscript"/>
              </w:rPr>
              <w:t>n</w:t>
            </w:r>
            <w:r>
              <w:rPr>
                <w:color w:val="000000"/>
                <w:sz w:val="24"/>
              </w:rPr>
              <w:t>——每种危险物质的最大存在总量，t；</w:t>
            </w:r>
          </w:p>
          <w:p>
            <w:pPr>
              <w:keepNext w:val="0"/>
              <w:keepLines w:val="0"/>
              <w:suppressLineNumbers w:val="0"/>
              <w:topLinePunct/>
              <w:spacing w:before="0" w:beforeAutospacing="0" w:after="0" w:afterAutospacing="0" w:line="360" w:lineRule="auto"/>
              <w:ind w:left="0" w:right="0" w:firstLine="480" w:firstLineChars="200"/>
              <w:rPr>
                <w:color w:val="000000"/>
                <w:sz w:val="24"/>
              </w:rPr>
            </w:pPr>
            <w:r>
              <w:rPr>
                <w:color w:val="000000"/>
                <w:sz w:val="24"/>
              </w:rPr>
              <w:t>Q</w:t>
            </w:r>
            <w:r>
              <w:rPr>
                <w:color w:val="000000"/>
                <w:sz w:val="24"/>
                <w:vertAlign w:val="subscript"/>
              </w:rPr>
              <w:t>1</w:t>
            </w:r>
            <w:r>
              <w:rPr>
                <w:color w:val="000000"/>
                <w:sz w:val="24"/>
              </w:rPr>
              <w:t>，Q</w:t>
            </w:r>
            <w:r>
              <w:rPr>
                <w:color w:val="000000"/>
                <w:sz w:val="24"/>
                <w:vertAlign w:val="subscript"/>
              </w:rPr>
              <w:t>2</w:t>
            </w:r>
            <w:r>
              <w:rPr>
                <w:color w:val="000000"/>
                <w:sz w:val="24"/>
              </w:rPr>
              <w:t>，…，Q</w:t>
            </w:r>
            <w:r>
              <w:rPr>
                <w:color w:val="000000"/>
                <w:sz w:val="24"/>
                <w:vertAlign w:val="subscript"/>
              </w:rPr>
              <w:t>n</w:t>
            </w:r>
            <w:r>
              <w:rPr>
                <w:color w:val="000000"/>
                <w:sz w:val="24"/>
              </w:rPr>
              <w:t>——每种危险物质的临界量，t；</w:t>
            </w:r>
          </w:p>
          <w:p>
            <w:pPr>
              <w:keepNext w:val="0"/>
              <w:keepLines w:val="0"/>
              <w:suppressLineNumbers w:val="0"/>
              <w:topLinePunct/>
              <w:spacing w:before="0" w:beforeAutospacing="0" w:after="0" w:afterAutospacing="0" w:line="360" w:lineRule="auto"/>
              <w:ind w:left="0" w:right="0" w:firstLine="480" w:firstLineChars="200"/>
              <w:rPr>
                <w:bCs/>
                <w:color w:val="000000"/>
                <w:sz w:val="24"/>
              </w:rPr>
            </w:pPr>
            <w:r>
              <w:rPr>
                <w:bCs/>
                <w:color w:val="000000"/>
                <w:sz w:val="24"/>
              </w:rPr>
              <w:t>当Q&lt;1时，该项目环境风险潜势为Ⅰ。</w:t>
            </w:r>
          </w:p>
          <w:p>
            <w:pPr>
              <w:keepNext w:val="0"/>
              <w:keepLines w:val="0"/>
              <w:suppressLineNumbers w:val="0"/>
              <w:topLinePunct/>
              <w:spacing w:before="0" w:beforeAutospacing="0" w:after="0" w:afterAutospacing="0" w:line="360" w:lineRule="auto"/>
              <w:ind w:left="0" w:right="0" w:firstLine="480" w:firstLineChars="200"/>
              <w:rPr>
                <w:color w:val="000000"/>
                <w:sz w:val="24"/>
              </w:rPr>
            </w:pPr>
            <w:r>
              <w:rPr>
                <w:color w:val="000000"/>
                <w:sz w:val="24"/>
              </w:rPr>
              <w:t>当Q&gt;1时，将Q值划分为：（1）1≤Q&lt;10；（2）10≤Q&lt;100；（3）Q≥100。</w:t>
            </w:r>
          </w:p>
          <w:p>
            <w:pPr>
              <w:keepNext w:val="0"/>
              <w:keepLines w:val="0"/>
              <w:suppressLineNumbers w:val="0"/>
              <w:topLinePunct/>
              <w:spacing w:before="0" w:beforeAutospacing="0" w:after="0" w:afterAutospacing="0" w:line="360" w:lineRule="auto"/>
              <w:ind w:left="0" w:right="0" w:firstLine="480" w:firstLineChars="200"/>
              <w:rPr>
                <w:color w:val="000000"/>
                <w:sz w:val="24"/>
              </w:rPr>
            </w:pPr>
            <w:r>
              <w:rPr>
                <w:color w:val="000000"/>
                <w:sz w:val="24"/>
              </w:rPr>
              <w:t>Q值的确定见下表。</w:t>
            </w:r>
          </w:p>
          <w:p>
            <w:pPr>
              <w:keepNext w:val="0"/>
              <w:keepLines w:val="0"/>
              <w:pageBreakBefore w:val="0"/>
              <w:widowControl w:val="0"/>
              <w:suppressLineNumbers w:val="0"/>
              <w:tabs>
                <w:tab w:val="left" w:pos="851"/>
              </w:tabs>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b/>
                <w:bCs/>
                <w:sz w:val="21"/>
                <w:szCs w:val="21"/>
                <w:lang w:val="en-US" w:eastAsia="zh-CN"/>
              </w:rPr>
            </w:pPr>
            <w:r>
              <w:rPr>
                <w:rFonts w:hint="eastAsia"/>
                <w:b/>
                <w:bCs/>
                <w:sz w:val="21"/>
                <w:szCs w:val="21"/>
                <w:lang w:val="en-US" w:eastAsia="zh-CN"/>
              </w:rPr>
              <w:t>表4-6  建设项目Q值确定表</w:t>
            </w:r>
          </w:p>
          <w:tbl>
            <w:tblPr>
              <w:tblStyle w:val="34"/>
              <w:tblW w:w="7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4"/>
              <w:gridCol w:w="1324"/>
              <w:gridCol w:w="1324"/>
              <w:gridCol w:w="1324"/>
              <w:gridCol w:w="1325"/>
              <w:gridCol w:w="13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4" w:type="dxa"/>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bidi="ar"/>
                    </w:rPr>
                  </w:pPr>
                  <w:r>
                    <w:rPr>
                      <w:rFonts w:hint="default" w:ascii="Times New Roman" w:hAnsi="Times New Roman" w:cs="Times New Roman"/>
                      <w:color w:val="000000"/>
                      <w:kern w:val="0"/>
                      <w:sz w:val="21"/>
                      <w:szCs w:val="21"/>
                      <w:lang w:bidi="ar"/>
                    </w:rPr>
                    <w:t>序号</w:t>
                  </w:r>
                </w:p>
              </w:tc>
              <w:tc>
                <w:tcPr>
                  <w:tcW w:w="1324" w:type="dxa"/>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bidi="ar"/>
                    </w:rPr>
                  </w:pPr>
                  <w:r>
                    <w:rPr>
                      <w:rFonts w:hint="default" w:ascii="Times New Roman" w:hAnsi="Times New Roman" w:cs="Times New Roman"/>
                      <w:color w:val="000000"/>
                      <w:kern w:val="0"/>
                      <w:sz w:val="21"/>
                      <w:szCs w:val="21"/>
                      <w:lang w:bidi="ar"/>
                    </w:rPr>
                    <w:t>危险品</w:t>
                  </w:r>
                </w:p>
              </w:tc>
              <w:tc>
                <w:tcPr>
                  <w:tcW w:w="1324" w:type="dxa"/>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bidi="ar"/>
                    </w:rPr>
                  </w:pPr>
                  <w:r>
                    <w:rPr>
                      <w:rFonts w:hint="default" w:ascii="Times New Roman" w:hAnsi="Times New Roman" w:cs="Times New Roman"/>
                      <w:color w:val="000000"/>
                      <w:kern w:val="0"/>
                      <w:sz w:val="21"/>
                      <w:szCs w:val="21"/>
                      <w:lang w:bidi="ar"/>
                    </w:rPr>
                    <w:t>储存位置</w:t>
                  </w:r>
                </w:p>
              </w:tc>
              <w:tc>
                <w:tcPr>
                  <w:tcW w:w="1324" w:type="dxa"/>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bidi="ar"/>
                    </w:rPr>
                  </w:pPr>
                  <w:r>
                    <w:rPr>
                      <w:rFonts w:hint="default" w:ascii="Times New Roman" w:hAnsi="Times New Roman" w:cs="Times New Roman"/>
                      <w:color w:val="000000"/>
                      <w:kern w:val="0"/>
                      <w:sz w:val="21"/>
                      <w:szCs w:val="21"/>
                      <w:lang w:bidi="ar"/>
                    </w:rPr>
                    <w:t>临界量t</w:t>
                  </w:r>
                </w:p>
              </w:tc>
              <w:tc>
                <w:tcPr>
                  <w:tcW w:w="1325" w:type="dxa"/>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bidi="ar"/>
                    </w:rPr>
                  </w:pPr>
                  <w:r>
                    <w:rPr>
                      <w:rFonts w:hint="default" w:ascii="Times New Roman" w:hAnsi="Times New Roman" w:cs="Times New Roman"/>
                      <w:color w:val="000000"/>
                      <w:kern w:val="0"/>
                      <w:sz w:val="21"/>
                      <w:szCs w:val="21"/>
                      <w:lang w:bidi="ar"/>
                    </w:rPr>
                    <w:t>最大存储t</w:t>
                  </w:r>
                </w:p>
              </w:tc>
              <w:tc>
                <w:tcPr>
                  <w:tcW w:w="1325" w:type="dxa"/>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bidi="ar"/>
                    </w:rPr>
                  </w:pPr>
                  <w:r>
                    <w:rPr>
                      <w:rFonts w:hint="default" w:ascii="Times New Roman" w:hAnsi="Times New Roman" w:cs="Times New Roman"/>
                      <w:color w:val="000000"/>
                      <w:kern w:val="0"/>
                      <w:sz w:val="21"/>
                      <w:szCs w:val="21"/>
                      <w:lang w:bidi="ar"/>
                    </w:rPr>
                    <w:t>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4" w:type="dxa"/>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bidi="ar"/>
                    </w:rPr>
                  </w:pPr>
                  <w:r>
                    <w:rPr>
                      <w:rFonts w:hint="default" w:ascii="Times New Roman" w:hAnsi="Times New Roman" w:cs="Times New Roman"/>
                      <w:color w:val="000000"/>
                      <w:kern w:val="0"/>
                      <w:sz w:val="21"/>
                      <w:szCs w:val="21"/>
                      <w:lang w:bidi="ar"/>
                    </w:rPr>
                    <w:t>1</w:t>
                  </w:r>
                </w:p>
              </w:tc>
              <w:tc>
                <w:tcPr>
                  <w:tcW w:w="1324" w:type="dxa"/>
                  <w:vAlign w:val="center"/>
                </w:tcPr>
                <w:p>
                  <w:pPr>
                    <w:keepNext w:val="0"/>
                    <w:keepLines w:val="0"/>
                    <w:pageBreakBefore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kern w:val="0"/>
                      <w:sz w:val="21"/>
                      <w:szCs w:val="21"/>
                      <w:lang w:val="en-US" w:eastAsia="zh-CN" w:bidi="ar"/>
                    </w:rPr>
                  </w:pPr>
                  <w:r>
                    <w:rPr>
                      <w:rFonts w:hint="default" w:ascii="Times New Roman" w:hAnsi="Times New Roman" w:cs="Times New Roman"/>
                      <w:bCs/>
                      <w:color w:val="000000"/>
                      <w:sz w:val="21"/>
                      <w:szCs w:val="21"/>
                      <w:lang w:val="zh-CN"/>
                    </w:rPr>
                    <w:t>废</w:t>
                  </w:r>
                  <w:r>
                    <w:rPr>
                      <w:rFonts w:hint="eastAsia" w:ascii="Times New Roman" w:hAnsi="Times New Roman" w:cs="Times New Roman"/>
                      <w:bCs/>
                      <w:color w:val="000000"/>
                      <w:sz w:val="21"/>
                      <w:szCs w:val="21"/>
                      <w:lang w:val="zh-CN"/>
                    </w:rPr>
                    <w:t>药液</w:t>
                  </w:r>
                  <w:r>
                    <w:rPr>
                      <w:rFonts w:hint="default" w:ascii="Times New Roman" w:hAnsi="Times New Roman" w:cs="Times New Roman"/>
                      <w:bCs/>
                      <w:color w:val="000000"/>
                      <w:sz w:val="21"/>
                      <w:szCs w:val="21"/>
                      <w:lang w:val="zh-CN"/>
                    </w:rPr>
                    <w:t>、废试剂等</w:t>
                  </w:r>
                  <w:r>
                    <w:rPr>
                      <w:rFonts w:hint="eastAsia" w:ascii="Times New Roman" w:hAnsi="Times New Roman" w:cs="Times New Roman"/>
                      <w:bCs/>
                      <w:color w:val="000000"/>
                      <w:sz w:val="21"/>
                      <w:szCs w:val="21"/>
                      <w:lang w:val="en-US" w:eastAsia="zh-CN"/>
                    </w:rPr>
                    <w:t>*</w:t>
                  </w:r>
                </w:p>
              </w:tc>
              <w:tc>
                <w:tcPr>
                  <w:tcW w:w="1324" w:type="dxa"/>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kern w:val="0"/>
                      <w:sz w:val="21"/>
                      <w:szCs w:val="21"/>
                      <w:lang w:eastAsia="zh-CN" w:bidi="ar"/>
                    </w:rPr>
                  </w:pPr>
                  <w:r>
                    <w:rPr>
                      <w:rFonts w:hint="eastAsia" w:cs="Times New Roman"/>
                      <w:color w:val="000000"/>
                      <w:kern w:val="0"/>
                      <w:sz w:val="21"/>
                      <w:szCs w:val="21"/>
                      <w:lang w:eastAsia="zh-CN" w:bidi="ar"/>
                    </w:rPr>
                    <w:t>医疗废物暂存间</w:t>
                  </w:r>
                </w:p>
              </w:tc>
              <w:tc>
                <w:tcPr>
                  <w:tcW w:w="1324" w:type="dxa"/>
                  <w:vAlign w:val="center"/>
                </w:tcPr>
                <w:p>
                  <w:pPr>
                    <w:keepNext w:val="0"/>
                    <w:keepLines w:val="0"/>
                    <w:pageBreakBefore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cs="Times New Roman"/>
                      <w:bCs/>
                      <w:color w:val="000000"/>
                      <w:sz w:val="21"/>
                      <w:szCs w:val="21"/>
                      <w:lang w:val="en-US" w:eastAsia="zh-CN"/>
                    </w:rPr>
                    <w:t>50</w:t>
                  </w:r>
                </w:p>
              </w:tc>
              <w:tc>
                <w:tcPr>
                  <w:tcW w:w="1325" w:type="dxa"/>
                  <w:vAlign w:val="center"/>
                </w:tcPr>
                <w:p>
                  <w:pPr>
                    <w:keepNext w:val="0"/>
                    <w:keepLines w:val="0"/>
                    <w:pageBreakBefore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cs="Times New Roman"/>
                      <w:sz w:val="21"/>
                      <w:szCs w:val="21"/>
                      <w:lang w:val="en-US" w:eastAsia="zh-CN" w:bidi="ar"/>
                    </w:rPr>
                    <w:t>0.03</w:t>
                  </w:r>
                </w:p>
              </w:tc>
              <w:tc>
                <w:tcPr>
                  <w:tcW w:w="1325" w:type="dxa"/>
                  <w:vAlign w:val="center"/>
                </w:tcPr>
                <w:p>
                  <w:pPr>
                    <w:keepNext w:val="0"/>
                    <w:keepLines w:val="0"/>
                    <w:pageBreakBefore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cs="Times New Roman"/>
                      <w:bCs/>
                      <w:color w:val="000000"/>
                      <w:sz w:val="21"/>
                      <w:szCs w:val="21"/>
                      <w:lang w:val="zh-CN"/>
                    </w:rPr>
                    <w:t>0.00</w:t>
                  </w:r>
                  <w:r>
                    <w:rPr>
                      <w:rFonts w:hint="eastAsia" w:ascii="Times New Roman" w:hAnsi="Times New Roman" w:cs="Times New Roman"/>
                      <w:bCs/>
                      <w:color w:val="000000"/>
                      <w:sz w:val="21"/>
                      <w:szCs w:val="21"/>
                      <w:lang w:val="en-US" w:eastAsia="zh-CN"/>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46" w:type="dxa"/>
                  <w:gridSpan w:val="6"/>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cs="Times New Roman"/>
                      <w:color w:val="000000"/>
                      <w:kern w:val="0"/>
                      <w:sz w:val="21"/>
                      <w:szCs w:val="21"/>
                      <w:lang w:val="en-US" w:eastAsia="zh-CN" w:bidi="ar"/>
                    </w:rPr>
                    <w:t>*</w:t>
                  </w:r>
                  <w:r>
                    <w:rPr>
                      <w:rFonts w:hint="default" w:ascii="Times New Roman" w:hAnsi="Times New Roman" w:cs="Times New Roman"/>
                      <w:bCs/>
                      <w:color w:val="000000"/>
                      <w:sz w:val="21"/>
                      <w:szCs w:val="21"/>
                      <w:lang w:val="zh-CN"/>
                    </w:rPr>
                    <w:t>废药品、废试剂等</w:t>
                  </w:r>
                  <w:r>
                    <w:rPr>
                      <w:rFonts w:hint="eastAsia" w:cs="Times New Roman"/>
                      <w:bCs/>
                      <w:color w:val="000000"/>
                      <w:sz w:val="21"/>
                      <w:szCs w:val="21"/>
                      <w:lang w:val="zh-CN"/>
                    </w:rPr>
                    <w:t>按附录中表</w:t>
                  </w:r>
                  <w:r>
                    <w:rPr>
                      <w:rFonts w:hint="eastAsia" w:cs="Times New Roman"/>
                      <w:bCs/>
                      <w:color w:val="000000"/>
                      <w:sz w:val="21"/>
                      <w:szCs w:val="21"/>
                      <w:lang w:val="en-US" w:eastAsia="zh-CN"/>
                    </w:rPr>
                    <w:t>B.2中健康危险急性毒性物质推荐量确定</w:t>
                  </w:r>
                </w:p>
              </w:tc>
            </w:tr>
          </w:tbl>
          <w:p>
            <w:pPr>
              <w:keepNext w:val="0"/>
              <w:keepLines w:val="0"/>
              <w:widowControl/>
              <w:suppressLineNumbers w:val="0"/>
              <w:spacing w:before="0" w:beforeAutospacing="0" w:after="0" w:afterAutospacing="0" w:line="360" w:lineRule="auto"/>
              <w:ind w:left="0" w:right="0" w:firstLine="480" w:firstLineChars="200"/>
              <w:jc w:val="left"/>
              <w:rPr>
                <w:color w:val="000000"/>
                <w:kern w:val="0"/>
                <w:sz w:val="24"/>
                <w:lang w:bidi="ar"/>
              </w:rPr>
            </w:pPr>
            <w:r>
              <w:rPr>
                <w:color w:val="000000"/>
                <w:kern w:val="0"/>
                <w:sz w:val="24"/>
                <w:lang w:bidi="ar"/>
              </w:rPr>
              <w:t>即本项目Q=</w:t>
            </w:r>
            <w:r>
              <w:rPr>
                <w:rFonts w:hint="eastAsia"/>
                <w:color w:val="000000"/>
                <w:kern w:val="0"/>
                <w:sz w:val="24"/>
                <w:lang w:val="en-US" w:eastAsia="zh-CN" w:bidi="ar"/>
              </w:rPr>
              <w:t>0.0006</w:t>
            </w:r>
            <w:r>
              <w:rPr>
                <w:color w:val="000000"/>
                <w:kern w:val="0"/>
                <w:sz w:val="24"/>
                <w:lang w:bidi="ar"/>
              </w:rPr>
              <w:t>＜1，本项目环境风险潜势为I</w:t>
            </w:r>
            <w:r>
              <w:rPr>
                <w:rFonts w:hint="eastAsia"/>
                <w:color w:val="000000"/>
                <w:kern w:val="0"/>
                <w:sz w:val="24"/>
                <w:lang w:bidi="ar"/>
              </w:rPr>
              <w:t>，可不设风险专项评价</w:t>
            </w:r>
            <w:r>
              <w:rPr>
                <w:color w:val="000000"/>
                <w:kern w:val="0"/>
                <w:sz w:val="24"/>
                <w:lang w:bidi="ar"/>
              </w:rPr>
              <w:t>。</w:t>
            </w:r>
          </w:p>
          <w:p>
            <w:pPr>
              <w:keepNext w:val="0"/>
              <w:keepLines w:val="0"/>
              <w:widowControl/>
              <w:suppressLineNumbers w:val="0"/>
              <w:spacing w:before="0" w:beforeAutospacing="0" w:after="0" w:afterAutospacing="0" w:line="360" w:lineRule="auto"/>
              <w:ind w:left="0" w:right="0" w:firstLine="480" w:firstLineChars="200"/>
              <w:jc w:val="left"/>
              <w:rPr>
                <w:color w:val="000000"/>
                <w:kern w:val="0"/>
                <w:sz w:val="24"/>
                <w:lang w:bidi="ar"/>
              </w:rPr>
            </w:pPr>
            <w:r>
              <w:rPr>
                <w:rFonts w:hint="eastAsia"/>
                <w:color w:val="000000"/>
                <w:kern w:val="0"/>
                <w:sz w:val="24"/>
                <w:lang w:bidi="ar"/>
              </w:rPr>
              <w:t>（3）影响途径</w:t>
            </w:r>
          </w:p>
          <w:p>
            <w:pPr>
              <w:keepNext w:val="0"/>
              <w:keepLines w:val="0"/>
              <w:widowControl/>
              <w:suppressLineNumbers w:val="0"/>
              <w:spacing w:before="0" w:beforeAutospacing="0" w:after="0" w:afterAutospacing="0" w:line="360" w:lineRule="auto"/>
              <w:ind w:left="0" w:right="0" w:firstLine="480" w:firstLineChars="200"/>
              <w:jc w:val="left"/>
              <w:rPr>
                <w:color w:val="000000"/>
                <w:kern w:val="0"/>
                <w:sz w:val="24"/>
                <w:lang w:bidi="ar"/>
              </w:rPr>
            </w:pPr>
            <w:r>
              <w:rPr>
                <w:rFonts w:hint="eastAsia"/>
                <w:color w:val="000000"/>
                <w:kern w:val="0"/>
                <w:sz w:val="24"/>
                <w:lang w:bidi="ar"/>
              </w:rPr>
              <w:t>该项目可能发生的事故风险类型为危险物质泄露等对</w:t>
            </w:r>
            <w:r>
              <w:rPr>
                <w:rFonts w:hint="eastAsia"/>
                <w:color w:val="000000"/>
                <w:kern w:val="0"/>
                <w:sz w:val="24"/>
                <w:lang w:eastAsia="zh-CN" w:bidi="ar"/>
              </w:rPr>
              <w:t>地下</w:t>
            </w:r>
            <w:r>
              <w:rPr>
                <w:rFonts w:hint="eastAsia"/>
                <w:color w:val="000000"/>
                <w:kern w:val="0"/>
                <w:sz w:val="24"/>
                <w:lang w:bidi="ar"/>
              </w:rPr>
              <w:t>水和土壤造成污染。</w:t>
            </w:r>
          </w:p>
          <w:p>
            <w:pPr>
              <w:keepNext w:val="0"/>
              <w:keepLines w:val="0"/>
              <w:pageBreakBefore w:val="0"/>
              <w:widowControl w:val="0"/>
              <w:suppressLineNumbers w:val="0"/>
              <w:tabs>
                <w:tab w:val="left" w:pos="851"/>
              </w:tabs>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b/>
                <w:bCs/>
                <w:sz w:val="21"/>
                <w:szCs w:val="21"/>
                <w:lang w:val="en-US" w:eastAsia="zh-CN"/>
              </w:rPr>
            </w:pPr>
            <w:r>
              <w:rPr>
                <w:rFonts w:hint="eastAsia"/>
                <w:b/>
                <w:bCs/>
                <w:sz w:val="21"/>
                <w:szCs w:val="21"/>
                <w:lang w:val="en-US" w:eastAsia="zh-CN"/>
              </w:rPr>
              <w:t>表4-7  风险事故可能影响的途径</w:t>
            </w:r>
          </w:p>
          <w:tbl>
            <w:tblPr>
              <w:tblStyle w:val="34"/>
              <w:tblW w:w="8075"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13"/>
              <w:gridCol w:w="1775"/>
              <w:gridCol w:w="1733"/>
              <w:gridCol w:w="395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4" w:hRule="atLeast"/>
                <w:jc w:val="center"/>
              </w:trPr>
              <w:tc>
                <w:tcPr>
                  <w:tcW w:w="613" w:type="dxa"/>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bidi="ar"/>
                    </w:rPr>
                  </w:pPr>
                  <w:r>
                    <w:rPr>
                      <w:rFonts w:hint="default" w:ascii="Times New Roman" w:hAnsi="Times New Roman" w:cs="Times New Roman"/>
                      <w:color w:val="000000"/>
                      <w:kern w:val="0"/>
                      <w:sz w:val="21"/>
                      <w:szCs w:val="21"/>
                      <w:lang w:bidi="ar"/>
                    </w:rPr>
                    <w:t>序号</w:t>
                  </w:r>
                </w:p>
              </w:tc>
              <w:tc>
                <w:tcPr>
                  <w:tcW w:w="1775" w:type="dxa"/>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bidi="ar"/>
                    </w:rPr>
                  </w:pPr>
                  <w:r>
                    <w:rPr>
                      <w:rFonts w:hint="default" w:ascii="Times New Roman" w:hAnsi="Times New Roman" w:cs="Times New Roman"/>
                      <w:color w:val="000000"/>
                      <w:kern w:val="0"/>
                      <w:sz w:val="21"/>
                      <w:szCs w:val="21"/>
                      <w:lang w:bidi="ar"/>
                    </w:rPr>
                    <w:t>危险物质/风险源</w:t>
                  </w:r>
                </w:p>
              </w:tc>
              <w:tc>
                <w:tcPr>
                  <w:tcW w:w="1733" w:type="dxa"/>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bidi="ar"/>
                    </w:rPr>
                  </w:pPr>
                  <w:r>
                    <w:rPr>
                      <w:rFonts w:hint="default" w:ascii="Times New Roman" w:hAnsi="Times New Roman" w:cs="Times New Roman"/>
                      <w:color w:val="000000"/>
                      <w:kern w:val="0"/>
                      <w:sz w:val="21"/>
                      <w:szCs w:val="21"/>
                      <w:lang w:bidi="ar"/>
                    </w:rPr>
                    <w:t>风险类型</w:t>
                  </w:r>
                </w:p>
              </w:tc>
              <w:tc>
                <w:tcPr>
                  <w:tcW w:w="3954" w:type="dxa"/>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bidi="ar"/>
                    </w:rPr>
                  </w:pPr>
                  <w:r>
                    <w:rPr>
                      <w:rFonts w:hint="default" w:ascii="Times New Roman" w:hAnsi="Times New Roman" w:cs="Times New Roman"/>
                      <w:color w:val="000000"/>
                      <w:kern w:val="0"/>
                      <w:sz w:val="21"/>
                      <w:szCs w:val="21"/>
                      <w:lang w:bidi="ar"/>
                    </w:rPr>
                    <w:t>影响类型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5" w:hRule="atLeast"/>
                <w:jc w:val="center"/>
              </w:trPr>
              <w:tc>
                <w:tcPr>
                  <w:tcW w:w="613" w:type="dxa"/>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bidi="ar"/>
                    </w:rPr>
                  </w:pPr>
                  <w:r>
                    <w:rPr>
                      <w:rFonts w:hint="eastAsia" w:ascii="Times New Roman" w:hAnsi="Times New Roman" w:cs="Times New Roman"/>
                      <w:color w:val="000000"/>
                      <w:kern w:val="0"/>
                      <w:sz w:val="21"/>
                      <w:szCs w:val="21"/>
                      <w:lang w:bidi="ar"/>
                    </w:rPr>
                    <w:t>1</w:t>
                  </w:r>
                </w:p>
              </w:tc>
              <w:tc>
                <w:tcPr>
                  <w:tcW w:w="1775" w:type="dxa"/>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eastAsia="zh-CN" w:bidi="ar"/>
                    </w:rPr>
                  </w:pPr>
                  <w:r>
                    <w:rPr>
                      <w:rFonts w:hint="eastAsia" w:cs="Times New Roman"/>
                      <w:color w:val="000000"/>
                      <w:kern w:val="0"/>
                      <w:sz w:val="21"/>
                      <w:szCs w:val="21"/>
                      <w:lang w:eastAsia="zh-CN" w:bidi="ar"/>
                    </w:rPr>
                    <w:t>医疗废物</w:t>
                  </w:r>
                </w:p>
              </w:tc>
              <w:tc>
                <w:tcPr>
                  <w:tcW w:w="1733" w:type="dxa"/>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eastAsia="zh-CN" w:bidi="ar"/>
                    </w:rPr>
                  </w:pPr>
                  <w:r>
                    <w:rPr>
                      <w:rFonts w:hint="eastAsia" w:ascii="Times New Roman" w:hAnsi="Times New Roman" w:cs="Times New Roman"/>
                      <w:color w:val="000000"/>
                      <w:kern w:val="0"/>
                      <w:sz w:val="21"/>
                      <w:szCs w:val="21"/>
                      <w:lang w:eastAsia="zh-CN" w:bidi="ar"/>
                    </w:rPr>
                    <w:t>泄漏</w:t>
                  </w:r>
                </w:p>
              </w:tc>
              <w:tc>
                <w:tcPr>
                  <w:tcW w:w="3954" w:type="dxa"/>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eastAsia="zh-CN" w:bidi="ar"/>
                    </w:rPr>
                  </w:pPr>
                  <w:r>
                    <w:rPr>
                      <w:rFonts w:hint="eastAsia" w:ascii="Times New Roman" w:hAnsi="Times New Roman" w:cs="Times New Roman"/>
                      <w:color w:val="000000"/>
                      <w:kern w:val="0"/>
                      <w:sz w:val="21"/>
                      <w:szCs w:val="21"/>
                      <w:lang w:eastAsia="zh-CN" w:bidi="ar"/>
                    </w:rPr>
                    <w:t>泄漏</w:t>
                  </w:r>
                  <w:r>
                    <w:rPr>
                      <w:rFonts w:hint="eastAsia" w:cs="Times New Roman"/>
                      <w:color w:val="000000"/>
                      <w:kern w:val="0"/>
                      <w:sz w:val="21"/>
                      <w:szCs w:val="21"/>
                      <w:lang w:eastAsia="zh-CN" w:bidi="ar"/>
                    </w:rPr>
                    <w:t>对土壤和地下水产生不利影响</w:t>
                  </w:r>
                </w:p>
              </w:tc>
            </w:tr>
          </w:tbl>
          <w:p>
            <w:pPr>
              <w:keepNext w:val="0"/>
              <w:keepLines w:val="0"/>
              <w:widowControl/>
              <w:suppressLineNumbers w:val="0"/>
              <w:spacing w:before="0" w:beforeAutospacing="0" w:after="0" w:afterAutospacing="0" w:line="360" w:lineRule="auto"/>
              <w:ind w:left="0" w:right="0" w:firstLine="480" w:firstLineChars="200"/>
              <w:jc w:val="left"/>
              <w:rPr>
                <w:color w:val="000000"/>
                <w:kern w:val="0"/>
                <w:sz w:val="24"/>
                <w:lang w:bidi="ar"/>
              </w:rPr>
            </w:pPr>
            <w:r>
              <w:rPr>
                <w:rFonts w:hint="eastAsia"/>
                <w:color w:val="000000"/>
                <w:kern w:val="0"/>
                <w:sz w:val="24"/>
                <w:lang w:eastAsia="zh-CN" w:bidi="ar"/>
              </w:rPr>
              <w:t>（</w:t>
            </w:r>
            <w:r>
              <w:rPr>
                <w:rFonts w:hint="eastAsia"/>
                <w:color w:val="000000"/>
                <w:kern w:val="0"/>
                <w:sz w:val="24"/>
                <w:lang w:val="en-US" w:eastAsia="zh-CN" w:bidi="ar"/>
              </w:rPr>
              <w:t>4</w:t>
            </w:r>
            <w:r>
              <w:rPr>
                <w:rFonts w:hint="eastAsia"/>
                <w:color w:val="000000"/>
                <w:kern w:val="0"/>
                <w:sz w:val="24"/>
                <w:lang w:eastAsia="zh-CN" w:bidi="ar"/>
              </w:rPr>
              <w:t>）</w:t>
            </w:r>
            <w:r>
              <w:rPr>
                <w:rFonts w:hint="eastAsia"/>
                <w:color w:val="000000"/>
                <w:kern w:val="0"/>
                <w:sz w:val="24"/>
                <w:lang w:bidi="ar"/>
              </w:rPr>
              <w:t>环境风险防控措施</w:t>
            </w:r>
          </w:p>
          <w:p>
            <w:pPr>
              <w:keepNext w:val="0"/>
              <w:keepLines w:val="0"/>
              <w:widowControl/>
              <w:suppressLineNumbers w:val="0"/>
              <w:spacing w:before="0" w:beforeAutospacing="0" w:after="0" w:afterAutospacing="0"/>
              <w:ind w:left="0" w:right="0"/>
              <w:jc w:val="left"/>
              <w:rPr>
                <w:rFonts w:hint="eastAsia" w:ascii="宋体" w:hAnsi="宋体" w:eastAsia="宋体" w:cs="宋体"/>
                <w:color w:val="000000"/>
                <w:kern w:val="0"/>
                <w:sz w:val="24"/>
                <w:szCs w:val="24"/>
                <w:lang w:val="en-US" w:eastAsia="zh-CN" w:bidi="ar"/>
              </w:rPr>
            </w:pPr>
            <w:r>
              <w:rPr>
                <w:color w:val="000000"/>
                <w:kern w:val="0"/>
                <w:sz w:val="24"/>
                <w:lang w:bidi="ar"/>
              </w:rPr>
              <w:t>1</w:t>
            </w:r>
            <w:r>
              <w:rPr>
                <w:rFonts w:hint="eastAsia"/>
                <w:color w:val="000000"/>
                <w:kern w:val="0"/>
                <w:sz w:val="24"/>
                <w:lang w:bidi="ar"/>
              </w:rPr>
              <w:t>）</w:t>
            </w:r>
            <w:r>
              <w:rPr>
                <w:rFonts w:hint="eastAsia"/>
                <w:color w:val="000000"/>
                <w:kern w:val="0"/>
                <w:sz w:val="24"/>
                <w:lang w:eastAsia="zh-CN" w:bidi="ar"/>
              </w:rPr>
              <w:t>医疗废物</w:t>
            </w:r>
            <w:r>
              <w:rPr>
                <w:rFonts w:hint="eastAsia"/>
                <w:color w:val="000000"/>
                <w:kern w:val="0"/>
                <w:sz w:val="24"/>
                <w:lang w:bidi="ar"/>
              </w:rPr>
              <w:t>暂存间储存区域进行重点防渗处理，</w:t>
            </w:r>
            <w:r>
              <w:rPr>
                <w:rFonts w:hint="eastAsia" w:ascii="宋体" w:hAnsi="宋体" w:eastAsia="宋体" w:cs="宋体"/>
                <w:color w:val="000000"/>
                <w:kern w:val="0"/>
                <w:sz w:val="24"/>
                <w:szCs w:val="24"/>
                <w:lang w:val="en-US" w:eastAsia="zh-CN" w:bidi="ar"/>
              </w:rPr>
              <w:t>液体</w:t>
            </w:r>
            <w:r>
              <w:rPr>
                <w:rFonts w:hint="eastAsia" w:ascii="宋体" w:hAnsi="宋体" w:cs="宋体"/>
                <w:color w:val="000000"/>
                <w:kern w:val="0"/>
                <w:sz w:val="24"/>
                <w:szCs w:val="24"/>
                <w:lang w:val="en-US" w:eastAsia="zh-CN" w:bidi="ar"/>
              </w:rPr>
              <w:t>危废</w:t>
            </w:r>
            <w:r>
              <w:rPr>
                <w:rFonts w:hint="eastAsia" w:ascii="宋体" w:hAnsi="宋体" w:eastAsia="宋体" w:cs="宋体"/>
                <w:color w:val="000000"/>
                <w:kern w:val="0"/>
                <w:sz w:val="24"/>
                <w:szCs w:val="24"/>
                <w:lang w:val="en-US" w:eastAsia="zh-CN" w:bidi="ar"/>
              </w:rPr>
              <w:t>发生撒漏时，应立即将外包装破损的液体危废转移至完好的包装物内，用废纸或棉纱吸收撒漏的废液，并将撒漏地点擦拭干净，产生的废包装物、废纸或废棉纱暂存至危废贮存点，按照危险废物处理。固体危废发生撒漏时，应立即将外包装破损的固体危废转移至完好的包装物内，量少时小心扫起撒漏的固废，量大时先用塑料布等覆盖，减少飞散，尽可能回收。</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FF0000"/>
                <w:kern w:val="0"/>
                <w:sz w:val="24"/>
                <w:lang w:val="en-US" w:eastAsia="zh-CN" w:bidi="ar"/>
              </w:rPr>
            </w:pPr>
            <w:r>
              <w:rPr>
                <w:rFonts w:hint="eastAsia" w:ascii="Times New Roman" w:hAnsi="Times New Roman" w:eastAsia="宋体" w:cs="Times New Roman"/>
                <w:color w:val="FF0000"/>
                <w:kern w:val="0"/>
                <w:sz w:val="24"/>
                <w:lang w:val="en-US" w:eastAsia="zh-CN" w:bidi="ar"/>
              </w:rPr>
              <w:t>2）</w:t>
            </w:r>
            <w:r>
              <w:rPr>
                <w:rFonts w:hint="eastAsia" w:ascii="Times New Roman" w:hAnsi="Times New Roman" w:eastAsia="宋体" w:cs="Times New Roman"/>
                <w:color w:val="FF0000"/>
                <w:kern w:val="0"/>
                <w:sz w:val="24"/>
                <w:lang w:eastAsia="zh-CN" w:bidi="ar"/>
              </w:rPr>
              <w:t>医疗废物</w:t>
            </w:r>
            <w:r>
              <w:rPr>
                <w:rFonts w:hint="eastAsia" w:ascii="Times New Roman" w:hAnsi="Times New Roman" w:eastAsia="宋体" w:cs="Times New Roman"/>
                <w:color w:val="FF0000"/>
                <w:kern w:val="0"/>
                <w:sz w:val="24"/>
                <w:lang w:bidi="ar"/>
              </w:rPr>
              <w:t>暂存间</w:t>
            </w:r>
            <w:r>
              <w:rPr>
                <w:rFonts w:hint="eastAsia" w:ascii="Times New Roman" w:hAnsi="Times New Roman" w:eastAsia="宋体" w:cs="Times New Roman"/>
                <w:color w:val="FF0000"/>
                <w:kern w:val="0"/>
                <w:sz w:val="24"/>
                <w:lang w:eastAsia="zh-CN" w:bidi="ar"/>
              </w:rPr>
              <w:t>每天采用复合亚氯酸钠或酒精进行消毒，消毒液每天用量约</w:t>
            </w:r>
            <w:r>
              <w:rPr>
                <w:rFonts w:hint="eastAsia" w:ascii="Times New Roman" w:hAnsi="Times New Roman" w:eastAsia="宋体" w:cs="Times New Roman"/>
                <w:color w:val="FF0000"/>
                <w:kern w:val="0"/>
                <w:sz w:val="24"/>
                <w:lang w:val="en-US" w:eastAsia="zh-CN" w:bidi="ar"/>
              </w:rPr>
              <w:t>0.005m</w:t>
            </w:r>
            <w:r>
              <w:rPr>
                <w:rFonts w:hint="eastAsia" w:ascii="Times New Roman" w:hAnsi="Times New Roman" w:eastAsia="宋体" w:cs="Times New Roman"/>
                <w:color w:val="FF0000"/>
                <w:kern w:val="0"/>
                <w:sz w:val="24"/>
                <w:vertAlign w:val="superscript"/>
                <w:lang w:val="en-US" w:eastAsia="zh-CN" w:bidi="ar"/>
              </w:rPr>
              <w:t>3</w:t>
            </w:r>
            <w:r>
              <w:rPr>
                <w:rFonts w:hint="eastAsia" w:ascii="Times New Roman" w:hAnsi="Times New Roman" w:eastAsia="宋体" w:cs="Times New Roman"/>
                <w:color w:val="FF0000"/>
                <w:kern w:val="0"/>
                <w:sz w:val="24"/>
                <w:lang w:val="en-US" w:eastAsia="zh-CN" w:bidi="ar"/>
              </w:rPr>
              <w:t>，</w:t>
            </w:r>
            <w:r>
              <w:rPr>
                <w:rFonts w:hint="eastAsia" w:ascii="Times New Roman" w:hAnsi="Times New Roman" w:eastAsia="宋体" w:cs="Times New Roman"/>
                <w:color w:val="FF0000"/>
                <w:kern w:val="0"/>
                <w:sz w:val="24"/>
                <w:lang w:eastAsia="zh-CN" w:bidi="ar"/>
              </w:rPr>
              <w:t>消毒废液收集后与医疗废物一同委托有资质单位处理。项目医疗废物</w:t>
            </w:r>
            <w:r>
              <w:rPr>
                <w:rFonts w:hint="eastAsia" w:ascii="Times New Roman" w:hAnsi="Times New Roman" w:eastAsia="宋体" w:cs="Times New Roman"/>
                <w:color w:val="FF0000"/>
                <w:kern w:val="0"/>
                <w:sz w:val="24"/>
                <w:lang w:bidi="ar"/>
              </w:rPr>
              <w:t>暂存间</w:t>
            </w:r>
            <w:r>
              <w:rPr>
                <w:rFonts w:ascii="Times New Roman" w:hAnsi="Times New Roman" w:eastAsia="宋体" w:cs="Times New Roman"/>
                <w:color w:val="FF0000"/>
                <w:kern w:val="0"/>
                <w:sz w:val="24"/>
                <w:lang w:bidi="ar"/>
              </w:rPr>
              <w:t>分</w:t>
            </w:r>
            <w:r>
              <w:rPr>
                <w:rFonts w:hint="eastAsia" w:ascii="Times New Roman" w:hAnsi="Times New Roman" w:eastAsia="宋体" w:cs="Times New Roman"/>
                <w:color w:val="FF0000"/>
                <w:kern w:val="0"/>
                <w:sz w:val="24"/>
                <w:lang w:eastAsia="zh-CN" w:bidi="ar"/>
              </w:rPr>
              <w:t>五</w:t>
            </w:r>
            <w:r>
              <w:rPr>
                <w:rFonts w:ascii="Times New Roman" w:hAnsi="Times New Roman" w:eastAsia="宋体" w:cs="Times New Roman"/>
                <w:color w:val="FF0000"/>
                <w:kern w:val="0"/>
                <w:sz w:val="24"/>
                <w:lang w:bidi="ar"/>
              </w:rPr>
              <w:t>个区域</w:t>
            </w:r>
            <w:r>
              <w:rPr>
                <w:rFonts w:hint="eastAsia" w:ascii="Times New Roman" w:hAnsi="Times New Roman" w:eastAsia="宋体" w:cs="Times New Roman"/>
                <w:color w:val="FF0000"/>
                <w:kern w:val="0"/>
                <w:sz w:val="24"/>
                <w:lang w:eastAsia="zh-CN" w:bidi="ar"/>
              </w:rPr>
              <w:t>暂存不同种类的医疗废物</w:t>
            </w:r>
            <w:r>
              <w:rPr>
                <w:rFonts w:hint="default" w:ascii="Times New Roman" w:hAnsi="Times New Roman" w:eastAsia="宋体" w:cs="Times New Roman"/>
                <w:color w:val="FF0000"/>
                <w:kern w:val="0"/>
                <w:sz w:val="24"/>
                <w:lang w:val="en-US" w:eastAsia="zh-CN" w:bidi="ar"/>
              </w:rPr>
              <w:t>，</w:t>
            </w:r>
            <w:r>
              <w:rPr>
                <w:rFonts w:hint="eastAsia" w:ascii="Times New Roman" w:hAnsi="Times New Roman" w:eastAsia="宋体" w:cs="Times New Roman"/>
                <w:color w:val="FF0000"/>
                <w:kern w:val="0"/>
                <w:sz w:val="24"/>
                <w:lang w:val="en-US" w:eastAsia="zh-CN" w:bidi="ar"/>
              </w:rPr>
              <w:t>四周设置导流槽，</w:t>
            </w:r>
            <w:r>
              <w:rPr>
                <w:rFonts w:hint="eastAsia" w:ascii="Times New Roman" w:hAnsi="Times New Roman" w:eastAsia="宋体" w:cs="Times New Roman"/>
                <w:color w:val="FF0000"/>
                <w:kern w:val="0"/>
                <w:sz w:val="24"/>
                <w:lang w:bidi="ar"/>
              </w:rPr>
              <w:t>在东南角</w:t>
            </w:r>
            <w:r>
              <w:rPr>
                <w:rFonts w:hint="eastAsia" w:ascii="Times New Roman" w:hAnsi="Times New Roman" w:eastAsia="宋体" w:cs="Times New Roman"/>
                <w:color w:val="FF0000"/>
                <w:kern w:val="0"/>
                <w:sz w:val="24"/>
                <w:lang w:eastAsia="zh-CN" w:bidi="ar"/>
              </w:rPr>
              <w:t>设</w:t>
            </w:r>
            <w:r>
              <w:rPr>
                <w:rFonts w:hint="eastAsia" w:ascii="Times New Roman" w:hAnsi="Times New Roman" w:eastAsia="宋体" w:cs="Times New Roman"/>
                <w:color w:val="FF0000"/>
                <w:kern w:val="0"/>
                <w:sz w:val="24"/>
                <w:lang w:bidi="ar"/>
              </w:rPr>
              <w:t>1</w:t>
            </w:r>
            <w:r>
              <w:rPr>
                <w:rFonts w:ascii="Times New Roman" w:hAnsi="Times New Roman" w:eastAsia="宋体" w:cs="Times New Roman"/>
                <w:color w:val="FF0000"/>
                <w:kern w:val="0"/>
                <w:sz w:val="24"/>
                <w:lang w:bidi="ar"/>
              </w:rPr>
              <w:t>个</w:t>
            </w:r>
            <w:r>
              <w:rPr>
                <w:rFonts w:hint="eastAsia" w:ascii="Times New Roman" w:hAnsi="Times New Roman" w:eastAsia="宋体" w:cs="Times New Roman"/>
                <w:color w:val="FF0000"/>
                <w:kern w:val="0"/>
                <w:sz w:val="24"/>
                <w:lang w:bidi="ar"/>
              </w:rPr>
              <w:t>0.</w:t>
            </w:r>
            <w:r>
              <w:rPr>
                <w:rFonts w:hint="eastAsia" w:ascii="Times New Roman" w:hAnsi="Times New Roman" w:eastAsia="宋体" w:cs="Times New Roman"/>
                <w:color w:val="FF0000"/>
                <w:kern w:val="0"/>
                <w:sz w:val="24"/>
                <w:lang w:val="en-US" w:eastAsia="zh-CN" w:bidi="ar"/>
              </w:rPr>
              <w:t>1</w:t>
            </w:r>
            <w:r>
              <w:rPr>
                <w:rFonts w:ascii="Times New Roman" w:hAnsi="Times New Roman" w:eastAsia="宋体" w:cs="Times New Roman"/>
                <w:color w:val="FF0000"/>
                <w:kern w:val="0"/>
                <w:sz w:val="24"/>
                <w:lang w:bidi="ar"/>
              </w:rPr>
              <w:t>m</w:t>
            </w:r>
            <w:r>
              <w:rPr>
                <w:rFonts w:ascii="Times New Roman" w:hAnsi="Times New Roman" w:eastAsia="宋体" w:cs="Times New Roman"/>
                <w:color w:val="FF0000"/>
                <w:kern w:val="0"/>
                <w:sz w:val="24"/>
                <w:vertAlign w:val="superscript"/>
                <w:lang w:bidi="ar"/>
              </w:rPr>
              <w:t>3</w:t>
            </w:r>
            <w:r>
              <w:rPr>
                <w:rFonts w:ascii="Times New Roman" w:hAnsi="Times New Roman" w:eastAsia="宋体" w:cs="Times New Roman"/>
                <w:color w:val="FF0000"/>
                <w:kern w:val="0"/>
                <w:sz w:val="24"/>
                <w:lang w:bidi="ar"/>
              </w:rPr>
              <w:t>的集液</w:t>
            </w:r>
            <w:r>
              <w:rPr>
                <w:rFonts w:hint="eastAsia" w:ascii="Times New Roman" w:hAnsi="Times New Roman" w:eastAsia="宋体" w:cs="Times New Roman"/>
                <w:color w:val="FF0000"/>
                <w:kern w:val="0"/>
                <w:sz w:val="24"/>
                <w:lang w:eastAsia="zh-CN" w:bidi="ar"/>
              </w:rPr>
              <w:t>池收集可能产生的泄露废液和消毒废液，泄露废液最大容积为</w:t>
            </w:r>
            <w:r>
              <w:rPr>
                <w:rFonts w:hint="eastAsia" w:ascii="Times New Roman" w:hAnsi="Times New Roman" w:eastAsia="宋体" w:cs="Times New Roman"/>
                <w:color w:val="FF0000"/>
                <w:kern w:val="0"/>
                <w:sz w:val="24"/>
                <w:lang w:val="en-US" w:eastAsia="zh-CN" w:bidi="ar"/>
              </w:rPr>
              <w:t>0.05m</w:t>
            </w:r>
            <w:r>
              <w:rPr>
                <w:rFonts w:hint="eastAsia" w:ascii="Times New Roman" w:hAnsi="Times New Roman" w:eastAsia="宋体" w:cs="Times New Roman"/>
                <w:color w:val="FF0000"/>
                <w:kern w:val="0"/>
                <w:sz w:val="24"/>
                <w:vertAlign w:val="superscript"/>
                <w:lang w:val="en-US" w:eastAsia="zh-CN" w:bidi="ar"/>
              </w:rPr>
              <w:t>3</w:t>
            </w:r>
            <w:r>
              <w:rPr>
                <w:rFonts w:hint="eastAsia" w:ascii="Times New Roman" w:hAnsi="Times New Roman" w:eastAsia="宋体" w:cs="Times New Roman"/>
                <w:color w:val="FF0000"/>
                <w:kern w:val="0"/>
                <w:sz w:val="24"/>
                <w:vertAlign w:val="baseline"/>
                <w:lang w:val="en-US" w:eastAsia="zh-CN" w:bidi="ar"/>
              </w:rPr>
              <w:t>，因此，</w:t>
            </w:r>
            <w:r>
              <w:rPr>
                <w:rFonts w:hint="eastAsia" w:ascii="Times New Roman" w:hAnsi="Times New Roman" w:eastAsia="宋体" w:cs="Times New Roman"/>
                <w:color w:val="FF0000"/>
                <w:kern w:val="0"/>
                <w:sz w:val="24"/>
                <w:lang w:eastAsia="zh-CN" w:bidi="ar"/>
              </w:rPr>
              <w:t>可满足要求。</w:t>
            </w:r>
          </w:p>
          <w:p>
            <w:pPr>
              <w:keepNext w:val="0"/>
              <w:keepLines w:val="0"/>
              <w:widowControl/>
              <w:suppressLineNumbers w:val="0"/>
              <w:spacing w:before="0" w:beforeAutospacing="0" w:after="0" w:afterAutospacing="0"/>
              <w:ind w:left="0" w:right="0"/>
              <w:jc w:val="left"/>
            </w:pPr>
            <w:r>
              <w:rPr>
                <w:rFonts w:hint="eastAsia" w:cs="Times New Roman"/>
                <w:color w:val="000000"/>
                <w:kern w:val="0"/>
                <w:sz w:val="24"/>
                <w:szCs w:val="24"/>
                <w:lang w:val="en-US" w:eastAsia="zh-CN" w:bidi="ar"/>
              </w:rPr>
              <w:t>3</w:t>
            </w:r>
            <w:r>
              <w:rPr>
                <w:rFonts w:hint="eastAsia" w:ascii="宋体" w:hAnsi="宋体" w:eastAsia="宋体" w:cs="宋体"/>
                <w:color w:val="000000"/>
                <w:kern w:val="0"/>
                <w:sz w:val="24"/>
                <w:szCs w:val="24"/>
                <w:lang w:val="en-US" w:eastAsia="zh-CN" w:bidi="ar"/>
              </w:rPr>
              <w:t>）企业应进行定期、不定期的自检自查各类危废包装物的完好状态，并对相应人员进行培训，提高相应人员责任心，避免危险废物意外撒漏事件的发生。</w:t>
            </w:r>
          </w:p>
          <w:p>
            <w:pPr>
              <w:keepNext w:val="0"/>
              <w:keepLines w:val="0"/>
              <w:widowControl/>
              <w:suppressLineNumbers w:val="0"/>
              <w:spacing w:before="0" w:beforeAutospacing="0" w:after="0" w:afterAutospacing="0" w:line="360" w:lineRule="auto"/>
              <w:ind w:left="0" w:right="0" w:firstLine="480" w:firstLineChars="200"/>
              <w:jc w:val="left"/>
              <w:rPr>
                <w:color w:val="000000"/>
                <w:kern w:val="0"/>
                <w:sz w:val="24"/>
                <w:lang w:bidi="ar"/>
              </w:rPr>
            </w:pPr>
            <w:r>
              <w:rPr>
                <w:rFonts w:hint="eastAsia"/>
                <w:color w:val="000000"/>
                <w:kern w:val="0"/>
                <w:sz w:val="24"/>
                <w:lang w:val="en-US" w:eastAsia="zh-CN" w:bidi="ar"/>
              </w:rPr>
              <w:t>4</w:t>
            </w:r>
            <w:r>
              <w:rPr>
                <w:rFonts w:hint="eastAsia"/>
                <w:color w:val="000000"/>
                <w:kern w:val="0"/>
                <w:sz w:val="24"/>
                <w:lang w:bidi="ar"/>
              </w:rPr>
              <w:t>）制定各项安全生产管理制度、严格的生产操作规则和完善的事故应急计划及相应的应急处理手段和设施，同时加强安全教育，以提高员工的安全意识和安全防范能力。</w:t>
            </w:r>
          </w:p>
          <w:p>
            <w:pPr>
              <w:keepNext w:val="0"/>
              <w:keepLines w:val="0"/>
              <w:widowControl/>
              <w:suppressLineNumbers w:val="0"/>
              <w:spacing w:before="0" w:beforeAutospacing="0" w:after="0" w:afterAutospacing="0" w:line="360" w:lineRule="auto"/>
              <w:ind w:left="0" w:right="0" w:firstLine="480" w:firstLineChars="200"/>
              <w:jc w:val="left"/>
              <w:rPr>
                <w:color w:val="000000"/>
                <w:kern w:val="0"/>
                <w:sz w:val="24"/>
                <w:lang w:bidi="ar"/>
              </w:rPr>
            </w:pPr>
            <w:r>
              <w:rPr>
                <w:rFonts w:hint="eastAsia"/>
                <w:color w:val="000000"/>
                <w:kern w:val="0"/>
                <w:sz w:val="24"/>
                <w:lang w:bidi="ar"/>
              </w:rPr>
              <w:t>（</w:t>
            </w:r>
            <w:r>
              <w:rPr>
                <w:rFonts w:hint="eastAsia"/>
                <w:color w:val="000000"/>
                <w:kern w:val="0"/>
                <w:sz w:val="24"/>
                <w:lang w:val="en-US" w:eastAsia="zh-CN" w:bidi="ar"/>
              </w:rPr>
              <w:t>5</w:t>
            </w:r>
            <w:r>
              <w:rPr>
                <w:rFonts w:hint="eastAsia"/>
                <w:color w:val="000000"/>
                <w:kern w:val="0"/>
                <w:sz w:val="24"/>
                <w:lang w:bidi="ar"/>
              </w:rPr>
              <w:t>）应急要求</w:t>
            </w:r>
          </w:p>
          <w:p>
            <w:pPr>
              <w:keepNext w:val="0"/>
              <w:keepLines w:val="0"/>
              <w:widowControl/>
              <w:suppressLineNumbers w:val="0"/>
              <w:spacing w:before="0" w:beforeAutospacing="0" w:after="0" w:afterAutospacing="0" w:line="360" w:lineRule="auto"/>
              <w:ind w:left="0" w:right="0" w:firstLine="480" w:firstLineChars="200"/>
              <w:jc w:val="left"/>
              <w:rPr>
                <w:color w:val="000000"/>
                <w:kern w:val="0"/>
                <w:sz w:val="24"/>
                <w:lang w:bidi="ar"/>
              </w:rPr>
            </w:pPr>
            <w:r>
              <w:rPr>
                <w:color w:val="000000"/>
                <w:kern w:val="0"/>
                <w:sz w:val="24"/>
                <w:lang w:bidi="ar"/>
              </w:rPr>
              <w:t>根据《突发环境事件应急管理办法》（环境保护部令第34号）、《企业事业单位突发环境事件应急预案备案管理办法（试行）》（环发[2015]4号）、《环境保护部办公厅关于印发〈企业事业单位突发环境事件应急预案评审工作指南（试行）〉的通知》（环办应急[2018]8号）、《关于进一步加强环境影响评价管理防范环境风险的通知》（环发[2012]77号）等的规定和要求，建设单位应编制突发环境事件应急预案，并向企业所在地</w:t>
            </w:r>
            <w:r>
              <w:rPr>
                <w:rFonts w:hint="eastAsia"/>
                <w:color w:val="000000"/>
                <w:kern w:val="0"/>
                <w:sz w:val="24"/>
                <w:lang w:bidi="ar"/>
              </w:rPr>
              <w:t>生态</w:t>
            </w:r>
            <w:r>
              <w:rPr>
                <w:color w:val="000000"/>
                <w:kern w:val="0"/>
                <w:sz w:val="24"/>
                <w:lang w:bidi="ar"/>
              </w:rPr>
              <w:t>环境主管部门备案，同时，环境应急预案应每三年或发生生产工艺和技术变化、周围环境保护目标发生变化、相关法律法规等发生变化及其他情形的，建设单位应重新修订环境应急预案，并向</w:t>
            </w:r>
            <w:r>
              <w:rPr>
                <w:rFonts w:hint="eastAsia"/>
                <w:color w:val="000000"/>
                <w:kern w:val="0"/>
                <w:sz w:val="24"/>
                <w:lang w:bidi="ar"/>
              </w:rPr>
              <w:t>生态</w:t>
            </w:r>
            <w:r>
              <w:rPr>
                <w:color w:val="000000"/>
                <w:kern w:val="0"/>
                <w:sz w:val="24"/>
                <w:lang w:bidi="ar"/>
              </w:rPr>
              <w:t>环境保护主管部门重新备案。</w:t>
            </w:r>
          </w:p>
          <w:p>
            <w:pPr>
              <w:keepNext w:val="0"/>
              <w:keepLines w:val="0"/>
              <w:widowControl/>
              <w:suppressLineNumbers w:val="0"/>
              <w:spacing w:before="0" w:beforeAutospacing="0" w:after="0" w:afterAutospacing="0" w:line="360" w:lineRule="auto"/>
              <w:ind w:left="0" w:right="0" w:firstLine="480" w:firstLineChars="200"/>
              <w:jc w:val="left"/>
              <w:rPr>
                <w:rFonts w:hint="eastAsia"/>
                <w:color w:val="000000"/>
                <w:kern w:val="0"/>
                <w:sz w:val="24"/>
                <w:lang w:bidi="ar"/>
              </w:rPr>
            </w:pPr>
            <w:r>
              <w:rPr>
                <w:rFonts w:hint="eastAsia"/>
                <w:color w:val="000000"/>
                <w:kern w:val="0"/>
                <w:sz w:val="24"/>
                <w:lang w:eastAsia="zh-CN" w:bidi="ar"/>
              </w:rPr>
              <w:t>（</w:t>
            </w:r>
            <w:r>
              <w:rPr>
                <w:rFonts w:hint="eastAsia"/>
                <w:color w:val="000000"/>
                <w:kern w:val="0"/>
                <w:sz w:val="24"/>
                <w:lang w:val="en-US" w:eastAsia="zh-CN" w:bidi="ar"/>
              </w:rPr>
              <w:t>6</w:t>
            </w:r>
            <w:r>
              <w:rPr>
                <w:rFonts w:hint="eastAsia"/>
                <w:color w:val="000000"/>
                <w:kern w:val="0"/>
                <w:sz w:val="24"/>
                <w:lang w:eastAsia="zh-CN" w:bidi="ar"/>
              </w:rPr>
              <w:t>）</w:t>
            </w:r>
            <w:r>
              <w:rPr>
                <w:rFonts w:hint="eastAsia"/>
                <w:color w:val="000000"/>
                <w:kern w:val="0"/>
                <w:sz w:val="24"/>
                <w:lang w:bidi="ar"/>
              </w:rPr>
              <w:t>分析结论</w:t>
            </w:r>
          </w:p>
          <w:p>
            <w:pPr>
              <w:keepNext w:val="0"/>
              <w:keepLines w:val="0"/>
              <w:suppressLineNumbers w:val="0"/>
              <w:adjustRightInd w:val="0"/>
              <w:snapToGrid w:val="0"/>
              <w:spacing w:before="0" w:beforeAutospacing="0" w:after="0" w:afterAutospacing="0" w:line="360" w:lineRule="auto"/>
              <w:ind w:left="0" w:right="0" w:firstLine="480" w:firstLineChars="200"/>
              <w:jc w:val="left"/>
              <w:rPr>
                <w:bCs/>
                <w:sz w:val="24"/>
              </w:rPr>
            </w:pPr>
            <w:r>
              <w:rPr>
                <w:sz w:val="24"/>
              </w:rPr>
              <w:t>综上所述，本项目</w:t>
            </w:r>
            <w:r>
              <w:rPr>
                <w:rFonts w:hint="eastAsia"/>
                <w:sz w:val="24"/>
                <w:lang w:eastAsia="zh-CN"/>
              </w:rPr>
              <w:t>医疗废物暂存间风险物质</w:t>
            </w:r>
            <w:r>
              <w:rPr>
                <w:sz w:val="24"/>
              </w:rPr>
              <w:t>存储量小于临界量，项目存在泄漏火事故类型，其环境风险影响范围主要集中在</w:t>
            </w:r>
            <w:r>
              <w:rPr>
                <w:rFonts w:hint="eastAsia"/>
                <w:sz w:val="24"/>
              </w:rPr>
              <w:t>厂区范围</w:t>
            </w:r>
            <w:r>
              <w:rPr>
                <w:sz w:val="24"/>
              </w:rPr>
              <w:t>内。项目采取了一系列事故防范措施，当出现事故时，通过采取紧急的应急措施和必要的社会应急措施，环境风险的影响是短暂的，在事故妥善处理后，周围环境质量可以恢复原状。本项目事故环境风险为可防控的。</w:t>
            </w:r>
          </w:p>
          <w:p>
            <w:pPr>
              <w:keepNext w:val="0"/>
              <w:keepLines w:val="0"/>
              <w:pageBreakBefore w:val="0"/>
              <w:widowControl w:val="0"/>
              <w:suppressLineNumbers w:val="0"/>
              <w:tabs>
                <w:tab w:val="left" w:pos="851"/>
              </w:tabs>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b/>
                <w:bCs/>
                <w:sz w:val="21"/>
                <w:szCs w:val="21"/>
                <w:lang w:val="zh-CN" w:eastAsia="zh-CN"/>
              </w:rPr>
            </w:pPr>
            <w:r>
              <w:rPr>
                <w:rFonts w:hint="eastAsia"/>
                <w:b/>
                <w:bCs/>
                <w:sz w:val="21"/>
                <w:szCs w:val="21"/>
                <w:lang w:val="zh-CN" w:eastAsia="zh-CN"/>
              </w:rPr>
              <w:t>表</w:t>
            </w:r>
            <w:r>
              <w:rPr>
                <w:rFonts w:hint="eastAsia"/>
                <w:b/>
                <w:bCs/>
                <w:sz w:val="21"/>
                <w:szCs w:val="21"/>
                <w:lang w:val="en-US" w:eastAsia="zh-CN"/>
              </w:rPr>
              <w:t xml:space="preserve">4-8  </w:t>
            </w:r>
            <w:r>
              <w:rPr>
                <w:rFonts w:hint="eastAsia"/>
                <w:b/>
                <w:bCs/>
                <w:sz w:val="21"/>
                <w:szCs w:val="21"/>
                <w:lang w:val="zh-CN" w:eastAsia="zh-CN"/>
              </w:rPr>
              <w:t>建设项目环境风险简单分析内容表</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131"/>
              <w:gridCol w:w="621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276"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val="zh-CN"/>
                    </w:rPr>
                  </w:pPr>
                  <w:r>
                    <w:rPr>
                      <w:rFonts w:hint="default" w:ascii="Times New Roman" w:hAnsi="Times New Roman" w:cs="Times New Roman"/>
                      <w:color w:val="000000"/>
                      <w:kern w:val="0"/>
                      <w:sz w:val="21"/>
                      <w:szCs w:val="21"/>
                      <w:lang w:val="zh-CN"/>
                    </w:rPr>
                    <w:t>建设项目名称</w:t>
                  </w:r>
                </w:p>
              </w:tc>
              <w:tc>
                <w:tcPr>
                  <w:tcW w:w="3723"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val="zh-CN"/>
                    </w:rPr>
                  </w:pPr>
                  <w:r>
                    <w:rPr>
                      <w:rFonts w:hint="eastAsia" w:ascii="Times New Roman" w:hAnsi="Times New Roman" w:cs="Times New Roman"/>
                      <w:color w:val="000000"/>
                      <w:kern w:val="0"/>
                      <w:sz w:val="21"/>
                      <w:szCs w:val="21"/>
                      <w:lang w:val="en-US" w:eastAsia="zh-CN"/>
                    </w:rPr>
                    <w:t>正蓝旗动物疫病预防控制中心</w:t>
                  </w:r>
                  <w:r>
                    <w:rPr>
                      <w:rFonts w:hint="eastAsia" w:cs="Times New Roman"/>
                      <w:color w:val="000000"/>
                      <w:kern w:val="0"/>
                      <w:sz w:val="21"/>
                      <w:szCs w:val="21"/>
                      <w:lang w:val="en-US" w:eastAsia="zh-CN"/>
                    </w:rPr>
                    <w:t>医疗废物暂存间</w:t>
                  </w:r>
                  <w:r>
                    <w:rPr>
                      <w:rFonts w:hint="eastAsia" w:ascii="Times New Roman" w:hAnsi="Times New Roman" w:cs="Times New Roman"/>
                      <w:color w:val="000000"/>
                      <w:kern w:val="0"/>
                      <w:sz w:val="21"/>
                      <w:szCs w:val="21"/>
                      <w:lang w:val="en-US" w:eastAsia="zh-CN"/>
                    </w:rPr>
                    <w:t>建设项目</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276"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val="zh-CN"/>
                    </w:rPr>
                  </w:pPr>
                  <w:r>
                    <w:rPr>
                      <w:rFonts w:hint="default" w:ascii="Times New Roman" w:hAnsi="Times New Roman" w:cs="Times New Roman"/>
                      <w:color w:val="000000"/>
                      <w:kern w:val="0"/>
                      <w:sz w:val="21"/>
                      <w:szCs w:val="21"/>
                      <w:lang w:val="zh-CN"/>
                    </w:rPr>
                    <w:t>建设地点</w:t>
                  </w:r>
                </w:p>
              </w:tc>
              <w:tc>
                <w:tcPr>
                  <w:tcW w:w="3723"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val="zh-CN"/>
                    </w:rPr>
                  </w:pPr>
                  <w:r>
                    <w:rPr>
                      <w:rFonts w:hint="eastAsia" w:ascii="Times New Roman" w:hAnsi="Times New Roman" w:cs="Times New Roman"/>
                      <w:color w:val="000000"/>
                      <w:kern w:val="0"/>
                      <w:sz w:val="21"/>
                      <w:szCs w:val="21"/>
                      <w:lang w:val="zh-CN" w:eastAsia="zh-CN"/>
                    </w:rPr>
                    <w:t>内蒙古自治区锡林郭勒盟正蓝旗</w:t>
                  </w:r>
                  <w:bookmarkStart w:id="3" w:name="_GoBack"/>
                  <w:bookmarkEnd w:id="3"/>
                  <w:r>
                    <w:rPr>
                      <w:rFonts w:hint="eastAsia" w:ascii="Times New Roman" w:hAnsi="Times New Roman" w:cs="Times New Roman"/>
                      <w:color w:val="000000"/>
                      <w:kern w:val="0"/>
                      <w:sz w:val="21"/>
                      <w:szCs w:val="21"/>
                      <w:lang w:val="en-US" w:eastAsia="zh-CN"/>
                    </w:rPr>
                    <w:t>动物疫病预防控制中心院</w:t>
                  </w:r>
                  <w:r>
                    <w:rPr>
                      <w:rFonts w:hint="default" w:ascii="Times New Roman" w:hAnsi="Times New Roman" w:cs="Times New Roman"/>
                      <w:color w:val="000000"/>
                      <w:kern w:val="0"/>
                      <w:sz w:val="21"/>
                      <w:szCs w:val="21"/>
                      <w:lang w:val="zh-CN" w:eastAsia="zh-CN"/>
                    </w:rPr>
                    <w:t>内</w:t>
                  </w:r>
                  <w:r>
                    <w:rPr>
                      <w:rFonts w:hint="eastAsia" w:ascii="Times New Roman" w:hAnsi="Times New Roman" w:cs="Times New Roman"/>
                      <w:color w:val="000000"/>
                      <w:kern w:val="0"/>
                      <w:sz w:val="21"/>
                      <w:szCs w:val="21"/>
                      <w:lang w:val="zh-CN" w:eastAsia="zh-CN"/>
                    </w:rPr>
                    <w:t>西南侧空地</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276"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val="zh-CN"/>
                    </w:rPr>
                  </w:pPr>
                  <w:r>
                    <w:rPr>
                      <w:rFonts w:hint="default" w:ascii="Times New Roman" w:hAnsi="Times New Roman" w:cs="Times New Roman"/>
                      <w:color w:val="000000"/>
                      <w:kern w:val="0"/>
                      <w:sz w:val="21"/>
                      <w:szCs w:val="21"/>
                      <w:lang w:val="zh-CN"/>
                    </w:rPr>
                    <w:t>地理坐标</w:t>
                  </w:r>
                </w:p>
              </w:tc>
              <w:tc>
                <w:tcPr>
                  <w:tcW w:w="3723"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val="zh-CN"/>
                    </w:rPr>
                  </w:pPr>
                  <w:r>
                    <w:rPr>
                      <w:rFonts w:hint="default" w:ascii="Times New Roman" w:hAnsi="Times New Roman" w:cs="Times New Roman"/>
                      <w:color w:val="000000"/>
                      <w:kern w:val="0"/>
                      <w:sz w:val="21"/>
                      <w:szCs w:val="21"/>
                      <w:lang w:val="zh-CN"/>
                    </w:rPr>
                    <w:t>E11</w:t>
                  </w:r>
                  <w:r>
                    <w:rPr>
                      <w:rFonts w:hint="eastAsia" w:cs="Times New Roman"/>
                      <w:color w:val="000000"/>
                      <w:kern w:val="0"/>
                      <w:sz w:val="21"/>
                      <w:szCs w:val="21"/>
                      <w:lang w:val="en-US" w:eastAsia="zh-CN"/>
                    </w:rPr>
                    <w:t>5</w:t>
                  </w:r>
                  <w:r>
                    <w:rPr>
                      <w:rFonts w:hint="default" w:ascii="Times New Roman" w:hAnsi="Times New Roman" w:cs="Times New Roman"/>
                      <w:color w:val="000000"/>
                      <w:kern w:val="0"/>
                      <w:sz w:val="21"/>
                      <w:szCs w:val="21"/>
                      <w:lang w:val="zh-CN"/>
                    </w:rPr>
                    <w:t>°</w:t>
                  </w:r>
                  <w:r>
                    <w:rPr>
                      <w:rFonts w:hint="eastAsia" w:cs="Times New Roman"/>
                      <w:color w:val="000000"/>
                      <w:kern w:val="0"/>
                      <w:sz w:val="21"/>
                      <w:szCs w:val="21"/>
                      <w:lang w:val="en-US" w:eastAsia="zh-CN"/>
                    </w:rPr>
                    <w:t>59</w:t>
                  </w:r>
                  <w:r>
                    <w:rPr>
                      <w:rFonts w:hint="default" w:ascii="Times New Roman" w:hAnsi="Times New Roman" w:cs="Times New Roman"/>
                      <w:color w:val="000000"/>
                      <w:kern w:val="0"/>
                      <w:sz w:val="21"/>
                      <w:szCs w:val="21"/>
                      <w:lang w:val="zh-CN"/>
                    </w:rPr>
                    <w:t>'</w:t>
                  </w:r>
                  <w:r>
                    <w:rPr>
                      <w:rFonts w:hint="eastAsia" w:cs="Times New Roman"/>
                      <w:color w:val="000000"/>
                      <w:kern w:val="0"/>
                      <w:sz w:val="21"/>
                      <w:szCs w:val="21"/>
                      <w:lang w:val="en-US" w:eastAsia="zh-CN"/>
                    </w:rPr>
                    <w:t>42.0</w:t>
                  </w:r>
                  <w:r>
                    <w:rPr>
                      <w:rFonts w:hint="default" w:ascii="Times New Roman" w:hAnsi="Times New Roman" w:cs="Times New Roman"/>
                      <w:color w:val="000000"/>
                      <w:kern w:val="0"/>
                      <w:sz w:val="21"/>
                      <w:szCs w:val="21"/>
                      <w:lang w:val="zh-CN"/>
                    </w:rPr>
                    <w:t>00"，N4</w:t>
                  </w:r>
                  <w:r>
                    <w:rPr>
                      <w:rFonts w:hint="eastAsia" w:cs="Times New Roman"/>
                      <w:color w:val="000000"/>
                      <w:kern w:val="0"/>
                      <w:sz w:val="21"/>
                      <w:szCs w:val="21"/>
                      <w:lang w:val="en-US" w:eastAsia="zh-CN"/>
                    </w:rPr>
                    <w:t>2</w:t>
                  </w:r>
                  <w:r>
                    <w:rPr>
                      <w:rFonts w:hint="default" w:ascii="Times New Roman" w:hAnsi="Times New Roman" w:cs="Times New Roman"/>
                      <w:color w:val="000000"/>
                      <w:kern w:val="0"/>
                      <w:sz w:val="21"/>
                      <w:szCs w:val="21"/>
                      <w:lang w:val="zh-CN"/>
                    </w:rPr>
                    <w:t>°</w:t>
                  </w:r>
                  <w:r>
                    <w:rPr>
                      <w:rFonts w:hint="eastAsia" w:cs="Times New Roman"/>
                      <w:color w:val="000000"/>
                      <w:kern w:val="0"/>
                      <w:sz w:val="21"/>
                      <w:szCs w:val="21"/>
                      <w:lang w:val="en-US" w:eastAsia="zh-CN"/>
                    </w:rPr>
                    <w:t>13</w:t>
                  </w:r>
                  <w:r>
                    <w:rPr>
                      <w:rFonts w:hint="default" w:ascii="Times New Roman" w:hAnsi="Times New Roman" w:cs="Times New Roman"/>
                      <w:color w:val="000000"/>
                      <w:kern w:val="0"/>
                      <w:sz w:val="21"/>
                      <w:szCs w:val="21"/>
                      <w:lang w:val="zh-CN"/>
                    </w:rPr>
                    <w:t>'</w:t>
                  </w:r>
                  <w:r>
                    <w:rPr>
                      <w:rFonts w:hint="eastAsia" w:cs="Times New Roman"/>
                      <w:color w:val="000000"/>
                      <w:kern w:val="0"/>
                      <w:sz w:val="21"/>
                      <w:szCs w:val="21"/>
                      <w:lang w:val="en-US" w:eastAsia="zh-CN"/>
                    </w:rPr>
                    <w:t>41.670</w:t>
                  </w:r>
                  <w:r>
                    <w:rPr>
                      <w:rFonts w:hint="default" w:ascii="Times New Roman" w:hAnsi="Times New Roman" w:cs="Times New Roman"/>
                      <w:color w:val="000000"/>
                      <w:kern w:val="0"/>
                      <w:sz w:val="21"/>
                      <w:szCs w:val="21"/>
                      <w:lang w:val="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c>
                <w:tcPr>
                  <w:tcW w:w="1276"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val="zh-CN"/>
                    </w:rPr>
                  </w:pPr>
                  <w:r>
                    <w:rPr>
                      <w:rFonts w:hint="default" w:ascii="Times New Roman" w:hAnsi="Times New Roman" w:cs="Times New Roman"/>
                      <w:color w:val="000000"/>
                      <w:kern w:val="0"/>
                      <w:sz w:val="21"/>
                      <w:szCs w:val="21"/>
                      <w:lang w:val="zh-CN"/>
                    </w:rPr>
                    <w:t>主要危险物质及分布</w:t>
                  </w:r>
                </w:p>
              </w:tc>
              <w:tc>
                <w:tcPr>
                  <w:tcW w:w="3723"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val="zh-CN"/>
                    </w:rPr>
                  </w:pPr>
                  <w:r>
                    <w:rPr>
                      <w:rFonts w:hint="default" w:ascii="Times New Roman" w:hAnsi="Times New Roman" w:cs="Times New Roman"/>
                      <w:color w:val="000000"/>
                      <w:kern w:val="0"/>
                      <w:sz w:val="21"/>
                      <w:szCs w:val="21"/>
                      <w:lang w:val="zh-CN"/>
                    </w:rPr>
                    <w:t>主要危险物质为废</w:t>
                  </w:r>
                  <w:r>
                    <w:rPr>
                      <w:rFonts w:hint="eastAsia" w:ascii="Times New Roman" w:hAnsi="Times New Roman" w:cs="Times New Roman"/>
                      <w:color w:val="000000"/>
                      <w:kern w:val="0"/>
                      <w:sz w:val="21"/>
                      <w:szCs w:val="21"/>
                      <w:lang w:val="zh-CN"/>
                    </w:rPr>
                    <w:t>药液</w:t>
                  </w:r>
                  <w:r>
                    <w:rPr>
                      <w:rFonts w:hint="default" w:ascii="Times New Roman" w:hAnsi="Times New Roman" w:cs="Times New Roman"/>
                      <w:color w:val="000000"/>
                      <w:kern w:val="0"/>
                      <w:sz w:val="21"/>
                      <w:szCs w:val="21"/>
                      <w:lang w:val="zh-CN"/>
                    </w:rPr>
                    <w:t>、废试剂等</w:t>
                  </w:r>
                  <w:r>
                    <w:rPr>
                      <w:rFonts w:hint="eastAsia" w:ascii="Times New Roman" w:hAnsi="Times New Roman" w:cs="Times New Roman"/>
                      <w:color w:val="000000"/>
                      <w:kern w:val="0"/>
                      <w:sz w:val="21"/>
                      <w:szCs w:val="21"/>
                      <w:lang w:val="zh-CN"/>
                    </w:rPr>
                    <w:t>危险废物</w:t>
                  </w:r>
                  <w:r>
                    <w:rPr>
                      <w:rFonts w:hint="default" w:ascii="Times New Roman" w:hAnsi="Times New Roman" w:cs="Times New Roman"/>
                      <w:color w:val="000000"/>
                      <w:kern w:val="0"/>
                      <w:sz w:val="21"/>
                      <w:szCs w:val="21"/>
                      <w:lang w:val="zh-CN"/>
                    </w:rPr>
                    <w:t>，分布</w:t>
                  </w:r>
                  <w:r>
                    <w:rPr>
                      <w:rFonts w:hint="eastAsia" w:cs="Times New Roman"/>
                      <w:color w:val="000000"/>
                      <w:kern w:val="0"/>
                      <w:sz w:val="21"/>
                      <w:szCs w:val="21"/>
                      <w:lang w:val="zh-CN"/>
                    </w:rPr>
                    <w:t>医疗废物暂存间</w:t>
                  </w:r>
                  <w:r>
                    <w:rPr>
                      <w:rFonts w:hint="default" w:ascii="Times New Roman" w:hAnsi="Times New Roman" w:cs="Times New Roman"/>
                      <w:color w:val="000000"/>
                      <w:kern w:val="0"/>
                      <w:sz w:val="21"/>
                      <w:szCs w:val="21"/>
                      <w:lang w:val="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276"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val="zh-CN"/>
                    </w:rPr>
                  </w:pPr>
                  <w:r>
                    <w:rPr>
                      <w:rFonts w:hint="default" w:ascii="Times New Roman" w:hAnsi="Times New Roman" w:cs="Times New Roman"/>
                      <w:color w:val="000000"/>
                      <w:kern w:val="0"/>
                      <w:sz w:val="21"/>
                      <w:szCs w:val="21"/>
                      <w:lang w:val="zh-CN"/>
                    </w:rPr>
                    <w:t>环境影响途径及危害后果（大气、地表水、地下水等）</w:t>
                  </w:r>
                </w:p>
              </w:tc>
              <w:tc>
                <w:tcPr>
                  <w:tcW w:w="3723"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val="zh-CN"/>
                    </w:rPr>
                  </w:pPr>
                  <w:r>
                    <w:rPr>
                      <w:rFonts w:hint="eastAsia" w:ascii="Times New Roman" w:hAnsi="Times New Roman" w:cs="Times New Roman"/>
                      <w:color w:val="000000"/>
                      <w:kern w:val="0"/>
                      <w:sz w:val="21"/>
                      <w:szCs w:val="21"/>
                      <w:lang w:val="zh-CN" w:eastAsia="zh-CN"/>
                    </w:rPr>
                    <w:t>泄漏对土壤和地下水产生不利影响</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276"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val="zh-CN"/>
                    </w:rPr>
                  </w:pPr>
                  <w:r>
                    <w:rPr>
                      <w:rFonts w:hint="default" w:ascii="Times New Roman" w:hAnsi="Times New Roman" w:cs="Times New Roman"/>
                      <w:color w:val="000000"/>
                      <w:kern w:val="0"/>
                      <w:sz w:val="21"/>
                      <w:szCs w:val="21"/>
                      <w:lang w:val="zh-CN"/>
                    </w:rPr>
                    <w:t>风险防范措施要求</w:t>
                  </w:r>
                </w:p>
              </w:tc>
              <w:tc>
                <w:tcPr>
                  <w:tcW w:w="3723"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val="zh-CN"/>
                    </w:rPr>
                  </w:pPr>
                  <w:r>
                    <w:rPr>
                      <w:rFonts w:hint="default" w:ascii="Times New Roman" w:hAnsi="Times New Roman" w:cs="Times New Roman"/>
                      <w:color w:val="000000"/>
                      <w:kern w:val="0"/>
                      <w:sz w:val="21"/>
                      <w:szCs w:val="21"/>
                      <w:lang w:val="zh-CN"/>
                    </w:rPr>
                    <w:t>详见环境风险防范措施</w:t>
                  </w:r>
                </w:p>
              </w:tc>
            </w:tr>
          </w:tbl>
          <w:p>
            <w:pPr>
              <w:pStyle w:val="232"/>
              <w:keepNext w:val="0"/>
              <w:keepLines w:val="0"/>
              <w:suppressLineNumbers w:val="0"/>
              <w:adjustRightInd/>
              <w:snapToGrid/>
              <w:spacing w:before="0" w:beforeAutospacing="0" w:after="0" w:afterAutospacing="0" w:line="360" w:lineRule="auto"/>
              <w:ind w:left="0" w:right="0" w:firstLine="482"/>
              <w:rPr>
                <w:b/>
                <w:color w:val="000000"/>
                <w:kern w:val="2"/>
                <w:szCs w:val="24"/>
              </w:rPr>
            </w:pPr>
            <w:r>
              <w:rPr>
                <w:rFonts w:hint="eastAsia"/>
                <w:b/>
                <w:color w:val="000000"/>
                <w:kern w:val="2"/>
                <w:szCs w:val="24"/>
              </w:rPr>
              <w:t>7</w:t>
            </w:r>
            <w:r>
              <w:rPr>
                <w:b/>
                <w:color w:val="000000"/>
                <w:kern w:val="2"/>
                <w:szCs w:val="24"/>
              </w:rPr>
              <w:t>、环保投资估算一览表</w:t>
            </w:r>
          </w:p>
          <w:p>
            <w:pPr>
              <w:pStyle w:val="232"/>
              <w:keepNext w:val="0"/>
              <w:keepLines w:val="0"/>
              <w:suppressLineNumbers w:val="0"/>
              <w:adjustRightInd/>
              <w:snapToGrid/>
              <w:spacing w:before="0" w:beforeAutospacing="0" w:after="0" w:afterAutospacing="0" w:line="360" w:lineRule="auto"/>
              <w:ind w:left="0" w:right="0" w:firstLine="480"/>
              <w:rPr>
                <w:color w:val="000000"/>
                <w:kern w:val="2"/>
                <w:szCs w:val="24"/>
              </w:rPr>
            </w:pPr>
            <w:r>
              <w:rPr>
                <w:rFonts w:hint="eastAsia"/>
                <w:color w:val="000000"/>
                <w:kern w:val="2"/>
                <w:szCs w:val="24"/>
              </w:rPr>
              <w:t>项目总投资</w:t>
            </w:r>
            <w:r>
              <w:rPr>
                <w:rFonts w:hint="eastAsia"/>
                <w:color w:val="000000"/>
                <w:kern w:val="2"/>
                <w:szCs w:val="24"/>
                <w:lang w:val="en-US" w:eastAsia="zh-CN"/>
              </w:rPr>
              <w:t>20</w:t>
            </w:r>
            <w:r>
              <w:rPr>
                <w:rFonts w:hint="eastAsia"/>
                <w:color w:val="000000"/>
                <w:kern w:val="2"/>
                <w:szCs w:val="24"/>
              </w:rPr>
              <w:t>万元，环保投资</w:t>
            </w:r>
            <w:r>
              <w:rPr>
                <w:rFonts w:hint="eastAsia"/>
                <w:color w:val="000000"/>
                <w:kern w:val="2"/>
                <w:szCs w:val="24"/>
                <w:lang w:val="en-US" w:eastAsia="zh-CN"/>
              </w:rPr>
              <w:t>20</w:t>
            </w:r>
            <w:r>
              <w:rPr>
                <w:rFonts w:hint="eastAsia"/>
                <w:color w:val="000000"/>
                <w:kern w:val="2"/>
                <w:szCs w:val="24"/>
              </w:rPr>
              <w:t>万元，环保投资占总投资的</w:t>
            </w:r>
            <w:r>
              <w:rPr>
                <w:rFonts w:hint="eastAsia"/>
                <w:color w:val="000000"/>
                <w:kern w:val="2"/>
                <w:szCs w:val="24"/>
                <w:lang w:val="en-US" w:eastAsia="zh-CN"/>
              </w:rPr>
              <w:t>100</w:t>
            </w:r>
            <w:r>
              <w:rPr>
                <w:rFonts w:hint="eastAsia"/>
                <w:color w:val="000000"/>
                <w:kern w:val="2"/>
                <w:szCs w:val="24"/>
              </w:rPr>
              <w:t>%，环保投资分项估算情况见表</w:t>
            </w:r>
            <w:r>
              <w:rPr>
                <w:color w:val="000000"/>
                <w:kern w:val="2"/>
                <w:szCs w:val="24"/>
              </w:rPr>
              <w:t>4-</w:t>
            </w:r>
            <w:r>
              <w:rPr>
                <w:rFonts w:hint="eastAsia"/>
                <w:color w:val="000000"/>
                <w:kern w:val="2"/>
                <w:szCs w:val="24"/>
                <w:lang w:val="en-US" w:eastAsia="zh-CN"/>
              </w:rPr>
              <w:t>9</w:t>
            </w:r>
            <w:r>
              <w:rPr>
                <w:rFonts w:hint="eastAsia"/>
                <w:color w:val="000000"/>
                <w:kern w:val="2"/>
                <w:szCs w:val="24"/>
              </w:rPr>
              <w:t>。</w:t>
            </w:r>
          </w:p>
          <w:p>
            <w:pPr>
              <w:keepNext w:val="0"/>
              <w:keepLines w:val="0"/>
              <w:pageBreakBefore w:val="0"/>
              <w:widowControl w:val="0"/>
              <w:suppressLineNumbers w:val="0"/>
              <w:tabs>
                <w:tab w:val="left" w:pos="851"/>
              </w:tabs>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b/>
                <w:bCs/>
                <w:sz w:val="21"/>
                <w:szCs w:val="21"/>
                <w:lang w:val="zh-CN" w:eastAsia="zh-CN"/>
              </w:rPr>
            </w:pPr>
            <w:r>
              <w:rPr>
                <w:rFonts w:hint="eastAsia"/>
                <w:b/>
                <w:bCs/>
                <w:sz w:val="21"/>
                <w:szCs w:val="21"/>
                <w:lang w:val="zh-CN" w:eastAsia="zh-CN"/>
              </w:rPr>
              <w:t>表4-</w:t>
            </w:r>
            <w:r>
              <w:rPr>
                <w:rFonts w:hint="eastAsia"/>
                <w:b/>
                <w:bCs/>
                <w:sz w:val="21"/>
                <w:szCs w:val="21"/>
                <w:lang w:val="en-US" w:eastAsia="zh-CN"/>
              </w:rPr>
              <w:t>9</w:t>
            </w:r>
            <w:r>
              <w:rPr>
                <w:rFonts w:hint="eastAsia"/>
                <w:b/>
                <w:bCs/>
                <w:sz w:val="21"/>
                <w:szCs w:val="21"/>
                <w:lang w:val="zh-CN" w:eastAsia="zh-CN"/>
              </w:rPr>
              <w:t xml:space="preserve">  项目环境保护投资估算一览表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3"/>
              <w:gridCol w:w="1359"/>
              <w:gridCol w:w="4942"/>
              <w:gridCol w:w="11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blHeader/>
                <w:jc w:val="center"/>
              </w:trPr>
              <w:tc>
                <w:tcPr>
                  <w:tcW w:w="528"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000000"/>
                      <w:kern w:val="0"/>
                      <w:sz w:val="21"/>
                      <w:szCs w:val="21"/>
                      <w:lang w:eastAsia="zh-CN" w:bidi="ar"/>
                    </w:rPr>
                  </w:pPr>
                  <w:r>
                    <w:rPr>
                      <w:rFonts w:hint="eastAsia" w:ascii="Times New Roman" w:hAnsi="Times New Roman" w:cs="Times New Roman"/>
                      <w:color w:val="000000"/>
                      <w:kern w:val="0"/>
                      <w:sz w:val="21"/>
                      <w:szCs w:val="21"/>
                      <w:lang w:eastAsia="zh-CN" w:bidi="ar"/>
                    </w:rPr>
                    <w:t>治理</w:t>
                  </w:r>
                </w:p>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000000"/>
                      <w:kern w:val="0"/>
                      <w:sz w:val="21"/>
                      <w:szCs w:val="21"/>
                      <w:lang w:eastAsia="zh-CN" w:bidi="ar"/>
                    </w:rPr>
                  </w:pPr>
                  <w:r>
                    <w:rPr>
                      <w:rFonts w:hint="eastAsia" w:ascii="Times New Roman" w:hAnsi="Times New Roman" w:cs="Times New Roman"/>
                      <w:color w:val="000000"/>
                      <w:kern w:val="0"/>
                      <w:sz w:val="21"/>
                      <w:szCs w:val="21"/>
                      <w:lang w:eastAsia="zh-CN" w:bidi="ar"/>
                    </w:rPr>
                    <w:t>阶段</w:t>
                  </w:r>
                </w:p>
              </w:tc>
              <w:tc>
                <w:tcPr>
                  <w:tcW w:w="814"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000000"/>
                      <w:kern w:val="0"/>
                      <w:sz w:val="21"/>
                      <w:szCs w:val="21"/>
                      <w:lang w:eastAsia="zh-CN" w:bidi="ar"/>
                    </w:rPr>
                  </w:pPr>
                  <w:r>
                    <w:rPr>
                      <w:rFonts w:hint="eastAsia" w:ascii="Times New Roman" w:hAnsi="Times New Roman" w:cs="Times New Roman"/>
                      <w:color w:val="000000"/>
                      <w:kern w:val="0"/>
                      <w:sz w:val="21"/>
                      <w:szCs w:val="21"/>
                      <w:lang w:eastAsia="zh-CN" w:bidi="ar"/>
                    </w:rPr>
                    <w:t>治理项目</w:t>
                  </w:r>
                </w:p>
              </w:tc>
              <w:tc>
                <w:tcPr>
                  <w:tcW w:w="2960"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000000"/>
                      <w:kern w:val="0"/>
                      <w:sz w:val="21"/>
                      <w:szCs w:val="21"/>
                      <w:lang w:eastAsia="zh-CN" w:bidi="ar"/>
                    </w:rPr>
                  </w:pPr>
                  <w:r>
                    <w:rPr>
                      <w:rFonts w:hint="eastAsia" w:ascii="Times New Roman" w:hAnsi="Times New Roman" w:cs="Times New Roman"/>
                      <w:color w:val="000000"/>
                      <w:kern w:val="0"/>
                      <w:sz w:val="21"/>
                      <w:szCs w:val="21"/>
                      <w:lang w:eastAsia="zh-CN" w:bidi="ar"/>
                    </w:rPr>
                    <w:t>环保措施</w:t>
                  </w:r>
                </w:p>
              </w:tc>
              <w:tc>
                <w:tcPr>
                  <w:tcW w:w="696"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000000"/>
                      <w:kern w:val="0"/>
                      <w:sz w:val="21"/>
                      <w:szCs w:val="21"/>
                      <w:lang w:eastAsia="zh-CN" w:bidi="ar"/>
                    </w:rPr>
                  </w:pPr>
                  <w:r>
                    <w:rPr>
                      <w:rFonts w:hint="eastAsia" w:ascii="Times New Roman" w:hAnsi="Times New Roman" w:cs="Times New Roman"/>
                      <w:color w:val="000000"/>
                      <w:kern w:val="0"/>
                      <w:sz w:val="21"/>
                      <w:szCs w:val="21"/>
                      <w:lang w:eastAsia="zh-CN" w:bidi="ar"/>
                    </w:rPr>
                    <w:t>投资额</w:t>
                  </w:r>
                </w:p>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000000"/>
                      <w:kern w:val="0"/>
                      <w:sz w:val="21"/>
                      <w:szCs w:val="21"/>
                      <w:lang w:eastAsia="zh-CN" w:bidi="ar"/>
                    </w:rPr>
                  </w:pPr>
                  <w:r>
                    <w:rPr>
                      <w:rFonts w:hint="eastAsia" w:ascii="Times New Roman" w:hAnsi="Times New Roman" w:cs="Times New Roman"/>
                      <w:color w:val="000000"/>
                      <w:kern w:val="0"/>
                      <w:sz w:val="21"/>
                      <w:szCs w:val="21"/>
                      <w:lang w:eastAsia="zh-CN" w:bidi="ar"/>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blHeader/>
                <w:jc w:val="center"/>
              </w:trPr>
              <w:tc>
                <w:tcPr>
                  <w:tcW w:w="528"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000000"/>
                      <w:kern w:val="0"/>
                      <w:sz w:val="21"/>
                      <w:szCs w:val="21"/>
                      <w:lang w:eastAsia="zh-CN" w:bidi="ar"/>
                    </w:rPr>
                  </w:pPr>
                  <w:r>
                    <w:rPr>
                      <w:rFonts w:hint="eastAsia" w:ascii="Times New Roman" w:hAnsi="Times New Roman" w:cs="Times New Roman"/>
                      <w:color w:val="000000"/>
                      <w:kern w:val="0"/>
                      <w:sz w:val="21"/>
                      <w:szCs w:val="21"/>
                      <w:lang w:eastAsia="zh-CN" w:bidi="ar"/>
                    </w:rPr>
                    <w:t>运营期</w:t>
                  </w:r>
                </w:p>
              </w:tc>
              <w:tc>
                <w:tcPr>
                  <w:tcW w:w="814"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000000"/>
                      <w:kern w:val="0"/>
                      <w:sz w:val="21"/>
                      <w:szCs w:val="21"/>
                      <w:lang w:eastAsia="zh-CN" w:bidi="ar"/>
                    </w:rPr>
                  </w:pPr>
                  <w:r>
                    <w:rPr>
                      <w:rFonts w:hint="eastAsia" w:cs="Times New Roman"/>
                      <w:color w:val="000000"/>
                      <w:kern w:val="0"/>
                      <w:sz w:val="21"/>
                      <w:szCs w:val="21"/>
                      <w:lang w:eastAsia="zh-CN" w:bidi="ar"/>
                    </w:rPr>
                    <w:t>固废</w:t>
                  </w:r>
                </w:p>
              </w:tc>
              <w:tc>
                <w:tcPr>
                  <w:tcW w:w="2960"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000000"/>
                      <w:kern w:val="0"/>
                      <w:sz w:val="21"/>
                      <w:szCs w:val="21"/>
                      <w:lang w:eastAsia="zh-CN" w:bidi="ar"/>
                    </w:rPr>
                  </w:pPr>
                  <w:r>
                    <w:rPr>
                      <w:rFonts w:hint="eastAsia" w:cs="Times New Roman"/>
                      <w:color w:val="000000"/>
                      <w:kern w:val="0"/>
                      <w:sz w:val="21"/>
                      <w:szCs w:val="21"/>
                      <w:lang w:val="en-US" w:eastAsia="zh-CN" w:bidi="ar"/>
                    </w:rPr>
                    <w:t>医疗废物暂存间</w:t>
                  </w:r>
                  <w:r>
                    <w:rPr>
                      <w:rFonts w:hint="eastAsia" w:ascii="Times New Roman" w:hAnsi="Times New Roman" w:cs="Times New Roman"/>
                      <w:color w:val="000000"/>
                      <w:kern w:val="0"/>
                      <w:sz w:val="21"/>
                      <w:szCs w:val="21"/>
                      <w:lang w:val="en-US" w:eastAsia="zh-CN" w:bidi="ar"/>
                    </w:rPr>
                    <w:t>（地面防渗、</w:t>
                  </w:r>
                  <w:r>
                    <w:rPr>
                      <w:rFonts w:hint="eastAsia" w:cs="Times New Roman"/>
                      <w:color w:val="000000"/>
                      <w:kern w:val="0"/>
                      <w:sz w:val="21"/>
                      <w:szCs w:val="21"/>
                      <w:lang w:val="en-US" w:eastAsia="zh-CN" w:bidi="ar"/>
                    </w:rPr>
                    <w:t>防腐、</w:t>
                  </w:r>
                  <w:r>
                    <w:rPr>
                      <w:rFonts w:hint="eastAsia" w:ascii="Times New Roman" w:hAnsi="Times New Roman" w:cs="Times New Roman"/>
                      <w:color w:val="000000"/>
                      <w:kern w:val="0"/>
                      <w:sz w:val="21"/>
                      <w:szCs w:val="21"/>
                      <w:lang w:val="en-US" w:eastAsia="zh-CN" w:bidi="ar"/>
                    </w:rPr>
                    <w:t>内部收集沟、收集池、标识标牌建设、台账管理</w:t>
                  </w:r>
                  <w:r>
                    <w:rPr>
                      <w:rFonts w:hint="eastAsia" w:cs="Times New Roman"/>
                      <w:color w:val="000000"/>
                      <w:kern w:val="0"/>
                      <w:sz w:val="21"/>
                      <w:szCs w:val="21"/>
                      <w:lang w:val="en-US" w:eastAsia="zh-CN" w:bidi="ar"/>
                    </w:rPr>
                    <w:t>等</w:t>
                  </w:r>
                  <w:r>
                    <w:rPr>
                      <w:rFonts w:hint="eastAsia" w:ascii="Times New Roman" w:hAnsi="Times New Roman" w:cs="Times New Roman"/>
                      <w:color w:val="000000"/>
                      <w:kern w:val="0"/>
                      <w:sz w:val="21"/>
                      <w:szCs w:val="21"/>
                      <w:lang w:val="en-US" w:eastAsia="zh-CN" w:bidi="ar"/>
                    </w:rPr>
                    <w:t>）</w:t>
                  </w:r>
                </w:p>
              </w:tc>
              <w:tc>
                <w:tcPr>
                  <w:tcW w:w="696"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val="en-US" w:eastAsia="zh-CN" w:bidi="ar"/>
                    </w:rPr>
                  </w:pPr>
                  <w:r>
                    <w:rPr>
                      <w:rFonts w:hint="eastAsia" w:cs="Times New Roman"/>
                      <w:color w:val="000000"/>
                      <w:kern w:val="0"/>
                      <w:sz w:val="21"/>
                      <w:szCs w:val="21"/>
                      <w:lang w:val="en-US" w:eastAsia="zh-CN" w:bidi="ar"/>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4303" w:type="pct"/>
                  <w:gridSpan w:val="3"/>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000000"/>
                      <w:kern w:val="0"/>
                      <w:sz w:val="21"/>
                      <w:szCs w:val="21"/>
                      <w:lang w:eastAsia="zh-CN" w:bidi="ar"/>
                    </w:rPr>
                  </w:pPr>
                  <w:r>
                    <w:rPr>
                      <w:rFonts w:hint="eastAsia" w:ascii="Times New Roman" w:hAnsi="Times New Roman" w:cs="Times New Roman"/>
                      <w:color w:val="000000"/>
                      <w:kern w:val="0"/>
                      <w:sz w:val="21"/>
                      <w:szCs w:val="21"/>
                      <w:lang w:eastAsia="zh-CN" w:bidi="ar"/>
                    </w:rPr>
                    <w:t>合计</w:t>
                  </w:r>
                </w:p>
              </w:tc>
              <w:tc>
                <w:tcPr>
                  <w:tcW w:w="696"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kern w:val="0"/>
                      <w:sz w:val="21"/>
                      <w:szCs w:val="21"/>
                      <w:lang w:val="en-US" w:eastAsia="zh-CN" w:bidi="ar"/>
                    </w:rPr>
                  </w:pPr>
                  <w:r>
                    <w:rPr>
                      <w:rFonts w:hint="eastAsia" w:cs="Times New Roman"/>
                      <w:color w:val="000000"/>
                      <w:kern w:val="0"/>
                      <w:sz w:val="21"/>
                      <w:szCs w:val="21"/>
                      <w:lang w:val="en-US" w:eastAsia="zh-CN" w:bidi="ar"/>
                    </w:rPr>
                    <w:t>20</w:t>
                  </w:r>
                </w:p>
              </w:tc>
            </w:tr>
          </w:tbl>
          <w:p>
            <w:pPr>
              <w:keepNext w:val="0"/>
              <w:keepLines w:val="0"/>
              <w:widowControl/>
              <w:suppressLineNumbers w:val="0"/>
              <w:spacing w:before="0" w:beforeAutospacing="0" w:after="0" w:afterAutospacing="0"/>
              <w:ind w:left="0" w:leftChars="0" w:right="0" w:firstLine="0" w:firstLineChars="0"/>
              <w:jc w:val="left"/>
              <w:rPr>
                <w:rFonts w:hint="eastAsia" w:ascii="宋体" w:hAnsi="宋体" w:eastAsia="宋体" w:cs="宋体"/>
                <w:color w:val="000000"/>
                <w:kern w:val="0"/>
                <w:sz w:val="24"/>
                <w:szCs w:val="24"/>
                <w:lang w:val="en-US" w:eastAsia="zh-CN" w:bidi="ar"/>
              </w:rPr>
            </w:pPr>
          </w:p>
        </w:tc>
      </w:tr>
    </w:tbl>
    <w:p>
      <w:pPr>
        <w:adjustRightInd w:val="0"/>
        <w:snapToGrid w:val="0"/>
        <w:spacing w:line="360" w:lineRule="auto"/>
        <w:rPr>
          <w:rFonts w:hint="eastAsia" w:ascii="宋体" w:cs="宋体"/>
          <w:b/>
          <w:color w:val="000000"/>
          <w:kern w:val="0"/>
          <w:sz w:val="28"/>
          <w:szCs w:val="28"/>
        </w:rPr>
        <w:sectPr>
          <w:pgSz w:w="11907" w:h="16840"/>
          <w:pgMar w:top="1418" w:right="1418" w:bottom="1701" w:left="1418" w:header="851" w:footer="851" w:gutter="0"/>
          <w:pgBorders>
            <w:top w:val="none" w:sz="0" w:space="0"/>
            <w:left w:val="none" w:sz="0" w:space="0"/>
            <w:bottom w:val="none" w:sz="0" w:space="0"/>
            <w:right w:val="none" w:sz="0" w:space="0"/>
          </w:pgBorders>
          <w:pgNumType w:fmt="decimal"/>
          <w:cols w:space="720" w:num="1"/>
          <w:docGrid w:linePitch="312" w:charSpace="0"/>
        </w:sectPr>
      </w:pPr>
    </w:p>
    <w:p>
      <w:pPr>
        <w:adjustRightInd w:val="0"/>
        <w:snapToGrid w:val="0"/>
        <w:spacing w:line="360" w:lineRule="auto"/>
        <w:ind w:left="0" w:leftChars="0" w:firstLine="0" w:firstLineChars="0"/>
        <w:rPr>
          <w:rFonts w:hint="eastAsia" w:ascii="宋体" w:cs="宋体"/>
          <w:b/>
          <w:color w:val="000000"/>
          <w:kern w:val="0"/>
          <w:sz w:val="28"/>
          <w:szCs w:val="28"/>
        </w:rPr>
      </w:pPr>
    </w:p>
    <w:p>
      <w:pPr>
        <w:pStyle w:val="4"/>
        <w:bidi w:val="0"/>
        <w:rPr>
          <w:color w:val="000000"/>
        </w:rPr>
      </w:pPr>
      <w:r>
        <w:rPr>
          <w:rFonts w:hint="eastAsia"/>
          <w:color w:val="000000"/>
        </w:rPr>
        <w:t>五、</w:t>
      </w:r>
      <w:bookmarkStart w:id="2" w:name="_Hlk54167917"/>
      <w:r>
        <w:rPr>
          <w:rFonts w:hint="eastAsia"/>
          <w:color w:val="000000"/>
        </w:rPr>
        <w:t>环境保护措施监督检查清单</w:t>
      </w:r>
      <w:bookmarkEnd w:id="2"/>
    </w:p>
    <w:tbl>
      <w:tblPr>
        <w:tblStyle w:val="34"/>
        <w:tblW w:w="906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68"/>
        <w:gridCol w:w="1693"/>
        <w:gridCol w:w="1194"/>
        <w:gridCol w:w="3019"/>
        <w:gridCol w:w="22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868" w:type="dxa"/>
            <w:tcBorders>
              <w:top w:val="single" w:color="auto" w:sz="12" w:space="0"/>
              <w:left w:val="single" w:color="auto" w:sz="12" w:space="0"/>
              <w:bottom w:val="single" w:color="auto" w:sz="4" w:space="0"/>
              <w:right w:val="single" w:color="auto" w:sz="4" w:space="0"/>
            </w:tcBorders>
            <w:noWrap w:val="0"/>
            <w:vAlign w:val="top"/>
          </w:tcPr>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内容</w:t>
            </w:r>
          </w:p>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要素</w:t>
            </w:r>
          </w:p>
        </w:tc>
        <w:tc>
          <w:tcPr>
            <w:tcW w:w="1693" w:type="dxa"/>
            <w:tcBorders>
              <w:top w:val="single" w:color="auto" w:sz="12"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排放口</w:t>
            </w:r>
            <w:r>
              <w:rPr>
                <w:rFonts w:hint="eastAsia"/>
                <w:color w:val="000000"/>
                <w:kern w:val="2"/>
                <w:lang w:eastAsia="zh-CN"/>
              </w:rPr>
              <w:t>（</w:t>
            </w:r>
            <w:r>
              <w:rPr>
                <w:color w:val="000000"/>
                <w:kern w:val="2"/>
              </w:rPr>
              <w:t>编号、名称</w:t>
            </w:r>
            <w:r>
              <w:rPr>
                <w:rFonts w:hint="eastAsia"/>
                <w:color w:val="000000"/>
                <w:kern w:val="2"/>
                <w:lang w:eastAsia="zh-CN"/>
              </w:rPr>
              <w:t>）</w:t>
            </w:r>
            <w:r>
              <w:rPr>
                <w:color w:val="000000"/>
                <w:kern w:val="2"/>
              </w:rPr>
              <w:t>污染源</w:t>
            </w:r>
          </w:p>
        </w:tc>
        <w:tc>
          <w:tcPr>
            <w:tcW w:w="1194" w:type="dxa"/>
            <w:tcBorders>
              <w:top w:val="single" w:color="auto" w:sz="12"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污染物</w:t>
            </w:r>
          </w:p>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项目</w:t>
            </w:r>
          </w:p>
        </w:tc>
        <w:tc>
          <w:tcPr>
            <w:tcW w:w="3019" w:type="dxa"/>
            <w:tcBorders>
              <w:top w:val="single" w:color="auto" w:sz="12"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环境保护措施</w:t>
            </w:r>
          </w:p>
        </w:tc>
        <w:tc>
          <w:tcPr>
            <w:tcW w:w="2292" w:type="dxa"/>
            <w:tcBorders>
              <w:top w:val="single" w:color="auto" w:sz="12" w:space="0"/>
              <w:left w:val="single" w:color="auto" w:sz="4" w:space="0"/>
              <w:bottom w:val="single" w:color="auto" w:sz="4" w:space="0"/>
              <w:right w:val="single" w:color="auto" w:sz="12"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8" w:type="dxa"/>
            <w:tcBorders>
              <w:left w:val="single" w:color="auto" w:sz="12"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lang w:val="en-US" w:eastAsia="zh-CN"/>
              </w:rPr>
            </w:pPr>
            <w:r>
              <w:rPr>
                <w:rFonts w:hint="eastAsia"/>
                <w:color w:val="000000"/>
                <w:kern w:val="2"/>
                <w:lang w:val="en-US" w:eastAsia="zh-CN"/>
              </w:rPr>
              <w:t>大气</w:t>
            </w:r>
          </w:p>
          <w:p>
            <w:pPr>
              <w:pStyle w:val="216"/>
              <w:keepNext w:val="0"/>
              <w:keepLines w:val="0"/>
              <w:widowControl/>
              <w:suppressLineNumbers w:val="0"/>
              <w:bidi w:val="0"/>
              <w:spacing w:before="0" w:beforeAutospacing="0" w:after="0" w:afterAutospacing="0"/>
              <w:ind w:left="0" w:right="0"/>
              <w:rPr>
                <w:rFonts w:hint="default" w:eastAsia="宋体"/>
                <w:color w:val="000000"/>
                <w:kern w:val="2"/>
                <w:lang w:val="en-US" w:eastAsia="zh-CN"/>
              </w:rPr>
            </w:pPr>
            <w:r>
              <w:rPr>
                <w:rFonts w:hint="eastAsia"/>
                <w:color w:val="000000"/>
                <w:kern w:val="2"/>
                <w:lang w:val="en-US" w:eastAsia="zh-CN"/>
              </w:rPr>
              <w:t>环境</w:t>
            </w:r>
          </w:p>
        </w:tc>
        <w:tc>
          <w:tcPr>
            <w:tcW w:w="1693" w:type="dxa"/>
            <w:tcBorders>
              <w:top w:val="single" w:color="auto" w:sz="4"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rFonts w:hint="default" w:eastAsia="宋体"/>
                <w:color w:val="000000"/>
                <w:kern w:val="2"/>
                <w:lang w:val="en-US" w:eastAsia="zh-CN"/>
              </w:rPr>
            </w:pPr>
            <w:r>
              <w:rPr>
                <w:rFonts w:hint="eastAsia"/>
                <w:color w:val="000000"/>
                <w:kern w:val="2"/>
                <w:lang w:val="en-US" w:eastAsia="zh-CN"/>
              </w:rPr>
              <w:t>医疗废物暂存间</w:t>
            </w:r>
          </w:p>
        </w:tc>
        <w:tc>
          <w:tcPr>
            <w:tcW w:w="1194" w:type="dxa"/>
            <w:tcBorders>
              <w:top w:val="single" w:color="auto" w:sz="4"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rFonts w:hint="default"/>
                <w:color w:val="000000"/>
                <w:kern w:val="2"/>
                <w:lang w:val="en-US" w:eastAsia="zh-CN"/>
              </w:rPr>
            </w:pPr>
            <w:r>
              <w:rPr>
                <w:rFonts w:hint="eastAsia"/>
                <w:color w:val="000000"/>
                <w:kern w:val="2"/>
                <w:lang w:val="en-US" w:eastAsia="zh-CN"/>
              </w:rPr>
              <w:t>异味</w:t>
            </w:r>
          </w:p>
        </w:tc>
        <w:tc>
          <w:tcPr>
            <w:tcW w:w="3019" w:type="dxa"/>
            <w:tcBorders>
              <w:top w:val="single" w:color="auto" w:sz="4"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rFonts w:hint="eastAsia" w:eastAsia="宋体"/>
                <w:color w:val="000000"/>
                <w:kern w:val="2"/>
                <w:lang w:val="en-US" w:eastAsia="zh-CN"/>
              </w:rPr>
            </w:pPr>
            <w:r>
              <w:rPr>
                <w:rFonts w:hint="eastAsia" w:cs="Times New Roman"/>
                <w:color w:val="FF0000"/>
                <w:kern w:val="2"/>
                <w:highlight w:val="none"/>
                <w:lang w:val="en-US" w:eastAsia="zh-CN"/>
              </w:rPr>
              <w:t>定期消毒和</w:t>
            </w:r>
            <w:r>
              <w:rPr>
                <w:rFonts w:hint="eastAsia" w:ascii="Times New Roman" w:hAnsi="Times New Roman" w:eastAsia="宋体" w:cs="Times New Roman"/>
                <w:color w:val="FF0000"/>
                <w:kern w:val="2"/>
                <w:highlight w:val="none"/>
                <w:lang w:val="en-US" w:eastAsia="zh-CN"/>
              </w:rPr>
              <w:t>安装排气扇加强通风</w:t>
            </w:r>
            <w:r>
              <w:rPr>
                <w:rFonts w:hint="eastAsia" w:cs="Times New Roman"/>
                <w:color w:val="FF0000"/>
                <w:kern w:val="2"/>
                <w:highlight w:val="none"/>
                <w:lang w:val="en-US" w:eastAsia="zh-CN"/>
              </w:rPr>
              <w:t>处理</w:t>
            </w:r>
          </w:p>
        </w:tc>
        <w:tc>
          <w:tcPr>
            <w:tcW w:w="2292" w:type="dxa"/>
            <w:tcBorders>
              <w:left w:val="single" w:color="auto" w:sz="4" w:space="0"/>
              <w:right w:val="single" w:color="auto" w:sz="12" w:space="0"/>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rFonts w:hint="default" w:ascii="Times New Roman" w:hAnsi="Times New Roman" w:cs="Times New Roman"/>
                <w:kern w:val="2"/>
                <w:sz w:val="21"/>
                <w:szCs w:val="21"/>
              </w:rPr>
              <w:t>《</w:t>
            </w:r>
            <w:r>
              <w:rPr>
                <w:rFonts w:hint="eastAsia" w:ascii="Times New Roman" w:hAnsi="Times New Roman" w:cs="Times New Roman"/>
                <w:kern w:val="2"/>
                <w:sz w:val="21"/>
                <w:szCs w:val="21"/>
                <w:lang w:eastAsia="zh-CN"/>
              </w:rPr>
              <w:t>恶臭污染物排放标准</w:t>
            </w:r>
            <w:r>
              <w:rPr>
                <w:rFonts w:hint="default" w:ascii="Times New Roman" w:hAnsi="Times New Roman" w:cs="Times New Roman"/>
                <w:kern w:val="2"/>
                <w:sz w:val="21"/>
                <w:szCs w:val="21"/>
              </w:rPr>
              <w:t>》（GB</w:t>
            </w:r>
            <w:r>
              <w:rPr>
                <w:rFonts w:hint="eastAsia" w:ascii="Times New Roman" w:hAnsi="Times New Roman" w:cs="Times New Roman"/>
                <w:kern w:val="2"/>
                <w:sz w:val="21"/>
                <w:szCs w:val="21"/>
                <w:lang w:val="en-US" w:eastAsia="zh-CN"/>
              </w:rPr>
              <w:t>14554</w:t>
            </w:r>
            <w:r>
              <w:rPr>
                <w:rFonts w:hint="default" w:ascii="Times New Roman" w:hAnsi="Times New Roman" w:cs="Times New Roman"/>
                <w:kern w:val="2"/>
                <w:sz w:val="21"/>
                <w:szCs w:val="21"/>
              </w:rPr>
              <w:t>-</w:t>
            </w:r>
            <w:r>
              <w:rPr>
                <w:rFonts w:hint="eastAsia" w:ascii="Times New Roman" w:hAnsi="Times New Roman" w:cs="Times New Roman"/>
                <w:kern w:val="2"/>
                <w:sz w:val="21"/>
                <w:szCs w:val="21"/>
                <w:lang w:val="en-US" w:eastAsia="zh-CN"/>
              </w:rPr>
              <w:t>93</w:t>
            </w:r>
            <w:r>
              <w:rPr>
                <w:rFonts w:hint="default" w:ascii="Times New Roman" w:hAnsi="Times New Roman" w:cs="Times New Roman"/>
                <w:kern w:val="2"/>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8" w:type="dxa"/>
            <w:tcBorders>
              <w:top w:val="single" w:color="auto" w:sz="4" w:space="0"/>
              <w:left w:val="single" w:color="auto" w:sz="12"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地表水环境</w:t>
            </w:r>
          </w:p>
        </w:tc>
        <w:tc>
          <w:tcPr>
            <w:tcW w:w="1693" w:type="dxa"/>
            <w:tcBorders>
              <w:top w:val="single" w:color="auto" w:sz="4" w:space="0"/>
              <w:left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default"/>
                <w:color w:val="000000"/>
                <w:kern w:val="2"/>
                <w:lang w:val="en-US" w:eastAsia="zh-CN"/>
              </w:rPr>
            </w:pPr>
            <w:r>
              <w:rPr>
                <w:rFonts w:hint="eastAsia"/>
                <w:color w:val="000000"/>
                <w:kern w:val="2"/>
                <w:lang w:val="en-US" w:eastAsia="zh-CN"/>
              </w:rPr>
              <w:t>/</w:t>
            </w:r>
          </w:p>
        </w:tc>
        <w:tc>
          <w:tcPr>
            <w:tcW w:w="1194" w:type="dxa"/>
            <w:tcBorders>
              <w:top w:val="single" w:color="auto" w:sz="4"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leftChars="0" w:right="0" w:rightChars="0"/>
              <w:rPr>
                <w:color w:val="000000"/>
                <w:kern w:val="2"/>
                <w:lang w:val="en-US" w:eastAsia="zh-CN"/>
              </w:rPr>
            </w:pPr>
            <w:r>
              <w:rPr>
                <w:rFonts w:hint="eastAsia"/>
                <w:color w:val="000000"/>
                <w:kern w:val="2"/>
                <w:lang w:val="en-US" w:eastAsia="zh-CN"/>
              </w:rPr>
              <w:t>/</w:t>
            </w:r>
          </w:p>
        </w:tc>
        <w:tc>
          <w:tcPr>
            <w:tcW w:w="3019" w:type="dxa"/>
            <w:tcBorders>
              <w:top w:val="single" w:color="auto" w:sz="4" w:space="0"/>
              <w:left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default"/>
                <w:color w:val="000000"/>
                <w:kern w:val="2"/>
                <w:lang w:val="en-US" w:eastAsia="zh-CN"/>
              </w:rPr>
            </w:pPr>
            <w:r>
              <w:rPr>
                <w:rFonts w:hint="eastAsia"/>
                <w:color w:val="000000"/>
                <w:kern w:val="2"/>
                <w:lang w:val="en-US" w:eastAsia="zh-CN"/>
              </w:rPr>
              <w:t>/</w:t>
            </w:r>
          </w:p>
        </w:tc>
        <w:tc>
          <w:tcPr>
            <w:tcW w:w="2292" w:type="dxa"/>
            <w:tcBorders>
              <w:top w:val="single" w:color="auto" w:sz="4" w:space="0"/>
              <w:left w:val="single" w:color="auto" w:sz="4" w:space="0"/>
              <w:right w:val="single" w:color="auto" w:sz="12" w:space="0"/>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eastAsia"/>
                <w:color w:val="000000"/>
                <w:kern w:val="2"/>
                <w:lang w:val="en-US" w:eastAsia="zh-CN"/>
              </w:rPr>
            </w:pPr>
            <w:r>
              <w:rPr>
                <w:rFonts w:hint="eastAsia"/>
                <w:color w:val="000000"/>
                <w:kern w:val="2"/>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8" w:type="dxa"/>
            <w:tcBorders>
              <w:top w:val="single" w:color="auto" w:sz="4" w:space="0"/>
              <w:left w:val="single" w:color="auto" w:sz="12"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声环境</w:t>
            </w:r>
          </w:p>
        </w:tc>
        <w:tc>
          <w:tcPr>
            <w:tcW w:w="1693" w:type="dxa"/>
            <w:tcBorders>
              <w:top w:val="single" w:color="auto" w:sz="4"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leftChars="0" w:right="0" w:rightChars="0"/>
              <w:rPr>
                <w:color w:val="000000"/>
                <w:kern w:val="2"/>
              </w:rPr>
            </w:pPr>
            <w:r>
              <w:rPr>
                <w:rFonts w:hint="eastAsia"/>
                <w:color w:val="000000"/>
                <w:kern w:val="2"/>
              </w:rPr>
              <w:t>运输</w:t>
            </w:r>
            <w:r>
              <w:rPr>
                <w:color w:val="000000"/>
                <w:kern w:val="2"/>
              </w:rPr>
              <w:t>车辆</w:t>
            </w:r>
          </w:p>
        </w:tc>
        <w:tc>
          <w:tcPr>
            <w:tcW w:w="1194" w:type="dxa"/>
            <w:tcBorders>
              <w:top w:val="single" w:color="auto" w:sz="4"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leftChars="0" w:right="0" w:rightChars="0"/>
              <w:rPr>
                <w:color w:val="000000"/>
                <w:kern w:val="2"/>
              </w:rPr>
            </w:pPr>
            <w:r>
              <w:rPr>
                <w:color w:val="000000"/>
                <w:kern w:val="2"/>
              </w:rPr>
              <w:t>交通噪声</w:t>
            </w:r>
          </w:p>
        </w:tc>
        <w:tc>
          <w:tcPr>
            <w:tcW w:w="3019" w:type="dxa"/>
            <w:tcBorders>
              <w:top w:val="single" w:color="auto" w:sz="4"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default" w:eastAsia="宋体"/>
                <w:color w:val="000000"/>
                <w:kern w:val="2"/>
                <w:lang w:val="en-US" w:eastAsia="zh-CN"/>
              </w:rPr>
            </w:pPr>
            <w:r>
              <w:rPr>
                <w:color w:val="000000"/>
                <w:kern w:val="2"/>
              </w:rPr>
              <w:t>车辆</w:t>
            </w:r>
            <w:r>
              <w:rPr>
                <w:rFonts w:hint="eastAsia"/>
                <w:color w:val="000000"/>
                <w:kern w:val="2"/>
                <w:lang w:val="en-US" w:eastAsia="zh-CN"/>
              </w:rPr>
              <w:t>减速慢行、定期维护</w:t>
            </w:r>
          </w:p>
        </w:tc>
        <w:tc>
          <w:tcPr>
            <w:tcW w:w="2292" w:type="dxa"/>
            <w:tcBorders>
              <w:top w:val="single" w:color="auto" w:sz="4" w:space="0"/>
              <w:left w:val="single" w:color="auto" w:sz="4" w:space="0"/>
              <w:bottom w:val="single" w:color="auto" w:sz="4" w:space="0"/>
              <w:right w:val="single" w:color="auto" w:sz="12"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《工业企业厂界环境噪声排放标准》（GB12348-2008）</w:t>
            </w:r>
            <w:r>
              <w:rPr>
                <w:rFonts w:hint="eastAsia"/>
                <w:color w:val="000000"/>
                <w:kern w:val="2"/>
                <w:lang w:val="en-US" w:eastAsia="zh-CN"/>
              </w:rPr>
              <w:t>1</w:t>
            </w:r>
            <w:r>
              <w:rPr>
                <w:color w:val="000000"/>
                <w:kern w:val="2"/>
              </w:rP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8" w:type="dxa"/>
            <w:tcBorders>
              <w:top w:val="single" w:color="auto" w:sz="4" w:space="0"/>
              <w:left w:val="single" w:color="auto" w:sz="12"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固体</w:t>
            </w:r>
          </w:p>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废物</w:t>
            </w:r>
          </w:p>
        </w:tc>
        <w:tc>
          <w:tcPr>
            <w:tcW w:w="2887" w:type="dxa"/>
            <w:gridSpan w:val="2"/>
            <w:tcBorders>
              <w:top w:val="single" w:color="auto" w:sz="4" w:space="0"/>
              <w:left w:val="single" w:color="auto" w:sz="4"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default" w:eastAsia="宋体"/>
                <w:color w:val="000000"/>
                <w:kern w:val="2"/>
                <w:lang w:val="en-US" w:eastAsia="zh-CN"/>
              </w:rPr>
            </w:pPr>
            <w:r>
              <w:rPr>
                <w:rFonts w:hint="eastAsia" w:ascii="Times New Roman" w:hAnsi="Times New Roman" w:cs="Times New Roman"/>
                <w:kern w:val="2"/>
                <w:sz w:val="21"/>
                <w:szCs w:val="21"/>
                <w:lang w:eastAsia="zh-CN"/>
              </w:rPr>
              <w:t>医疗废物</w:t>
            </w:r>
          </w:p>
        </w:tc>
        <w:tc>
          <w:tcPr>
            <w:tcW w:w="3019" w:type="dxa"/>
            <w:tcBorders>
              <w:top w:val="single" w:color="auto" w:sz="4" w:space="0"/>
              <w:left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eastAsia" w:eastAsia="宋体"/>
                <w:color w:val="000000"/>
                <w:kern w:val="2"/>
                <w:lang w:val="en-US" w:eastAsia="zh-CN"/>
              </w:rPr>
            </w:pPr>
            <w:r>
              <w:rPr>
                <w:rFonts w:hint="eastAsia"/>
                <w:color w:val="000000"/>
                <w:kern w:val="2"/>
                <w:lang w:eastAsia="zh-CN"/>
              </w:rPr>
              <w:t>医疗废物暂存间暂存，委托有资质单位处理</w:t>
            </w:r>
          </w:p>
        </w:tc>
        <w:tc>
          <w:tcPr>
            <w:tcW w:w="2292" w:type="dxa"/>
            <w:tcBorders>
              <w:top w:val="single" w:color="auto" w:sz="4" w:space="0"/>
              <w:left w:val="single" w:color="auto" w:sz="4" w:space="0"/>
              <w:right w:val="single" w:color="auto" w:sz="12" w:space="0"/>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rFonts w:hint="eastAsia" w:cs="Times New Roman"/>
                <w:kern w:val="2"/>
              </w:rPr>
              <w:t>《危险废物贮存污染控制标准》（GB18597-2023）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8" w:type="dxa"/>
            <w:tcBorders>
              <w:top w:val="single" w:color="auto" w:sz="4" w:space="0"/>
              <w:left w:val="single" w:color="auto" w:sz="12"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土壤及地下水污染防治措施</w:t>
            </w:r>
          </w:p>
        </w:tc>
        <w:tc>
          <w:tcPr>
            <w:tcW w:w="8198" w:type="dxa"/>
            <w:gridSpan w:val="4"/>
            <w:tcBorders>
              <w:top w:val="single" w:color="auto" w:sz="4" w:space="0"/>
              <w:left w:val="single" w:color="auto" w:sz="4" w:space="0"/>
              <w:bottom w:val="single" w:color="auto" w:sz="4" w:space="0"/>
              <w:right w:val="single" w:color="auto" w:sz="12" w:space="0"/>
            </w:tcBorders>
            <w:noWrap w:val="0"/>
            <w:vAlign w:val="center"/>
          </w:tcPr>
          <w:p>
            <w:pPr>
              <w:pStyle w:val="216"/>
              <w:keepNext w:val="0"/>
              <w:keepLines w:val="0"/>
              <w:widowControl/>
              <w:suppressLineNumbers w:val="0"/>
              <w:bidi w:val="0"/>
              <w:spacing w:before="0" w:beforeAutospacing="0" w:after="0" w:afterAutospacing="0"/>
              <w:ind w:left="0" w:right="0"/>
              <w:rPr>
                <w:rFonts w:hint="default"/>
                <w:color w:val="000000"/>
                <w:kern w:val="2"/>
                <w:lang w:val="en-US" w:eastAsia="zh-CN"/>
              </w:rPr>
            </w:pPr>
            <w:r>
              <w:rPr>
                <w:rFonts w:hint="eastAsia" w:ascii="Times New Roman" w:hAnsi="Times New Roman" w:cs="Times New Roman"/>
                <w:kern w:val="2"/>
                <w:sz w:val="21"/>
                <w:szCs w:val="21"/>
                <w:lang w:eastAsia="zh-CN"/>
              </w:rPr>
              <w:t>危险废物暂存间防渗参照《危险废物贮存污染控制标准》（GB18597-2023）中的防渗要求，</w:t>
            </w:r>
            <w:r>
              <w:rPr>
                <w:rFonts w:ascii="Times New Roman" w:hAnsi="Times New Roman"/>
                <w:color w:val="FF0000"/>
                <w:kern w:val="2"/>
                <w:szCs w:val="21"/>
              </w:rPr>
              <w:t>采用</w:t>
            </w:r>
            <w:r>
              <w:rPr>
                <w:rFonts w:ascii="Times New Roman" w:hAnsi="Times New Roman"/>
                <w:color w:val="FF0000"/>
                <w:kern w:val="0"/>
                <w:szCs w:val="21"/>
              </w:rPr>
              <w:t>2mm厚高密度聚乙烯膜等人工防渗材料（渗透系数不大于10</w:t>
            </w:r>
            <w:r>
              <w:rPr>
                <w:rFonts w:ascii="Times New Roman" w:hAnsi="Times New Roman"/>
                <w:color w:val="FF0000"/>
                <w:kern w:val="0"/>
                <w:szCs w:val="21"/>
                <w:vertAlign w:val="superscript"/>
              </w:rPr>
              <w:t>-10</w:t>
            </w:r>
            <w:r>
              <w:rPr>
                <w:rFonts w:ascii="Times New Roman" w:hAnsi="Times New Roman"/>
                <w:color w:val="FF0000"/>
                <w:kern w:val="0"/>
                <w:szCs w:val="21"/>
              </w:rPr>
              <w:t>cm/s）</w:t>
            </w:r>
            <w:r>
              <w:rPr>
                <w:rFonts w:hint="eastAsia" w:ascii="Times New Roman" w:hAnsi="Times New Roman"/>
                <w:color w:val="FF0000"/>
                <w:kern w:val="0"/>
                <w:szCs w:val="21"/>
                <w:lang w:eastAsia="zh-CN"/>
              </w:rPr>
              <w:t>，并在表面铺设一层环氧树脂进行防腐</w:t>
            </w:r>
            <w:r>
              <w:rPr>
                <w:kern w:val="2"/>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8" w:type="dxa"/>
            <w:tcBorders>
              <w:top w:val="single" w:color="auto" w:sz="4" w:space="0"/>
              <w:left w:val="single" w:color="auto" w:sz="12"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生态保护措施</w:t>
            </w:r>
          </w:p>
        </w:tc>
        <w:tc>
          <w:tcPr>
            <w:tcW w:w="8198" w:type="dxa"/>
            <w:gridSpan w:val="4"/>
            <w:tcBorders>
              <w:top w:val="single" w:color="auto" w:sz="4" w:space="0"/>
              <w:left w:val="single" w:color="auto" w:sz="4" w:space="0"/>
              <w:bottom w:val="single" w:color="auto" w:sz="4" w:space="0"/>
              <w:right w:val="single" w:color="auto" w:sz="12" w:space="0"/>
            </w:tcBorders>
            <w:noWrap w:val="0"/>
            <w:vAlign w:val="center"/>
          </w:tcPr>
          <w:p>
            <w:pPr>
              <w:pStyle w:val="216"/>
              <w:keepNext w:val="0"/>
              <w:keepLines w:val="0"/>
              <w:widowControl/>
              <w:suppressLineNumbers w:val="0"/>
              <w:bidi w:val="0"/>
              <w:spacing w:before="0" w:beforeAutospacing="0" w:after="0" w:afterAutospacing="0"/>
              <w:ind w:left="0" w:right="0"/>
              <w:rPr>
                <w:rFonts w:hint="eastAsia" w:eastAsia="宋体"/>
                <w:color w:val="000000"/>
                <w:kern w:val="2"/>
                <w:lang w:eastAsia="zh-CN"/>
              </w:rPr>
            </w:pPr>
            <w:r>
              <w:rPr>
                <w:rFonts w:hint="eastAsia"/>
                <w:color w:val="000000"/>
                <w:kern w:val="2"/>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8" w:type="dxa"/>
            <w:tcBorders>
              <w:top w:val="single" w:color="auto" w:sz="4" w:space="0"/>
              <w:left w:val="single" w:color="auto" w:sz="12"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环境风险防范措施</w:t>
            </w:r>
          </w:p>
        </w:tc>
        <w:tc>
          <w:tcPr>
            <w:tcW w:w="8198" w:type="dxa"/>
            <w:gridSpan w:val="4"/>
            <w:tcBorders>
              <w:top w:val="single" w:color="auto" w:sz="4" w:space="0"/>
              <w:left w:val="single" w:color="auto" w:sz="4" w:space="0"/>
              <w:bottom w:val="single" w:color="auto" w:sz="4" w:space="0"/>
              <w:right w:val="single" w:color="auto" w:sz="12" w:space="0"/>
            </w:tcBorders>
            <w:noWrap w:val="0"/>
            <w:vAlign w:val="center"/>
          </w:tcPr>
          <w:p>
            <w:pPr>
              <w:pStyle w:val="226"/>
              <w:keepNext w:val="0"/>
              <w:keepLines w:val="0"/>
              <w:suppressLineNumbers w:val="0"/>
              <w:bidi w:val="0"/>
              <w:spacing w:before="0" w:beforeAutospacing="0" w:after="0" w:afterAutospacing="0"/>
              <w:ind w:left="0" w:right="0"/>
              <w:jc w:val="center"/>
              <w:rPr>
                <w:rFonts w:hint="default" w:eastAsia="宋体"/>
                <w:color w:val="000000"/>
                <w:lang w:val="en-US" w:eastAsia="zh-CN"/>
              </w:rPr>
            </w:pPr>
            <w:r>
              <w:rPr>
                <w:rFonts w:hint="eastAsia"/>
                <w:color w:val="000000"/>
                <w:lang w:eastAsia="zh-CN"/>
              </w:rPr>
              <w:t>具体见环境风险章节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8" w:type="dxa"/>
            <w:tcBorders>
              <w:top w:val="single" w:color="auto" w:sz="4" w:space="0"/>
              <w:left w:val="single" w:color="auto" w:sz="12" w:space="0"/>
              <w:bottom w:val="single" w:color="auto" w:sz="4" w:space="0"/>
              <w:right w:val="single" w:color="auto" w:sz="4" w:space="0"/>
            </w:tcBorders>
            <w:noWrap w:val="0"/>
            <w:vAlign w:val="center"/>
          </w:tcPr>
          <w:p>
            <w:pPr>
              <w:pStyle w:val="216"/>
              <w:keepNext w:val="0"/>
              <w:keepLines w:val="0"/>
              <w:widowControl/>
              <w:suppressLineNumbers w:val="0"/>
              <w:bidi w:val="0"/>
              <w:spacing w:before="0" w:beforeAutospacing="0" w:after="0" w:afterAutospacing="0"/>
              <w:ind w:left="0" w:right="0"/>
              <w:rPr>
                <w:color w:val="000000"/>
                <w:kern w:val="2"/>
              </w:rPr>
            </w:pPr>
            <w:r>
              <w:rPr>
                <w:color w:val="000000"/>
                <w:kern w:val="2"/>
              </w:rPr>
              <w:t>其他环境管理要求</w:t>
            </w:r>
          </w:p>
        </w:tc>
        <w:tc>
          <w:tcPr>
            <w:tcW w:w="8198" w:type="dxa"/>
            <w:gridSpan w:val="4"/>
            <w:tcBorders>
              <w:top w:val="single" w:color="auto" w:sz="4" w:space="0"/>
              <w:left w:val="single" w:color="auto" w:sz="4" w:space="0"/>
              <w:bottom w:val="single" w:color="auto" w:sz="4" w:space="0"/>
              <w:right w:val="single" w:color="auto" w:sz="12" w:space="0"/>
            </w:tcBorders>
            <w:noWrap w:val="0"/>
            <w:vAlign w:val="center"/>
          </w:tcPr>
          <w:p>
            <w:pPr>
              <w:pStyle w:val="226"/>
              <w:keepNext w:val="0"/>
              <w:keepLines w:val="0"/>
              <w:suppressLineNumbers w:val="0"/>
              <w:bidi w:val="0"/>
              <w:spacing w:before="0" w:beforeAutospacing="0" w:after="0" w:afterAutospacing="0"/>
              <w:ind w:left="0" w:right="0"/>
              <w:jc w:val="left"/>
              <w:rPr>
                <w:rFonts w:hint="eastAsia"/>
                <w:color w:val="000000"/>
                <w:lang w:val="en-US" w:eastAsia="zh-CN"/>
              </w:rPr>
            </w:pPr>
            <w:r>
              <w:rPr>
                <w:rFonts w:hint="eastAsia"/>
                <w:color w:val="000000"/>
                <w:lang w:val="en-US" w:eastAsia="zh-CN"/>
              </w:rPr>
              <w:t>（</w:t>
            </w:r>
            <w:r>
              <w:rPr>
                <w:rFonts w:hint="default"/>
                <w:color w:val="000000"/>
                <w:lang w:val="en-US" w:eastAsia="zh-CN"/>
              </w:rPr>
              <w:t>1</w:t>
            </w:r>
            <w:r>
              <w:rPr>
                <w:rFonts w:hint="eastAsia"/>
                <w:color w:val="000000"/>
                <w:lang w:val="en-US" w:eastAsia="zh-CN"/>
              </w:rPr>
              <w:t>）制定并实施公司环境保护工作的长期规划及年度污染治理计划；定期检查环保设施的运行状况及对设备的维修与管理，严格控制“三废”的排放；协同有关环境保护主管部门组织落实“三同时”，参与有关方案的审定及竣工验收。</w:t>
            </w:r>
          </w:p>
          <w:p>
            <w:pPr>
              <w:pStyle w:val="226"/>
              <w:keepNext w:val="0"/>
              <w:keepLines w:val="0"/>
              <w:suppressLineNumbers w:val="0"/>
              <w:bidi w:val="0"/>
              <w:spacing w:before="0" w:beforeAutospacing="0" w:after="0" w:afterAutospacing="0"/>
              <w:ind w:left="0" w:right="0"/>
              <w:jc w:val="left"/>
              <w:rPr>
                <w:rFonts w:hint="default"/>
                <w:color w:val="000000"/>
                <w:lang w:val="en-US" w:eastAsia="zh-CN"/>
              </w:rPr>
            </w:pPr>
            <w:r>
              <w:rPr>
                <w:rFonts w:hint="eastAsia"/>
                <w:color w:val="000000"/>
                <w:lang w:val="en-US" w:eastAsia="zh-CN"/>
              </w:rPr>
              <w:t>（</w:t>
            </w:r>
            <w:r>
              <w:rPr>
                <w:rFonts w:hint="default"/>
                <w:color w:val="000000"/>
                <w:lang w:val="en-US" w:eastAsia="zh-CN"/>
              </w:rPr>
              <w:t>2</w:t>
            </w:r>
            <w:r>
              <w:rPr>
                <w:rFonts w:hint="eastAsia"/>
                <w:color w:val="000000"/>
                <w:lang w:val="en-US" w:eastAsia="zh-CN"/>
              </w:rPr>
              <w:t>）负责贯彻实施国家环保法规和有关地方环保法令，根据《《固定污染源排污许可分类管理名录（</w:t>
            </w:r>
            <w:r>
              <w:rPr>
                <w:rFonts w:hint="default"/>
                <w:color w:val="000000"/>
                <w:lang w:val="en-US" w:eastAsia="zh-CN"/>
              </w:rPr>
              <w:t>2019</w:t>
            </w:r>
            <w:r>
              <w:rPr>
                <w:rFonts w:hint="eastAsia"/>
                <w:color w:val="000000"/>
                <w:lang w:val="en-US" w:eastAsia="zh-CN"/>
              </w:rPr>
              <w:t>年版）》（生态环境部部令第</w:t>
            </w:r>
            <w:r>
              <w:rPr>
                <w:rFonts w:hint="default"/>
                <w:color w:val="000000"/>
                <w:lang w:val="en-US" w:eastAsia="zh-CN"/>
              </w:rPr>
              <w:t>11</w:t>
            </w:r>
            <w:r>
              <w:rPr>
                <w:rFonts w:hint="eastAsia"/>
                <w:color w:val="000000"/>
                <w:lang w:val="en-US" w:eastAsia="zh-CN"/>
              </w:rPr>
              <w:t>号），本项目属于《名录》</w:t>
            </w:r>
            <w:r>
              <w:rPr>
                <w:rFonts w:hint="default"/>
                <w:color w:val="000000"/>
                <w:lang w:val="en-US" w:eastAsia="zh-CN"/>
              </w:rPr>
              <w:t>10</w:t>
            </w:r>
            <w:r>
              <w:rPr>
                <w:rFonts w:hint="eastAsia"/>
                <w:color w:val="000000"/>
                <w:lang w:val="en-US" w:eastAsia="zh-CN"/>
              </w:rPr>
              <w:t>3项</w:t>
            </w:r>
            <w:r>
              <w:rPr>
                <w:rFonts w:hint="default"/>
                <w:color w:val="000000"/>
                <w:lang w:val="en-US" w:eastAsia="zh-CN"/>
              </w:rPr>
              <w:t>“</w:t>
            </w:r>
            <w:r>
              <w:rPr>
                <w:rFonts w:hint="eastAsia"/>
                <w:color w:val="000000"/>
                <w:lang w:val="en-US" w:eastAsia="zh-CN"/>
              </w:rPr>
              <w:t>环境治理业772</w:t>
            </w:r>
            <w:r>
              <w:rPr>
                <w:rFonts w:hint="default"/>
                <w:color w:val="000000"/>
                <w:lang w:val="en-US" w:eastAsia="zh-CN"/>
              </w:rPr>
              <w:t>”</w:t>
            </w:r>
            <w:r>
              <w:rPr>
                <w:rFonts w:hint="eastAsia"/>
                <w:color w:val="000000"/>
                <w:lang w:val="en-US" w:eastAsia="zh-CN"/>
              </w:rPr>
              <w:t>，但不属于专业从事危险废物贮存、利用、处理、处置的，无需办理排污许可证或登记。</w:t>
            </w:r>
          </w:p>
          <w:p>
            <w:pPr>
              <w:pStyle w:val="226"/>
              <w:keepNext w:val="0"/>
              <w:keepLines w:val="0"/>
              <w:suppressLineNumbers w:val="0"/>
              <w:bidi w:val="0"/>
              <w:spacing w:before="0" w:beforeAutospacing="0" w:after="0" w:afterAutospacing="0"/>
              <w:ind w:left="0" w:right="0"/>
              <w:jc w:val="left"/>
              <w:rPr>
                <w:color w:val="000000"/>
                <w:kern w:val="2"/>
              </w:rPr>
            </w:pPr>
            <w:r>
              <w:rPr>
                <w:rFonts w:hint="eastAsia"/>
                <w:color w:val="000000"/>
                <w:lang w:val="en-US" w:eastAsia="zh-CN"/>
              </w:rPr>
              <w:t>（</w:t>
            </w:r>
            <w:r>
              <w:rPr>
                <w:rFonts w:hint="default"/>
                <w:color w:val="000000"/>
                <w:lang w:val="en-US" w:eastAsia="zh-CN"/>
              </w:rPr>
              <w:t>3</w:t>
            </w:r>
            <w:r>
              <w:rPr>
                <w:rFonts w:hint="eastAsia"/>
                <w:color w:val="000000"/>
                <w:lang w:val="en-US" w:eastAsia="zh-CN"/>
              </w:rPr>
              <w:t>）加强环保管理，建立健全企业的环境管理制度，确保污染治理和生态环境保护工作顺利实施，并实施检查和监督。</w:t>
            </w:r>
          </w:p>
        </w:tc>
      </w:tr>
    </w:tbl>
    <w:p>
      <w:pPr>
        <w:pStyle w:val="29"/>
        <w:keepNext w:val="0"/>
        <w:keepLines w:val="0"/>
        <w:pageBreakBefore w:val="0"/>
        <w:widowControl/>
        <w:kinsoku/>
        <w:wordWrap/>
        <w:overflowPunct/>
        <w:topLinePunct w:val="0"/>
        <w:autoSpaceDE/>
        <w:autoSpaceDN/>
        <w:bidi w:val="0"/>
        <w:adjustRightInd/>
        <w:snapToGrid/>
        <w:spacing w:before="157" w:beforeLines="50" w:beforeAutospacing="0" w:after="157" w:afterLines="50" w:afterAutospacing="0"/>
        <w:jc w:val="center"/>
        <w:textAlignment w:val="auto"/>
        <w:outlineLvl w:val="0"/>
        <w:rPr>
          <w:rFonts w:ascii="黑体" w:hAnsi="黑体" w:eastAsia="黑体"/>
          <w:snapToGrid w:val="0"/>
          <w:color w:val="000000"/>
          <w:sz w:val="30"/>
          <w:szCs w:val="30"/>
        </w:rPr>
      </w:pPr>
      <w:r>
        <w:rPr>
          <w:snapToGrid w:val="0"/>
          <w:color w:val="000000"/>
        </w:rPr>
        <w:br w:type="page"/>
      </w:r>
      <w:r>
        <w:rPr>
          <w:rStyle w:val="43"/>
          <w:rFonts w:hint="eastAsia"/>
          <w:color w:val="000000"/>
        </w:rPr>
        <w:t>六、结论</w:t>
      </w:r>
    </w:p>
    <w:tbl>
      <w:tblPr>
        <w:tblStyle w:val="34"/>
        <w:tblW w:w="0" w:type="auto"/>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9075"/>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1991" w:hRule="atLeast"/>
          <w:jc w:val="center"/>
        </w:trPr>
        <w:tc>
          <w:tcPr>
            <w:tcW w:w="9075" w:type="dxa"/>
            <w:noWrap w:val="0"/>
            <w:vAlign w:val="top"/>
          </w:tcPr>
          <w:p>
            <w:pPr>
              <w:keepNext w:val="0"/>
              <w:keepLines w:val="0"/>
              <w:pageBreakBefore w:val="0"/>
              <w:widowControl/>
              <w:suppressLineNumbers w:val="0"/>
              <w:kinsoku/>
              <w:wordWrap/>
              <w:overflowPunct/>
              <w:topLinePunct w:val="0"/>
              <w:autoSpaceDE w:val="0"/>
              <w:autoSpaceDN w:val="0"/>
              <w:bidi w:val="0"/>
              <w:adjustRightInd w:val="0"/>
              <w:snapToGrid w:val="0"/>
              <w:spacing w:before="157" w:beforeLines="50" w:beforeAutospacing="0" w:after="0" w:afterAutospacing="0"/>
              <w:ind w:left="0" w:right="0"/>
              <w:jc w:val="left"/>
              <w:textAlignment w:val="auto"/>
              <w:rPr>
                <w:rFonts w:hint="eastAsia" w:ascii="Times New Roman" w:hAnsi="Times New Roman" w:eastAsia="宋体" w:cs="Times New Roman"/>
                <w:color w:val="000000"/>
                <w:sz w:val="24"/>
                <w:lang w:val="en-US" w:eastAsia="zh-CN"/>
              </w:rPr>
            </w:pPr>
            <w:r>
              <w:rPr>
                <w:rFonts w:hint="eastAsia" w:cs="Times New Roman"/>
                <w:color w:val="000000"/>
              </w:rPr>
              <w:t>本项目</w:t>
            </w:r>
            <w:r>
              <w:rPr>
                <w:rFonts w:cs="Times New Roman"/>
                <w:color w:val="000000"/>
              </w:rPr>
              <w:t>位于</w:t>
            </w:r>
            <w:r>
              <w:rPr>
                <w:rFonts w:hint="eastAsia" w:ascii="Times New Roman" w:hAnsi="Times New Roman" w:eastAsia="宋体" w:cs="Times New Roman"/>
                <w:color w:val="auto"/>
                <w:sz w:val="24"/>
                <w:szCs w:val="24"/>
                <w:u w:val="none"/>
                <w:lang w:eastAsia="zh-CN"/>
              </w:rPr>
              <w:t>内蒙古自治区锡林郭勒盟正蓝旗上都镇黄旗嘎查</w:t>
            </w:r>
            <w:r>
              <w:rPr>
                <w:rFonts w:hint="eastAsia" w:cs="Times New Roman"/>
                <w:color w:val="000000"/>
              </w:rPr>
              <w:t>，</w:t>
            </w:r>
            <w:r>
              <w:rPr>
                <w:rFonts w:hint="eastAsia" w:cs="Times New Roman"/>
                <w:lang w:val="en-US" w:eastAsia="zh-CN"/>
              </w:rPr>
              <w:t>对照中华人民共和国国家发展和改革委员会令第7号《产业结构调整指导目录（2024年本）》，本项目未列入产业目录中的限制类和淘汰类，为允许类，符合国家相关法律法规及政策规定，属于允许类建设项目</w:t>
            </w:r>
            <w:r>
              <w:rPr>
                <w:rFonts w:hint="eastAsia" w:cs="Times New Roman"/>
                <w:color w:val="000000"/>
                <w:lang w:val="en-US" w:eastAsia="zh-CN"/>
              </w:rPr>
              <w:t>。选址与“三线一单”相符，</w:t>
            </w:r>
            <w:r>
              <w:rPr>
                <w:rFonts w:hint="eastAsia" w:ascii="宋体" w:hAnsi="宋体" w:eastAsia="宋体" w:cs="宋体"/>
                <w:color w:val="000000"/>
                <w:kern w:val="0"/>
                <w:sz w:val="24"/>
                <w:szCs w:val="24"/>
                <w:lang w:val="en-US" w:eastAsia="zh-CN" w:bidi="ar"/>
              </w:rPr>
              <w:t>在采取环评提出的污染控制措施下，正常情况可确保达标排放且对环境产生的不利影响处于可接受水平。综上所述，在严格执行</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三同时</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制度，认真落实各项环保措施的条件下，从环境保护角度分析，项目建设可行</w:t>
            </w:r>
            <w:r>
              <w:rPr>
                <w:rFonts w:hint="eastAsia" w:cs="Times New Roman"/>
                <w:lang w:val="en-US" w:eastAsia="zh-CN"/>
              </w:rPr>
              <w:t>。</w:t>
            </w:r>
          </w:p>
        </w:tc>
      </w:tr>
    </w:tbl>
    <w:p>
      <w:pPr>
        <w:rPr>
          <w:rFonts w:ascii="宋体"/>
          <w:color w:val="000000"/>
        </w:rPr>
        <w:sectPr>
          <w:pgSz w:w="11906" w:h="16838"/>
          <w:pgMar w:top="1418" w:right="1418" w:bottom="1701" w:left="1418"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9"/>
        <w:keepNext w:val="0"/>
        <w:keepLines w:val="0"/>
        <w:pageBreakBefore w:val="0"/>
        <w:widowControl/>
        <w:kinsoku/>
        <w:wordWrap/>
        <w:overflowPunct/>
        <w:topLinePunct w:val="0"/>
        <w:autoSpaceDE/>
        <w:autoSpaceDN/>
        <w:bidi w:val="0"/>
        <w:adjustRightInd w:val="0"/>
        <w:snapToGrid w:val="0"/>
        <w:spacing w:before="0" w:beforeAutospacing="0" w:after="0" w:afterAutospacing="0"/>
        <w:jc w:val="both"/>
        <w:textAlignment w:val="auto"/>
        <w:outlineLvl w:val="9"/>
        <w:rPr>
          <w:rFonts w:ascii="黑体" w:hAnsi="黑体" w:eastAsia="黑体"/>
          <w:snapToGrid w:val="0"/>
          <w:color w:val="000000"/>
          <w:sz w:val="30"/>
          <w:szCs w:val="30"/>
          <w:highlight w:val="yellow"/>
        </w:rPr>
      </w:pPr>
      <w:r>
        <w:rPr>
          <w:rFonts w:hint="eastAsia" w:ascii="黑体" w:hAnsi="黑体" w:eastAsia="黑体"/>
          <w:snapToGrid w:val="0"/>
          <w:color w:val="000000"/>
          <w:sz w:val="30"/>
          <w:szCs w:val="30"/>
        </w:rPr>
        <w:t>附表</w:t>
      </w:r>
    </w:p>
    <w:p>
      <w:pPr>
        <w:pStyle w:val="4"/>
        <w:bidi w:val="0"/>
        <w:rPr>
          <w:rFonts w:hint="eastAsia"/>
          <w:color w:val="000000"/>
        </w:rPr>
      </w:pPr>
      <w:r>
        <w:rPr>
          <w:rFonts w:hint="eastAsia"/>
          <w:color w:val="000000"/>
        </w:rPr>
        <w:t>建设项目污染物排放量汇总表</w:t>
      </w:r>
    </w:p>
    <w:tbl>
      <w:tblPr>
        <w:tblStyle w:val="34"/>
        <w:tblW w:w="4996" w:type="pct"/>
        <w:tblInd w:w="0" w:type="dxa"/>
        <w:tblBorders>
          <w:top w:val="single" w:color="000000" w:sz="12" w:space="0"/>
          <w:left w:val="single" w:color="000000" w:sz="12" w:space="0"/>
          <w:bottom w:val="single" w:color="000000" w:sz="12" w:space="0"/>
          <w:right w:val="single" w:color="000000" w:sz="12" w:space="0"/>
          <w:insideH w:val="single" w:color="000000" w:sz="2" w:space="0"/>
          <w:insideV w:val="single" w:color="000000" w:sz="8" w:space="0"/>
        </w:tblBorders>
        <w:tblLayout w:type="autofit"/>
        <w:tblCellMar>
          <w:top w:w="0" w:type="dxa"/>
          <w:left w:w="108" w:type="dxa"/>
          <w:bottom w:w="0" w:type="dxa"/>
          <w:right w:w="108" w:type="dxa"/>
        </w:tblCellMar>
      </w:tblPr>
      <w:tblGrid>
        <w:gridCol w:w="1138"/>
        <w:gridCol w:w="2147"/>
        <w:gridCol w:w="1650"/>
        <w:gridCol w:w="1243"/>
        <w:gridCol w:w="1413"/>
        <w:gridCol w:w="1650"/>
        <w:gridCol w:w="1308"/>
        <w:gridCol w:w="1843"/>
        <w:gridCol w:w="1817"/>
      </w:tblGrid>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8" w:space="0"/>
          </w:tblBorders>
          <w:tblCellMar>
            <w:top w:w="0" w:type="dxa"/>
            <w:left w:w="108" w:type="dxa"/>
            <w:bottom w:w="0" w:type="dxa"/>
            <w:right w:w="108" w:type="dxa"/>
          </w:tblCellMar>
        </w:tblPrEx>
        <w:trPr>
          <w:trHeight w:val="454" w:hRule="atLeast"/>
        </w:trPr>
        <w:tc>
          <w:tcPr>
            <w:tcW w:w="40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rFonts w:hint="eastAsia"/>
                <w:color w:val="000000"/>
                <w:kern w:val="2"/>
                <w:lang w:val="en-US" w:eastAsia="zh-CN"/>
              </w:rPr>
              <w:t>项目</w:t>
            </w:r>
            <w:r>
              <w:rPr>
                <w:rFonts w:hint="eastAsia"/>
                <w:color w:val="000000"/>
                <w:kern w:val="2"/>
                <w:lang w:val="en-US" w:eastAsia="zh-CN"/>
              </w:rPr>
              <w:br w:type="textWrapping"/>
            </w:r>
            <w:r>
              <w:rPr>
                <w:rFonts w:hint="eastAsia"/>
                <w:color w:val="000000"/>
                <w:kern w:val="2"/>
                <w:lang w:val="en-US" w:eastAsia="zh-CN"/>
              </w:rPr>
              <w:t>分类</w:t>
            </w:r>
          </w:p>
        </w:tc>
        <w:tc>
          <w:tcPr>
            <w:tcW w:w="755"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rFonts w:hint="eastAsia"/>
                <w:color w:val="000000"/>
                <w:kern w:val="2"/>
                <w:lang w:val="en-US" w:eastAsia="zh-CN"/>
              </w:rPr>
              <w:t>污染物名称</w:t>
            </w:r>
          </w:p>
        </w:tc>
        <w:tc>
          <w:tcPr>
            <w:tcW w:w="58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rFonts w:hint="eastAsia"/>
                <w:color w:val="000000"/>
                <w:kern w:val="2"/>
                <w:lang w:val="en-US" w:eastAsia="zh-CN"/>
              </w:rPr>
              <w:t>现有工程排放量（固体废物产生量）</w:t>
            </w:r>
            <w:r>
              <w:rPr>
                <w:color w:val="000000"/>
                <w:kern w:val="2"/>
                <w:lang w:val="en-US" w:eastAsia="zh-CN"/>
              </w:rPr>
              <w:t>①</w:t>
            </w:r>
          </w:p>
        </w:tc>
        <w:tc>
          <w:tcPr>
            <w:tcW w:w="437"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rFonts w:hint="eastAsia"/>
                <w:color w:val="000000"/>
                <w:kern w:val="2"/>
                <w:lang w:val="en-US" w:eastAsia="zh-CN"/>
              </w:rPr>
              <w:t>现有工程许可排放量②</w:t>
            </w:r>
          </w:p>
        </w:tc>
        <w:tc>
          <w:tcPr>
            <w:tcW w:w="497"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rFonts w:hint="eastAsia"/>
                <w:color w:val="000000"/>
                <w:kern w:val="2"/>
                <w:lang w:val="en-US" w:eastAsia="zh-CN"/>
              </w:rPr>
              <w:t>在建工程排放量（固体废物产生量）</w:t>
            </w:r>
            <w:r>
              <w:rPr>
                <w:color w:val="000000"/>
                <w:kern w:val="2"/>
                <w:lang w:val="en-US" w:eastAsia="zh-CN"/>
              </w:rPr>
              <w:t>③</w:t>
            </w:r>
          </w:p>
        </w:tc>
        <w:tc>
          <w:tcPr>
            <w:tcW w:w="58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rFonts w:hint="eastAsia"/>
                <w:color w:val="000000"/>
                <w:kern w:val="2"/>
                <w:lang w:val="en-US" w:eastAsia="zh-CN"/>
              </w:rPr>
              <w:t>本项目排放量（固体废物产生量）④</w:t>
            </w:r>
          </w:p>
        </w:tc>
        <w:tc>
          <w:tcPr>
            <w:tcW w:w="46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rFonts w:hint="eastAsia"/>
                <w:color w:val="000000"/>
                <w:kern w:val="2"/>
                <w:lang w:val="en-US" w:eastAsia="zh-CN"/>
              </w:rPr>
              <w:t>以新带老削减量（新建项目不填）</w:t>
            </w:r>
            <w:r>
              <w:rPr>
                <w:color w:val="000000"/>
                <w:kern w:val="2"/>
                <w:lang w:val="en-US" w:eastAsia="zh-CN"/>
              </w:rPr>
              <w:t>⑤</w:t>
            </w:r>
          </w:p>
        </w:tc>
        <w:tc>
          <w:tcPr>
            <w:tcW w:w="648"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rFonts w:hint="eastAsia"/>
                <w:color w:val="000000"/>
                <w:kern w:val="2"/>
                <w:lang w:val="en-US" w:eastAsia="zh-CN"/>
              </w:rPr>
              <w:t>本项目建成后</w:t>
            </w:r>
            <w:r>
              <w:rPr>
                <w:rFonts w:hint="eastAsia"/>
                <w:color w:val="000000"/>
                <w:kern w:val="2"/>
                <w:lang w:val="en-US" w:eastAsia="zh-CN"/>
              </w:rPr>
              <w:br w:type="textWrapping"/>
            </w:r>
            <w:r>
              <w:rPr>
                <w:rFonts w:hint="eastAsia"/>
                <w:color w:val="000000"/>
                <w:kern w:val="2"/>
                <w:lang w:val="en-US" w:eastAsia="zh-CN"/>
              </w:rPr>
              <w:t>全厂排放量（固体废物产生量）⑥</w:t>
            </w:r>
          </w:p>
        </w:tc>
        <w:tc>
          <w:tcPr>
            <w:tcW w:w="639"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rFonts w:hint="eastAsia"/>
                <w:color w:val="000000"/>
                <w:kern w:val="2"/>
                <w:lang w:val="en-US" w:eastAsia="zh-CN"/>
              </w:rPr>
              <w:t>变化量</w:t>
            </w:r>
            <w:r>
              <w:rPr>
                <w:rFonts w:hint="eastAsia"/>
                <w:color w:val="000000"/>
                <w:kern w:val="2"/>
                <w:lang w:val="en-US" w:eastAsia="zh-CN"/>
              </w:rPr>
              <w:br w:type="textWrapping"/>
            </w:r>
            <w:r>
              <w:rPr>
                <w:rFonts w:hint="eastAsia"/>
                <w:color w:val="000000"/>
                <w:kern w:val="2"/>
                <w:lang w:val="en-US" w:eastAsia="zh-CN"/>
              </w:rPr>
              <w:t>⑦</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8" w:space="0"/>
          </w:tblBorders>
          <w:tblCellMar>
            <w:top w:w="0" w:type="dxa"/>
            <w:left w:w="108" w:type="dxa"/>
            <w:bottom w:w="0" w:type="dxa"/>
            <w:right w:w="108" w:type="dxa"/>
          </w:tblCellMar>
        </w:tblPrEx>
        <w:trPr>
          <w:trHeight w:val="454" w:hRule="atLeast"/>
        </w:trPr>
        <w:tc>
          <w:tcPr>
            <w:tcW w:w="40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eastAsia" w:eastAsia="宋体"/>
                <w:color w:val="000000"/>
                <w:kern w:val="2"/>
                <w:lang w:val="en-US" w:eastAsia="zh-CN"/>
              </w:rPr>
            </w:pPr>
            <w:r>
              <w:rPr>
                <w:rFonts w:hint="eastAsia"/>
                <w:color w:val="000000"/>
                <w:kern w:val="2"/>
                <w:lang w:val="en-US" w:eastAsia="zh-CN"/>
              </w:rPr>
              <w:t>废气</w:t>
            </w:r>
          </w:p>
        </w:tc>
        <w:tc>
          <w:tcPr>
            <w:tcW w:w="755"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color w:val="000000"/>
                <w:kern w:val="2"/>
                <w:lang w:val="en-US" w:eastAsia="zh-CN"/>
              </w:rPr>
              <w:t>颗粒物</w:t>
            </w:r>
          </w:p>
        </w:tc>
        <w:tc>
          <w:tcPr>
            <w:tcW w:w="58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default"/>
                <w:color w:val="000000"/>
                <w:kern w:val="2"/>
              </w:rPr>
            </w:pPr>
            <w:r>
              <w:rPr>
                <w:color w:val="000000"/>
                <w:kern w:val="2"/>
                <w:lang w:val="en-US" w:eastAsia="zh-CN"/>
              </w:rPr>
              <w:t>/</w:t>
            </w:r>
          </w:p>
        </w:tc>
        <w:tc>
          <w:tcPr>
            <w:tcW w:w="437"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default"/>
                <w:color w:val="000000"/>
                <w:kern w:val="2"/>
              </w:rPr>
            </w:pPr>
            <w:r>
              <w:rPr>
                <w:color w:val="000000"/>
                <w:kern w:val="2"/>
                <w:lang w:val="en-US" w:eastAsia="zh-CN"/>
              </w:rPr>
              <w:t>/</w:t>
            </w:r>
          </w:p>
        </w:tc>
        <w:tc>
          <w:tcPr>
            <w:tcW w:w="497"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default"/>
                <w:color w:val="000000"/>
                <w:kern w:val="2"/>
              </w:rPr>
            </w:pPr>
            <w:r>
              <w:rPr>
                <w:color w:val="000000"/>
                <w:kern w:val="2"/>
                <w:lang w:val="en-US" w:eastAsia="zh-CN"/>
              </w:rPr>
              <w:t>/</w:t>
            </w:r>
          </w:p>
        </w:tc>
        <w:tc>
          <w:tcPr>
            <w:tcW w:w="58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default"/>
                <w:color w:val="000000"/>
                <w:kern w:val="2"/>
                <w:lang w:val="en-US"/>
              </w:rPr>
            </w:pPr>
            <w:r>
              <w:rPr>
                <w:color w:val="000000"/>
                <w:kern w:val="2"/>
                <w:lang w:val="en-US" w:eastAsia="zh-CN"/>
              </w:rPr>
              <w:t>/</w:t>
            </w:r>
          </w:p>
        </w:tc>
        <w:tc>
          <w:tcPr>
            <w:tcW w:w="46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default"/>
                <w:color w:val="000000"/>
                <w:kern w:val="2"/>
              </w:rPr>
            </w:pPr>
            <w:r>
              <w:rPr>
                <w:color w:val="000000"/>
                <w:kern w:val="2"/>
                <w:lang w:val="en-US" w:eastAsia="zh-CN"/>
              </w:rPr>
              <w:t>/</w:t>
            </w:r>
          </w:p>
        </w:tc>
        <w:tc>
          <w:tcPr>
            <w:tcW w:w="648"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default" w:ascii="Times New Roman" w:hAnsi="Times New Roman" w:eastAsia="宋体" w:cs="Times New Roman"/>
                <w:color w:val="000000"/>
                <w:kern w:val="2"/>
                <w:sz w:val="21"/>
                <w:szCs w:val="21"/>
                <w:lang w:val="zh-CN" w:eastAsia="zh-CN" w:bidi="ar-SA"/>
              </w:rPr>
            </w:pPr>
            <w:r>
              <w:rPr>
                <w:color w:val="000000"/>
                <w:kern w:val="2"/>
                <w:lang w:val="en-US" w:eastAsia="zh-CN"/>
              </w:rPr>
              <w:t>/</w:t>
            </w:r>
          </w:p>
        </w:tc>
        <w:tc>
          <w:tcPr>
            <w:tcW w:w="639"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default" w:ascii="Times New Roman" w:hAnsi="Times New Roman" w:eastAsia="宋体" w:cs="Times New Roman"/>
                <w:color w:val="000000"/>
                <w:kern w:val="2"/>
                <w:sz w:val="21"/>
                <w:szCs w:val="21"/>
                <w:lang w:val="zh-CN" w:eastAsia="zh-CN" w:bidi="ar-SA"/>
              </w:rPr>
            </w:pPr>
            <w:r>
              <w:rPr>
                <w:color w:val="000000"/>
                <w:kern w:val="2"/>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8" w:space="0"/>
          </w:tblBorders>
          <w:tblCellMar>
            <w:top w:w="0" w:type="dxa"/>
            <w:left w:w="108" w:type="dxa"/>
            <w:bottom w:w="0" w:type="dxa"/>
            <w:right w:w="108" w:type="dxa"/>
          </w:tblCellMar>
        </w:tblPrEx>
        <w:trPr>
          <w:trHeight w:val="464" w:hRule="atLeast"/>
        </w:trPr>
        <w:tc>
          <w:tcPr>
            <w:tcW w:w="400" w:type="pct"/>
            <w:vMerge w:val="restar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rFonts w:hint="eastAsia"/>
                <w:color w:val="000000"/>
                <w:kern w:val="2"/>
                <w:lang w:val="en-US" w:eastAsia="zh-CN"/>
              </w:rPr>
              <w:t>废水</w:t>
            </w:r>
          </w:p>
        </w:tc>
        <w:tc>
          <w:tcPr>
            <w:tcW w:w="75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olor w:val="000000"/>
                <w:kern w:val="2"/>
              </w:rPr>
            </w:pPr>
            <w:r>
              <w:rPr>
                <w:rFonts w:ascii="Times New Roman" w:hAnsi="Times New Roman" w:eastAsia="Times New Roman" w:cs="Times New Roman"/>
                <w:spacing w:val="0"/>
                <w:position w:val="0"/>
                <w:sz w:val="21"/>
                <w:szCs w:val="21"/>
              </w:rPr>
              <w:t>CODcr</w:t>
            </w:r>
          </w:p>
        </w:tc>
        <w:tc>
          <w:tcPr>
            <w:tcW w:w="58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default"/>
                <w:color w:val="000000"/>
                <w:kern w:val="2"/>
              </w:rPr>
            </w:pPr>
            <w:r>
              <w:rPr>
                <w:color w:val="000000"/>
                <w:kern w:val="2"/>
                <w:lang w:val="en-US" w:eastAsia="zh-CN"/>
              </w:rPr>
              <w:t>/</w:t>
            </w:r>
          </w:p>
        </w:tc>
        <w:tc>
          <w:tcPr>
            <w:tcW w:w="437"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default"/>
                <w:color w:val="000000"/>
                <w:kern w:val="2"/>
              </w:rPr>
            </w:pPr>
            <w:r>
              <w:rPr>
                <w:color w:val="000000"/>
                <w:kern w:val="2"/>
                <w:lang w:val="en-US" w:eastAsia="zh-CN"/>
              </w:rPr>
              <w:t>/</w:t>
            </w:r>
          </w:p>
        </w:tc>
        <w:tc>
          <w:tcPr>
            <w:tcW w:w="497"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default"/>
                <w:color w:val="000000"/>
                <w:kern w:val="2"/>
              </w:rPr>
            </w:pPr>
            <w:r>
              <w:rPr>
                <w:color w:val="000000"/>
                <w:kern w:val="2"/>
                <w:lang w:val="en-US" w:eastAsia="zh-CN"/>
              </w:rPr>
              <w:t>/</w:t>
            </w:r>
          </w:p>
        </w:tc>
        <w:tc>
          <w:tcPr>
            <w:tcW w:w="58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default" w:ascii="Times New Roman" w:hAnsi="Times New Roman" w:eastAsia="宋体" w:cs="Times New Roman"/>
                <w:color w:val="000000"/>
                <w:kern w:val="2"/>
                <w:sz w:val="21"/>
                <w:szCs w:val="21"/>
                <w:lang w:val="zh-CN" w:eastAsia="zh-CN" w:bidi="ar-SA"/>
              </w:rPr>
            </w:pPr>
            <w:r>
              <w:rPr>
                <w:color w:val="000000"/>
                <w:kern w:val="2"/>
                <w:lang w:val="en-US" w:eastAsia="zh-CN"/>
              </w:rPr>
              <w:t>/</w:t>
            </w:r>
          </w:p>
        </w:tc>
        <w:tc>
          <w:tcPr>
            <w:tcW w:w="46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default" w:ascii="Times New Roman" w:hAnsi="Times New Roman" w:eastAsia="宋体" w:cs="Times New Roman"/>
                <w:color w:val="000000"/>
                <w:kern w:val="2"/>
                <w:sz w:val="21"/>
                <w:szCs w:val="21"/>
                <w:lang w:val="zh-CN" w:eastAsia="zh-CN" w:bidi="ar-SA"/>
              </w:rPr>
            </w:pPr>
            <w:r>
              <w:rPr>
                <w:color w:val="000000"/>
                <w:kern w:val="2"/>
                <w:lang w:val="en-US" w:eastAsia="zh-CN"/>
              </w:rPr>
              <w:t>/</w:t>
            </w:r>
          </w:p>
        </w:tc>
        <w:tc>
          <w:tcPr>
            <w:tcW w:w="648"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default" w:ascii="Times New Roman" w:hAnsi="Times New Roman" w:eastAsia="宋体" w:cs="Times New Roman"/>
                <w:color w:val="000000"/>
                <w:kern w:val="2"/>
                <w:sz w:val="21"/>
                <w:szCs w:val="21"/>
                <w:lang w:val="zh-CN" w:eastAsia="zh-CN" w:bidi="ar-SA"/>
              </w:rPr>
            </w:pPr>
            <w:r>
              <w:rPr>
                <w:color w:val="000000"/>
                <w:kern w:val="2"/>
                <w:lang w:val="en-US" w:eastAsia="zh-CN"/>
              </w:rPr>
              <w:t>/</w:t>
            </w:r>
          </w:p>
        </w:tc>
        <w:tc>
          <w:tcPr>
            <w:tcW w:w="639"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default" w:ascii="Times New Roman" w:hAnsi="Times New Roman" w:eastAsia="宋体" w:cs="Times New Roman"/>
                <w:color w:val="000000"/>
                <w:kern w:val="2"/>
                <w:sz w:val="21"/>
                <w:szCs w:val="21"/>
                <w:lang w:val="zh-CN" w:eastAsia="zh-CN" w:bidi="ar-SA"/>
              </w:rPr>
            </w:pPr>
            <w:r>
              <w:rPr>
                <w:color w:val="000000"/>
                <w:kern w:val="2"/>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8" w:space="0"/>
          </w:tblBorders>
          <w:tblCellMar>
            <w:top w:w="0" w:type="dxa"/>
            <w:left w:w="108" w:type="dxa"/>
            <w:bottom w:w="0" w:type="dxa"/>
            <w:right w:w="108" w:type="dxa"/>
          </w:tblCellMar>
        </w:tblPrEx>
        <w:trPr>
          <w:trHeight w:val="454" w:hRule="atLeast"/>
        </w:trPr>
        <w:tc>
          <w:tcPr>
            <w:tcW w:w="400" w:type="pct"/>
            <w:vMerge w:val="continue"/>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lang w:val="en-US" w:eastAsia="zh-CN"/>
              </w:rPr>
            </w:pPr>
          </w:p>
        </w:tc>
        <w:tc>
          <w:tcPr>
            <w:tcW w:w="75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olor w:val="000000"/>
                <w:kern w:val="2"/>
                <w:lang w:val="en-US" w:eastAsia="zh-CN"/>
              </w:rPr>
            </w:pPr>
            <w:r>
              <w:rPr>
                <w:rFonts w:ascii="Times New Roman" w:hAnsi="Times New Roman" w:eastAsia="Times New Roman" w:cs="Times New Roman"/>
                <w:spacing w:val="0"/>
                <w:position w:val="0"/>
                <w:sz w:val="21"/>
                <w:szCs w:val="21"/>
              </w:rPr>
              <w:t>BOD</w:t>
            </w:r>
            <w:r>
              <w:rPr>
                <w:rFonts w:ascii="Times New Roman" w:hAnsi="Times New Roman" w:eastAsia="Times New Roman" w:cs="Times New Roman"/>
                <w:spacing w:val="0"/>
                <w:position w:val="0"/>
                <w:sz w:val="21"/>
                <w:szCs w:val="21"/>
                <w:vertAlign w:val="subscript"/>
              </w:rPr>
              <w:t>5</w:t>
            </w:r>
          </w:p>
        </w:tc>
        <w:tc>
          <w:tcPr>
            <w:tcW w:w="58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color w:val="000000"/>
                <w:kern w:val="2"/>
                <w:lang w:val="en-US" w:eastAsia="zh-CN"/>
              </w:rPr>
            </w:pPr>
            <w:r>
              <w:rPr>
                <w:color w:val="000000"/>
                <w:kern w:val="2"/>
                <w:lang w:val="en-US" w:eastAsia="zh-CN"/>
              </w:rPr>
              <w:t>/</w:t>
            </w:r>
          </w:p>
        </w:tc>
        <w:tc>
          <w:tcPr>
            <w:tcW w:w="437"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color w:val="000000"/>
                <w:kern w:val="2"/>
                <w:lang w:val="en-US" w:eastAsia="zh-CN"/>
              </w:rPr>
            </w:pPr>
            <w:r>
              <w:rPr>
                <w:color w:val="000000"/>
                <w:kern w:val="2"/>
                <w:lang w:val="en-US" w:eastAsia="zh-CN"/>
              </w:rPr>
              <w:t>/</w:t>
            </w:r>
          </w:p>
        </w:tc>
        <w:tc>
          <w:tcPr>
            <w:tcW w:w="497"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color w:val="000000"/>
                <w:kern w:val="2"/>
                <w:lang w:val="en-US" w:eastAsia="zh-CN"/>
              </w:rPr>
            </w:pPr>
            <w:r>
              <w:rPr>
                <w:color w:val="000000"/>
                <w:kern w:val="2"/>
                <w:lang w:val="en-US" w:eastAsia="zh-CN"/>
              </w:rPr>
              <w:t>/</w:t>
            </w:r>
          </w:p>
        </w:tc>
        <w:tc>
          <w:tcPr>
            <w:tcW w:w="58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eastAsia"/>
                <w:color w:val="000000"/>
                <w:kern w:val="2"/>
                <w:lang w:val="en-US" w:eastAsia="zh-CN"/>
              </w:rPr>
            </w:pPr>
            <w:r>
              <w:rPr>
                <w:color w:val="000000"/>
                <w:kern w:val="2"/>
                <w:lang w:val="en-US" w:eastAsia="zh-CN"/>
              </w:rPr>
              <w:t>/</w:t>
            </w:r>
          </w:p>
        </w:tc>
        <w:tc>
          <w:tcPr>
            <w:tcW w:w="46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color w:val="000000"/>
                <w:kern w:val="2"/>
                <w:lang w:val="en-US" w:eastAsia="zh-CN"/>
              </w:rPr>
            </w:pPr>
            <w:r>
              <w:rPr>
                <w:color w:val="000000"/>
                <w:kern w:val="2"/>
                <w:lang w:val="en-US" w:eastAsia="zh-CN"/>
              </w:rPr>
              <w:t>/</w:t>
            </w:r>
          </w:p>
        </w:tc>
        <w:tc>
          <w:tcPr>
            <w:tcW w:w="648"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eastAsia"/>
                <w:color w:val="000000"/>
                <w:kern w:val="2"/>
                <w:lang w:val="en-US" w:eastAsia="zh-CN"/>
              </w:rPr>
            </w:pPr>
            <w:r>
              <w:rPr>
                <w:color w:val="000000"/>
                <w:kern w:val="2"/>
                <w:lang w:val="en-US" w:eastAsia="zh-CN"/>
              </w:rPr>
              <w:t>/</w:t>
            </w:r>
          </w:p>
        </w:tc>
        <w:tc>
          <w:tcPr>
            <w:tcW w:w="639"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eastAsia"/>
                <w:color w:val="000000"/>
                <w:kern w:val="2"/>
                <w:lang w:val="en-US" w:eastAsia="zh-CN"/>
              </w:rPr>
            </w:pPr>
            <w:r>
              <w:rPr>
                <w:color w:val="000000"/>
                <w:kern w:val="2"/>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8" w:space="0"/>
          </w:tblBorders>
          <w:tblCellMar>
            <w:top w:w="0" w:type="dxa"/>
            <w:left w:w="108" w:type="dxa"/>
            <w:bottom w:w="0" w:type="dxa"/>
            <w:right w:w="108" w:type="dxa"/>
          </w:tblCellMar>
        </w:tblPrEx>
        <w:trPr>
          <w:trHeight w:val="454" w:hRule="atLeast"/>
        </w:trPr>
        <w:tc>
          <w:tcPr>
            <w:tcW w:w="400" w:type="pct"/>
            <w:vMerge w:val="continue"/>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lang w:val="en-US" w:eastAsia="zh-CN"/>
              </w:rPr>
            </w:pPr>
          </w:p>
        </w:tc>
        <w:tc>
          <w:tcPr>
            <w:tcW w:w="75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olor w:val="000000"/>
                <w:kern w:val="2"/>
                <w:lang w:val="en-US" w:eastAsia="zh-CN"/>
              </w:rPr>
            </w:pPr>
            <w:r>
              <w:rPr>
                <w:rFonts w:ascii="Times New Roman" w:hAnsi="Times New Roman" w:eastAsia="Times New Roman" w:cs="Times New Roman"/>
                <w:spacing w:val="0"/>
                <w:position w:val="0"/>
                <w:sz w:val="21"/>
                <w:szCs w:val="21"/>
              </w:rPr>
              <w:t>SS</w:t>
            </w:r>
          </w:p>
        </w:tc>
        <w:tc>
          <w:tcPr>
            <w:tcW w:w="58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color w:val="000000"/>
                <w:kern w:val="2"/>
                <w:lang w:val="en-US" w:eastAsia="zh-CN"/>
              </w:rPr>
            </w:pPr>
            <w:r>
              <w:rPr>
                <w:color w:val="000000"/>
                <w:kern w:val="2"/>
                <w:lang w:val="en-US" w:eastAsia="zh-CN"/>
              </w:rPr>
              <w:t>/</w:t>
            </w:r>
          </w:p>
        </w:tc>
        <w:tc>
          <w:tcPr>
            <w:tcW w:w="437"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color w:val="000000"/>
                <w:kern w:val="2"/>
                <w:lang w:val="en-US" w:eastAsia="zh-CN"/>
              </w:rPr>
            </w:pPr>
            <w:r>
              <w:rPr>
                <w:color w:val="000000"/>
                <w:kern w:val="2"/>
                <w:lang w:val="en-US" w:eastAsia="zh-CN"/>
              </w:rPr>
              <w:t>/</w:t>
            </w:r>
          </w:p>
        </w:tc>
        <w:tc>
          <w:tcPr>
            <w:tcW w:w="497"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color w:val="000000"/>
                <w:kern w:val="2"/>
                <w:lang w:val="en-US" w:eastAsia="zh-CN"/>
              </w:rPr>
            </w:pPr>
            <w:r>
              <w:rPr>
                <w:color w:val="000000"/>
                <w:kern w:val="2"/>
                <w:lang w:val="en-US" w:eastAsia="zh-CN"/>
              </w:rPr>
              <w:t>/</w:t>
            </w:r>
          </w:p>
        </w:tc>
        <w:tc>
          <w:tcPr>
            <w:tcW w:w="58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eastAsia"/>
                <w:color w:val="000000"/>
                <w:kern w:val="2"/>
                <w:lang w:val="en-US" w:eastAsia="zh-CN"/>
              </w:rPr>
            </w:pPr>
            <w:r>
              <w:rPr>
                <w:color w:val="000000"/>
                <w:kern w:val="2"/>
                <w:lang w:val="en-US" w:eastAsia="zh-CN"/>
              </w:rPr>
              <w:t>/</w:t>
            </w:r>
          </w:p>
        </w:tc>
        <w:tc>
          <w:tcPr>
            <w:tcW w:w="46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color w:val="000000"/>
                <w:kern w:val="2"/>
                <w:lang w:val="en-US" w:eastAsia="zh-CN"/>
              </w:rPr>
            </w:pPr>
            <w:r>
              <w:rPr>
                <w:color w:val="000000"/>
                <w:kern w:val="2"/>
                <w:lang w:val="en-US" w:eastAsia="zh-CN"/>
              </w:rPr>
              <w:t>/</w:t>
            </w:r>
          </w:p>
        </w:tc>
        <w:tc>
          <w:tcPr>
            <w:tcW w:w="648"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eastAsia"/>
                <w:color w:val="000000"/>
                <w:kern w:val="2"/>
                <w:lang w:val="en-US" w:eastAsia="zh-CN"/>
              </w:rPr>
            </w:pPr>
            <w:r>
              <w:rPr>
                <w:color w:val="000000"/>
                <w:kern w:val="2"/>
                <w:lang w:val="en-US" w:eastAsia="zh-CN"/>
              </w:rPr>
              <w:t>/</w:t>
            </w:r>
          </w:p>
        </w:tc>
        <w:tc>
          <w:tcPr>
            <w:tcW w:w="639"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eastAsia"/>
                <w:color w:val="000000"/>
                <w:kern w:val="2"/>
                <w:lang w:val="en-US" w:eastAsia="zh-CN"/>
              </w:rPr>
            </w:pPr>
            <w:r>
              <w:rPr>
                <w:color w:val="000000"/>
                <w:kern w:val="2"/>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8" w:space="0"/>
          </w:tblBorders>
          <w:tblCellMar>
            <w:top w:w="0" w:type="dxa"/>
            <w:left w:w="108" w:type="dxa"/>
            <w:bottom w:w="0" w:type="dxa"/>
            <w:right w:w="108" w:type="dxa"/>
          </w:tblCellMar>
        </w:tblPrEx>
        <w:trPr>
          <w:trHeight w:val="454" w:hRule="atLeast"/>
        </w:trPr>
        <w:tc>
          <w:tcPr>
            <w:tcW w:w="400" w:type="pct"/>
            <w:vMerge w:val="continue"/>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lang w:val="en-US" w:eastAsia="zh-CN"/>
              </w:rPr>
            </w:pPr>
          </w:p>
        </w:tc>
        <w:tc>
          <w:tcPr>
            <w:tcW w:w="75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olor w:val="000000"/>
                <w:kern w:val="2"/>
                <w:lang w:val="en-US" w:eastAsia="zh-CN"/>
              </w:rPr>
            </w:pPr>
            <w:r>
              <w:rPr>
                <w:rFonts w:ascii="Times New Roman" w:hAnsi="Times New Roman" w:eastAsia="Times New Roman" w:cs="Times New Roman"/>
                <w:spacing w:val="0"/>
                <w:position w:val="0"/>
                <w:sz w:val="21"/>
                <w:szCs w:val="21"/>
              </w:rPr>
              <w:t>NH</w:t>
            </w:r>
            <w:r>
              <w:rPr>
                <w:rFonts w:ascii="Times New Roman" w:hAnsi="Times New Roman" w:eastAsia="Times New Roman" w:cs="Times New Roman"/>
                <w:spacing w:val="0"/>
                <w:position w:val="0"/>
                <w:sz w:val="21"/>
                <w:szCs w:val="21"/>
                <w:vertAlign w:val="subscript"/>
              </w:rPr>
              <w:t>3</w:t>
            </w:r>
            <w:r>
              <w:rPr>
                <w:rFonts w:ascii="Times New Roman" w:hAnsi="Times New Roman" w:eastAsia="Times New Roman" w:cs="Times New Roman"/>
                <w:spacing w:val="0"/>
                <w:position w:val="0"/>
                <w:sz w:val="21"/>
                <w:szCs w:val="21"/>
              </w:rPr>
              <w:t>-N</w:t>
            </w:r>
          </w:p>
        </w:tc>
        <w:tc>
          <w:tcPr>
            <w:tcW w:w="58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color w:val="000000"/>
                <w:kern w:val="2"/>
                <w:lang w:val="en-US" w:eastAsia="zh-CN"/>
              </w:rPr>
            </w:pPr>
            <w:r>
              <w:rPr>
                <w:color w:val="000000"/>
                <w:kern w:val="2"/>
                <w:lang w:val="en-US" w:eastAsia="zh-CN"/>
              </w:rPr>
              <w:t>/</w:t>
            </w:r>
          </w:p>
        </w:tc>
        <w:tc>
          <w:tcPr>
            <w:tcW w:w="437"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color w:val="000000"/>
                <w:kern w:val="2"/>
                <w:lang w:val="en-US" w:eastAsia="zh-CN"/>
              </w:rPr>
            </w:pPr>
            <w:r>
              <w:rPr>
                <w:color w:val="000000"/>
                <w:kern w:val="2"/>
                <w:lang w:val="en-US" w:eastAsia="zh-CN"/>
              </w:rPr>
              <w:t>/</w:t>
            </w:r>
          </w:p>
        </w:tc>
        <w:tc>
          <w:tcPr>
            <w:tcW w:w="497"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color w:val="000000"/>
                <w:kern w:val="2"/>
                <w:lang w:val="en-US" w:eastAsia="zh-CN"/>
              </w:rPr>
            </w:pPr>
            <w:r>
              <w:rPr>
                <w:color w:val="000000"/>
                <w:kern w:val="2"/>
                <w:lang w:val="en-US" w:eastAsia="zh-CN"/>
              </w:rPr>
              <w:t>/</w:t>
            </w:r>
          </w:p>
        </w:tc>
        <w:tc>
          <w:tcPr>
            <w:tcW w:w="58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eastAsia"/>
                <w:color w:val="000000"/>
                <w:kern w:val="2"/>
                <w:lang w:val="en-US" w:eastAsia="zh-CN"/>
              </w:rPr>
            </w:pPr>
            <w:r>
              <w:rPr>
                <w:color w:val="000000"/>
                <w:kern w:val="2"/>
                <w:lang w:val="en-US" w:eastAsia="zh-CN"/>
              </w:rPr>
              <w:t>/</w:t>
            </w:r>
          </w:p>
        </w:tc>
        <w:tc>
          <w:tcPr>
            <w:tcW w:w="46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color w:val="000000"/>
                <w:kern w:val="2"/>
                <w:lang w:val="en-US" w:eastAsia="zh-CN"/>
              </w:rPr>
            </w:pPr>
            <w:r>
              <w:rPr>
                <w:color w:val="000000"/>
                <w:kern w:val="2"/>
                <w:lang w:val="en-US" w:eastAsia="zh-CN"/>
              </w:rPr>
              <w:t>/</w:t>
            </w:r>
          </w:p>
        </w:tc>
        <w:tc>
          <w:tcPr>
            <w:tcW w:w="648"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eastAsia"/>
                <w:color w:val="000000"/>
                <w:kern w:val="2"/>
                <w:lang w:val="en-US" w:eastAsia="zh-CN"/>
              </w:rPr>
            </w:pPr>
            <w:r>
              <w:rPr>
                <w:color w:val="000000"/>
                <w:kern w:val="2"/>
                <w:lang w:val="en-US" w:eastAsia="zh-CN"/>
              </w:rPr>
              <w:t>/</w:t>
            </w:r>
          </w:p>
        </w:tc>
        <w:tc>
          <w:tcPr>
            <w:tcW w:w="639"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eastAsia"/>
                <w:color w:val="000000"/>
                <w:kern w:val="2"/>
                <w:lang w:val="en-US" w:eastAsia="zh-CN"/>
              </w:rPr>
            </w:pPr>
            <w:r>
              <w:rPr>
                <w:color w:val="000000"/>
                <w:kern w:val="2"/>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8" w:space="0"/>
          </w:tblBorders>
          <w:tblCellMar>
            <w:top w:w="0" w:type="dxa"/>
            <w:left w:w="108" w:type="dxa"/>
            <w:bottom w:w="0" w:type="dxa"/>
            <w:right w:w="108" w:type="dxa"/>
          </w:tblCellMar>
        </w:tblPrEx>
        <w:trPr>
          <w:trHeight w:val="454" w:hRule="atLeast"/>
        </w:trPr>
        <w:tc>
          <w:tcPr>
            <w:tcW w:w="400" w:type="pct"/>
            <w:vMerge w:val="continue"/>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lang w:val="en-US" w:eastAsia="zh-CN"/>
              </w:rPr>
            </w:pPr>
          </w:p>
        </w:tc>
        <w:tc>
          <w:tcPr>
            <w:tcW w:w="755" w:type="pct"/>
            <w:tcBorders>
              <w:tl2br w:val="nil"/>
              <w:tr2bl w:val="nil"/>
            </w:tcBorders>
            <w:noWrap w:val="0"/>
            <w:vAlign w:val="center"/>
          </w:tcPr>
          <w:p>
            <w:pPr>
              <w:pStyle w:val="225"/>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olor w:val="000000"/>
                <w:kern w:val="2"/>
                <w:lang w:val="en-US" w:eastAsia="zh-CN"/>
              </w:rPr>
            </w:pPr>
            <w:r>
              <w:rPr>
                <w:spacing w:val="0"/>
                <w:position w:val="0"/>
                <w:sz w:val="21"/>
                <w:szCs w:val="21"/>
              </w:rPr>
              <w:t>动植物油</w:t>
            </w:r>
          </w:p>
        </w:tc>
        <w:tc>
          <w:tcPr>
            <w:tcW w:w="58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color w:val="000000"/>
                <w:kern w:val="2"/>
                <w:lang w:val="en-US" w:eastAsia="zh-CN"/>
              </w:rPr>
            </w:pPr>
            <w:r>
              <w:rPr>
                <w:color w:val="000000"/>
                <w:kern w:val="2"/>
                <w:lang w:val="en-US" w:eastAsia="zh-CN"/>
              </w:rPr>
              <w:t>/</w:t>
            </w:r>
          </w:p>
        </w:tc>
        <w:tc>
          <w:tcPr>
            <w:tcW w:w="437"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color w:val="000000"/>
                <w:kern w:val="2"/>
                <w:lang w:val="en-US" w:eastAsia="zh-CN"/>
              </w:rPr>
            </w:pPr>
            <w:r>
              <w:rPr>
                <w:color w:val="000000"/>
                <w:kern w:val="2"/>
                <w:lang w:val="en-US" w:eastAsia="zh-CN"/>
              </w:rPr>
              <w:t>/</w:t>
            </w:r>
          </w:p>
        </w:tc>
        <w:tc>
          <w:tcPr>
            <w:tcW w:w="497"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color w:val="000000"/>
                <w:kern w:val="2"/>
                <w:lang w:val="en-US" w:eastAsia="zh-CN"/>
              </w:rPr>
            </w:pPr>
            <w:r>
              <w:rPr>
                <w:color w:val="000000"/>
                <w:kern w:val="2"/>
                <w:lang w:val="en-US" w:eastAsia="zh-CN"/>
              </w:rPr>
              <w:t>/</w:t>
            </w:r>
          </w:p>
        </w:tc>
        <w:tc>
          <w:tcPr>
            <w:tcW w:w="58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eastAsia"/>
                <w:color w:val="000000"/>
                <w:kern w:val="2"/>
                <w:lang w:val="en-US" w:eastAsia="zh-CN"/>
              </w:rPr>
            </w:pPr>
            <w:r>
              <w:rPr>
                <w:color w:val="000000"/>
                <w:kern w:val="2"/>
                <w:lang w:val="en-US" w:eastAsia="zh-CN"/>
              </w:rPr>
              <w:t>/</w:t>
            </w:r>
          </w:p>
        </w:tc>
        <w:tc>
          <w:tcPr>
            <w:tcW w:w="46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color w:val="000000"/>
                <w:kern w:val="2"/>
                <w:lang w:val="en-US" w:eastAsia="zh-CN"/>
              </w:rPr>
            </w:pPr>
            <w:r>
              <w:rPr>
                <w:color w:val="000000"/>
                <w:kern w:val="2"/>
                <w:lang w:val="en-US" w:eastAsia="zh-CN"/>
              </w:rPr>
              <w:t>/</w:t>
            </w:r>
          </w:p>
        </w:tc>
        <w:tc>
          <w:tcPr>
            <w:tcW w:w="648"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eastAsia"/>
                <w:color w:val="000000"/>
                <w:kern w:val="2"/>
                <w:lang w:val="en-US" w:eastAsia="zh-CN"/>
              </w:rPr>
            </w:pPr>
            <w:r>
              <w:rPr>
                <w:color w:val="000000"/>
                <w:kern w:val="2"/>
                <w:lang w:val="en-US" w:eastAsia="zh-CN"/>
              </w:rPr>
              <w:t>/</w:t>
            </w:r>
          </w:p>
        </w:tc>
        <w:tc>
          <w:tcPr>
            <w:tcW w:w="639"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eastAsia"/>
                <w:color w:val="000000"/>
                <w:kern w:val="2"/>
                <w:lang w:val="en-US" w:eastAsia="zh-CN"/>
              </w:rPr>
            </w:pPr>
            <w:r>
              <w:rPr>
                <w:color w:val="000000"/>
                <w:kern w:val="2"/>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8" w:space="0"/>
          </w:tblBorders>
          <w:tblCellMar>
            <w:top w:w="0" w:type="dxa"/>
            <w:left w:w="108" w:type="dxa"/>
            <w:bottom w:w="0" w:type="dxa"/>
            <w:right w:w="108" w:type="dxa"/>
          </w:tblCellMar>
        </w:tblPrEx>
        <w:trPr>
          <w:trHeight w:val="454" w:hRule="atLeast"/>
        </w:trPr>
        <w:tc>
          <w:tcPr>
            <w:tcW w:w="40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eastAsia"/>
                <w:color w:val="000000"/>
                <w:kern w:val="2"/>
              </w:rPr>
            </w:pPr>
            <w:r>
              <w:rPr>
                <w:rFonts w:hint="eastAsia"/>
                <w:color w:val="000000"/>
                <w:kern w:val="2"/>
                <w:lang w:val="en-US" w:eastAsia="zh-CN"/>
              </w:rPr>
              <w:t>危险废物</w:t>
            </w:r>
          </w:p>
        </w:tc>
        <w:tc>
          <w:tcPr>
            <w:tcW w:w="755"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default" w:eastAsia="宋体"/>
                <w:color w:val="000000"/>
                <w:kern w:val="2"/>
                <w:lang w:val="en-US" w:eastAsia="zh-CN"/>
              </w:rPr>
            </w:pPr>
            <w:r>
              <w:rPr>
                <w:rFonts w:hint="eastAsia" w:cs="Times New Roman"/>
                <w:b w:val="0"/>
                <w:bCs w:val="0"/>
                <w:color w:val="auto"/>
                <w:kern w:val="2"/>
                <w:lang w:val="en-US" w:eastAsia="zh-CN"/>
              </w:rPr>
              <w:t>医疗废物</w:t>
            </w:r>
          </w:p>
        </w:tc>
        <w:tc>
          <w:tcPr>
            <w:tcW w:w="58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default"/>
                <w:color w:val="000000"/>
                <w:kern w:val="2"/>
              </w:rPr>
            </w:pPr>
            <w:r>
              <w:rPr>
                <w:color w:val="000000"/>
                <w:kern w:val="2"/>
                <w:lang w:val="en-US" w:eastAsia="zh-CN"/>
              </w:rPr>
              <w:t>/</w:t>
            </w:r>
          </w:p>
        </w:tc>
        <w:tc>
          <w:tcPr>
            <w:tcW w:w="437"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default"/>
                <w:color w:val="000000"/>
                <w:kern w:val="2"/>
              </w:rPr>
            </w:pPr>
            <w:r>
              <w:rPr>
                <w:color w:val="000000"/>
                <w:kern w:val="2"/>
                <w:lang w:val="en-US" w:eastAsia="zh-CN"/>
              </w:rPr>
              <w:t>/</w:t>
            </w:r>
          </w:p>
        </w:tc>
        <w:tc>
          <w:tcPr>
            <w:tcW w:w="497"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default"/>
                <w:color w:val="000000"/>
                <w:kern w:val="2"/>
              </w:rPr>
            </w:pPr>
            <w:r>
              <w:rPr>
                <w:color w:val="000000"/>
                <w:kern w:val="2"/>
                <w:lang w:val="en-US" w:eastAsia="zh-CN"/>
              </w:rPr>
              <w:t>/</w:t>
            </w:r>
          </w:p>
        </w:tc>
        <w:tc>
          <w:tcPr>
            <w:tcW w:w="58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default"/>
                <w:color w:val="000000"/>
                <w:kern w:val="2"/>
                <w:lang w:val="en-US"/>
              </w:rPr>
            </w:pPr>
            <w:r>
              <w:rPr>
                <w:rFonts w:hint="eastAsia"/>
                <w:color w:val="000000"/>
                <w:kern w:val="2"/>
                <w:lang w:val="en-US" w:eastAsia="zh-CN"/>
              </w:rPr>
              <w:t>2.0</w:t>
            </w:r>
            <w:r>
              <w:rPr>
                <w:color w:val="000000"/>
                <w:kern w:val="2"/>
                <w:lang w:val="en-US" w:eastAsia="zh-CN"/>
              </w:rPr>
              <w:t>t/a</w:t>
            </w:r>
          </w:p>
        </w:tc>
        <w:tc>
          <w:tcPr>
            <w:tcW w:w="460"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right="0"/>
              <w:rPr>
                <w:rFonts w:hint="default"/>
                <w:color w:val="000000"/>
                <w:kern w:val="2"/>
              </w:rPr>
            </w:pPr>
            <w:r>
              <w:rPr>
                <w:color w:val="000000"/>
                <w:kern w:val="2"/>
                <w:lang w:val="en-US" w:eastAsia="zh-CN"/>
              </w:rPr>
              <w:t>/</w:t>
            </w:r>
          </w:p>
        </w:tc>
        <w:tc>
          <w:tcPr>
            <w:tcW w:w="648"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default" w:ascii="Times New Roman" w:hAnsi="Times New Roman" w:eastAsia="宋体" w:cs="Times New Roman"/>
                <w:color w:val="000000"/>
                <w:kern w:val="2"/>
                <w:sz w:val="21"/>
                <w:szCs w:val="21"/>
                <w:lang w:val="zh-CN" w:eastAsia="zh-CN" w:bidi="ar-SA"/>
              </w:rPr>
            </w:pPr>
            <w:r>
              <w:rPr>
                <w:rFonts w:hint="eastAsia"/>
                <w:color w:val="000000"/>
                <w:kern w:val="2"/>
                <w:lang w:val="en-US" w:eastAsia="zh-CN"/>
              </w:rPr>
              <w:t>2.0</w:t>
            </w:r>
            <w:r>
              <w:rPr>
                <w:color w:val="000000"/>
                <w:kern w:val="2"/>
                <w:lang w:val="en-US" w:eastAsia="zh-CN"/>
              </w:rPr>
              <w:t>t/a</w:t>
            </w:r>
          </w:p>
        </w:tc>
        <w:tc>
          <w:tcPr>
            <w:tcW w:w="639" w:type="pct"/>
            <w:tcBorders>
              <w:tl2br w:val="nil"/>
              <w:tr2bl w:val="nil"/>
            </w:tcBorders>
            <w:noWrap w:val="0"/>
            <w:vAlign w:val="center"/>
          </w:tcPr>
          <w:p>
            <w:pPr>
              <w:pStyle w:val="216"/>
              <w:keepNext w:val="0"/>
              <w:keepLines w:val="0"/>
              <w:widowControl/>
              <w:suppressLineNumbers w:val="0"/>
              <w:bidi w:val="0"/>
              <w:spacing w:before="0" w:beforeAutospacing="0" w:after="0" w:afterAutospacing="0"/>
              <w:ind w:left="0" w:leftChars="0" w:right="0" w:rightChars="0"/>
              <w:rPr>
                <w:rFonts w:hint="default" w:ascii="Times New Roman" w:hAnsi="Times New Roman" w:eastAsia="宋体" w:cs="Times New Roman"/>
                <w:color w:val="000000"/>
                <w:kern w:val="2"/>
                <w:sz w:val="21"/>
                <w:szCs w:val="21"/>
                <w:lang w:val="zh-CN" w:eastAsia="zh-CN" w:bidi="ar-SA"/>
              </w:rPr>
            </w:pPr>
            <w:r>
              <w:rPr>
                <w:rFonts w:hint="eastAsia"/>
                <w:color w:val="000000"/>
                <w:kern w:val="2"/>
                <w:lang w:val="en-US" w:eastAsia="zh-CN"/>
              </w:rPr>
              <w:t>+2.0</w:t>
            </w:r>
            <w:r>
              <w:rPr>
                <w:color w:val="000000"/>
                <w:kern w:val="2"/>
                <w:lang w:val="en-US" w:eastAsia="zh-CN"/>
              </w:rPr>
              <w:t>t/a</w:t>
            </w:r>
          </w:p>
        </w:tc>
      </w:tr>
    </w:tbl>
    <w:p>
      <w:pPr>
        <w:pStyle w:val="91"/>
        <w:keepNext w:val="0"/>
        <w:keepLines w:val="0"/>
        <w:pageBreakBefore w:val="0"/>
        <w:widowControl w:val="0"/>
        <w:kinsoku/>
        <w:wordWrap/>
        <w:overflowPunct/>
        <w:topLinePunct w:val="0"/>
        <w:autoSpaceDE/>
        <w:autoSpaceDN/>
        <w:bidi w:val="0"/>
        <w:spacing w:beforeLines="0" w:afterLines="0" w:line="240" w:lineRule="auto"/>
        <w:jc w:val="left"/>
        <w:textAlignment w:val="auto"/>
        <w:rPr>
          <w:rFonts w:hint="eastAsia"/>
          <w:color w:val="000000"/>
        </w:rPr>
      </w:pPr>
      <w:r>
        <w:rPr>
          <w:rFonts w:hAnsi="宋体"/>
          <w:snapToGrid w:val="0"/>
          <w:color w:val="000000"/>
          <w:kern w:val="21"/>
          <w:szCs w:val="21"/>
        </w:rPr>
        <w:t>注：</w:t>
      </w:r>
      <w:r>
        <w:rPr>
          <w:rFonts w:ascii="Times New Roman"/>
          <w:snapToGrid w:val="0"/>
          <w:color w:val="000000"/>
          <w:spacing w:val="-16"/>
          <w:kern w:val="21"/>
          <w:szCs w:val="21"/>
        </w:rPr>
        <w:fldChar w:fldCharType="begin"/>
      </w:r>
      <w:r>
        <w:rPr>
          <w:rFonts w:ascii="Times New Roman"/>
          <w:snapToGrid w:val="0"/>
          <w:color w:val="000000"/>
          <w:spacing w:val="-16"/>
          <w:kern w:val="21"/>
          <w:szCs w:val="21"/>
        </w:rPr>
        <w:instrText xml:space="preserve"> = 6 \* GB3 \* MERGEFORMAT </w:instrText>
      </w:r>
      <w:r>
        <w:rPr>
          <w:rFonts w:ascii="Times New Roman"/>
          <w:snapToGrid w:val="0"/>
          <w:color w:val="000000"/>
          <w:spacing w:val="-16"/>
          <w:kern w:val="21"/>
          <w:szCs w:val="21"/>
        </w:rPr>
        <w:fldChar w:fldCharType="separate"/>
      </w:r>
      <w:r>
        <w:rPr>
          <w:rFonts w:ascii="Times New Roman" w:hAnsi="宋体"/>
          <w:color w:val="000000"/>
          <w:szCs w:val="21"/>
        </w:rPr>
        <w:t>⑥</w:t>
      </w:r>
      <w:r>
        <w:rPr>
          <w:rFonts w:ascii="Times New Roman"/>
          <w:snapToGrid w:val="0"/>
          <w:color w:val="000000"/>
          <w:spacing w:val="-16"/>
          <w:kern w:val="21"/>
          <w:szCs w:val="21"/>
        </w:rPr>
        <w:fldChar w:fldCharType="end"/>
      </w:r>
      <w:r>
        <w:rPr>
          <w:rFonts w:ascii="Times New Roman"/>
          <w:snapToGrid w:val="0"/>
          <w:color w:val="000000"/>
          <w:spacing w:val="-16"/>
          <w:kern w:val="21"/>
          <w:szCs w:val="21"/>
        </w:rPr>
        <w:t>=</w:t>
      </w:r>
      <w:r>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1 \* GB3 \* MERGEFORMAT </w:instrText>
      </w:r>
      <w:r>
        <w:rPr>
          <w:rFonts w:ascii="Times New Roman"/>
          <w:snapToGrid w:val="0"/>
          <w:color w:val="000000"/>
          <w:spacing w:val="-6"/>
          <w:kern w:val="21"/>
          <w:szCs w:val="21"/>
        </w:rPr>
        <w:fldChar w:fldCharType="separate"/>
      </w:r>
      <w:r>
        <w:rPr>
          <w:rFonts w:ascii="Times New Roman" w:hAnsi="宋体"/>
          <w:color w:val="000000"/>
          <w:szCs w:val="21"/>
        </w:rPr>
        <w:t>①</w:t>
      </w:r>
      <w:r>
        <w:rPr>
          <w:rFonts w:ascii="Times New Roman"/>
          <w:snapToGrid w:val="0"/>
          <w:color w:val="000000"/>
          <w:spacing w:val="-6"/>
          <w:kern w:val="21"/>
          <w:szCs w:val="21"/>
        </w:rPr>
        <w:fldChar w:fldCharType="end"/>
      </w:r>
      <w:r>
        <w:rPr>
          <w:rFonts w:ascii="Times New Roman"/>
          <w:snapToGrid w:val="0"/>
          <w:color w:val="000000"/>
          <w:spacing w:val="-6"/>
          <w:kern w:val="21"/>
          <w:szCs w:val="21"/>
        </w:rPr>
        <w:t>+</w:t>
      </w:r>
      <w:r>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3 \* GB3 \* MERGEFORMAT </w:instrText>
      </w:r>
      <w:r>
        <w:rPr>
          <w:rFonts w:ascii="Times New Roman"/>
          <w:snapToGrid w:val="0"/>
          <w:color w:val="000000"/>
          <w:spacing w:val="-6"/>
          <w:kern w:val="21"/>
          <w:szCs w:val="21"/>
        </w:rPr>
        <w:fldChar w:fldCharType="separate"/>
      </w:r>
      <w:r>
        <w:rPr>
          <w:rFonts w:ascii="Times New Roman" w:hAnsi="宋体"/>
          <w:color w:val="000000"/>
          <w:szCs w:val="21"/>
        </w:rPr>
        <w:t>③</w:t>
      </w:r>
      <w:r>
        <w:rPr>
          <w:rFonts w:ascii="Times New Roman"/>
          <w:snapToGrid w:val="0"/>
          <w:color w:val="000000"/>
          <w:spacing w:val="-6"/>
          <w:kern w:val="21"/>
          <w:szCs w:val="21"/>
        </w:rPr>
        <w:fldChar w:fldCharType="end"/>
      </w:r>
      <w:r>
        <w:rPr>
          <w:rFonts w:ascii="Times New Roman"/>
          <w:snapToGrid w:val="0"/>
          <w:color w:val="000000"/>
          <w:spacing w:val="-6"/>
          <w:kern w:val="21"/>
          <w:szCs w:val="21"/>
        </w:rPr>
        <w:t>+</w:t>
      </w:r>
      <w:r>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4 \* GB3 \* MERGEFORMAT </w:instrText>
      </w:r>
      <w:r>
        <w:rPr>
          <w:rFonts w:ascii="Times New Roman"/>
          <w:snapToGrid w:val="0"/>
          <w:color w:val="000000"/>
          <w:spacing w:val="-6"/>
          <w:kern w:val="21"/>
          <w:szCs w:val="21"/>
        </w:rPr>
        <w:fldChar w:fldCharType="separate"/>
      </w:r>
      <w:r>
        <w:rPr>
          <w:rFonts w:ascii="Times New Roman" w:hAnsi="宋体"/>
          <w:color w:val="000000"/>
          <w:szCs w:val="21"/>
        </w:rPr>
        <w:t>④</w:t>
      </w:r>
      <w:r>
        <w:rPr>
          <w:rFonts w:ascii="Times New Roman"/>
          <w:snapToGrid w:val="0"/>
          <w:color w:val="000000"/>
          <w:spacing w:val="-6"/>
          <w:kern w:val="21"/>
          <w:szCs w:val="21"/>
        </w:rPr>
        <w:fldChar w:fldCharType="end"/>
      </w:r>
      <w:r>
        <w:rPr>
          <w:rFonts w:ascii="Times New Roman"/>
          <w:snapToGrid w:val="0"/>
          <w:color w:val="000000"/>
          <w:spacing w:val="-6"/>
          <w:kern w:val="21"/>
          <w:szCs w:val="21"/>
        </w:rPr>
        <w:t>-</w:t>
      </w:r>
      <w:r>
        <w:rPr>
          <w:rFonts w:ascii="Times New Roman"/>
          <w:snapToGrid w:val="0"/>
          <w:color w:val="000000"/>
          <w:spacing w:val="-16"/>
          <w:kern w:val="21"/>
          <w:szCs w:val="21"/>
        </w:rPr>
        <w:fldChar w:fldCharType="begin"/>
      </w:r>
      <w:r>
        <w:rPr>
          <w:rFonts w:ascii="Times New Roman"/>
          <w:snapToGrid w:val="0"/>
          <w:color w:val="000000"/>
          <w:spacing w:val="-16"/>
          <w:kern w:val="21"/>
          <w:szCs w:val="21"/>
        </w:rPr>
        <w:instrText xml:space="preserve"> = 5 \* GB3 \* MERGEFORMAT </w:instrText>
      </w:r>
      <w:r>
        <w:rPr>
          <w:rFonts w:ascii="Times New Roman"/>
          <w:snapToGrid w:val="0"/>
          <w:color w:val="000000"/>
          <w:spacing w:val="-16"/>
          <w:kern w:val="21"/>
          <w:szCs w:val="21"/>
        </w:rPr>
        <w:fldChar w:fldCharType="separate"/>
      </w:r>
      <w:r>
        <w:rPr>
          <w:rFonts w:ascii="Times New Roman" w:hAnsi="宋体"/>
          <w:color w:val="000000"/>
          <w:szCs w:val="21"/>
        </w:rPr>
        <w:t>⑤</w:t>
      </w:r>
      <w:r>
        <w:rPr>
          <w:rFonts w:ascii="Times New Roman"/>
          <w:snapToGrid w:val="0"/>
          <w:color w:val="000000"/>
          <w:spacing w:val="-16"/>
          <w:kern w:val="21"/>
          <w:szCs w:val="21"/>
        </w:rPr>
        <w:fldChar w:fldCharType="end"/>
      </w:r>
      <w:r>
        <w:rPr>
          <w:rFonts w:ascii="Times New Roman" w:hAnsi="宋体"/>
          <w:snapToGrid w:val="0"/>
          <w:color w:val="000000"/>
          <w:spacing w:val="-16"/>
          <w:kern w:val="21"/>
          <w:szCs w:val="21"/>
        </w:rPr>
        <w:t>；</w:t>
      </w:r>
      <w:r>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7 \* GB3 \* MERGEFORMAT </w:instrText>
      </w:r>
      <w:r>
        <w:rPr>
          <w:rFonts w:ascii="Times New Roman"/>
          <w:snapToGrid w:val="0"/>
          <w:color w:val="000000"/>
          <w:spacing w:val="-6"/>
          <w:kern w:val="21"/>
          <w:szCs w:val="21"/>
        </w:rPr>
        <w:fldChar w:fldCharType="separate"/>
      </w:r>
      <w:r>
        <w:rPr>
          <w:rFonts w:ascii="Times New Roman" w:hAnsi="宋体"/>
          <w:color w:val="000000"/>
          <w:szCs w:val="21"/>
        </w:rPr>
        <w:t>⑦</w:t>
      </w:r>
      <w:r>
        <w:rPr>
          <w:rFonts w:ascii="Times New Roman"/>
          <w:snapToGrid w:val="0"/>
          <w:color w:val="000000"/>
          <w:spacing w:val="-6"/>
          <w:kern w:val="21"/>
          <w:szCs w:val="21"/>
        </w:rPr>
        <w:fldChar w:fldCharType="end"/>
      </w:r>
      <w:r>
        <w:rPr>
          <w:rFonts w:ascii="Times New Roman"/>
          <w:snapToGrid w:val="0"/>
          <w:color w:val="000000"/>
          <w:spacing w:val="-6"/>
          <w:kern w:val="21"/>
          <w:szCs w:val="21"/>
        </w:rPr>
        <w:t>=</w:t>
      </w:r>
      <w:r>
        <w:rPr>
          <w:rFonts w:ascii="Times New Roman"/>
          <w:snapToGrid w:val="0"/>
          <w:color w:val="000000"/>
          <w:spacing w:val="-16"/>
          <w:kern w:val="21"/>
          <w:szCs w:val="21"/>
        </w:rPr>
        <w:fldChar w:fldCharType="begin"/>
      </w:r>
      <w:r>
        <w:rPr>
          <w:rFonts w:ascii="Times New Roman"/>
          <w:snapToGrid w:val="0"/>
          <w:color w:val="000000"/>
          <w:spacing w:val="-16"/>
          <w:kern w:val="21"/>
          <w:szCs w:val="21"/>
        </w:rPr>
        <w:instrText xml:space="preserve"> = 6 \* GB3 \* MERGEFORMAT </w:instrText>
      </w:r>
      <w:r>
        <w:rPr>
          <w:rFonts w:ascii="Times New Roman"/>
          <w:snapToGrid w:val="0"/>
          <w:color w:val="000000"/>
          <w:spacing w:val="-16"/>
          <w:kern w:val="21"/>
          <w:szCs w:val="21"/>
        </w:rPr>
        <w:fldChar w:fldCharType="separate"/>
      </w:r>
      <w:r>
        <w:rPr>
          <w:rFonts w:ascii="Times New Roman" w:hAnsi="宋体"/>
          <w:color w:val="000000"/>
          <w:szCs w:val="21"/>
        </w:rPr>
        <w:t>⑥</w:t>
      </w:r>
      <w:r>
        <w:rPr>
          <w:rFonts w:ascii="Times New Roman"/>
          <w:snapToGrid w:val="0"/>
          <w:color w:val="000000"/>
          <w:spacing w:val="-16"/>
          <w:kern w:val="21"/>
          <w:szCs w:val="21"/>
        </w:rPr>
        <w:fldChar w:fldCharType="end"/>
      </w:r>
      <w:r>
        <w:rPr>
          <w:rFonts w:ascii="Times New Roman"/>
          <w:snapToGrid w:val="0"/>
          <w:color w:val="000000"/>
          <w:spacing w:val="-16"/>
          <w:kern w:val="21"/>
          <w:szCs w:val="21"/>
        </w:rPr>
        <w:t>-</w:t>
      </w:r>
      <w:r>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1 \* GB3 \* MERGEFORMAT </w:instrText>
      </w:r>
      <w:r>
        <w:rPr>
          <w:rFonts w:ascii="Times New Roman"/>
          <w:snapToGrid w:val="0"/>
          <w:color w:val="000000"/>
          <w:spacing w:val="-6"/>
          <w:kern w:val="21"/>
          <w:szCs w:val="21"/>
        </w:rPr>
        <w:fldChar w:fldCharType="separate"/>
      </w:r>
      <w:r>
        <w:rPr>
          <w:rFonts w:ascii="Times New Roman" w:hAnsi="宋体"/>
          <w:color w:val="000000"/>
          <w:szCs w:val="21"/>
        </w:rPr>
        <w:t>①</w:t>
      </w:r>
      <w:r>
        <w:rPr>
          <w:rFonts w:ascii="Times New Roman"/>
          <w:snapToGrid w:val="0"/>
          <w:color w:val="000000"/>
          <w:spacing w:val="-6"/>
          <w:kern w:val="21"/>
          <w:szCs w:val="21"/>
        </w:rPr>
        <w:fldChar w:fldCharType="end"/>
      </w:r>
    </w:p>
    <w:p>
      <w:pPr>
        <w:keepNext w:val="0"/>
        <w:keepLines w:val="0"/>
        <w:pageBreakBefore w:val="0"/>
        <w:widowControl w:val="0"/>
        <w:kinsoku/>
        <w:wordWrap/>
        <w:overflowPunct/>
        <w:topLinePunct w:val="0"/>
        <w:autoSpaceDE/>
        <w:autoSpaceDN/>
        <w:bidi w:val="0"/>
        <w:spacing w:line="240" w:lineRule="auto"/>
        <w:textAlignment w:val="auto"/>
        <w:rPr>
          <w:rFonts w:hint="eastAsia"/>
          <w:color w:val="000000"/>
        </w:rPr>
        <w:sectPr>
          <w:footerReference r:id="rId6" w:type="default"/>
          <w:pgSz w:w="16838" w:h="11906" w:orient="landscape"/>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16"/>
        <w:bidi w:val="0"/>
        <w:rPr>
          <w:rFonts w:hint="eastAsia"/>
          <w:color w:val="000000"/>
          <w:lang w:eastAsia="zh-CN"/>
        </w:rPr>
      </w:pPr>
      <w:r>
        <w:rPr>
          <w:sz w:val="24"/>
        </w:rPr>
        <mc:AlternateContent>
          <mc:Choice Requires="wps">
            <w:drawing>
              <wp:anchor distT="0" distB="0" distL="114300" distR="114300" simplePos="0" relativeHeight="251668480" behindDoc="0" locked="0" layoutInCell="1" allowOverlap="1">
                <wp:simplePos x="0" y="0"/>
                <wp:positionH relativeFrom="column">
                  <wp:posOffset>4050030</wp:posOffset>
                </wp:positionH>
                <wp:positionV relativeFrom="paragraph">
                  <wp:posOffset>4120515</wp:posOffset>
                </wp:positionV>
                <wp:extent cx="1052830" cy="207010"/>
                <wp:effectExtent l="4445" t="5080" r="9525" b="16510"/>
                <wp:wrapNone/>
                <wp:docPr id="33" name="矩形 33"/>
                <wp:cNvGraphicFramePr/>
                <a:graphic xmlns:a="http://schemas.openxmlformats.org/drawingml/2006/main">
                  <a:graphicData uri="http://schemas.microsoft.com/office/word/2010/wordprocessingShape">
                    <wps:wsp>
                      <wps:cNvSpPr/>
                      <wps:spPr>
                        <a:xfrm>
                          <a:off x="0" y="0"/>
                          <a:ext cx="1052830" cy="2070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bidi w:val="0"/>
                              <w:adjustRightInd w:val="0"/>
                              <w:snapToGrid w:val="0"/>
                              <w:ind w:firstLine="0" w:firstLineChars="0"/>
                              <w:jc w:val="center"/>
                              <w:textAlignment w:val="auto"/>
                              <w:rPr>
                                <w:rFonts w:hint="eastAsia" w:ascii="宋体" w:hAnsi="宋体"/>
                              </w:rPr>
                            </w:pPr>
                            <w:r>
                              <w:rPr>
                                <w:rFonts w:hint="eastAsia" w:ascii="宋体" w:hAnsi="宋体"/>
                              </w:rPr>
                              <w:t>项目地理位置</w:t>
                            </w:r>
                          </w:p>
                        </w:txbxContent>
                      </wps:txbx>
                      <wps:bodyPr lIns="0" tIns="0" rIns="0" bIns="0" upright="1"/>
                    </wps:wsp>
                  </a:graphicData>
                </a:graphic>
              </wp:anchor>
            </w:drawing>
          </mc:Choice>
          <mc:Fallback>
            <w:pict>
              <v:rect id="_x0000_s1026" o:spid="_x0000_s1026" o:spt="1" style="position:absolute;left:0pt;margin-left:318.9pt;margin-top:324.45pt;height:16.3pt;width:82.9pt;z-index:251668480;mso-width-relative:page;mso-height-relative:page;" fillcolor="#FFFFFF" filled="t" stroked="t" coordsize="21600,21600" o:gfxdata="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">
                <v:fill on="t" focussize="0,0"/>
                <v:stroke color="#000000" joinstyle="miter"/>
                <v:imagedata o:title=""/>
                <o:lock v:ext="edit" aspectratio="f"/>
                <v:textbox inset="0mm,0mm,0mm,0mm">
                  <w:txbxContent>
                    <w:p>
                      <w:pPr>
                        <w:keepNext w:val="0"/>
                        <w:keepLines w:val="0"/>
                        <w:pageBreakBefore w:val="0"/>
                        <w:widowControl w:val="0"/>
                        <w:kinsoku/>
                        <w:wordWrap/>
                        <w:overflowPunct/>
                        <w:topLinePunct w:val="0"/>
                        <w:bidi w:val="0"/>
                        <w:adjustRightInd w:val="0"/>
                        <w:snapToGrid w:val="0"/>
                        <w:ind w:firstLine="0" w:firstLineChars="0"/>
                        <w:jc w:val="center"/>
                        <w:textAlignment w:val="auto"/>
                        <w:rPr>
                          <w:rFonts w:hint="eastAsia" w:ascii="宋体" w:hAnsi="宋体"/>
                        </w:rPr>
                      </w:pPr>
                      <w:r>
                        <w:rPr>
                          <w:rFonts w:hint="eastAsia" w:ascii="宋体" w:hAnsi="宋体"/>
                        </w:rPr>
                        <w:t>项目地理位置</w:t>
                      </w:r>
                    </w:p>
                  </w:txbxContent>
                </v:textbox>
              </v:rect>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4530725</wp:posOffset>
                </wp:positionH>
                <wp:positionV relativeFrom="paragraph">
                  <wp:posOffset>3948430</wp:posOffset>
                </wp:positionV>
                <wp:extent cx="255905" cy="160655"/>
                <wp:effectExtent l="4445" t="4445" r="6350" b="6350"/>
                <wp:wrapNone/>
                <wp:docPr id="34" name="任意多边形 34"/>
                <wp:cNvGraphicFramePr/>
                <a:graphic xmlns:a="http://schemas.openxmlformats.org/drawingml/2006/main">
                  <a:graphicData uri="http://schemas.microsoft.com/office/word/2010/wordprocessingShape">
                    <wps:wsp>
                      <wps:cNvSpPr/>
                      <wps:spPr>
                        <a:xfrm rot="10800000">
                          <a:off x="0" y="0"/>
                          <a:ext cx="255905" cy="160655"/>
                        </a:xfrm>
                        <a:custGeom>
                          <a:avLst/>
                          <a:gdLst/>
                          <a:ahLst/>
                          <a:cxnLst/>
                          <a:pathLst>
                            <a:path w="540" h="312">
                              <a:moveTo>
                                <a:pt x="0" y="312"/>
                              </a:moveTo>
                              <a:lnTo>
                                <a:pt x="180" y="0"/>
                              </a:lnTo>
                              <a:lnTo>
                                <a:pt x="180" y="156"/>
                              </a:lnTo>
                              <a:lnTo>
                                <a:pt x="540" y="0"/>
                              </a:lnTo>
                              <a:lnTo>
                                <a:pt x="0" y="312"/>
                              </a:lnTo>
                              <a:close/>
                            </a:path>
                          </a:pathLst>
                        </a:custGeom>
                        <a:solidFill>
                          <a:srgbClr val="FFFFFF"/>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56.75pt;margin-top:310.9pt;height:12.65pt;width:20.15pt;rotation:11796480f;z-index:251669504;mso-width-relative:page;mso-height-relative:page;" fillcolor="#FFFFFF" filled="t" stroked="t" coordsize="540,312" o:gfxdata="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" path="m0,312l180,0,180,156,540,0,0,312xe">
                <v:fill on="t" focussize="0,0"/>
                <v:stroke color="#000000" joinstyle="round"/>
                <v:imagedata o:title=""/>
                <o:lock v:ext="edit" aspectratio="f"/>
              </v:shape>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4775200</wp:posOffset>
                </wp:positionH>
                <wp:positionV relativeFrom="paragraph">
                  <wp:posOffset>3892550</wp:posOffset>
                </wp:positionV>
                <wp:extent cx="99060" cy="76200"/>
                <wp:effectExtent l="4445" t="4445" r="10795" b="14605"/>
                <wp:wrapNone/>
                <wp:docPr id="35" name="矩形 35"/>
                <wp:cNvGraphicFramePr/>
                <a:graphic xmlns:a="http://schemas.openxmlformats.org/drawingml/2006/main">
                  <a:graphicData uri="http://schemas.microsoft.com/office/word/2010/wordprocessingShape">
                    <wps:wsp>
                      <wps:cNvSpPr/>
                      <wps:spPr>
                        <a:xfrm>
                          <a:off x="0" y="0"/>
                          <a:ext cx="99060" cy="76200"/>
                        </a:xfrm>
                        <a:prstGeom prst="rect">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376pt;margin-top:306.5pt;height:6pt;width:7.8pt;z-index:251667456;mso-width-relative:page;mso-height-relative:page;" fillcolor="#FF0000" filled="t" stroked="t" coordsize="21600,21600" o:gfxdata="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">
                <v:fill on="t" focussize="0,0"/>
                <v:stroke color="#000000" joinstyle="miter"/>
                <v:imagedata o:title=""/>
                <o:lock v:ext="edit" aspectratio="f"/>
              </v:rect>
            </w:pict>
          </mc:Fallback>
        </mc:AlternateContent>
      </w:r>
      <w:r>
        <w:rPr>
          <w:color w:val="auto"/>
          <w:sz w:val="28"/>
        </w:rPr>
        <w:drawing>
          <wp:inline distT="0" distB="0" distL="114300" distR="114300">
            <wp:extent cx="8681085" cy="5459095"/>
            <wp:effectExtent l="0" t="0" r="5715" b="8255"/>
            <wp:docPr id="32" name="图片 11" descr="蓝旗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descr="蓝旗地图"/>
                    <pic:cNvPicPr>
                      <a:picLocks noChangeAspect="1"/>
                    </pic:cNvPicPr>
                  </pic:nvPicPr>
                  <pic:blipFill>
                    <a:blip r:embed="rId21"/>
                    <a:stretch>
                      <a:fillRect/>
                    </a:stretch>
                  </pic:blipFill>
                  <pic:spPr>
                    <a:xfrm>
                      <a:off x="0" y="0"/>
                      <a:ext cx="8681085" cy="5459095"/>
                    </a:xfrm>
                    <a:prstGeom prst="rect">
                      <a:avLst/>
                    </a:prstGeom>
                    <a:noFill/>
                    <a:ln>
                      <a:noFill/>
                    </a:ln>
                  </pic:spPr>
                </pic:pic>
              </a:graphicData>
            </a:graphic>
          </wp:inline>
        </w:drawing>
      </w:r>
    </w:p>
    <w:p>
      <w:pPr>
        <w:pStyle w:val="29"/>
        <w:adjustRightInd w:val="0"/>
        <w:snapToGrid w:val="0"/>
        <w:spacing w:before="0" w:beforeAutospacing="0" w:after="0" w:afterAutospacing="0"/>
        <w:jc w:val="center"/>
        <w:rPr>
          <w:rFonts w:hint="eastAsia"/>
          <w:b/>
          <w:color w:val="000000"/>
          <w:sz w:val="28"/>
          <w:szCs w:val="28"/>
        </w:rPr>
      </w:pPr>
      <w:r>
        <w:rPr>
          <w:b/>
          <w:color w:val="000000"/>
          <w:sz w:val="24"/>
          <w:szCs w:val="24"/>
        </w:rPr>
        <w:t>附图</w:t>
      </w:r>
      <w:r>
        <w:rPr>
          <w:rFonts w:hint="default" w:ascii="Times New Roman" w:hAnsi="Times New Roman" w:cs="Times New Roman"/>
          <w:b/>
          <w:color w:val="000000"/>
          <w:sz w:val="24"/>
          <w:szCs w:val="24"/>
        </w:rPr>
        <w:t>1</w:t>
      </w:r>
      <w:r>
        <w:rPr>
          <w:rFonts w:hint="eastAsia"/>
          <w:b/>
          <w:color w:val="000000"/>
          <w:sz w:val="24"/>
          <w:szCs w:val="24"/>
        </w:rPr>
        <w:t xml:space="preserve">   地理位置图</w:t>
      </w:r>
    </w:p>
    <w:p>
      <w:pPr>
        <w:pStyle w:val="29"/>
        <w:adjustRightInd w:val="0"/>
        <w:snapToGrid w:val="0"/>
        <w:spacing w:before="0" w:beforeAutospacing="0" w:after="0" w:afterAutospacing="0"/>
        <w:jc w:val="center"/>
        <w:rPr>
          <w:rFonts w:hint="eastAsia"/>
          <w:b/>
          <w:color w:val="000000"/>
          <w:sz w:val="28"/>
          <w:szCs w:val="28"/>
        </w:rPr>
        <w:sectPr>
          <w:footerReference r:id="rId7" w:type="default"/>
          <w:pgSz w:w="16838" w:h="11906" w:orient="landscape"/>
          <w:pgMar w:top="1418" w:right="1418" w:bottom="1418" w:left="170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9"/>
        <w:keepNext w:val="0"/>
        <w:keepLines w:val="0"/>
        <w:pageBreakBefore w:val="0"/>
        <w:widowControl/>
        <w:kinsoku/>
        <w:wordWrap/>
        <w:overflowPunct/>
        <w:topLinePunct w:val="0"/>
        <w:autoSpaceDE w:val="0"/>
        <w:autoSpaceDN w:val="0"/>
        <w:bidi w:val="0"/>
        <w:adjustRightInd w:val="0"/>
        <w:snapToGrid w:val="0"/>
        <w:spacing w:before="0" w:beforeAutospacing="0" w:after="0" w:afterAutospacing="0"/>
        <w:ind w:firstLine="0" w:firstLineChars="0"/>
        <w:jc w:val="center"/>
        <w:textAlignment w:val="auto"/>
        <w:rPr>
          <w:rFonts w:hint="eastAsia" w:eastAsia="宋体"/>
          <w:b/>
          <w:color w:val="000000"/>
          <w:sz w:val="28"/>
          <w:szCs w:val="28"/>
          <w:lang w:eastAsia="zh-CN"/>
        </w:rPr>
      </w:pPr>
      <w:r>
        <w:rPr>
          <w:sz w:val="28"/>
        </w:rPr>
        <mc:AlternateContent>
          <mc:Choice Requires="wps">
            <w:drawing>
              <wp:anchor distT="0" distB="0" distL="114300" distR="114300" simplePos="0" relativeHeight="251697152" behindDoc="0" locked="0" layoutInCell="1" allowOverlap="1">
                <wp:simplePos x="0" y="0"/>
                <wp:positionH relativeFrom="column">
                  <wp:posOffset>7519035</wp:posOffset>
                </wp:positionH>
                <wp:positionV relativeFrom="paragraph">
                  <wp:posOffset>5108575</wp:posOffset>
                </wp:positionV>
                <wp:extent cx="180975" cy="123825"/>
                <wp:effectExtent l="7620" t="7620" r="20955" b="20955"/>
                <wp:wrapNone/>
                <wp:docPr id="51" name="矩形 51"/>
                <wp:cNvGraphicFramePr/>
                <a:graphic xmlns:a="http://schemas.openxmlformats.org/drawingml/2006/main">
                  <a:graphicData uri="http://schemas.microsoft.com/office/word/2010/wordprocessingShape">
                    <wps:wsp>
                      <wps:cNvSpPr/>
                      <wps:spPr>
                        <a:xfrm>
                          <a:off x="0" y="0"/>
                          <a:ext cx="180975" cy="123825"/>
                        </a:xfrm>
                        <a:prstGeom prst="rect">
                          <a:avLst/>
                        </a:prstGeom>
                        <a:noFill/>
                        <a:ln w="158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2.05pt;margin-top:402.25pt;height:9.75pt;width:14.25pt;z-index:251697152;v-text-anchor:middle;mso-width-relative:page;mso-height-relative:page;" filled="f" stroked="t" coordsize="21600,21600" o:gfxdata="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">
                <v:fill on="f" focussize="0,0"/>
                <v:stroke weight="1.25pt" color="#FF0000 [2404]" joinstyle="round"/>
                <v:imagedata o:title=""/>
                <o:lock v:ext="edit" aspectratio="f"/>
              </v:rect>
            </w:pict>
          </mc:Fallback>
        </mc:AlternateContent>
      </w:r>
      <w:r>
        <w:rPr>
          <w:sz w:val="28"/>
        </w:rPr>
        <mc:AlternateContent>
          <mc:Choice Requires="wps">
            <w:drawing>
              <wp:anchor distT="0" distB="0" distL="114300" distR="114300" simplePos="0" relativeHeight="251696128" behindDoc="0" locked="0" layoutInCell="1" allowOverlap="1">
                <wp:simplePos x="0" y="0"/>
                <wp:positionH relativeFrom="column">
                  <wp:posOffset>7528560</wp:posOffset>
                </wp:positionH>
                <wp:positionV relativeFrom="paragraph">
                  <wp:posOffset>4870450</wp:posOffset>
                </wp:positionV>
                <wp:extent cx="180975" cy="123825"/>
                <wp:effectExtent l="7620" t="7620" r="20955" b="20955"/>
                <wp:wrapNone/>
                <wp:docPr id="50" name="矩形 50"/>
                <wp:cNvGraphicFramePr/>
                <a:graphic xmlns:a="http://schemas.openxmlformats.org/drawingml/2006/main">
                  <a:graphicData uri="http://schemas.microsoft.com/office/word/2010/wordprocessingShape">
                    <wps:wsp>
                      <wps:cNvSpPr/>
                      <wps:spPr>
                        <a:xfrm>
                          <a:off x="8656320" y="5780405"/>
                          <a:ext cx="180975" cy="123825"/>
                        </a:xfrm>
                        <a:prstGeom prst="rect">
                          <a:avLst/>
                        </a:prstGeom>
                        <a:noFill/>
                        <a:ln w="158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2.8pt;margin-top:383.5pt;height:9.75pt;width:14.25pt;z-index:251696128;v-text-anchor:middle;mso-width-relative:page;mso-height-relative:page;" filled="f" stroked="t" coordsize="21600,21600" o:gfxdata="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">
                <v:fill on="f" focussize="0,0"/>
                <v:stroke weight="1.25pt" color="#FFFF00 [2404]" joinstyle="round"/>
                <v:imagedata o:title=""/>
                <o:lock v:ext="edit" aspectratio="f"/>
              </v:rect>
            </w:pict>
          </mc:Fallback>
        </mc:AlternateContent>
      </w:r>
      <w:r>
        <w:rPr>
          <w:rFonts w:ascii="Times New Roman" w:hAnsi="Times New Roman"/>
          <w:b/>
          <w:bCs/>
          <w:kern w:val="2"/>
          <w:sz w:val="28"/>
          <w:szCs w:val="28"/>
        </w:rPr>
        <mc:AlternateContent>
          <mc:Choice Requires="wps">
            <w:drawing>
              <wp:anchor distT="0" distB="0" distL="114300" distR="114300" simplePos="0" relativeHeight="251695104" behindDoc="0" locked="0" layoutInCell="1" allowOverlap="1">
                <wp:simplePos x="0" y="0"/>
                <wp:positionH relativeFrom="column">
                  <wp:posOffset>7420610</wp:posOffset>
                </wp:positionH>
                <wp:positionV relativeFrom="paragraph">
                  <wp:posOffset>4590415</wp:posOffset>
                </wp:positionV>
                <wp:extent cx="1287145" cy="773430"/>
                <wp:effectExtent l="4445" t="4445" r="22860" b="22225"/>
                <wp:wrapNone/>
                <wp:docPr id="47" name="文本框 47"/>
                <wp:cNvGraphicFramePr/>
                <a:graphic xmlns:a="http://schemas.openxmlformats.org/drawingml/2006/main">
                  <a:graphicData uri="http://schemas.microsoft.com/office/word/2010/wordprocessingShape">
                    <wps:wsp>
                      <wps:cNvSpPr txBox="1"/>
                      <wps:spPr>
                        <a:xfrm>
                          <a:off x="0" y="0"/>
                          <a:ext cx="1287145" cy="7734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left="0" w:leftChars="0" w:firstLine="0" w:firstLineChars="0"/>
                              <w:jc w:val="center"/>
                              <w:rPr>
                                <w:rFonts w:hint="eastAsia" w:ascii="宋体" w:hAnsi="宋体" w:eastAsia="宋体"/>
                                <w:b/>
                                <w:sz w:val="18"/>
                                <w:szCs w:val="18"/>
                                <w:lang w:eastAsia="zh-CN"/>
                              </w:rPr>
                            </w:pPr>
                            <w:r>
                              <w:rPr>
                                <w:rFonts w:hint="eastAsia" w:ascii="宋体" w:hAnsi="宋体"/>
                                <w:b/>
                                <w:sz w:val="18"/>
                                <w:szCs w:val="18"/>
                                <w:lang w:eastAsia="zh-CN"/>
                              </w:rPr>
                              <w:t>图</w:t>
                            </w:r>
                            <w:r>
                              <w:rPr>
                                <w:rFonts w:hint="eastAsia" w:ascii="宋体" w:hAnsi="宋体"/>
                                <w:b/>
                                <w:sz w:val="18"/>
                                <w:szCs w:val="18"/>
                                <w:lang w:val="en-US" w:eastAsia="zh-CN"/>
                              </w:rPr>
                              <w:t xml:space="preserve"> </w:t>
                            </w:r>
                            <w:r>
                              <w:rPr>
                                <w:rFonts w:hint="eastAsia" w:ascii="宋体" w:hAnsi="宋体"/>
                                <w:b/>
                                <w:sz w:val="18"/>
                                <w:szCs w:val="18"/>
                                <w:lang w:eastAsia="zh-CN"/>
                              </w:rPr>
                              <w:t>例</w:t>
                            </w:r>
                          </w:p>
                          <w:p>
                            <w:pPr>
                              <w:spacing w:line="360" w:lineRule="auto"/>
                              <w:ind w:firstLine="542" w:firstLineChars="300"/>
                              <w:jc w:val="both"/>
                              <w:rPr>
                                <w:rFonts w:hint="eastAsia" w:ascii="宋体" w:hAnsi="宋体"/>
                                <w:b/>
                                <w:sz w:val="18"/>
                                <w:szCs w:val="18"/>
                                <w:lang w:val="en-US" w:eastAsia="zh-CN"/>
                              </w:rPr>
                            </w:pPr>
                            <w:r>
                              <w:rPr>
                                <w:rFonts w:hint="eastAsia" w:ascii="宋体" w:hAnsi="宋体"/>
                                <w:b/>
                                <w:sz w:val="18"/>
                                <w:szCs w:val="18"/>
                                <w:lang w:val="en-US" w:eastAsia="zh-CN"/>
                              </w:rPr>
                              <w:t>企业位置</w:t>
                            </w:r>
                          </w:p>
                          <w:p>
                            <w:pPr>
                              <w:spacing w:line="360" w:lineRule="auto"/>
                              <w:jc w:val="center"/>
                              <w:rPr>
                                <w:rFonts w:hint="default" w:ascii="宋体" w:hAnsi="宋体" w:eastAsia="宋体"/>
                                <w:b/>
                                <w:sz w:val="18"/>
                                <w:szCs w:val="18"/>
                                <w:lang w:val="en-US" w:eastAsia="zh-CN"/>
                              </w:rPr>
                            </w:pPr>
                            <w:r>
                              <w:rPr>
                                <w:rFonts w:hint="eastAsia" w:ascii="宋体" w:hAnsi="宋体"/>
                                <w:b/>
                                <w:sz w:val="18"/>
                                <w:szCs w:val="18"/>
                                <w:lang w:val="en-US" w:eastAsia="zh-CN"/>
                              </w:rPr>
                              <w:t>本项目位置</w:t>
                            </w:r>
                          </w:p>
                        </w:txbxContent>
                      </wps:txbx>
                      <wps:bodyPr upright="1"/>
                    </wps:wsp>
                  </a:graphicData>
                </a:graphic>
              </wp:anchor>
            </w:drawing>
          </mc:Choice>
          <mc:Fallback>
            <w:pict>
              <v:shape id="_x0000_s1026" o:spid="_x0000_s1026" o:spt="202" type="#_x0000_t202" style="position:absolute;left:0pt;margin-left:584.3pt;margin-top:361.45pt;height:60.9pt;width:101.35pt;z-index:251695104;mso-width-relative:page;mso-height-relative:page;" fillcolor="#FFFFFF" filled="t" stroked="t" coordsize="21600,21600" o:gfxdata="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">
                <v:fill on="t" focussize="0,0"/>
                <v:stroke color="#000000" joinstyle="miter"/>
                <v:imagedata o:title=""/>
                <o:lock v:ext="edit" aspectratio="f"/>
                <v:textbox>
                  <w:txbxContent>
                    <w:p>
                      <w:pPr>
                        <w:ind w:left="0" w:leftChars="0" w:firstLine="0" w:firstLineChars="0"/>
                        <w:jc w:val="center"/>
                        <w:rPr>
                          <w:rFonts w:hint="eastAsia" w:ascii="宋体" w:hAnsi="宋体" w:eastAsia="宋体"/>
                          <w:b/>
                          <w:sz w:val="18"/>
                          <w:szCs w:val="18"/>
                          <w:lang w:eastAsia="zh-CN"/>
                        </w:rPr>
                      </w:pPr>
                      <w:r>
                        <w:rPr>
                          <w:rFonts w:hint="eastAsia" w:ascii="宋体" w:hAnsi="宋体"/>
                          <w:b/>
                          <w:sz w:val="18"/>
                          <w:szCs w:val="18"/>
                          <w:lang w:eastAsia="zh-CN"/>
                        </w:rPr>
                        <w:t>图</w:t>
                      </w:r>
                      <w:r>
                        <w:rPr>
                          <w:rFonts w:hint="eastAsia" w:ascii="宋体" w:hAnsi="宋体"/>
                          <w:b/>
                          <w:sz w:val="18"/>
                          <w:szCs w:val="18"/>
                          <w:lang w:val="en-US" w:eastAsia="zh-CN"/>
                        </w:rPr>
                        <w:t xml:space="preserve"> </w:t>
                      </w:r>
                      <w:r>
                        <w:rPr>
                          <w:rFonts w:hint="eastAsia" w:ascii="宋体" w:hAnsi="宋体"/>
                          <w:b/>
                          <w:sz w:val="18"/>
                          <w:szCs w:val="18"/>
                          <w:lang w:eastAsia="zh-CN"/>
                        </w:rPr>
                        <w:t>例</w:t>
                      </w:r>
                    </w:p>
                    <w:p>
                      <w:pPr>
                        <w:spacing w:line="360" w:lineRule="auto"/>
                        <w:ind w:firstLine="542" w:firstLineChars="300"/>
                        <w:jc w:val="both"/>
                        <w:rPr>
                          <w:rFonts w:hint="eastAsia" w:ascii="宋体" w:hAnsi="宋体"/>
                          <w:b/>
                          <w:sz w:val="18"/>
                          <w:szCs w:val="18"/>
                          <w:lang w:val="en-US" w:eastAsia="zh-CN"/>
                        </w:rPr>
                      </w:pPr>
                      <w:r>
                        <w:rPr>
                          <w:rFonts w:hint="eastAsia" w:ascii="宋体" w:hAnsi="宋体"/>
                          <w:b/>
                          <w:sz w:val="18"/>
                          <w:szCs w:val="18"/>
                          <w:lang w:val="en-US" w:eastAsia="zh-CN"/>
                        </w:rPr>
                        <w:t>企业位置</w:t>
                      </w:r>
                    </w:p>
                    <w:p>
                      <w:pPr>
                        <w:spacing w:line="360" w:lineRule="auto"/>
                        <w:jc w:val="center"/>
                        <w:rPr>
                          <w:rFonts w:hint="default" w:ascii="宋体" w:hAnsi="宋体" w:eastAsia="宋体"/>
                          <w:b/>
                          <w:sz w:val="18"/>
                          <w:szCs w:val="18"/>
                          <w:lang w:val="en-US" w:eastAsia="zh-CN"/>
                        </w:rPr>
                      </w:pPr>
                      <w:r>
                        <w:rPr>
                          <w:rFonts w:hint="eastAsia" w:ascii="宋体" w:hAnsi="宋体"/>
                          <w:b/>
                          <w:sz w:val="18"/>
                          <w:szCs w:val="18"/>
                          <w:lang w:val="en-US" w:eastAsia="zh-CN"/>
                        </w:rPr>
                        <w:t>本项目位置</w:t>
                      </w:r>
                    </w:p>
                  </w:txbxContent>
                </v:textbox>
              </v:shape>
            </w:pict>
          </mc:Fallback>
        </mc:AlternateContent>
      </w:r>
      <w:r>
        <w:rPr>
          <w:sz w:val="24"/>
        </w:rPr>
        <mc:AlternateContent>
          <mc:Choice Requires="wps">
            <w:drawing>
              <wp:anchor distT="0" distB="0" distL="114300" distR="114300" simplePos="0" relativeHeight="251694080" behindDoc="0" locked="0" layoutInCell="1" allowOverlap="1">
                <wp:simplePos x="0" y="0"/>
                <wp:positionH relativeFrom="column">
                  <wp:posOffset>3883660</wp:posOffset>
                </wp:positionH>
                <wp:positionV relativeFrom="paragraph">
                  <wp:posOffset>2439670</wp:posOffset>
                </wp:positionV>
                <wp:extent cx="99695" cy="188595"/>
                <wp:effectExtent l="17145" t="46990" r="22860" b="62865"/>
                <wp:wrapNone/>
                <wp:docPr id="46" name="文本框 46"/>
                <wp:cNvGraphicFramePr/>
                <a:graphic xmlns:a="http://schemas.openxmlformats.org/drawingml/2006/main">
                  <a:graphicData uri="http://schemas.microsoft.com/office/word/2010/wordprocessingShape">
                    <wps:wsp>
                      <wps:cNvSpPr txBox="1"/>
                      <wps:spPr>
                        <a:xfrm rot="3480000">
                          <a:off x="4960620" y="3387090"/>
                          <a:ext cx="99695" cy="188595"/>
                        </a:xfrm>
                        <a:prstGeom prst="rect">
                          <a:avLst/>
                        </a:prstGeom>
                        <a:no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5.8pt;margin-top:192.1pt;height:14.85pt;width:7.85pt;rotation:3801088f;z-index:251694080;mso-width-relative:page;mso-height-relative:page;" filled="f" stroked="t" coordsize="21600,21600" o:gfxdata="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">
                <v:fill on="f" focussize="0,0"/>
                <v:stroke weight="0.5pt" color="#FF0000 [3204]" joinstyle="round"/>
                <v:imagedata o:title=""/>
                <o:lock v:ext="edit" aspectratio="f"/>
                <v:textbox>
                  <w:txbxContent>
                    <w:p/>
                  </w:txbxContent>
                </v:textbox>
              </v:shape>
            </w:pict>
          </mc:Fallback>
        </mc:AlternateContent>
      </w:r>
      <w:r>
        <w:rPr>
          <w:rFonts w:ascii="Times New Roman" w:hAnsi="Times New Roman" w:cs="Times New Roman"/>
          <w:color w:val="auto"/>
          <w:kern w:val="2"/>
          <w:u w:val="none" w:color="000000"/>
        </w:rPr>
        <w:drawing>
          <wp:anchor distT="0" distB="0" distL="114300" distR="114300" simplePos="0" relativeHeight="251693056" behindDoc="0" locked="0" layoutInCell="1" allowOverlap="1">
            <wp:simplePos x="0" y="0"/>
            <wp:positionH relativeFrom="column">
              <wp:posOffset>17145</wp:posOffset>
            </wp:positionH>
            <wp:positionV relativeFrom="page">
              <wp:posOffset>847725</wp:posOffset>
            </wp:positionV>
            <wp:extent cx="712470" cy="703580"/>
            <wp:effectExtent l="0" t="0" r="11430" b="1270"/>
            <wp:wrapNone/>
            <wp:docPr id="45"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89"/>
                    <pic:cNvPicPr>
                      <a:picLocks noChangeAspect="1"/>
                    </pic:cNvPicPr>
                  </pic:nvPicPr>
                  <pic:blipFill>
                    <a:blip r:embed="rId17"/>
                    <a:srcRect t="9791" b="7525"/>
                    <a:stretch>
                      <a:fillRect/>
                    </a:stretch>
                  </pic:blipFill>
                  <pic:spPr>
                    <a:xfrm>
                      <a:off x="0" y="0"/>
                      <a:ext cx="712470" cy="703580"/>
                    </a:xfrm>
                    <a:prstGeom prst="rect">
                      <a:avLst/>
                    </a:prstGeom>
                    <a:noFill/>
                    <a:ln>
                      <a:noFill/>
                    </a:ln>
                  </pic:spPr>
                </pic:pic>
              </a:graphicData>
            </a:graphic>
          </wp:anchor>
        </w:drawing>
      </w:r>
      <w:r>
        <w:drawing>
          <wp:inline distT="0" distB="0" distL="114300" distR="114300">
            <wp:extent cx="8705215" cy="5410200"/>
            <wp:effectExtent l="0" t="0" r="635" b="0"/>
            <wp:docPr id="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9"/>
                    <pic:cNvPicPr>
                      <a:picLocks noChangeAspect="1"/>
                    </pic:cNvPicPr>
                  </pic:nvPicPr>
                  <pic:blipFill>
                    <a:blip r:embed="rId22"/>
                    <a:stretch>
                      <a:fillRect/>
                    </a:stretch>
                  </pic:blipFill>
                  <pic:spPr>
                    <a:xfrm>
                      <a:off x="0" y="0"/>
                      <a:ext cx="8705215" cy="5410200"/>
                    </a:xfrm>
                    <a:prstGeom prst="rect">
                      <a:avLst/>
                    </a:prstGeom>
                    <a:noFill/>
                    <a:ln>
                      <a:noFill/>
                    </a:ln>
                  </pic:spPr>
                </pic:pic>
              </a:graphicData>
            </a:graphic>
          </wp:inline>
        </w:drawing>
      </w:r>
    </w:p>
    <w:p>
      <w:pPr>
        <w:pStyle w:val="29"/>
        <w:adjustRightInd w:val="0"/>
        <w:snapToGrid w:val="0"/>
        <w:spacing w:before="0" w:beforeAutospacing="0" w:after="0" w:afterAutospacing="0"/>
        <w:jc w:val="center"/>
        <w:rPr>
          <w:rFonts w:hint="default" w:eastAsia="宋体"/>
          <w:b/>
          <w:color w:val="000000"/>
          <w:sz w:val="28"/>
          <w:szCs w:val="28"/>
          <w:lang w:val="en-US" w:eastAsia="zh-CN"/>
        </w:rPr>
      </w:pPr>
      <w:r>
        <w:rPr>
          <w:rFonts w:hint="eastAsia"/>
          <w:b/>
          <w:color w:val="000000"/>
          <w:sz w:val="21"/>
          <w:szCs w:val="21"/>
        </w:rPr>
        <w:t>附图</w:t>
      </w:r>
      <w:r>
        <w:rPr>
          <w:rFonts w:ascii="Times New Roman" w:hAnsi="Times New Roman"/>
          <w:b/>
          <w:color w:val="000000"/>
          <w:sz w:val="21"/>
          <w:szCs w:val="21"/>
        </w:rPr>
        <w:t>2</w:t>
      </w:r>
      <w:r>
        <w:rPr>
          <w:rFonts w:hint="eastAsia"/>
          <w:b/>
          <w:color w:val="000000"/>
          <w:sz w:val="21"/>
          <w:szCs w:val="21"/>
        </w:rPr>
        <w:t xml:space="preserve">  </w:t>
      </w:r>
      <w:r>
        <w:rPr>
          <w:rFonts w:hint="eastAsia"/>
          <w:b/>
          <w:color w:val="000000"/>
          <w:sz w:val="21"/>
          <w:szCs w:val="21"/>
          <w:lang w:eastAsia="zh-CN"/>
        </w:rPr>
        <w:t>本</w:t>
      </w:r>
      <w:r>
        <w:rPr>
          <w:rFonts w:hint="eastAsia"/>
          <w:b/>
          <w:color w:val="000000"/>
          <w:sz w:val="21"/>
          <w:szCs w:val="21"/>
        </w:rPr>
        <w:t>项目</w:t>
      </w:r>
      <w:r>
        <w:rPr>
          <w:rFonts w:hint="eastAsia"/>
          <w:b/>
          <w:color w:val="000000"/>
          <w:sz w:val="21"/>
          <w:szCs w:val="21"/>
          <w:lang w:val="en-US" w:eastAsia="zh-CN"/>
        </w:rPr>
        <w:t>在企业厂区中的位置图</w:t>
      </w:r>
    </w:p>
    <w:p>
      <w:pPr>
        <w:pStyle w:val="29"/>
        <w:adjustRightInd w:val="0"/>
        <w:snapToGrid w:val="0"/>
        <w:spacing w:before="0" w:beforeAutospacing="0" w:after="0" w:afterAutospacing="0"/>
        <w:jc w:val="both"/>
        <w:rPr>
          <w:rFonts w:hint="eastAsia"/>
          <w:b/>
          <w:color w:val="000000"/>
          <w:sz w:val="24"/>
          <w:szCs w:val="24"/>
          <w:highlight w:val="none"/>
        </w:rPr>
        <w:sectPr>
          <w:pgSz w:w="16838" w:h="11906" w:orient="landscape"/>
          <w:pgMar w:top="1418" w:right="1418" w:bottom="1418" w:left="170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9"/>
        <w:keepNext w:val="0"/>
        <w:keepLines w:val="0"/>
        <w:pageBreakBefore w:val="0"/>
        <w:widowControl/>
        <w:kinsoku/>
        <w:wordWrap/>
        <w:overflowPunct/>
        <w:topLinePunct w:val="0"/>
        <w:autoSpaceDE w:val="0"/>
        <w:autoSpaceDN w:val="0"/>
        <w:bidi w:val="0"/>
        <w:adjustRightInd w:val="0"/>
        <w:snapToGrid w:val="0"/>
        <w:spacing w:before="0" w:beforeAutospacing="0" w:after="0" w:afterAutospacing="0"/>
        <w:ind w:firstLine="0" w:firstLineChars="0"/>
        <w:jc w:val="center"/>
        <w:textAlignment w:val="auto"/>
        <w:rPr>
          <w:rFonts w:hint="eastAsia" w:eastAsia="宋体"/>
          <w:b/>
          <w:color w:val="000000"/>
          <w:sz w:val="24"/>
          <w:szCs w:val="24"/>
          <w:highlight w:val="none"/>
          <w:lang w:eastAsia="zh-CN"/>
        </w:rPr>
      </w:pPr>
      <w:r>
        <w:rPr>
          <w:rFonts w:ascii="Times New Roman" w:hAnsi="Times New Roman" w:cs="Times New Roman"/>
          <w:color w:val="auto"/>
          <w:kern w:val="2"/>
          <w:u w:val="none" w:color="000000"/>
        </w:rPr>
        <w:drawing>
          <wp:anchor distT="0" distB="0" distL="114300" distR="114300" simplePos="0" relativeHeight="251716608" behindDoc="0" locked="0" layoutInCell="1" allowOverlap="1">
            <wp:simplePos x="0" y="0"/>
            <wp:positionH relativeFrom="column">
              <wp:posOffset>-11430</wp:posOffset>
            </wp:positionH>
            <wp:positionV relativeFrom="page">
              <wp:posOffset>870585</wp:posOffset>
            </wp:positionV>
            <wp:extent cx="712470" cy="703580"/>
            <wp:effectExtent l="0" t="0" r="11430" b="1270"/>
            <wp:wrapNone/>
            <wp:docPr id="95"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89"/>
                    <pic:cNvPicPr>
                      <a:picLocks noChangeAspect="1"/>
                    </pic:cNvPicPr>
                  </pic:nvPicPr>
                  <pic:blipFill>
                    <a:blip r:embed="rId17"/>
                    <a:srcRect t="9791" b="7525"/>
                    <a:stretch>
                      <a:fillRect/>
                    </a:stretch>
                  </pic:blipFill>
                  <pic:spPr>
                    <a:xfrm>
                      <a:off x="0" y="0"/>
                      <a:ext cx="712470" cy="703580"/>
                    </a:xfrm>
                    <a:prstGeom prst="rect">
                      <a:avLst/>
                    </a:prstGeom>
                    <a:noFill/>
                    <a:ln>
                      <a:noFill/>
                    </a:ln>
                  </pic:spPr>
                </pic:pic>
              </a:graphicData>
            </a:graphic>
          </wp:anchor>
        </w:drawing>
      </w:r>
      <w:r>
        <w:drawing>
          <wp:inline distT="0" distB="0" distL="114300" distR="114300">
            <wp:extent cx="7918450" cy="4946015"/>
            <wp:effectExtent l="0" t="0" r="6350" b="6985"/>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23"/>
                    <a:stretch>
                      <a:fillRect/>
                    </a:stretch>
                  </pic:blipFill>
                  <pic:spPr>
                    <a:xfrm>
                      <a:off x="0" y="0"/>
                      <a:ext cx="7918450" cy="4946015"/>
                    </a:xfrm>
                    <a:prstGeom prst="rect">
                      <a:avLst/>
                    </a:prstGeom>
                    <a:noFill/>
                    <a:ln>
                      <a:noFill/>
                    </a:ln>
                  </pic:spPr>
                </pic:pic>
              </a:graphicData>
            </a:graphic>
          </wp:inline>
        </w:drawing>
      </w:r>
    </w:p>
    <w:p>
      <w:pPr>
        <w:pStyle w:val="29"/>
        <w:adjustRightInd w:val="0"/>
        <w:snapToGrid w:val="0"/>
        <w:spacing w:before="0" w:beforeAutospacing="0" w:after="0" w:afterAutospacing="0"/>
        <w:jc w:val="center"/>
        <w:rPr>
          <w:rFonts w:hint="default" w:ascii="Times New Roman" w:hAnsi="Times New Roman" w:eastAsia="宋体" w:cs="Times New Roman"/>
          <w:b/>
          <w:color w:val="000000"/>
          <w:sz w:val="21"/>
          <w:szCs w:val="21"/>
          <w:lang w:eastAsia="zh-CN"/>
        </w:rPr>
      </w:pPr>
      <w:r>
        <w:rPr>
          <w:rFonts w:hint="default" w:ascii="Times New Roman" w:hAnsi="Times New Roman" w:eastAsia="宋体" w:cs="Times New Roman"/>
          <w:b/>
          <w:color w:val="000000"/>
          <w:sz w:val="21"/>
          <w:szCs w:val="21"/>
        </w:rPr>
        <w:t>附图</w:t>
      </w:r>
      <w:r>
        <w:rPr>
          <w:rFonts w:hint="default" w:ascii="Times New Roman" w:hAnsi="Times New Roman" w:eastAsia="宋体" w:cs="Times New Roman"/>
          <w:b/>
          <w:color w:val="000000"/>
          <w:sz w:val="21"/>
          <w:szCs w:val="21"/>
          <w:lang w:val="en-US" w:eastAsia="zh-CN"/>
        </w:rPr>
        <w:t>3</w:t>
      </w:r>
      <w:r>
        <w:rPr>
          <w:rFonts w:hint="default" w:ascii="Times New Roman" w:hAnsi="Times New Roman" w:eastAsia="宋体" w:cs="Times New Roman"/>
          <w:b/>
          <w:color w:val="000000"/>
          <w:sz w:val="21"/>
          <w:szCs w:val="21"/>
        </w:rPr>
        <w:t xml:space="preserve">  </w:t>
      </w:r>
      <w:r>
        <w:rPr>
          <w:rFonts w:hint="eastAsia" w:ascii="Times New Roman" w:hAnsi="Times New Roman" w:cs="Times New Roman"/>
          <w:b/>
          <w:color w:val="000000"/>
          <w:sz w:val="21"/>
          <w:szCs w:val="21"/>
          <w:lang w:val="en-US" w:eastAsia="zh-CN"/>
        </w:rPr>
        <w:t>医疗废物暂存间</w:t>
      </w:r>
      <w:r>
        <w:rPr>
          <w:rFonts w:hint="default" w:ascii="Times New Roman" w:hAnsi="Times New Roman" w:eastAsia="宋体" w:cs="Times New Roman"/>
          <w:b/>
          <w:color w:val="000000"/>
          <w:sz w:val="21"/>
          <w:szCs w:val="21"/>
          <w:lang w:val="en-US" w:eastAsia="zh-CN"/>
        </w:rPr>
        <w:t>内部</w:t>
      </w:r>
      <w:r>
        <w:rPr>
          <w:rFonts w:hint="default" w:ascii="Times New Roman" w:hAnsi="Times New Roman" w:eastAsia="宋体" w:cs="Times New Roman"/>
          <w:b/>
          <w:color w:val="000000"/>
          <w:sz w:val="21"/>
          <w:szCs w:val="21"/>
        </w:rPr>
        <w:t>布置图</w:t>
      </w:r>
    </w:p>
    <w:p>
      <w:pPr>
        <w:pStyle w:val="29"/>
        <w:adjustRightInd w:val="0"/>
        <w:snapToGrid w:val="0"/>
        <w:spacing w:before="0" w:beforeAutospacing="0" w:after="0" w:afterAutospacing="0"/>
        <w:ind w:left="0" w:leftChars="0" w:firstLine="0" w:firstLineChars="0"/>
        <w:jc w:val="both"/>
        <w:rPr>
          <w:rFonts w:hint="eastAsia" w:eastAsia="宋体"/>
          <w:b/>
          <w:color w:val="000000"/>
          <w:sz w:val="24"/>
          <w:szCs w:val="24"/>
          <w:highlight w:val="none"/>
          <w:lang w:val="en-US" w:eastAsia="zh-CN"/>
        </w:rPr>
      </w:pPr>
      <w:r>
        <w:rPr>
          <w:sz w:val="28"/>
        </w:rPr>
        <mc:AlternateContent>
          <mc:Choice Requires="wps">
            <w:drawing>
              <wp:anchor distT="0" distB="0" distL="114300" distR="114300" simplePos="0" relativeHeight="251705344" behindDoc="0" locked="0" layoutInCell="1" allowOverlap="1">
                <wp:simplePos x="0" y="0"/>
                <wp:positionH relativeFrom="column">
                  <wp:posOffset>7480935</wp:posOffset>
                </wp:positionH>
                <wp:positionV relativeFrom="paragraph">
                  <wp:posOffset>4998085</wp:posOffset>
                </wp:positionV>
                <wp:extent cx="1104900" cy="26670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1104900"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b/>
                                <w:bCs/>
                                <w:color w:val="auto"/>
                                <w:sz w:val="18"/>
                                <w:szCs w:val="18"/>
                                <w:lang w:eastAsia="zh-CN"/>
                              </w:rPr>
                            </w:pPr>
                            <w:r>
                              <w:rPr>
                                <w:rFonts w:hint="eastAsia"/>
                                <w:b/>
                                <w:bCs/>
                                <w:color w:val="auto"/>
                                <w:sz w:val="18"/>
                                <w:szCs w:val="18"/>
                                <w:lang w:eastAsia="zh-C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9.05pt;margin-top:393.55pt;height:21pt;width:87pt;z-index:251705344;mso-width-relative:page;mso-height-relative:page;" filled="f" stroked="f" coordsize="21600,21600" o:gfxdata="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b/>
                          <w:bCs/>
                          <w:color w:val="auto"/>
                          <w:sz w:val="18"/>
                          <w:szCs w:val="18"/>
                          <w:lang w:eastAsia="zh-CN"/>
                        </w:rPr>
                      </w:pPr>
                      <w:r>
                        <w:rPr>
                          <w:rFonts w:hint="eastAsia"/>
                          <w:b/>
                          <w:bCs/>
                          <w:color w:val="auto"/>
                          <w:sz w:val="18"/>
                          <w:szCs w:val="18"/>
                          <w:lang w:eastAsia="zh-CN"/>
                        </w:rPr>
                        <w:t>本项目</w:t>
                      </w:r>
                    </w:p>
                  </w:txbxContent>
                </v:textbox>
              </v:shape>
            </w:pict>
          </mc:Fallback>
        </mc:AlternateContent>
      </w:r>
      <w:r>
        <w:rPr>
          <w:sz w:val="28"/>
        </w:rPr>
        <mc:AlternateContent>
          <mc:Choice Requires="wps">
            <w:drawing>
              <wp:anchor distT="0" distB="0" distL="114300" distR="114300" simplePos="0" relativeHeight="251706368" behindDoc="0" locked="0" layoutInCell="1" allowOverlap="1">
                <wp:simplePos x="0" y="0"/>
                <wp:positionH relativeFrom="column">
                  <wp:posOffset>7680960</wp:posOffset>
                </wp:positionH>
                <wp:positionV relativeFrom="paragraph">
                  <wp:posOffset>5198110</wp:posOffset>
                </wp:positionV>
                <wp:extent cx="1104900" cy="266700"/>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1104900"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firstLine="0" w:firstLineChars="0"/>
                              <w:jc w:val="both"/>
                              <w:textAlignment w:val="auto"/>
                              <w:rPr>
                                <w:rFonts w:hint="eastAsia" w:eastAsia="宋体"/>
                                <w:b/>
                                <w:bCs/>
                                <w:color w:val="auto"/>
                                <w:sz w:val="18"/>
                                <w:szCs w:val="18"/>
                                <w:lang w:eastAsia="zh-CN"/>
                              </w:rPr>
                            </w:pPr>
                            <w:r>
                              <w:rPr>
                                <w:rFonts w:hint="eastAsia"/>
                                <w:b/>
                                <w:bCs/>
                                <w:color w:val="auto"/>
                                <w:sz w:val="18"/>
                                <w:szCs w:val="18"/>
                                <w:lang w:eastAsia="zh-CN"/>
                              </w:rPr>
                              <w:t>周边居民和单位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4.8pt;margin-top:409.3pt;height:21pt;width:87pt;z-index:251706368;mso-width-relative:page;mso-height-relative:page;" filled="f" stroked="f" coordsize="21600,21600" o:gfxdata="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firstLine="0" w:firstLineChars="0"/>
                        <w:jc w:val="both"/>
                        <w:textAlignment w:val="auto"/>
                        <w:rPr>
                          <w:rFonts w:hint="eastAsia" w:eastAsia="宋体"/>
                          <w:b/>
                          <w:bCs/>
                          <w:color w:val="auto"/>
                          <w:sz w:val="18"/>
                          <w:szCs w:val="18"/>
                          <w:lang w:eastAsia="zh-CN"/>
                        </w:rPr>
                      </w:pPr>
                      <w:r>
                        <w:rPr>
                          <w:rFonts w:hint="eastAsia"/>
                          <w:b/>
                          <w:bCs/>
                          <w:color w:val="auto"/>
                          <w:sz w:val="18"/>
                          <w:szCs w:val="18"/>
                          <w:lang w:eastAsia="zh-CN"/>
                        </w:rPr>
                        <w:t>周边居民和单位</w:t>
                      </w:r>
                    </w:p>
                  </w:txbxContent>
                </v:textbox>
              </v:shape>
            </w:pict>
          </mc:Fallback>
        </mc:AlternateContent>
      </w:r>
      <w:r>
        <w:rPr>
          <w:sz w:val="28"/>
        </w:rPr>
        <mc:AlternateContent>
          <mc:Choice Requires="wps">
            <w:drawing>
              <wp:anchor distT="0" distB="0" distL="114300" distR="114300" simplePos="0" relativeHeight="251704320" behindDoc="0" locked="0" layoutInCell="1" allowOverlap="1">
                <wp:simplePos x="0" y="0"/>
                <wp:positionH relativeFrom="column">
                  <wp:posOffset>7566660</wp:posOffset>
                </wp:positionH>
                <wp:positionV relativeFrom="paragraph">
                  <wp:posOffset>4807585</wp:posOffset>
                </wp:positionV>
                <wp:extent cx="1104900" cy="266700"/>
                <wp:effectExtent l="0" t="0" r="0" b="0"/>
                <wp:wrapNone/>
                <wp:docPr id="79" name="文本框 79"/>
                <wp:cNvGraphicFramePr/>
                <a:graphic xmlns:a="http://schemas.openxmlformats.org/drawingml/2006/main">
                  <a:graphicData uri="http://schemas.microsoft.com/office/word/2010/wordprocessingShape">
                    <wps:wsp>
                      <wps:cNvSpPr txBox="1"/>
                      <wps:spPr>
                        <a:xfrm>
                          <a:off x="6979920" y="5298440"/>
                          <a:ext cx="1104900"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b/>
                                <w:bCs/>
                                <w:color w:val="auto"/>
                                <w:sz w:val="18"/>
                                <w:szCs w:val="18"/>
                                <w:lang w:eastAsia="zh-CN"/>
                              </w:rPr>
                            </w:pPr>
                            <w:r>
                              <w:rPr>
                                <w:rFonts w:hint="eastAsia"/>
                                <w:b/>
                                <w:bCs/>
                                <w:color w:val="auto"/>
                                <w:sz w:val="18"/>
                                <w:szCs w:val="18"/>
                                <w:lang w:eastAsia="zh-CN"/>
                              </w:rPr>
                              <w:t>本项目企业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5.8pt;margin-top:378.55pt;height:21pt;width:87pt;z-index:251704320;mso-width-relative:page;mso-height-relative:page;" filled="f" stroked="f" coordsize="21600,21600" o:gfxdata="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b/>
                          <w:bCs/>
                          <w:color w:val="auto"/>
                          <w:sz w:val="18"/>
                          <w:szCs w:val="18"/>
                          <w:lang w:eastAsia="zh-CN"/>
                        </w:rPr>
                      </w:pPr>
                      <w:r>
                        <w:rPr>
                          <w:rFonts w:hint="eastAsia"/>
                          <w:b/>
                          <w:bCs/>
                          <w:color w:val="auto"/>
                          <w:sz w:val="18"/>
                          <w:szCs w:val="18"/>
                          <w:lang w:eastAsia="zh-CN"/>
                        </w:rPr>
                        <w:t>本项目企业</w:t>
                      </w:r>
                    </w:p>
                  </w:txbxContent>
                </v:textbox>
              </v:shape>
            </w:pict>
          </mc:Fallback>
        </mc:AlternateContent>
      </w:r>
      <w:r>
        <w:rPr>
          <w:rFonts w:ascii="Times New Roman" w:hAnsi="Times New Roman"/>
          <w:b/>
          <w:bCs/>
          <w:kern w:val="2"/>
          <w:sz w:val="28"/>
          <w:szCs w:val="28"/>
        </w:rPr>
        <mc:AlternateContent>
          <mc:Choice Requires="wps">
            <w:drawing>
              <wp:anchor distT="0" distB="0" distL="114300" distR="114300" simplePos="0" relativeHeight="251675648" behindDoc="0" locked="0" layoutInCell="1" allowOverlap="1">
                <wp:simplePos x="0" y="0"/>
                <wp:positionH relativeFrom="column">
                  <wp:posOffset>7506970</wp:posOffset>
                </wp:positionH>
                <wp:positionV relativeFrom="paragraph">
                  <wp:posOffset>4852035</wp:posOffset>
                </wp:positionV>
                <wp:extent cx="160655" cy="111760"/>
                <wp:effectExtent l="9525" t="9525" r="20320" b="12065"/>
                <wp:wrapNone/>
                <wp:docPr id="61" name="矩形 61"/>
                <wp:cNvGraphicFramePr/>
                <a:graphic xmlns:a="http://schemas.openxmlformats.org/drawingml/2006/main">
                  <a:graphicData uri="http://schemas.microsoft.com/office/word/2010/wordprocessingShape">
                    <wps:wsp>
                      <wps:cNvSpPr/>
                      <wps:spPr>
                        <a:xfrm>
                          <a:off x="0" y="0"/>
                          <a:ext cx="160655" cy="111760"/>
                        </a:xfrm>
                        <a:prstGeom prst="rect">
                          <a:avLst/>
                        </a:prstGeom>
                        <a:noFill/>
                        <a:ln w="19050"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91.1pt;margin-top:382.05pt;height:8.8pt;width:12.65pt;z-index:251675648;mso-width-relative:page;mso-height-relative:page;" filled="f" stroked="t" coordsize="21600,21600" o:gfxdata="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">
                <v:fill on="f" focussize="0,0"/>
                <v:stroke weight="1.5pt" color="#FF0000" joinstyle="miter"/>
                <v:imagedata o:title=""/>
                <o:lock v:ext="edit" aspectratio="f"/>
              </v:rect>
            </w:pict>
          </mc:Fallback>
        </mc:AlternateContent>
      </w:r>
      <w:r>
        <w:rPr>
          <w:rFonts w:ascii="Times New Roman" w:hAnsi="Times New Roman"/>
          <w:b/>
          <w:bCs/>
          <w:kern w:val="2"/>
          <w:sz w:val="28"/>
          <w:szCs w:val="28"/>
        </w:rPr>
        <mc:AlternateContent>
          <mc:Choice Requires="wps">
            <w:drawing>
              <wp:anchor distT="0" distB="0" distL="114300" distR="114300" simplePos="0" relativeHeight="251703296" behindDoc="0" locked="0" layoutInCell="1" allowOverlap="1">
                <wp:simplePos x="0" y="0"/>
                <wp:positionH relativeFrom="column">
                  <wp:posOffset>7516495</wp:posOffset>
                </wp:positionH>
                <wp:positionV relativeFrom="paragraph">
                  <wp:posOffset>5071110</wp:posOffset>
                </wp:positionV>
                <wp:extent cx="160655" cy="111760"/>
                <wp:effectExtent l="9525" t="9525" r="20320" b="12065"/>
                <wp:wrapNone/>
                <wp:docPr id="78" name="矩形 78"/>
                <wp:cNvGraphicFramePr/>
                <a:graphic xmlns:a="http://schemas.openxmlformats.org/drawingml/2006/main">
                  <a:graphicData uri="http://schemas.microsoft.com/office/word/2010/wordprocessingShape">
                    <wps:wsp>
                      <wps:cNvSpPr/>
                      <wps:spPr>
                        <a:xfrm>
                          <a:off x="0" y="0"/>
                          <a:ext cx="160655" cy="111760"/>
                        </a:xfrm>
                        <a:prstGeom prst="rect">
                          <a:avLst/>
                        </a:prstGeom>
                        <a:noFill/>
                        <a:ln w="19050" cap="flat" cmpd="sng">
                          <a:solidFill>
                            <a:srgbClr val="FFFF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91.85pt;margin-top:399.3pt;height:8.8pt;width:12.65pt;z-index:251703296;mso-width-relative:page;mso-height-relative:page;" filled="f" stroked="t" coordsize="21600,21600" o:gfxdata="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">
                <v:fill on="f" focussize="0,0"/>
                <v:stroke weight="1.5pt" color="#FFFF00" joinstyle="miter"/>
                <v:imagedata o:title=""/>
                <o:lock v:ext="edit" aspectratio="f"/>
              </v:rect>
            </w:pict>
          </mc:Fallback>
        </mc:AlternateContent>
      </w:r>
      <w:r>
        <w:rPr>
          <w:rFonts w:ascii="Times New Roman" w:hAnsi="Times New Roman"/>
          <w:b/>
          <w:bCs/>
          <w:kern w:val="2"/>
          <w:sz w:val="28"/>
          <w:szCs w:val="28"/>
        </w:rPr>
        <mc:AlternateContent>
          <mc:Choice Requires="wps">
            <w:drawing>
              <wp:anchor distT="0" distB="0" distL="114300" distR="114300" simplePos="0" relativeHeight="251676672" behindDoc="0" locked="0" layoutInCell="1" allowOverlap="1">
                <wp:simplePos x="0" y="0"/>
                <wp:positionH relativeFrom="column">
                  <wp:posOffset>7497445</wp:posOffset>
                </wp:positionH>
                <wp:positionV relativeFrom="paragraph">
                  <wp:posOffset>5285105</wp:posOffset>
                </wp:positionV>
                <wp:extent cx="160655" cy="111760"/>
                <wp:effectExtent l="9525" t="9525" r="20320" b="12065"/>
                <wp:wrapNone/>
                <wp:docPr id="63" name="矩形 63"/>
                <wp:cNvGraphicFramePr/>
                <a:graphic xmlns:a="http://schemas.openxmlformats.org/drawingml/2006/main">
                  <a:graphicData uri="http://schemas.microsoft.com/office/word/2010/wordprocessingShape">
                    <wps:wsp>
                      <wps:cNvSpPr/>
                      <wps:spPr>
                        <a:xfrm>
                          <a:off x="0" y="0"/>
                          <a:ext cx="160655" cy="111760"/>
                        </a:xfrm>
                        <a:prstGeom prst="rect">
                          <a:avLst/>
                        </a:prstGeom>
                        <a:solidFill>
                          <a:srgbClr val="19EFF1">
                            <a:alpha val="17000"/>
                          </a:srgbClr>
                        </a:solidFill>
                        <a:ln w="19050" cap="flat" cmpd="sng">
                          <a:solidFill>
                            <a:srgbClr val="92D05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90.35pt;margin-top:416.15pt;height:8.8pt;width:12.65pt;z-index:251676672;mso-width-relative:page;mso-height-relative:page;" fillcolor="#19EFF1" filled="t" stroked="t" coordsize="21600,21600" o:gfxdata="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">
                <v:fill on="t" opacity="11141f" focussize="0,0"/>
                <v:stroke weight="1.5pt" color="#92D050" joinstyle="miter"/>
                <v:imagedata o:title=""/>
                <o:lock v:ext="edit" aspectratio="f"/>
              </v:rect>
            </w:pict>
          </mc:Fallback>
        </mc:AlternateContent>
      </w:r>
      <w:r>
        <w:rPr>
          <w:rFonts w:ascii="Times New Roman" w:hAnsi="Times New Roman"/>
          <w:b/>
          <w:bCs/>
          <w:kern w:val="2"/>
          <w:sz w:val="28"/>
          <w:szCs w:val="28"/>
        </w:rPr>
        <mc:AlternateContent>
          <mc:Choice Requires="wps">
            <w:drawing>
              <wp:anchor distT="0" distB="0" distL="114300" distR="114300" simplePos="0" relativeHeight="251674624" behindDoc="0" locked="0" layoutInCell="1" allowOverlap="1">
                <wp:simplePos x="0" y="0"/>
                <wp:positionH relativeFrom="column">
                  <wp:posOffset>7449185</wp:posOffset>
                </wp:positionH>
                <wp:positionV relativeFrom="paragraph">
                  <wp:posOffset>4629150</wp:posOffset>
                </wp:positionV>
                <wp:extent cx="1287145" cy="858520"/>
                <wp:effectExtent l="4445" t="4445" r="22860" b="13335"/>
                <wp:wrapNone/>
                <wp:docPr id="62" name="文本框 62"/>
                <wp:cNvGraphicFramePr/>
                <a:graphic xmlns:a="http://schemas.openxmlformats.org/drawingml/2006/main">
                  <a:graphicData uri="http://schemas.microsoft.com/office/word/2010/wordprocessingShape">
                    <wps:wsp>
                      <wps:cNvSpPr txBox="1"/>
                      <wps:spPr>
                        <a:xfrm>
                          <a:off x="0" y="0"/>
                          <a:ext cx="1287145" cy="8585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eastAsia" w:ascii="宋体" w:hAnsi="宋体"/>
                                <w:b/>
                                <w:color w:val="auto"/>
                                <w:sz w:val="18"/>
                                <w:szCs w:val="18"/>
                                <w:lang w:eastAsia="zh-CN"/>
                              </w:rPr>
                            </w:pPr>
                            <w:r>
                              <w:rPr>
                                <w:rFonts w:hint="eastAsia" w:ascii="宋体" w:hAnsi="宋体"/>
                                <w:b/>
                                <w:color w:val="auto"/>
                                <w:sz w:val="18"/>
                                <w:szCs w:val="18"/>
                                <w:lang w:eastAsia="zh-CN"/>
                              </w:rPr>
                              <w:t>图</w:t>
                            </w:r>
                            <w:r>
                              <w:rPr>
                                <w:rFonts w:hint="eastAsia" w:ascii="宋体" w:hAnsi="宋体"/>
                                <w:b/>
                                <w:color w:val="auto"/>
                                <w:sz w:val="18"/>
                                <w:szCs w:val="18"/>
                                <w:lang w:val="en-US" w:eastAsia="zh-CN"/>
                              </w:rPr>
                              <w:t xml:space="preserve">  </w:t>
                            </w:r>
                            <w:r>
                              <w:rPr>
                                <w:rFonts w:hint="eastAsia" w:ascii="宋体" w:hAnsi="宋体"/>
                                <w:b/>
                                <w:color w:val="auto"/>
                                <w:sz w:val="18"/>
                                <w:szCs w:val="18"/>
                                <w:lang w:eastAsia="zh-CN"/>
                              </w:rPr>
                              <w:t>例</w:t>
                            </w:r>
                          </w:p>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宋体" w:hAnsi="宋体"/>
                                <w:b/>
                                <w:sz w:val="18"/>
                                <w:szCs w:val="18"/>
                                <w:lang w:val="en-US" w:eastAsia="zh-CN"/>
                              </w:rPr>
                            </w:pPr>
                            <w:r>
                              <w:rPr>
                                <w:rFonts w:hint="eastAsia" w:ascii="宋体" w:hAnsi="宋体"/>
                                <w:b/>
                                <w:sz w:val="18"/>
                                <w:szCs w:val="18"/>
                                <w:lang w:val="en-US" w:eastAsia="zh-CN"/>
                              </w:rPr>
                              <w:t xml:space="preserve">  </w:t>
                            </w:r>
                          </w:p>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宋体" w:hAnsi="宋体"/>
                                <w:b/>
                                <w:sz w:val="18"/>
                                <w:szCs w:val="18"/>
                                <w:lang w:val="en-US" w:eastAsia="zh-CN"/>
                              </w:rPr>
                            </w:pPr>
                          </w:p>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宋体" w:hAnsi="宋体"/>
                                <w:b/>
                                <w:sz w:val="18"/>
                                <w:szCs w:val="18"/>
                                <w:lang w:val="en-US" w:eastAsia="zh-CN"/>
                              </w:rPr>
                            </w:pPr>
                          </w:p>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宋体" w:hAnsi="宋体"/>
                                <w:b/>
                                <w:sz w:val="18"/>
                                <w:szCs w:val="18"/>
                                <w:lang w:val="en-US" w:eastAsia="zh-CN"/>
                              </w:rPr>
                            </w:pPr>
                          </w:p>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宋体" w:hAnsi="宋体"/>
                                <w:b/>
                                <w:sz w:val="18"/>
                                <w:szCs w:val="18"/>
                                <w:lang w:val="en-US" w:eastAsia="zh-CN"/>
                              </w:rPr>
                            </w:pPr>
                          </w:p>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宋体" w:hAnsi="宋体" w:eastAsia="宋体"/>
                                <w:b/>
                                <w:sz w:val="18"/>
                                <w:szCs w:val="18"/>
                                <w:lang w:val="en-US" w:eastAsia="zh-CN"/>
                              </w:rPr>
                            </w:pPr>
                            <w:r>
                              <w:rPr>
                                <w:rFonts w:hint="eastAsia" w:ascii="宋体" w:hAnsi="宋体"/>
                                <w:b/>
                                <w:sz w:val="18"/>
                                <w:szCs w:val="18"/>
                                <w:lang w:val="en-US" w:eastAsia="zh-CN"/>
                              </w:rPr>
                              <w:t xml:space="preserve">  周边居民及单位</w:t>
                            </w:r>
                          </w:p>
                        </w:txbxContent>
                      </wps:txbx>
                      <wps:bodyPr upright="1"/>
                    </wps:wsp>
                  </a:graphicData>
                </a:graphic>
              </wp:anchor>
            </w:drawing>
          </mc:Choice>
          <mc:Fallback>
            <w:pict>
              <v:shape id="_x0000_s1026" o:spid="_x0000_s1026" o:spt="202" type="#_x0000_t202" style="position:absolute;left:0pt;margin-left:586.55pt;margin-top:364.5pt;height:67.6pt;width:101.35pt;z-index:251674624;mso-width-relative:page;mso-height-relative:page;" fillcolor="#FFFFFF" filled="t" stroked="t" coordsize="21600,21600" o:gfxdata="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">
                <v:fill on="t" focussize="0,0"/>
                <v:stroke color="#000000" joinstyle="miter"/>
                <v:imagedata o:title=""/>
                <o:lock v:ext="edit" aspectratio="f"/>
                <v:textbox>
                  <w:txbxContent>
                    <w:p>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eastAsia" w:ascii="宋体" w:hAnsi="宋体"/>
                          <w:b/>
                          <w:color w:val="auto"/>
                          <w:sz w:val="18"/>
                          <w:szCs w:val="18"/>
                          <w:lang w:eastAsia="zh-CN"/>
                        </w:rPr>
                      </w:pPr>
                      <w:r>
                        <w:rPr>
                          <w:rFonts w:hint="eastAsia" w:ascii="宋体" w:hAnsi="宋体"/>
                          <w:b/>
                          <w:color w:val="auto"/>
                          <w:sz w:val="18"/>
                          <w:szCs w:val="18"/>
                          <w:lang w:eastAsia="zh-CN"/>
                        </w:rPr>
                        <w:t>图</w:t>
                      </w:r>
                      <w:r>
                        <w:rPr>
                          <w:rFonts w:hint="eastAsia" w:ascii="宋体" w:hAnsi="宋体"/>
                          <w:b/>
                          <w:color w:val="auto"/>
                          <w:sz w:val="18"/>
                          <w:szCs w:val="18"/>
                          <w:lang w:val="en-US" w:eastAsia="zh-CN"/>
                        </w:rPr>
                        <w:t xml:space="preserve">  </w:t>
                      </w:r>
                      <w:r>
                        <w:rPr>
                          <w:rFonts w:hint="eastAsia" w:ascii="宋体" w:hAnsi="宋体"/>
                          <w:b/>
                          <w:color w:val="auto"/>
                          <w:sz w:val="18"/>
                          <w:szCs w:val="18"/>
                          <w:lang w:eastAsia="zh-CN"/>
                        </w:rPr>
                        <w:t>例</w:t>
                      </w:r>
                    </w:p>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宋体" w:hAnsi="宋体"/>
                          <w:b/>
                          <w:sz w:val="18"/>
                          <w:szCs w:val="18"/>
                          <w:lang w:val="en-US" w:eastAsia="zh-CN"/>
                        </w:rPr>
                      </w:pPr>
                      <w:r>
                        <w:rPr>
                          <w:rFonts w:hint="eastAsia" w:ascii="宋体" w:hAnsi="宋体"/>
                          <w:b/>
                          <w:sz w:val="18"/>
                          <w:szCs w:val="18"/>
                          <w:lang w:val="en-US" w:eastAsia="zh-CN"/>
                        </w:rPr>
                        <w:t xml:space="preserve">  </w:t>
                      </w:r>
                    </w:p>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宋体" w:hAnsi="宋体"/>
                          <w:b/>
                          <w:sz w:val="18"/>
                          <w:szCs w:val="18"/>
                          <w:lang w:val="en-US" w:eastAsia="zh-CN"/>
                        </w:rPr>
                      </w:pPr>
                    </w:p>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宋体" w:hAnsi="宋体"/>
                          <w:b/>
                          <w:sz w:val="18"/>
                          <w:szCs w:val="18"/>
                          <w:lang w:val="en-US" w:eastAsia="zh-CN"/>
                        </w:rPr>
                      </w:pPr>
                    </w:p>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宋体" w:hAnsi="宋体"/>
                          <w:b/>
                          <w:sz w:val="18"/>
                          <w:szCs w:val="18"/>
                          <w:lang w:val="en-US" w:eastAsia="zh-CN"/>
                        </w:rPr>
                      </w:pPr>
                    </w:p>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宋体" w:hAnsi="宋体"/>
                          <w:b/>
                          <w:sz w:val="18"/>
                          <w:szCs w:val="18"/>
                          <w:lang w:val="en-US" w:eastAsia="zh-CN"/>
                        </w:rPr>
                      </w:pPr>
                    </w:p>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宋体" w:hAnsi="宋体" w:eastAsia="宋体"/>
                          <w:b/>
                          <w:sz w:val="18"/>
                          <w:szCs w:val="18"/>
                          <w:lang w:val="en-US" w:eastAsia="zh-CN"/>
                        </w:rPr>
                      </w:pPr>
                      <w:r>
                        <w:rPr>
                          <w:rFonts w:hint="eastAsia" w:ascii="宋体" w:hAnsi="宋体"/>
                          <w:b/>
                          <w:sz w:val="18"/>
                          <w:szCs w:val="18"/>
                          <w:lang w:val="en-US" w:eastAsia="zh-CN"/>
                        </w:rPr>
                        <w:t xml:space="preserve">  周边居民及单位</w:t>
                      </w:r>
                    </w:p>
                  </w:txbxContent>
                </v:textbox>
              </v:shape>
            </w:pict>
          </mc:Fallback>
        </mc:AlternateContent>
      </w:r>
      <w:r>
        <w:rPr>
          <w:sz w:val="24"/>
        </w:rPr>
        <mc:AlternateContent>
          <mc:Choice Requires="wps">
            <w:drawing>
              <wp:anchor distT="0" distB="0" distL="114300" distR="114300" simplePos="0" relativeHeight="251702272" behindDoc="0" locked="0" layoutInCell="1" allowOverlap="1">
                <wp:simplePos x="0" y="0"/>
                <wp:positionH relativeFrom="column">
                  <wp:posOffset>4369435</wp:posOffset>
                </wp:positionH>
                <wp:positionV relativeFrom="paragraph">
                  <wp:posOffset>3782695</wp:posOffset>
                </wp:positionV>
                <wp:extent cx="99695" cy="188595"/>
                <wp:effectExtent l="0" t="52070" r="0" b="57785"/>
                <wp:wrapNone/>
                <wp:docPr id="77" name="文本框 77"/>
                <wp:cNvGraphicFramePr/>
                <a:graphic xmlns:a="http://schemas.openxmlformats.org/drawingml/2006/main">
                  <a:graphicData uri="http://schemas.microsoft.com/office/word/2010/wordprocessingShape">
                    <wps:wsp>
                      <wps:cNvSpPr txBox="1"/>
                      <wps:spPr>
                        <a:xfrm rot="3480000">
                          <a:off x="0" y="0"/>
                          <a:ext cx="99695" cy="188595"/>
                        </a:xfrm>
                        <a:prstGeom prst="rect">
                          <a:avLst/>
                        </a:prstGeom>
                        <a:noFill/>
                        <a:ln w="15875">
                          <a:solidFill>
                            <a:srgbClr val="FFFF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4.05pt;margin-top:297.85pt;height:14.85pt;width:7.85pt;rotation:3801088f;z-index:251702272;mso-width-relative:page;mso-height-relative:page;" filled="f" stroked="t" coordsize="21600,21600" o:gfxdata="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">
                <v:fill on="f" focussize="0,0"/>
                <v:stroke weight="1.25pt" color="#FFFF00 [3204]" joinstyle="round"/>
                <v:imagedata o:title=""/>
                <o:lock v:ext="edit" aspectratio="f"/>
                <v:textbox>
                  <w:txbxContent>
                    <w:p/>
                  </w:txbxContent>
                </v:textbox>
              </v:shape>
            </w:pict>
          </mc:Fallback>
        </mc:AlternateContent>
      </w:r>
      <w:r>
        <w:rPr>
          <w:sz w:val="28"/>
        </w:rPr>
        <mc:AlternateContent>
          <mc:Choice Requires="wps">
            <w:drawing>
              <wp:anchor distT="0" distB="0" distL="114300" distR="114300" simplePos="0" relativeHeight="251701248" behindDoc="0" locked="0" layoutInCell="1" allowOverlap="1">
                <wp:simplePos x="0" y="0"/>
                <wp:positionH relativeFrom="column">
                  <wp:posOffset>2566035</wp:posOffset>
                </wp:positionH>
                <wp:positionV relativeFrom="paragraph">
                  <wp:posOffset>5527040</wp:posOffset>
                </wp:positionV>
                <wp:extent cx="4229100" cy="304800"/>
                <wp:effectExtent l="0" t="0" r="0" b="0"/>
                <wp:wrapNone/>
                <wp:docPr id="76" name="文本框 76"/>
                <wp:cNvGraphicFramePr/>
                <a:graphic xmlns:a="http://schemas.openxmlformats.org/drawingml/2006/main">
                  <a:graphicData uri="http://schemas.microsoft.com/office/word/2010/wordprocessingShape">
                    <wps:wsp>
                      <wps:cNvSpPr txBox="1"/>
                      <wps:spPr>
                        <a:xfrm>
                          <a:off x="3646170" y="6427470"/>
                          <a:ext cx="422910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9"/>
                              <w:adjustRightInd w:val="0"/>
                              <w:snapToGrid w:val="0"/>
                              <w:spacing w:before="0" w:beforeAutospacing="0" w:after="0" w:afterAutospacing="0"/>
                              <w:jc w:val="center"/>
                              <w:rPr>
                                <w:rFonts w:hint="default"/>
                                <w:b/>
                                <w:color w:val="000000"/>
                                <w:sz w:val="21"/>
                                <w:szCs w:val="21"/>
                                <w:highlight w:val="none"/>
                                <w:lang w:val="en-US" w:eastAsia="zh-CN"/>
                              </w:rPr>
                            </w:pPr>
                            <w:r>
                              <w:rPr>
                                <w:rFonts w:hint="eastAsia"/>
                                <w:b/>
                                <w:color w:val="000000"/>
                                <w:sz w:val="21"/>
                                <w:szCs w:val="21"/>
                                <w:highlight w:val="none"/>
                                <w:lang w:val="en-US" w:eastAsia="zh-CN"/>
                              </w:rPr>
                              <w:t>附图</w:t>
                            </w:r>
                            <w:r>
                              <w:rPr>
                                <w:rFonts w:hint="eastAsia" w:ascii="Times New Roman" w:hAnsi="Times New Roman" w:cs="Times New Roman"/>
                                <w:b/>
                                <w:color w:val="000000"/>
                                <w:sz w:val="21"/>
                                <w:szCs w:val="21"/>
                                <w:highlight w:val="none"/>
                                <w:lang w:val="en-US" w:eastAsia="zh-CN"/>
                              </w:rPr>
                              <w:t>4</w:t>
                            </w:r>
                            <w:r>
                              <w:rPr>
                                <w:rFonts w:hint="eastAsia"/>
                                <w:b/>
                                <w:color w:val="000000"/>
                                <w:sz w:val="21"/>
                                <w:szCs w:val="21"/>
                                <w:highlight w:val="none"/>
                                <w:lang w:val="en-US" w:eastAsia="zh-CN"/>
                              </w:rPr>
                              <w:t xml:space="preserve">   项目企业周边关系图</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2.05pt;margin-top:435.2pt;height:24pt;width:333pt;z-index:251701248;mso-width-relative:page;mso-height-relative:page;" filled="f" stroked="f" coordsize="21600,21600" o:gfxdata="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">
                <v:fill on="f" focussize="0,0"/>
                <v:stroke on="f" weight="0.5pt"/>
                <v:imagedata o:title=""/>
                <o:lock v:ext="edit" aspectratio="f"/>
                <v:textbox>
                  <w:txbxContent>
                    <w:p>
                      <w:pPr>
                        <w:pStyle w:val="29"/>
                        <w:adjustRightInd w:val="0"/>
                        <w:snapToGrid w:val="0"/>
                        <w:spacing w:before="0" w:beforeAutospacing="0" w:after="0" w:afterAutospacing="0"/>
                        <w:jc w:val="center"/>
                        <w:rPr>
                          <w:rFonts w:hint="default"/>
                          <w:b/>
                          <w:color w:val="000000"/>
                          <w:sz w:val="21"/>
                          <w:szCs w:val="21"/>
                          <w:highlight w:val="none"/>
                          <w:lang w:val="en-US" w:eastAsia="zh-CN"/>
                        </w:rPr>
                      </w:pPr>
                      <w:r>
                        <w:rPr>
                          <w:rFonts w:hint="eastAsia"/>
                          <w:b/>
                          <w:color w:val="000000"/>
                          <w:sz w:val="21"/>
                          <w:szCs w:val="21"/>
                          <w:highlight w:val="none"/>
                          <w:lang w:val="en-US" w:eastAsia="zh-CN"/>
                        </w:rPr>
                        <w:t>附图</w:t>
                      </w:r>
                      <w:r>
                        <w:rPr>
                          <w:rFonts w:hint="eastAsia" w:ascii="Times New Roman" w:hAnsi="Times New Roman" w:cs="Times New Roman"/>
                          <w:b/>
                          <w:color w:val="000000"/>
                          <w:sz w:val="21"/>
                          <w:szCs w:val="21"/>
                          <w:highlight w:val="none"/>
                          <w:lang w:val="en-US" w:eastAsia="zh-CN"/>
                        </w:rPr>
                        <w:t>4</w:t>
                      </w:r>
                      <w:r>
                        <w:rPr>
                          <w:rFonts w:hint="eastAsia"/>
                          <w:b/>
                          <w:color w:val="000000"/>
                          <w:sz w:val="21"/>
                          <w:szCs w:val="21"/>
                          <w:highlight w:val="none"/>
                          <w:lang w:val="en-US" w:eastAsia="zh-CN"/>
                        </w:rPr>
                        <w:t xml:space="preserve">   项目企业周边关系图</w:t>
                      </w:r>
                    </w:p>
                    <w:p/>
                  </w:txbxContent>
                </v:textbox>
              </v:shape>
            </w:pict>
          </mc:Fallback>
        </mc:AlternateContent>
      </w:r>
      <w:r>
        <w:rPr>
          <w:sz w:val="28"/>
        </w:rPr>
        <mc:AlternateContent>
          <mc:Choice Requires="wps">
            <w:drawing>
              <wp:anchor distT="0" distB="0" distL="114300" distR="114300" simplePos="0" relativeHeight="251699200" behindDoc="0" locked="0" layoutInCell="1" allowOverlap="1">
                <wp:simplePos x="0" y="0"/>
                <wp:positionH relativeFrom="column">
                  <wp:posOffset>5852795</wp:posOffset>
                </wp:positionH>
                <wp:positionV relativeFrom="paragraph">
                  <wp:posOffset>3104515</wp:posOffset>
                </wp:positionV>
                <wp:extent cx="1054100" cy="371475"/>
                <wp:effectExtent l="0" t="0" r="0" b="0"/>
                <wp:wrapNone/>
                <wp:docPr id="58" name="文本框 58"/>
                <wp:cNvGraphicFramePr/>
                <a:graphic xmlns:a="http://schemas.openxmlformats.org/drawingml/2006/main">
                  <a:graphicData uri="http://schemas.microsoft.com/office/word/2010/wordprocessingShape">
                    <wps:wsp>
                      <wps:cNvSpPr txBox="1"/>
                      <wps:spPr>
                        <a:xfrm rot="19860000">
                          <a:off x="0" y="0"/>
                          <a:ext cx="1054100" cy="371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b/>
                                <w:bCs/>
                                <w:color w:val="FF0000"/>
                                <w:sz w:val="21"/>
                                <w:szCs w:val="21"/>
                                <w:highlight w:val="yellow"/>
                                <w:lang w:eastAsia="zh-CN"/>
                              </w:rPr>
                            </w:pPr>
                            <w:r>
                              <w:rPr>
                                <w:rFonts w:hint="eastAsia"/>
                                <w:b/>
                                <w:bCs/>
                                <w:color w:val="FF0000"/>
                                <w:sz w:val="21"/>
                                <w:szCs w:val="21"/>
                                <w:highlight w:val="yellow"/>
                                <w:lang w:eastAsia="zh-CN"/>
                              </w:rPr>
                              <w:t>正蓝旗检察院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0.85pt;margin-top:244.45pt;height:29.25pt;width:83pt;rotation:-1900544f;z-index:251699200;mso-width-relative:page;mso-height-relative:page;" filled="f" stroked="f" coordsize="21600,21600" o:gfxdata="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b/>
                          <w:bCs/>
                          <w:color w:val="FF0000"/>
                          <w:sz w:val="21"/>
                          <w:szCs w:val="21"/>
                          <w:highlight w:val="yellow"/>
                          <w:lang w:eastAsia="zh-CN"/>
                        </w:rPr>
                      </w:pPr>
                      <w:r>
                        <w:rPr>
                          <w:rFonts w:hint="eastAsia"/>
                          <w:b/>
                          <w:bCs/>
                          <w:color w:val="FF0000"/>
                          <w:sz w:val="21"/>
                          <w:szCs w:val="21"/>
                          <w:highlight w:val="yellow"/>
                          <w:lang w:eastAsia="zh-CN"/>
                        </w:rPr>
                        <w:t>正蓝旗检察院</w:t>
                      </w:r>
                    </w:p>
                  </w:txbxContent>
                </v:textbox>
              </v:shape>
            </w:pict>
          </mc:Fallback>
        </mc:AlternateContent>
      </w:r>
      <w:r>
        <w:rPr>
          <w:sz w:val="28"/>
        </w:rPr>
        <mc:AlternateContent>
          <mc:Choice Requires="wps">
            <w:drawing>
              <wp:anchor distT="0" distB="0" distL="114300" distR="114300" simplePos="0" relativeHeight="251700224" behindDoc="0" locked="0" layoutInCell="1" allowOverlap="1">
                <wp:simplePos x="0" y="0"/>
                <wp:positionH relativeFrom="column">
                  <wp:posOffset>3642360</wp:posOffset>
                </wp:positionH>
                <wp:positionV relativeFrom="paragraph">
                  <wp:posOffset>3818255</wp:posOffset>
                </wp:positionV>
                <wp:extent cx="895985" cy="371475"/>
                <wp:effectExtent l="262255" t="0" r="0" b="0"/>
                <wp:wrapNone/>
                <wp:docPr id="59" name="文本框 59"/>
                <wp:cNvGraphicFramePr/>
                <a:graphic xmlns:a="http://schemas.openxmlformats.org/drawingml/2006/main">
                  <a:graphicData uri="http://schemas.microsoft.com/office/word/2010/wordprocessingShape">
                    <wps:wsp>
                      <wps:cNvSpPr txBox="1"/>
                      <wps:spPr>
                        <a:xfrm rot="3000000">
                          <a:off x="0" y="0"/>
                          <a:ext cx="895985" cy="371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b/>
                                <w:bCs/>
                                <w:color w:val="0D0D0D" w:themeColor="text1" w:themeTint="F2"/>
                                <w:sz w:val="21"/>
                                <w:szCs w:val="21"/>
                                <w:highlight w:val="yellow"/>
                                <w:lang w:eastAsia="zh-CN"/>
                                <w14:textFill>
                                  <w14:solidFill>
                                    <w14:schemeClr w14:val="tx1">
                                      <w14:lumMod w14:val="95000"/>
                                      <w14:lumOff w14:val="5000"/>
                                    </w14:schemeClr>
                                  </w14:solidFill>
                                </w14:textFill>
                              </w:rPr>
                            </w:pPr>
                            <w:r>
                              <w:rPr>
                                <w:rFonts w:hint="eastAsia"/>
                                <w:b/>
                                <w:bCs/>
                                <w:color w:val="0D0D0D" w:themeColor="text1" w:themeTint="F2"/>
                                <w:sz w:val="21"/>
                                <w:szCs w:val="21"/>
                                <w:highlight w:val="yellow"/>
                                <w:lang w:eastAsia="zh-CN"/>
                                <w14:textFill>
                                  <w14:solidFill>
                                    <w14:schemeClr w14:val="tx1">
                                      <w14:lumMod w14:val="95000"/>
                                      <w14:lumOff w14:val="5000"/>
                                    </w14:schemeClr>
                                  </w14:solidFill>
                                </w14:textFill>
                              </w:rPr>
                              <w:t>金莲花酒店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6.8pt;margin-top:300.65pt;height:29.25pt;width:70.55pt;rotation:3276800f;z-index:251700224;mso-width-relative:page;mso-height-relative:page;" filled="f" stroked="f" coordsize="21600,21600" o:gfxdata="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b/>
                          <w:bCs/>
                          <w:color w:val="0D0D0D" w:themeColor="text1" w:themeTint="F2"/>
                          <w:sz w:val="21"/>
                          <w:szCs w:val="21"/>
                          <w:highlight w:val="yellow"/>
                          <w:lang w:eastAsia="zh-CN"/>
                          <w14:textFill>
                            <w14:solidFill>
                              <w14:schemeClr w14:val="tx1">
                                <w14:lumMod w14:val="95000"/>
                                <w14:lumOff w14:val="5000"/>
                              </w14:schemeClr>
                            </w14:solidFill>
                          </w14:textFill>
                        </w:rPr>
                      </w:pPr>
                      <w:r>
                        <w:rPr>
                          <w:rFonts w:hint="eastAsia"/>
                          <w:b/>
                          <w:bCs/>
                          <w:color w:val="0D0D0D" w:themeColor="text1" w:themeTint="F2"/>
                          <w:sz w:val="21"/>
                          <w:szCs w:val="21"/>
                          <w:highlight w:val="yellow"/>
                          <w:lang w:eastAsia="zh-CN"/>
                          <w14:textFill>
                            <w14:solidFill>
                              <w14:schemeClr w14:val="tx1">
                                <w14:lumMod w14:val="95000"/>
                                <w14:lumOff w14:val="5000"/>
                              </w14:schemeClr>
                            </w14:solidFill>
                          </w14:textFill>
                        </w:rPr>
                        <w:t>金莲花酒店</w:t>
                      </w:r>
                    </w:p>
                  </w:txbxContent>
                </v:textbox>
              </v:shape>
            </w:pict>
          </mc:Fallback>
        </mc:AlternateContent>
      </w:r>
      <w:r>
        <w:rPr>
          <w:sz w:val="28"/>
        </w:rPr>
        <mc:AlternateContent>
          <mc:Choice Requires="wps">
            <w:drawing>
              <wp:anchor distT="0" distB="0" distL="114300" distR="114300" simplePos="0" relativeHeight="251698176" behindDoc="0" locked="0" layoutInCell="1" allowOverlap="1">
                <wp:simplePos x="0" y="0"/>
                <wp:positionH relativeFrom="column">
                  <wp:posOffset>4175760</wp:posOffset>
                </wp:positionH>
                <wp:positionV relativeFrom="paragraph">
                  <wp:posOffset>2332355</wp:posOffset>
                </wp:positionV>
                <wp:extent cx="895985" cy="371475"/>
                <wp:effectExtent l="0" t="0" r="0" b="0"/>
                <wp:wrapNone/>
                <wp:docPr id="57" name="文本框 57"/>
                <wp:cNvGraphicFramePr/>
                <a:graphic xmlns:a="http://schemas.openxmlformats.org/drawingml/2006/main">
                  <a:graphicData uri="http://schemas.microsoft.com/office/word/2010/wordprocessingShape">
                    <wps:wsp>
                      <wps:cNvSpPr txBox="1"/>
                      <wps:spPr>
                        <a:xfrm rot="20160000">
                          <a:off x="5122545" y="2766060"/>
                          <a:ext cx="895985" cy="371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b/>
                                <w:bCs/>
                                <w:color w:val="FF0000"/>
                                <w:sz w:val="21"/>
                                <w:szCs w:val="21"/>
                                <w:lang w:eastAsia="zh-CN"/>
                              </w:rPr>
                            </w:pPr>
                            <w:r>
                              <w:rPr>
                                <w:rFonts w:hint="eastAsia"/>
                                <w:b/>
                                <w:bCs/>
                                <w:color w:val="FF0000"/>
                                <w:sz w:val="21"/>
                                <w:szCs w:val="21"/>
                                <w:highlight w:val="yellow"/>
                                <w:lang w:eastAsia="zh-CN"/>
                              </w:rPr>
                              <w:t>喜上园小区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8.8pt;margin-top:183.65pt;height:29.25pt;width:70.55pt;rotation:-1572864f;z-index:251698176;mso-width-relative:page;mso-height-relative:page;" filled="f" stroked="f" coordsize="21600,21600" o:gfxdata="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b/>
                          <w:bCs/>
                          <w:color w:val="FF0000"/>
                          <w:sz w:val="21"/>
                          <w:szCs w:val="21"/>
                          <w:lang w:eastAsia="zh-CN"/>
                        </w:rPr>
                      </w:pPr>
                      <w:r>
                        <w:rPr>
                          <w:rFonts w:hint="eastAsia"/>
                          <w:b/>
                          <w:bCs/>
                          <w:color w:val="FF0000"/>
                          <w:sz w:val="21"/>
                          <w:szCs w:val="21"/>
                          <w:highlight w:val="yellow"/>
                          <w:lang w:eastAsia="zh-CN"/>
                        </w:rPr>
                        <w:t>喜上园小区</w:t>
                      </w:r>
                    </w:p>
                  </w:txbxContent>
                </v:textbox>
              </v:shape>
            </w:pict>
          </mc:Fallback>
        </mc:AlternateContent>
      </w:r>
      <w:r>
        <w:rPr>
          <w:rFonts w:ascii="Times New Roman" w:hAnsi="Times New Roman" w:cs="Times New Roman"/>
          <w:color w:val="auto"/>
          <w:kern w:val="2"/>
          <w:u w:val="none" w:color="000000"/>
        </w:rPr>
        <w:drawing>
          <wp:anchor distT="0" distB="0" distL="114300" distR="114300" simplePos="0" relativeHeight="251673600" behindDoc="0" locked="0" layoutInCell="1" allowOverlap="1">
            <wp:simplePos x="0" y="0"/>
            <wp:positionH relativeFrom="column">
              <wp:posOffset>-1905</wp:posOffset>
            </wp:positionH>
            <wp:positionV relativeFrom="page">
              <wp:posOffset>893445</wp:posOffset>
            </wp:positionV>
            <wp:extent cx="712470" cy="703580"/>
            <wp:effectExtent l="0" t="0" r="11430" b="1270"/>
            <wp:wrapNone/>
            <wp:docPr id="60"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89"/>
                    <pic:cNvPicPr>
                      <a:picLocks noChangeAspect="1"/>
                    </pic:cNvPicPr>
                  </pic:nvPicPr>
                  <pic:blipFill>
                    <a:blip r:embed="rId17"/>
                    <a:srcRect t="9791" b="7525"/>
                    <a:stretch>
                      <a:fillRect/>
                    </a:stretch>
                  </pic:blipFill>
                  <pic:spPr>
                    <a:xfrm>
                      <a:off x="0" y="0"/>
                      <a:ext cx="712470" cy="703580"/>
                    </a:xfrm>
                    <a:prstGeom prst="rect">
                      <a:avLst/>
                    </a:prstGeom>
                    <a:noFill/>
                    <a:ln>
                      <a:noFill/>
                    </a:ln>
                  </pic:spPr>
                </pic:pic>
              </a:graphicData>
            </a:graphic>
          </wp:anchor>
        </w:drawing>
      </w:r>
      <w:r>
        <w:drawing>
          <wp:inline distT="0" distB="0" distL="114300" distR="114300">
            <wp:extent cx="8702675" cy="5497830"/>
            <wp:effectExtent l="0" t="0" r="3175" b="7620"/>
            <wp:docPr id="5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1"/>
                    <pic:cNvPicPr>
                      <a:picLocks noChangeAspect="1"/>
                    </pic:cNvPicPr>
                  </pic:nvPicPr>
                  <pic:blipFill>
                    <a:blip r:embed="rId24"/>
                    <a:stretch>
                      <a:fillRect/>
                    </a:stretch>
                  </pic:blipFill>
                  <pic:spPr>
                    <a:xfrm>
                      <a:off x="0" y="0"/>
                      <a:ext cx="8702675" cy="5497830"/>
                    </a:xfrm>
                    <a:prstGeom prst="rect">
                      <a:avLst/>
                    </a:prstGeom>
                    <a:noFill/>
                    <a:ln>
                      <a:noFill/>
                    </a:ln>
                  </pic:spPr>
                </pic:pic>
              </a:graphicData>
            </a:graphic>
          </wp:inline>
        </w:drawing>
      </w:r>
    </w:p>
    <w:p>
      <w:pPr>
        <w:pStyle w:val="29"/>
        <w:keepNext w:val="0"/>
        <w:keepLines w:val="0"/>
        <w:pageBreakBefore w:val="0"/>
        <w:widowControl/>
        <w:kinsoku/>
        <w:wordWrap/>
        <w:overflowPunct/>
        <w:topLinePunct w:val="0"/>
        <w:autoSpaceDE/>
        <w:autoSpaceDN/>
        <w:bidi w:val="0"/>
        <w:adjustRightInd w:val="0"/>
        <w:snapToGrid w:val="0"/>
        <w:spacing w:before="79" w:beforeLines="25" w:beforeAutospacing="0" w:after="0" w:afterAutospacing="0" w:line="480" w:lineRule="exact"/>
        <w:jc w:val="center"/>
        <w:textAlignment w:val="auto"/>
        <w:rPr>
          <w:rFonts w:hint="eastAsia"/>
          <w:b/>
          <w:color w:val="000000"/>
          <w:sz w:val="24"/>
          <w:szCs w:val="24"/>
          <w:highlight w:val="none"/>
          <w:lang w:val="en-US" w:eastAsia="zh-CN"/>
        </w:rPr>
        <w:sectPr>
          <w:pgSz w:w="16838" w:h="11906" w:orient="landscape"/>
          <w:pgMar w:top="1418" w:right="1418" w:bottom="1418" w:left="170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26"/>
        <w:keepNext w:val="0"/>
        <w:keepLines w:val="0"/>
        <w:pageBreakBefore w:val="0"/>
        <w:widowControl w:val="0"/>
        <w:kinsoku/>
        <w:wordWrap/>
        <w:overflowPunct/>
        <w:topLinePunct w:val="0"/>
        <w:autoSpaceDE w:val="0"/>
        <w:autoSpaceDN w:val="0"/>
        <w:bidi w:val="0"/>
        <w:adjustRightInd w:val="0"/>
        <w:snapToGrid w:val="0"/>
        <w:textAlignment w:val="auto"/>
        <w:rPr>
          <w:rFonts w:hint="default"/>
          <w:lang w:val="en-US" w:eastAsia="zh-CN"/>
        </w:rPr>
      </w:pPr>
      <w:r>
        <w:rPr>
          <w:sz w:val="28"/>
        </w:rPr>
        <mc:AlternateContent>
          <mc:Choice Requires="wps">
            <w:drawing>
              <wp:anchor distT="0" distB="0" distL="114300" distR="114300" simplePos="0" relativeHeight="251718656" behindDoc="0" locked="0" layoutInCell="1" allowOverlap="1">
                <wp:simplePos x="0" y="0"/>
                <wp:positionH relativeFrom="column">
                  <wp:posOffset>3696970</wp:posOffset>
                </wp:positionH>
                <wp:positionV relativeFrom="paragraph">
                  <wp:posOffset>2571115</wp:posOffset>
                </wp:positionV>
                <wp:extent cx="1003935" cy="328930"/>
                <wp:effectExtent l="337820" t="0" r="0" b="0"/>
                <wp:wrapNone/>
                <wp:docPr id="22" name="文本框 22"/>
                <wp:cNvGraphicFramePr/>
                <a:graphic xmlns:a="http://schemas.openxmlformats.org/drawingml/2006/main">
                  <a:graphicData uri="http://schemas.microsoft.com/office/word/2010/wordprocessingShape">
                    <wps:wsp>
                      <wps:cNvSpPr txBox="1"/>
                      <wps:spPr>
                        <a:xfrm rot="3600000">
                          <a:off x="0" y="0"/>
                          <a:ext cx="1003935" cy="3289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金莲花酒店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1.1pt;margin-top:202.45pt;height:25.9pt;width:79.05pt;rotation:3932160f;z-index:251718656;mso-width-relative:page;mso-height-relative:page;" filled="f" stroked="f" coordsize="21600,21600" o:gfxdata="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金莲花酒店</w:t>
                      </w:r>
                    </w:p>
                  </w:txbxContent>
                </v:textbox>
              </v:shape>
            </w:pict>
          </mc:Fallback>
        </mc:AlternateContent>
      </w:r>
      <w:r>
        <w:rPr>
          <w:sz w:val="28"/>
        </w:rPr>
        <mc:AlternateContent>
          <mc:Choice Requires="wps">
            <w:drawing>
              <wp:anchor distT="0" distB="0" distL="114300" distR="114300" simplePos="0" relativeHeight="251715584" behindDoc="0" locked="0" layoutInCell="1" allowOverlap="1">
                <wp:simplePos x="0" y="0"/>
                <wp:positionH relativeFrom="column">
                  <wp:posOffset>4213225</wp:posOffset>
                </wp:positionH>
                <wp:positionV relativeFrom="paragraph">
                  <wp:posOffset>2381885</wp:posOffset>
                </wp:positionV>
                <wp:extent cx="544830" cy="25146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54483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Times New Roman" w:hAnsi="Times New Roman" w:eastAsia="方正黑体简体" w:cs="Times New Roman"/>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方正黑体简体" w:cs="Times New Roman"/>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1.75pt;margin-top:187.55pt;height:19.8pt;width:42.9pt;z-index:251715584;mso-width-relative:page;mso-height-relative:page;" filled="f" stroked="f" coordsize="21600,21600" o:gfxdata="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Times New Roman" w:hAnsi="Times New Roman" w:eastAsia="方正黑体简体" w:cs="Times New Roman"/>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方正黑体简体" w:cs="Times New Roman"/>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50m</w:t>
                      </w:r>
                    </w:p>
                  </w:txbxContent>
                </v:textbox>
              </v:shape>
            </w:pict>
          </mc:Fallback>
        </mc:AlternateContent>
      </w:r>
      <w:r>
        <w:rPr>
          <w:sz w:val="28"/>
        </w:rPr>
        <mc:AlternateContent>
          <mc:Choice Requires="wps">
            <w:drawing>
              <wp:anchor distT="0" distB="0" distL="114300" distR="114300" simplePos="0" relativeHeight="251714560" behindDoc="0" locked="0" layoutInCell="1" allowOverlap="1">
                <wp:simplePos x="0" y="0"/>
                <wp:positionH relativeFrom="column">
                  <wp:posOffset>3070225</wp:posOffset>
                </wp:positionH>
                <wp:positionV relativeFrom="paragraph">
                  <wp:posOffset>2686685</wp:posOffset>
                </wp:positionV>
                <wp:extent cx="544830" cy="251460"/>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54483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Times New Roman" w:hAnsi="Times New Roman" w:eastAsia="方正黑体简体" w:cs="Times New Roman"/>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方正黑体简体" w:cs="Times New Roman"/>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1.75pt;margin-top:211.55pt;height:19.8pt;width:42.9pt;z-index:251714560;mso-width-relative:page;mso-height-relative:page;" filled="f" stroked="f" coordsize="21600,21600" o:gfxdata="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Times New Roman" w:hAnsi="Times New Roman" w:eastAsia="方正黑体简体" w:cs="Times New Roman"/>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方正黑体简体" w:cs="Times New Roman"/>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500m</w:t>
                      </w:r>
                    </w:p>
                  </w:txbxContent>
                </v:textbox>
              </v:shape>
            </w:pict>
          </mc:Fallback>
        </mc:AlternateContent>
      </w:r>
      <w:r>
        <w:drawing>
          <wp:inline distT="0" distB="0" distL="114300" distR="114300">
            <wp:extent cx="8705850" cy="5636895"/>
            <wp:effectExtent l="0" t="0" r="0" b="1905"/>
            <wp:docPr id="8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2"/>
                    <pic:cNvPicPr>
                      <a:picLocks noChangeAspect="1"/>
                    </pic:cNvPicPr>
                  </pic:nvPicPr>
                  <pic:blipFill>
                    <a:blip r:embed="rId25"/>
                    <a:stretch>
                      <a:fillRect/>
                    </a:stretch>
                  </pic:blipFill>
                  <pic:spPr>
                    <a:xfrm>
                      <a:off x="0" y="0"/>
                      <a:ext cx="8705850" cy="5636895"/>
                    </a:xfrm>
                    <a:prstGeom prst="rect">
                      <a:avLst/>
                    </a:prstGeom>
                    <a:noFill/>
                    <a:ln>
                      <a:noFill/>
                    </a:ln>
                  </pic:spPr>
                </pic:pic>
              </a:graphicData>
            </a:graphic>
          </wp:inline>
        </w:drawing>
      </w:r>
      <w:r>
        <w:rPr>
          <w:sz w:val="28"/>
        </w:rPr>
        <mc:AlternateContent>
          <mc:Choice Requires="wps">
            <w:drawing>
              <wp:anchor distT="0" distB="0" distL="114300" distR="114300" simplePos="0" relativeHeight="251713536" behindDoc="0" locked="0" layoutInCell="1" allowOverlap="1">
                <wp:simplePos x="0" y="0"/>
                <wp:positionH relativeFrom="column">
                  <wp:posOffset>4261485</wp:posOffset>
                </wp:positionH>
                <wp:positionV relativeFrom="paragraph">
                  <wp:posOffset>2515235</wp:posOffset>
                </wp:positionV>
                <wp:extent cx="114300" cy="152400"/>
                <wp:effectExtent l="6350" t="5080" r="12700" b="13970"/>
                <wp:wrapNone/>
                <wp:docPr id="91" name="直接箭头连接符 91"/>
                <wp:cNvGraphicFramePr/>
                <a:graphic xmlns:a="http://schemas.openxmlformats.org/drawingml/2006/main">
                  <a:graphicData uri="http://schemas.microsoft.com/office/word/2010/wordprocessingShape">
                    <wps:wsp>
                      <wps:cNvCnPr/>
                      <wps:spPr>
                        <a:xfrm>
                          <a:off x="5351145" y="3405505"/>
                          <a:ext cx="114300" cy="152400"/>
                        </a:xfrm>
                        <a:prstGeom prst="straightConnector1">
                          <a:avLst/>
                        </a:prstGeom>
                        <a:ln w="15875">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35.55pt;margin-top:198.05pt;height:12pt;width:9pt;z-index:251713536;mso-width-relative:page;mso-height-relative:page;" filled="f" stroked="t" coordsize="21600,21600" o:gfxdata="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">
                <v:fill on="f" focussize="0,0"/>
                <v:stroke weight="1.25pt" color="#FF0000 [3204]" joinstyle="round" endarrow="open"/>
                <v:imagedata o:title=""/>
                <o:lock v:ext="edit" aspectratio="f"/>
              </v:shape>
            </w:pict>
          </mc:Fallback>
        </mc:AlternateContent>
      </w:r>
      <w:r>
        <w:rPr>
          <w:sz w:val="28"/>
        </w:rPr>
        <mc:AlternateContent>
          <mc:Choice Requires="wps">
            <w:drawing>
              <wp:anchor distT="0" distB="0" distL="114300" distR="114300" simplePos="0" relativeHeight="251712512" behindDoc="0" locked="0" layoutInCell="1" allowOverlap="1">
                <wp:simplePos x="0" y="0"/>
                <wp:positionH relativeFrom="column">
                  <wp:posOffset>2556510</wp:posOffset>
                </wp:positionH>
                <wp:positionV relativeFrom="paragraph">
                  <wp:posOffset>2524760</wp:posOffset>
                </wp:positionV>
                <wp:extent cx="1685925" cy="733425"/>
                <wp:effectExtent l="0" t="6985" r="9525" b="21590"/>
                <wp:wrapNone/>
                <wp:docPr id="90" name="直接箭头连接符 90"/>
                <wp:cNvGraphicFramePr/>
                <a:graphic xmlns:a="http://schemas.openxmlformats.org/drawingml/2006/main">
                  <a:graphicData uri="http://schemas.microsoft.com/office/word/2010/wordprocessingShape">
                    <wps:wsp>
                      <wps:cNvCnPr/>
                      <wps:spPr>
                        <a:xfrm flipH="1">
                          <a:off x="3636645" y="3424555"/>
                          <a:ext cx="1685925" cy="733425"/>
                        </a:xfrm>
                        <a:prstGeom prst="straightConnector1">
                          <a:avLst/>
                        </a:prstGeom>
                        <a:ln w="15875">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01.3pt;margin-top:198.8pt;height:57.75pt;width:132.75pt;z-index:251712512;mso-width-relative:page;mso-height-relative:page;" filled="f" stroked="t" coordsize="21600,21600" o:gfxdata="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">
                <v:fill on="f" focussize="0,0"/>
                <v:stroke weight="1.25pt" color="#FF0000 [3204]" joinstyle="round" endarrow="open"/>
                <v:imagedata o:title=""/>
                <o:lock v:ext="edit" aspectratio="f"/>
              </v:shape>
            </w:pict>
          </mc:Fallback>
        </mc:AlternateContent>
      </w:r>
      <w:r>
        <w:rPr>
          <w:sz w:val="28"/>
        </w:rPr>
        <mc:AlternateContent>
          <mc:Choice Requires="wps">
            <w:drawing>
              <wp:anchor distT="0" distB="0" distL="114300" distR="114300" simplePos="0" relativeHeight="251711488" behindDoc="0" locked="0" layoutInCell="1" allowOverlap="1">
                <wp:simplePos x="0" y="0"/>
                <wp:positionH relativeFrom="column">
                  <wp:posOffset>2537460</wp:posOffset>
                </wp:positionH>
                <wp:positionV relativeFrom="paragraph">
                  <wp:posOffset>5641975</wp:posOffset>
                </wp:positionV>
                <wp:extent cx="4229100" cy="30480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422910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9"/>
                              <w:adjustRightInd w:val="0"/>
                              <w:snapToGrid w:val="0"/>
                              <w:spacing w:before="0" w:beforeAutospacing="0" w:after="0" w:afterAutospacing="0"/>
                              <w:jc w:val="center"/>
                              <w:rPr>
                                <w:rFonts w:hint="default"/>
                                <w:b/>
                                <w:color w:val="000000"/>
                                <w:sz w:val="21"/>
                                <w:szCs w:val="21"/>
                                <w:highlight w:val="none"/>
                                <w:lang w:val="en-US" w:eastAsia="zh-CN"/>
                              </w:rPr>
                            </w:pPr>
                            <w:r>
                              <w:rPr>
                                <w:rFonts w:hint="eastAsia"/>
                                <w:b/>
                                <w:color w:val="000000"/>
                                <w:sz w:val="21"/>
                                <w:szCs w:val="21"/>
                                <w:highlight w:val="none"/>
                                <w:lang w:val="en-US" w:eastAsia="zh-CN"/>
                              </w:rPr>
                              <w:t>附图</w:t>
                            </w:r>
                            <w:r>
                              <w:rPr>
                                <w:rFonts w:hint="eastAsia" w:ascii="Times New Roman" w:hAnsi="Times New Roman" w:cs="Times New Roman"/>
                                <w:b/>
                                <w:color w:val="000000"/>
                                <w:sz w:val="21"/>
                                <w:szCs w:val="21"/>
                                <w:highlight w:val="none"/>
                                <w:lang w:val="en-US" w:eastAsia="zh-CN"/>
                              </w:rPr>
                              <w:t>5</w:t>
                            </w:r>
                            <w:r>
                              <w:rPr>
                                <w:rFonts w:hint="eastAsia"/>
                                <w:b/>
                                <w:color w:val="000000"/>
                                <w:sz w:val="21"/>
                                <w:szCs w:val="21"/>
                                <w:highlight w:val="none"/>
                                <w:lang w:val="en-US" w:eastAsia="zh-CN"/>
                              </w:rPr>
                              <w:t xml:space="preserve">   项目评价范围及敏感目标图</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9.8pt;margin-top:444.25pt;height:24pt;width:333pt;z-index:251711488;mso-width-relative:page;mso-height-relative:page;" filled="f" stroked="f" coordsize="21600,21600" o:gfxdata="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">
                <v:fill on="f" focussize="0,0"/>
                <v:stroke on="f" weight="0.5pt"/>
                <v:imagedata o:title=""/>
                <o:lock v:ext="edit" aspectratio="f"/>
                <v:textbox>
                  <w:txbxContent>
                    <w:p>
                      <w:pPr>
                        <w:pStyle w:val="29"/>
                        <w:adjustRightInd w:val="0"/>
                        <w:snapToGrid w:val="0"/>
                        <w:spacing w:before="0" w:beforeAutospacing="0" w:after="0" w:afterAutospacing="0"/>
                        <w:jc w:val="center"/>
                        <w:rPr>
                          <w:rFonts w:hint="default"/>
                          <w:b/>
                          <w:color w:val="000000"/>
                          <w:sz w:val="21"/>
                          <w:szCs w:val="21"/>
                          <w:highlight w:val="none"/>
                          <w:lang w:val="en-US" w:eastAsia="zh-CN"/>
                        </w:rPr>
                      </w:pPr>
                      <w:r>
                        <w:rPr>
                          <w:rFonts w:hint="eastAsia"/>
                          <w:b/>
                          <w:color w:val="000000"/>
                          <w:sz w:val="21"/>
                          <w:szCs w:val="21"/>
                          <w:highlight w:val="none"/>
                          <w:lang w:val="en-US" w:eastAsia="zh-CN"/>
                        </w:rPr>
                        <w:t>附图</w:t>
                      </w:r>
                      <w:r>
                        <w:rPr>
                          <w:rFonts w:hint="eastAsia" w:ascii="Times New Roman" w:hAnsi="Times New Roman" w:cs="Times New Roman"/>
                          <w:b/>
                          <w:color w:val="000000"/>
                          <w:sz w:val="21"/>
                          <w:szCs w:val="21"/>
                          <w:highlight w:val="none"/>
                          <w:lang w:val="en-US" w:eastAsia="zh-CN"/>
                        </w:rPr>
                        <w:t>5</w:t>
                      </w:r>
                      <w:r>
                        <w:rPr>
                          <w:rFonts w:hint="eastAsia"/>
                          <w:b/>
                          <w:color w:val="000000"/>
                          <w:sz w:val="21"/>
                          <w:szCs w:val="21"/>
                          <w:highlight w:val="none"/>
                          <w:lang w:val="en-US" w:eastAsia="zh-CN"/>
                        </w:rPr>
                        <w:t xml:space="preserve">   项目评价范围及敏感目标图</w:t>
                      </w:r>
                    </w:p>
                    <w:p/>
                  </w:txbxContent>
                </v:textbox>
              </v:shape>
            </w:pict>
          </mc:Fallback>
        </mc:AlternateContent>
      </w:r>
      <w:r>
        <w:rPr>
          <w:sz w:val="28"/>
        </w:rPr>
        <mc:AlternateContent>
          <mc:Choice Requires="wps">
            <w:drawing>
              <wp:anchor distT="0" distB="0" distL="114300" distR="114300" simplePos="0" relativeHeight="251708416" behindDoc="0" locked="0" layoutInCell="1" allowOverlap="1">
                <wp:simplePos x="0" y="0"/>
                <wp:positionH relativeFrom="column">
                  <wp:posOffset>2611120</wp:posOffset>
                </wp:positionH>
                <wp:positionV relativeFrom="paragraph">
                  <wp:posOffset>1170940</wp:posOffset>
                </wp:positionV>
                <wp:extent cx="879475" cy="30099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879475" cy="300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劳动保障局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5.6pt;margin-top:92.2pt;height:23.7pt;width:69.25pt;z-index:251708416;mso-width-relative:page;mso-height-relative:page;" filled="f" stroked="f" coordsize="21600,21600" o:gfxdata="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劳动保障局</w:t>
                      </w:r>
                    </w:p>
                  </w:txbxContent>
                </v:textbox>
              </v:shape>
            </w:pict>
          </mc:Fallback>
        </mc:AlternateContent>
      </w:r>
      <w:r>
        <w:rPr>
          <w:sz w:val="28"/>
        </w:rPr>
        <mc:AlternateContent>
          <mc:Choice Requires="wps">
            <w:drawing>
              <wp:anchor distT="0" distB="0" distL="114300" distR="114300" simplePos="0" relativeHeight="251709440" behindDoc="0" locked="0" layoutInCell="1" allowOverlap="1">
                <wp:simplePos x="0" y="0"/>
                <wp:positionH relativeFrom="column">
                  <wp:posOffset>3277870</wp:posOffset>
                </wp:positionH>
                <wp:positionV relativeFrom="paragraph">
                  <wp:posOffset>1266190</wp:posOffset>
                </wp:positionV>
                <wp:extent cx="879475" cy="30099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879475" cy="300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民政局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8.1pt;margin-top:99.7pt;height:23.7pt;width:69.25pt;z-index:251709440;mso-width-relative:page;mso-height-relative:page;" filled="f" stroked="f" coordsize="21600,21600" o:gfxdata="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民政局</w:t>
                      </w:r>
                    </w:p>
                  </w:txbxContent>
                </v:textbox>
              </v:shape>
            </w:pict>
          </mc:Fallback>
        </mc:AlternateContent>
      </w:r>
      <w:r>
        <w:rPr>
          <w:sz w:val="28"/>
        </w:rPr>
        <mc:AlternateContent>
          <mc:Choice Requires="wps">
            <w:drawing>
              <wp:anchor distT="0" distB="0" distL="114300" distR="114300" simplePos="0" relativeHeight="251710464" behindDoc="0" locked="0" layoutInCell="1" allowOverlap="1">
                <wp:simplePos x="0" y="0"/>
                <wp:positionH relativeFrom="column">
                  <wp:posOffset>3163570</wp:posOffset>
                </wp:positionH>
                <wp:positionV relativeFrom="paragraph">
                  <wp:posOffset>1666240</wp:posOffset>
                </wp:positionV>
                <wp:extent cx="879475" cy="300990"/>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879475" cy="300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交通运输局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9.1pt;margin-top:131.2pt;height:23.7pt;width:69.25pt;z-index:251710464;mso-width-relative:page;mso-height-relative:page;" filled="f" stroked="f" coordsize="21600,21600" o:gfxdata="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交通运输局</w:t>
                      </w:r>
                    </w:p>
                  </w:txbxContent>
                </v:textbox>
              </v:shape>
            </w:pict>
          </mc:Fallback>
        </mc:AlternateContent>
      </w:r>
      <w:r>
        <w:rPr>
          <w:sz w:val="28"/>
        </w:rPr>
        <mc:AlternateContent>
          <mc:Choice Requires="wps">
            <w:drawing>
              <wp:anchor distT="0" distB="0" distL="114300" distR="114300" simplePos="0" relativeHeight="251707392" behindDoc="0" locked="0" layoutInCell="1" allowOverlap="1">
                <wp:simplePos x="0" y="0"/>
                <wp:positionH relativeFrom="column">
                  <wp:posOffset>4132580</wp:posOffset>
                </wp:positionH>
                <wp:positionV relativeFrom="paragraph">
                  <wp:posOffset>633095</wp:posOffset>
                </wp:positionV>
                <wp:extent cx="862965" cy="31750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862965" cy="317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名佳花园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5.4pt;margin-top:49.85pt;height:25pt;width:67.95pt;z-index:251707392;mso-width-relative:page;mso-height-relative:page;" filled="f" stroked="f" coordsize="21600,21600" o:gfxdata="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名佳花园</w:t>
                      </w:r>
                    </w:p>
                  </w:txbxContent>
                </v:textbox>
              </v:shape>
            </w:pict>
          </mc:Fallback>
        </mc:AlternateContent>
      </w:r>
      <w:r>
        <w:rPr>
          <w:sz w:val="28"/>
        </w:rPr>
        <mc:AlternateContent>
          <mc:Choice Requires="wps">
            <w:drawing>
              <wp:anchor distT="0" distB="0" distL="114300" distR="114300" simplePos="0" relativeHeight="251688960" behindDoc="0" locked="0" layoutInCell="1" allowOverlap="1">
                <wp:simplePos x="0" y="0"/>
                <wp:positionH relativeFrom="column">
                  <wp:posOffset>3332480</wp:posOffset>
                </wp:positionH>
                <wp:positionV relativeFrom="paragraph">
                  <wp:posOffset>842645</wp:posOffset>
                </wp:positionV>
                <wp:extent cx="862965" cy="31750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862965" cy="317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百盛家园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2.4pt;margin-top:66.35pt;height:25pt;width:67.95pt;z-index:251688960;mso-width-relative:page;mso-height-relative:page;" filled="f" stroked="f" coordsize="21600,21600" o:gfxdata="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百盛家园</w:t>
                      </w:r>
                    </w:p>
                  </w:txbxContent>
                </v:textbox>
              </v:shape>
            </w:pict>
          </mc:Fallback>
        </mc:AlternateContent>
      </w:r>
      <w:r>
        <w:rPr>
          <w:sz w:val="28"/>
        </w:rPr>
        <mc:AlternateContent>
          <mc:Choice Requires="wps">
            <w:drawing>
              <wp:anchor distT="0" distB="0" distL="114300" distR="114300" simplePos="0" relativeHeight="251682816" behindDoc="0" locked="0" layoutInCell="1" allowOverlap="1">
                <wp:simplePos x="0" y="0"/>
                <wp:positionH relativeFrom="column">
                  <wp:posOffset>4857750</wp:posOffset>
                </wp:positionH>
                <wp:positionV relativeFrom="paragraph">
                  <wp:posOffset>1414145</wp:posOffset>
                </wp:positionV>
                <wp:extent cx="1030605" cy="363855"/>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1030605" cy="3638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精诚祥纳都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2.5pt;margin-top:111.35pt;height:28.65pt;width:81.15pt;z-index:251682816;mso-width-relative:page;mso-height-relative:page;" filled="f" stroked="f" coordsize="21600,21600" o:gfxdata="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精诚祥纳都</w:t>
                      </w:r>
                    </w:p>
                  </w:txbxContent>
                </v:textbox>
              </v:shape>
            </w:pict>
          </mc:Fallback>
        </mc:AlternateContent>
      </w:r>
      <w:r>
        <w:rPr>
          <w:sz w:val="28"/>
        </w:rPr>
        <mc:AlternateContent>
          <mc:Choice Requires="wps">
            <w:drawing>
              <wp:anchor distT="0" distB="0" distL="114300" distR="114300" simplePos="0" relativeHeight="251684864" behindDoc="0" locked="0" layoutInCell="1" allowOverlap="1">
                <wp:simplePos x="0" y="0"/>
                <wp:positionH relativeFrom="column">
                  <wp:posOffset>3925570</wp:posOffset>
                </wp:positionH>
                <wp:positionV relativeFrom="paragraph">
                  <wp:posOffset>1761490</wp:posOffset>
                </wp:positionV>
                <wp:extent cx="879475" cy="30099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879475" cy="300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喜上园小区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1pt;margin-top:138.7pt;height:23.7pt;width:69.25pt;z-index:251684864;mso-width-relative:page;mso-height-relative:page;" filled="f" stroked="f" coordsize="21600,21600" o:gfxdata="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喜上园小区</w:t>
                      </w:r>
                    </w:p>
                  </w:txbxContent>
                </v:textbox>
              </v:shape>
            </w:pict>
          </mc:Fallback>
        </mc:AlternateContent>
      </w:r>
      <w:r>
        <w:rPr>
          <w:sz w:val="28"/>
        </w:rPr>
        <mc:AlternateContent>
          <mc:Choice Requires="wps">
            <w:drawing>
              <wp:anchor distT="0" distB="0" distL="114300" distR="114300" simplePos="0" relativeHeight="251683840" behindDoc="0" locked="0" layoutInCell="1" allowOverlap="1">
                <wp:simplePos x="0" y="0"/>
                <wp:positionH relativeFrom="column">
                  <wp:posOffset>4507230</wp:posOffset>
                </wp:positionH>
                <wp:positionV relativeFrom="paragraph">
                  <wp:posOffset>2226945</wp:posOffset>
                </wp:positionV>
                <wp:extent cx="546100" cy="25527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546100" cy="2552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检察院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4.9pt;margin-top:175.35pt;height:20.1pt;width:43pt;z-index:251683840;mso-width-relative:page;mso-height-relative:page;" filled="f" stroked="f" coordsize="21600,21600" o:gfxdata="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检察院</w:t>
                      </w:r>
                    </w:p>
                  </w:txbxContent>
                </v:textbox>
              </v:shape>
            </w:pict>
          </mc:Fallback>
        </mc:AlternateContent>
      </w:r>
      <w:r>
        <w:rPr>
          <w:sz w:val="28"/>
        </w:rPr>
        <mc:AlternateContent>
          <mc:Choice Requires="wps">
            <w:drawing>
              <wp:anchor distT="0" distB="0" distL="114300" distR="114300" simplePos="0" relativeHeight="251686912" behindDoc="0" locked="0" layoutInCell="1" allowOverlap="1">
                <wp:simplePos x="0" y="0"/>
                <wp:positionH relativeFrom="column">
                  <wp:posOffset>4706620</wp:posOffset>
                </wp:positionH>
                <wp:positionV relativeFrom="paragraph">
                  <wp:posOffset>2082165</wp:posOffset>
                </wp:positionV>
                <wp:extent cx="802640" cy="35560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802640" cy="355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信访局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0.6pt;margin-top:163.95pt;height:28pt;width:63.2pt;z-index:251686912;mso-width-relative:page;mso-height-relative:page;" filled="f" stroked="f" coordsize="21600,21600" o:gfxdata="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信访局</w:t>
                      </w:r>
                    </w:p>
                  </w:txbxContent>
                </v:textbox>
              </v:shape>
            </w:pict>
          </mc:Fallback>
        </mc:AlternateContent>
      </w:r>
      <w:r>
        <w:rPr>
          <w:sz w:val="28"/>
        </w:rPr>
        <mc:AlternateContent>
          <mc:Choice Requires="wps">
            <w:drawing>
              <wp:anchor distT="0" distB="0" distL="114300" distR="114300" simplePos="0" relativeHeight="251687936" behindDoc="0" locked="0" layoutInCell="1" allowOverlap="1">
                <wp:simplePos x="0" y="0"/>
                <wp:positionH relativeFrom="column">
                  <wp:posOffset>5337175</wp:posOffset>
                </wp:positionH>
                <wp:positionV relativeFrom="paragraph">
                  <wp:posOffset>2277110</wp:posOffset>
                </wp:positionV>
                <wp:extent cx="830580" cy="317500"/>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830580" cy="317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蒙龙养老院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0.25pt;margin-top:179.3pt;height:25pt;width:65.4pt;z-index:251687936;mso-width-relative:page;mso-height-relative:page;" filled="f" stroked="f" coordsize="21600,21600" o:gfxdata="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蒙龙养老院</w:t>
                      </w:r>
                    </w:p>
                  </w:txbxContent>
                </v:textbox>
              </v:shape>
            </w:pict>
          </mc:Fallback>
        </mc:AlternateContent>
      </w:r>
      <w:r>
        <w:rPr>
          <w:sz w:val="28"/>
        </w:rPr>
        <mc:AlternateContent>
          <mc:Choice Requires="wps">
            <w:drawing>
              <wp:anchor distT="0" distB="0" distL="114300" distR="114300" simplePos="0" relativeHeight="251685888" behindDoc="0" locked="0" layoutInCell="1" allowOverlap="1">
                <wp:simplePos x="0" y="0"/>
                <wp:positionH relativeFrom="column">
                  <wp:posOffset>4632325</wp:posOffset>
                </wp:positionH>
                <wp:positionV relativeFrom="paragraph">
                  <wp:posOffset>2489200</wp:posOffset>
                </wp:positionV>
                <wp:extent cx="1030605" cy="3175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030605" cy="317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上都镇派出所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4.75pt;margin-top:196pt;height:25pt;width:81.15pt;z-index:251685888;mso-width-relative:page;mso-height-relative:page;" filled="f" stroked="f" coordsize="21600,21600" o:gfxdata="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上都镇派出所</w:t>
                      </w:r>
                    </w:p>
                  </w:txbxContent>
                </v:textbox>
              </v:shape>
            </w:pict>
          </mc:Fallback>
        </mc:AlternateContent>
      </w:r>
      <w:r>
        <w:rPr>
          <w:sz w:val="28"/>
        </w:rPr>
        <mc:AlternateContent>
          <mc:Choice Requires="wps">
            <w:drawing>
              <wp:anchor distT="0" distB="0" distL="114300" distR="114300" simplePos="0" relativeHeight="251681792" behindDoc="0" locked="0" layoutInCell="1" allowOverlap="1">
                <wp:simplePos x="0" y="0"/>
                <wp:positionH relativeFrom="column">
                  <wp:posOffset>5726430</wp:posOffset>
                </wp:positionH>
                <wp:positionV relativeFrom="paragraph">
                  <wp:posOffset>2068195</wp:posOffset>
                </wp:positionV>
                <wp:extent cx="995680" cy="325120"/>
                <wp:effectExtent l="0" t="0" r="0" b="0"/>
                <wp:wrapNone/>
                <wp:docPr id="68" name="文本框 68"/>
                <wp:cNvGraphicFramePr/>
                <a:graphic xmlns:a="http://schemas.openxmlformats.org/drawingml/2006/main">
                  <a:graphicData uri="http://schemas.microsoft.com/office/word/2010/wordprocessingShape">
                    <wps:wsp>
                      <wps:cNvSpPr txBox="1"/>
                      <wps:spPr>
                        <a:xfrm>
                          <a:off x="7875270" y="3333115"/>
                          <a:ext cx="995680" cy="3251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ascii="方正黑体简体" w:hAnsi="方正黑体简体" w:eastAsia="方正黑体简体" w:cs="方正黑体简体"/>
                                <w:b/>
                                <w:bCs/>
                                <w:color w:val="FFFFFF" w:themeColor="background1"/>
                                <w:kern w:val="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kern w:val="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正蓝旗疾控中心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0.9pt;margin-top:162.85pt;height:25.6pt;width:78.4pt;z-index:251681792;mso-width-relative:page;mso-height-relative:page;" filled="f" stroked="f" coordsize="21600,21600" o:gfxdata="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">
                <v:fill on="f" focussize="0,0"/>
                <v:stroke on="f" weight="0.5pt"/>
                <v:imagedata o:title=""/>
                <o:lock v:ext="edit" aspectratio="f"/>
                <v:textbox>
                  <w:txbxContent>
                    <w:p>
                      <w:pPr>
                        <w:ind w:left="0" w:leftChars="0" w:firstLine="0" w:firstLineChars="0"/>
                        <w:rPr>
                          <w:rFonts w:hint="eastAsia" w:ascii="方正黑体简体" w:hAnsi="方正黑体简体" w:eastAsia="方正黑体简体" w:cs="方正黑体简体"/>
                          <w:b/>
                          <w:bCs/>
                          <w:color w:val="FFFFFF" w:themeColor="background1"/>
                          <w:kern w:val="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pPr>
                      <w:r>
                        <w:rPr>
                          <w:rFonts w:hint="eastAsia" w:ascii="方正黑体简体" w:hAnsi="方正黑体简体" w:eastAsia="方正黑体简体" w:cs="方正黑体简体"/>
                          <w:b/>
                          <w:bCs/>
                          <w:color w:val="FFFFFF" w:themeColor="background1"/>
                          <w:kern w:val="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bg1"/>
                            </w14:solidFill>
                          </w14:textFill>
                          <w14:props3d w14:extrusionH="0" w14:contourW="0" w14:prstMaterial="clear"/>
                        </w:rPr>
                        <w:t>正蓝旗疾控中心</w:t>
                      </w:r>
                    </w:p>
                  </w:txbxContent>
                </v:textbox>
              </v:shape>
            </w:pict>
          </mc:Fallback>
        </mc:AlternateContent>
      </w:r>
      <w:r>
        <w:rPr>
          <w:rFonts w:ascii="Times New Roman" w:hAnsi="Times New Roman"/>
          <w:b/>
          <w:bCs/>
          <w:kern w:val="2"/>
          <w:sz w:val="28"/>
          <w:szCs w:val="28"/>
        </w:rPr>
        <mc:AlternateContent>
          <mc:Choice Requires="wps">
            <w:drawing>
              <wp:anchor distT="0" distB="0" distL="114300" distR="114300" simplePos="0" relativeHeight="251680768" behindDoc="0" locked="0" layoutInCell="1" allowOverlap="1">
                <wp:simplePos x="0" y="0"/>
                <wp:positionH relativeFrom="column">
                  <wp:posOffset>7458075</wp:posOffset>
                </wp:positionH>
                <wp:positionV relativeFrom="paragraph">
                  <wp:posOffset>5347970</wp:posOffset>
                </wp:positionV>
                <wp:extent cx="160655" cy="111760"/>
                <wp:effectExtent l="9525" t="9525" r="20320" b="12065"/>
                <wp:wrapNone/>
                <wp:docPr id="67" name="矩形 67"/>
                <wp:cNvGraphicFramePr/>
                <a:graphic xmlns:a="http://schemas.openxmlformats.org/drawingml/2006/main">
                  <a:graphicData uri="http://schemas.microsoft.com/office/word/2010/wordprocessingShape">
                    <wps:wsp>
                      <wps:cNvSpPr/>
                      <wps:spPr>
                        <a:xfrm>
                          <a:off x="0" y="0"/>
                          <a:ext cx="160655" cy="111760"/>
                        </a:xfrm>
                        <a:prstGeom prst="rect">
                          <a:avLst/>
                        </a:prstGeom>
                        <a:solidFill>
                          <a:srgbClr val="FFFF00">
                            <a:alpha val="25000"/>
                          </a:srgbClr>
                        </a:solidFill>
                        <a:ln w="19050" cap="flat" cmpd="sng">
                          <a:solidFill>
                            <a:srgbClr val="FFFF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87.25pt;margin-top:421.1pt;height:8.8pt;width:12.65pt;z-index:251680768;mso-width-relative:page;mso-height-relative:page;" fillcolor="#FFFF00" filled="t" stroked="t" coordsize="21600,21600" o:gfxdata="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">
                <v:fill on="t" opacity="16384f" focussize="0,0"/>
                <v:stroke weight="1.5pt" color="#FFFF00" joinstyle="miter"/>
                <v:imagedata o:title=""/>
                <o:lock v:ext="edit" aspectratio="f"/>
              </v:rect>
            </w:pict>
          </mc:Fallback>
        </mc:AlternateContent>
      </w:r>
      <w:r>
        <w:rPr>
          <w:rFonts w:ascii="Times New Roman" w:hAnsi="Times New Roman"/>
          <w:b/>
          <w:bCs/>
          <w:kern w:val="2"/>
          <w:sz w:val="28"/>
          <w:szCs w:val="28"/>
        </w:rPr>
        <mc:AlternateContent>
          <mc:Choice Requires="wps">
            <w:drawing>
              <wp:anchor distT="0" distB="0" distL="114300" distR="114300" simplePos="0" relativeHeight="251677696" behindDoc="0" locked="0" layoutInCell="1" allowOverlap="1">
                <wp:simplePos x="0" y="0"/>
                <wp:positionH relativeFrom="column">
                  <wp:posOffset>7491095</wp:posOffset>
                </wp:positionH>
                <wp:positionV relativeFrom="paragraph">
                  <wp:posOffset>5096510</wp:posOffset>
                </wp:positionV>
                <wp:extent cx="160655" cy="104140"/>
                <wp:effectExtent l="9525" t="9525" r="20320" b="19685"/>
                <wp:wrapNone/>
                <wp:docPr id="64" name="矩形 64"/>
                <wp:cNvGraphicFramePr/>
                <a:graphic xmlns:a="http://schemas.openxmlformats.org/drawingml/2006/main">
                  <a:graphicData uri="http://schemas.microsoft.com/office/word/2010/wordprocessingShape">
                    <wps:wsp>
                      <wps:cNvSpPr/>
                      <wps:spPr>
                        <a:xfrm>
                          <a:off x="0" y="0"/>
                          <a:ext cx="160655" cy="104140"/>
                        </a:xfrm>
                        <a:prstGeom prst="rect">
                          <a:avLst/>
                        </a:prstGeom>
                        <a:noFill/>
                        <a:ln w="19050" cap="flat" cmpd="sng">
                          <a:solidFill>
                            <a:srgbClr val="FFFF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89.85pt;margin-top:401.3pt;height:8.2pt;width:12.65pt;z-index:251677696;mso-width-relative:page;mso-height-relative:page;" filled="f" stroked="t" coordsize="21600,21600" o:gfxdata="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">
                <v:fill on="f" focussize="0,0"/>
                <v:stroke weight="1.5pt" color="#FFFF00" joinstyle="miter"/>
                <v:imagedata o:title=""/>
                <o:lock v:ext="edit" aspectratio="f"/>
              </v:rect>
            </w:pict>
          </mc:Fallback>
        </mc:AlternateContent>
      </w:r>
      <w:r>
        <w:rPr>
          <w:rFonts w:ascii="Times New Roman" w:hAnsi="Times New Roman"/>
          <w:b/>
          <w:bCs/>
          <w:kern w:val="2"/>
          <w:sz w:val="28"/>
          <w:szCs w:val="28"/>
        </w:rPr>
        <mc:AlternateContent>
          <mc:Choice Requires="wps">
            <w:drawing>
              <wp:anchor distT="0" distB="0" distL="114300" distR="114300" simplePos="0" relativeHeight="251679744" behindDoc="0" locked="0" layoutInCell="1" allowOverlap="1">
                <wp:simplePos x="0" y="0"/>
                <wp:positionH relativeFrom="column">
                  <wp:posOffset>7545070</wp:posOffset>
                </wp:positionH>
                <wp:positionV relativeFrom="paragraph">
                  <wp:posOffset>4920615</wp:posOffset>
                </wp:positionV>
                <wp:extent cx="160655" cy="111760"/>
                <wp:effectExtent l="9525" t="9525" r="20320" b="12065"/>
                <wp:wrapNone/>
                <wp:docPr id="66" name="矩形 66"/>
                <wp:cNvGraphicFramePr/>
                <a:graphic xmlns:a="http://schemas.openxmlformats.org/drawingml/2006/main">
                  <a:graphicData uri="http://schemas.microsoft.com/office/word/2010/wordprocessingShape">
                    <wps:wsp>
                      <wps:cNvSpPr/>
                      <wps:spPr>
                        <a:xfrm>
                          <a:off x="0" y="0"/>
                          <a:ext cx="160655" cy="111760"/>
                        </a:xfrm>
                        <a:prstGeom prst="rect">
                          <a:avLst/>
                        </a:prstGeom>
                        <a:solidFill>
                          <a:srgbClr val="00B050">
                            <a:alpha val="30000"/>
                          </a:srgbClr>
                        </a:solidFill>
                        <a:ln w="19050" cap="flat" cmpd="sng">
                          <a:solidFill>
                            <a:srgbClr val="00B05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94.1pt;margin-top:387.45pt;height:8.8pt;width:12.65pt;z-index:251679744;mso-width-relative:page;mso-height-relative:page;" fillcolor="#00B050" filled="t" stroked="t" coordsize="21600,21600" o:gfxdata="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">
                <v:fill on="t" opacity="19660f" focussize="0,0"/>
                <v:stroke weight="1.5pt" color="#00B050" joinstyle="miter"/>
                <v:imagedata o:title=""/>
                <o:lock v:ext="edit" aspectratio="f"/>
              </v:rect>
            </w:pict>
          </mc:Fallback>
        </mc:AlternateContent>
      </w:r>
      <w:r>
        <w:rPr>
          <w:rFonts w:ascii="Times New Roman" w:hAnsi="Times New Roman"/>
          <w:b/>
          <w:bCs/>
          <w:kern w:val="2"/>
          <w:sz w:val="28"/>
          <w:szCs w:val="28"/>
        </w:rPr>
        <mc:AlternateContent>
          <mc:Choice Requires="wps">
            <w:drawing>
              <wp:anchor distT="0" distB="0" distL="114300" distR="114300" simplePos="0" relativeHeight="251678720" behindDoc="0" locked="0" layoutInCell="1" allowOverlap="1">
                <wp:simplePos x="0" y="0"/>
                <wp:positionH relativeFrom="column">
                  <wp:posOffset>7549515</wp:posOffset>
                </wp:positionH>
                <wp:positionV relativeFrom="paragraph">
                  <wp:posOffset>4678045</wp:posOffset>
                </wp:positionV>
                <wp:extent cx="160655" cy="111760"/>
                <wp:effectExtent l="9525" t="9525" r="20320" b="12065"/>
                <wp:wrapNone/>
                <wp:docPr id="65" name="矩形 65"/>
                <wp:cNvGraphicFramePr/>
                <a:graphic xmlns:a="http://schemas.openxmlformats.org/drawingml/2006/main">
                  <a:graphicData uri="http://schemas.microsoft.com/office/word/2010/wordprocessingShape">
                    <wps:wsp>
                      <wps:cNvSpPr/>
                      <wps:spPr>
                        <a:xfrm>
                          <a:off x="0" y="0"/>
                          <a:ext cx="160655" cy="111760"/>
                        </a:xfrm>
                        <a:prstGeom prst="rect">
                          <a:avLst/>
                        </a:prstGeom>
                        <a:noFill/>
                        <a:ln w="19050" cap="flat" cmpd="sng">
                          <a:solidFill>
                            <a:srgbClr val="00B05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94.45pt;margin-top:368.35pt;height:8.8pt;width:12.65pt;z-index:251678720;mso-width-relative:page;mso-height-relative:page;" filled="f" stroked="t" coordsize="21600,21600" o:gfxdata="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">
                <v:fill on="f" focussize="0,0"/>
                <v:stroke weight="1.5pt" color="#00B050" joinstyle="miter"/>
                <v:imagedata o:title=""/>
                <o:lock v:ext="edit" aspectratio="f"/>
              </v:rect>
            </w:pict>
          </mc:Fallback>
        </mc:AlternateContent>
      </w:r>
      <w:r>
        <w:rPr>
          <w:rFonts w:ascii="Times New Roman" w:hAnsi="Times New Roman"/>
          <w:b/>
          <w:bCs/>
          <w:kern w:val="2"/>
          <w:sz w:val="28"/>
          <w:szCs w:val="28"/>
        </w:rPr>
        <mc:AlternateContent>
          <mc:Choice Requires="wps">
            <w:drawing>
              <wp:anchor distT="0" distB="0" distL="114300" distR="114300" simplePos="0" relativeHeight="251672576" behindDoc="0" locked="0" layoutInCell="1" allowOverlap="1">
                <wp:simplePos x="0" y="0"/>
                <wp:positionH relativeFrom="column">
                  <wp:posOffset>7519670</wp:posOffset>
                </wp:positionH>
                <wp:positionV relativeFrom="paragraph">
                  <wp:posOffset>4464050</wp:posOffset>
                </wp:positionV>
                <wp:extent cx="160655" cy="111760"/>
                <wp:effectExtent l="9525" t="9525" r="20320" b="12065"/>
                <wp:wrapNone/>
                <wp:docPr id="54" name="矩形 54"/>
                <wp:cNvGraphicFramePr/>
                <a:graphic xmlns:a="http://schemas.openxmlformats.org/drawingml/2006/main">
                  <a:graphicData uri="http://schemas.microsoft.com/office/word/2010/wordprocessingShape">
                    <wps:wsp>
                      <wps:cNvSpPr/>
                      <wps:spPr>
                        <a:xfrm>
                          <a:off x="0" y="0"/>
                          <a:ext cx="160655" cy="111760"/>
                        </a:xfrm>
                        <a:prstGeom prst="rect">
                          <a:avLst/>
                        </a:prstGeom>
                        <a:noFill/>
                        <a:ln w="19050"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92.1pt;margin-top:351.5pt;height:8.8pt;width:12.65pt;z-index:251672576;mso-width-relative:page;mso-height-relative:page;" filled="f" stroked="t" coordsize="21600,21600" o:gfxdata="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">
                <v:fill on="f" focussize="0,0"/>
                <v:stroke weight="1.5pt" color="#FF0000" joinstyle="miter"/>
                <v:imagedata o:title=""/>
                <o:lock v:ext="edit" aspectratio="f"/>
              </v:rect>
            </w:pict>
          </mc:Fallback>
        </mc:AlternateContent>
      </w:r>
      <w:r>
        <w:rPr>
          <w:rFonts w:ascii="Times New Roman" w:hAnsi="Times New Roman"/>
          <w:b/>
          <w:bCs/>
          <w:kern w:val="2"/>
          <w:sz w:val="28"/>
          <w:szCs w:val="28"/>
        </w:rPr>
        <mc:AlternateContent>
          <mc:Choice Requires="wps">
            <w:drawing>
              <wp:anchor distT="0" distB="0" distL="114300" distR="114300" simplePos="0" relativeHeight="251671552" behindDoc="0" locked="0" layoutInCell="1" allowOverlap="1">
                <wp:simplePos x="0" y="0"/>
                <wp:positionH relativeFrom="column">
                  <wp:posOffset>7419340</wp:posOffset>
                </wp:positionH>
                <wp:positionV relativeFrom="paragraph">
                  <wp:posOffset>4164965</wp:posOffset>
                </wp:positionV>
                <wp:extent cx="1303020" cy="1408430"/>
                <wp:effectExtent l="4445" t="4445" r="6985" b="15875"/>
                <wp:wrapNone/>
                <wp:docPr id="55" name="文本框 55"/>
                <wp:cNvGraphicFramePr/>
                <a:graphic xmlns:a="http://schemas.openxmlformats.org/drawingml/2006/main">
                  <a:graphicData uri="http://schemas.microsoft.com/office/word/2010/wordprocessingShape">
                    <wps:wsp>
                      <wps:cNvSpPr txBox="1"/>
                      <wps:spPr>
                        <a:xfrm>
                          <a:off x="0" y="0"/>
                          <a:ext cx="1303020" cy="14084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bidi w:val="0"/>
                              <w:adjustRightInd/>
                              <w:snapToGrid/>
                              <w:spacing w:line="360" w:lineRule="auto"/>
                              <w:ind w:firstLine="0" w:firstLineChars="0"/>
                              <w:jc w:val="center"/>
                              <w:textAlignment w:val="auto"/>
                              <w:rPr>
                                <w:rFonts w:hint="eastAsia" w:ascii="宋体" w:hAnsi="宋体"/>
                                <w:b/>
                                <w:sz w:val="18"/>
                                <w:szCs w:val="18"/>
                                <w:lang w:eastAsia="zh-CN"/>
                              </w:rPr>
                            </w:pPr>
                            <w:r>
                              <w:rPr>
                                <w:rFonts w:hint="eastAsia" w:ascii="宋体" w:hAnsi="宋体"/>
                                <w:b/>
                                <w:sz w:val="18"/>
                                <w:szCs w:val="18"/>
                                <w:lang w:eastAsia="zh-CN"/>
                              </w:rPr>
                              <w:t>图</w:t>
                            </w:r>
                            <w:r>
                              <w:rPr>
                                <w:rFonts w:hint="eastAsia" w:ascii="宋体" w:hAnsi="宋体"/>
                                <w:b/>
                                <w:sz w:val="18"/>
                                <w:szCs w:val="18"/>
                                <w:lang w:val="en-US" w:eastAsia="zh-CN"/>
                              </w:rPr>
                              <w:t xml:space="preserve"> </w:t>
                            </w:r>
                            <w:r>
                              <w:rPr>
                                <w:rFonts w:hint="eastAsia" w:ascii="宋体" w:hAnsi="宋体"/>
                                <w:b/>
                                <w:sz w:val="18"/>
                                <w:szCs w:val="18"/>
                                <w:lang w:eastAsia="zh-CN"/>
                              </w:rPr>
                              <w:t>例</w:t>
                            </w:r>
                          </w:p>
                          <w:p>
                            <w:pPr>
                              <w:keepNext w:val="0"/>
                              <w:keepLines w:val="0"/>
                              <w:pageBreakBefore w:val="0"/>
                              <w:widowControl w:val="0"/>
                              <w:kinsoku/>
                              <w:wordWrap/>
                              <w:overflowPunct/>
                              <w:topLinePunct w:val="0"/>
                              <w:bidi w:val="0"/>
                              <w:adjustRightInd/>
                              <w:snapToGrid/>
                              <w:spacing w:line="360" w:lineRule="auto"/>
                              <w:ind w:firstLine="0" w:firstLineChars="0"/>
                              <w:jc w:val="center"/>
                              <w:textAlignment w:val="auto"/>
                              <w:rPr>
                                <w:rFonts w:hint="eastAsia" w:ascii="宋体" w:hAnsi="宋体"/>
                                <w:b/>
                                <w:sz w:val="18"/>
                                <w:szCs w:val="18"/>
                              </w:rPr>
                            </w:pPr>
                            <w:r>
                              <w:rPr>
                                <w:rFonts w:hint="eastAsia" w:ascii="宋体" w:hAnsi="宋体"/>
                                <w:b/>
                                <w:sz w:val="18"/>
                                <w:szCs w:val="18"/>
                              </w:rPr>
                              <w:t>本项目所在地</w:t>
                            </w:r>
                          </w:p>
                          <w:p>
                            <w:pPr>
                              <w:keepNext w:val="0"/>
                              <w:keepLines w:val="0"/>
                              <w:pageBreakBefore w:val="0"/>
                              <w:widowControl w:val="0"/>
                              <w:kinsoku/>
                              <w:wordWrap/>
                              <w:overflowPunct/>
                              <w:topLinePunct w:val="0"/>
                              <w:bidi w:val="0"/>
                              <w:adjustRightInd/>
                              <w:snapToGrid/>
                              <w:spacing w:line="360" w:lineRule="auto"/>
                              <w:ind w:firstLine="0" w:firstLineChars="0"/>
                              <w:jc w:val="center"/>
                              <w:textAlignment w:val="auto"/>
                              <w:rPr>
                                <w:rFonts w:hint="eastAsia" w:ascii="宋体" w:hAnsi="宋体"/>
                                <w:b/>
                                <w:sz w:val="18"/>
                                <w:szCs w:val="18"/>
                                <w:lang w:val="en-US" w:eastAsia="zh-CN"/>
                              </w:rPr>
                            </w:pPr>
                            <w:r>
                              <w:rPr>
                                <w:rFonts w:hint="eastAsia" w:ascii="宋体" w:hAnsi="宋体"/>
                                <w:b/>
                                <w:sz w:val="18"/>
                                <w:szCs w:val="18"/>
                                <w:lang w:val="en-US" w:eastAsia="zh-CN"/>
                              </w:rPr>
                              <w:t>大气评价范围</w:t>
                            </w:r>
                          </w:p>
                          <w:p>
                            <w:pPr>
                              <w:keepNext w:val="0"/>
                              <w:keepLines w:val="0"/>
                              <w:pageBreakBefore w:val="0"/>
                              <w:widowControl w:val="0"/>
                              <w:kinsoku/>
                              <w:wordWrap/>
                              <w:overflowPunct/>
                              <w:topLinePunct w:val="0"/>
                              <w:bidi w:val="0"/>
                              <w:adjustRightInd/>
                              <w:snapToGrid/>
                              <w:spacing w:line="360" w:lineRule="auto"/>
                              <w:ind w:firstLine="0" w:firstLineChars="0"/>
                              <w:jc w:val="center"/>
                              <w:textAlignment w:val="auto"/>
                              <w:rPr>
                                <w:rFonts w:hint="eastAsia" w:ascii="宋体" w:hAnsi="宋体"/>
                                <w:b/>
                                <w:sz w:val="18"/>
                                <w:szCs w:val="18"/>
                                <w:lang w:val="en-US" w:eastAsia="zh-CN"/>
                              </w:rPr>
                            </w:pPr>
                            <w:r>
                              <w:rPr>
                                <w:rFonts w:hint="eastAsia" w:ascii="宋体" w:hAnsi="宋体"/>
                                <w:b/>
                                <w:sz w:val="18"/>
                                <w:szCs w:val="18"/>
                                <w:lang w:val="en-US" w:eastAsia="zh-CN"/>
                              </w:rPr>
                              <w:t>大气敏感目标</w:t>
                            </w:r>
                          </w:p>
                          <w:p>
                            <w:pPr>
                              <w:keepNext w:val="0"/>
                              <w:keepLines w:val="0"/>
                              <w:pageBreakBefore w:val="0"/>
                              <w:widowControl w:val="0"/>
                              <w:kinsoku/>
                              <w:wordWrap/>
                              <w:overflowPunct/>
                              <w:topLinePunct w:val="0"/>
                              <w:bidi w:val="0"/>
                              <w:adjustRightInd/>
                              <w:snapToGrid/>
                              <w:spacing w:line="360" w:lineRule="auto"/>
                              <w:ind w:firstLine="0" w:firstLineChars="0"/>
                              <w:jc w:val="center"/>
                              <w:textAlignment w:val="auto"/>
                              <w:rPr>
                                <w:rFonts w:hint="eastAsia" w:ascii="宋体" w:hAnsi="宋体"/>
                                <w:b/>
                                <w:sz w:val="18"/>
                                <w:szCs w:val="18"/>
                                <w:lang w:val="en-US" w:eastAsia="zh-CN"/>
                              </w:rPr>
                            </w:pPr>
                            <w:r>
                              <w:rPr>
                                <w:rFonts w:hint="eastAsia" w:ascii="宋体" w:hAnsi="宋体"/>
                                <w:b/>
                                <w:sz w:val="18"/>
                                <w:szCs w:val="18"/>
                                <w:lang w:val="en-US" w:eastAsia="zh-CN"/>
                              </w:rPr>
                              <w:t>声环境评价范围</w:t>
                            </w:r>
                          </w:p>
                          <w:p>
                            <w:pPr>
                              <w:keepNext w:val="0"/>
                              <w:keepLines w:val="0"/>
                              <w:pageBreakBefore w:val="0"/>
                              <w:widowControl w:val="0"/>
                              <w:kinsoku/>
                              <w:wordWrap/>
                              <w:overflowPunct/>
                              <w:topLinePunct w:val="0"/>
                              <w:bidi w:val="0"/>
                              <w:adjustRightInd/>
                              <w:snapToGrid/>
                              <w:spacing w:line="360" w:lineRule="auto"/>
                              <w:ind w:firstLine="0" w:firstLineChars="0"/>
                              <w:jc w:val="center"/>
                              <w:textAlignment w:val="auto"/>
                              <w:rPr>
                                <w:rFonts w:hint="default" w:ascii="宋体" w:hAnsi="宋体"/>
                                <w:b/>
                                <w:sz w:val="18"/>
                                <w:szCs w:val="18"/>
                                <w:lang w:val="en-US" w:eastAsia="zh-CN"/>
                              </w:rPr>
                            </w:pPr>
                            <w:r>
                              <w:rPr>
                                <w:rFonts w:hint="eastAsia" w:ascii="宋体" w:hAnsi="宋体"/>
                                <w:b/>
                                <w:sz w:val="18"/>
                                <w:szCs w:val="18"/>
                                <w:lang w:val="en-US" w:eastAsia="zh-CN"/>
                              </w:rPr>
                              <w:t>声环境敏感目标</w:t>
                            </w:r>
                          </w:p>
                        </w:txbxContent>
                      </wps:txbx>
                      <wps:bodyPr upright="1"/>
                    </wps:wsp>
                  </a:graphicData>
                </a:graphic>
              </wp:anchor>
            </w:drawing>
          </mc:Choice>
          <mc:Fallback>
            <w:pict>
              <v:shape id="_x0000_s1026" o:spid="_x0000_s1026" o:spt="202" type="#_x0000_t202" style="position:absolute;left:0pt;margin-left:584.2pt;margin-top:327.95pt;height:110.9pt;width:102.6pt;z-index:251671552;mso-width-relative:page;mso-height-relative:page;" fillcolor="#FFFFFF" filled="t" stroked="t" coordsize="21600,21600" o:gfxdata="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">
                <v:fill on="t" focussize="0,0"/>
                <v:stroke color="#000000" joinstyle="miter"/>
                <v:imagedata o:title=""/>
                <o:lock v:ext="edit" aspectratio="f"/>
                <v:textbox>
                  <w:txbxContent>
                    <w:p>
                      <w:pPr>
                        <w:keepNext w:val="0"/>
                        <w:keepLines w:val="0"/>
                        <w:pageBreakBefore w:val="0"/>
                        <w:widowControl w:val="0"/>
                        <w:kinsoku/>
                        <w:wordWrap/>
                        <w:overflowPunct/>
                        <w:topLinePunct w:val="0"/>
                        <w:bidi w:val="0"/>
                        <w:adjustRightInd/>
                        <w:snapToGrid/>
                        <w:spacing w:line="360" w:lineRule="auto"/>
                        <w:ind w:firstLine="0" w:firstLineChars="0"/>
                        <w:jc w:val="center"/>
                        <w:textAlignment w:val="auto"/>
                        <w:rPr>
                          <w:rFonts w:hint="eastAsia" w:ascii="宋体" w:hAnsi="宋体"/>
                          <w:b/>
                          <w:sz w:val="18"/>
                          <w:szCs w:val="18"/>
                          <w:lang w:eastAsia="zh-CN"/>
                        </w:rPr>
                      </w:pPr>
                      <w:r>
                        <w:rPr>
                          <w:rFonts w:hint="eastAsia" w:ascii="宋体" w:hAnsi="宋体"/>
                          <w:b/>
                          <w:sz w:val="18"/>
                          <w:szCs w:val="18"/>
                          <w:lang w:eastAsia="zh-CN"/>
                        </w:rPr>
                        <w:t>图</w:t>
                      </w:r>
                      <w:r>
                        <w:rPr>
                          <w:rFonts w:hint="eastAsia" w:ascii="宋体" w:hAnsi="宋体"/>
                          <w:b/>
                          <w:sz w:val="18"/>
                          <w:szCs w:val="18"/>
                          <w:lang w:val="en-US" w:eastAsia="zh-CN"/>
                        </w:rPr>
                        <w:t xml:space="preserve"> </w:t>
                      </w:r>
                      <w:r>
                        <w:rPr>
                          <w:rFonts w:hint="eastAsia" w:ascii="宋体" w:hAnsi="宋体"/>
                          <w:b/>
                          <w:sz w:val="18"/>
                          <w:szCs w:val="18"/>
                          <w:lang w:eastAsia="zh-CN"/>
                        </w:rPr>
                        <w:t>例</w:t>
                      </w:r>
                    </w:p>
                    <w:p>
                      <w:pPr>
                        <w:keepNext w:val="0"/>
                        <w:keepLines w:val="0"/>
                        <w:pageBreakBefore w:val="0"/>
                        <w:widowControl w:val="0"/>
                        <w:kinsoku/>
                        <w:wordWrap/>
                        <w:overflowPunct/>
                        <w:topLinePunct w:val="0"/>
                        <w:bidi w:val="0"/>
                        <w:adjustRightInd/>
                        <w:snapToGrid/>
                        <w:spacing w:line="360" w:lineRule="auto"/>
                        <w:ind w:firstLine="0" w:firstLineChars="0"/>
                        <w:jc w:val="center"/>
                        <w:textAlignment w:val="auto"/>
                        <w:rPr>
                          <w:rFonts w:hint="eastAsia" w:ascii="宋体" w:hAnsi="宋体"/>
                          <w:b/>
                          <w:sz w:val="18"/>
                          <w:szCs w:val="18"/>
                        </w:rPr>
                      </w:pPr>
                      <w:r>
                        <w:rPr>
                          <w:rFonts w:hint="eastAsia" w:ascii="宋体" w:hAnsi="宋体"/>
                          <w:b/>
                          <w:sz w:val="18"/>
                          <w:szCs w:val="18"/>
                        </w:rPr>
                        <w:t>本项目所在地</w:t>
                      </w:r>
                    </w:p>
                    <w:p>
                      <w:pPr>
                        <w:keepNext w:val="0"/>
                        <w:keepLines w:val="0"/>
                        <w:pageBreakBefore w:val="0"/>
                        <w:widowControl w:val="0"/>
                        <w:kinsoku/>
                        <w:wordWrap/>
                        <w:overflowPunct/>
                        <w:topLinePunct w:val="0"/>
                        <w:bidi w:val="0"/>
                        <w:adjustRightInd/>
                        <w:snapToGrid/>
                        <w:spacing w:line="360" w:lineRule="auto"/>
                        <w:ind w:firstLine="0" w:firstLineChars="0"/>
                        <w:jc w:val="center"/>
                        <w:textAlignment w:val="auto"/>
                        <w:rPr>
                          <w:rFonts w:hint="eastAsia" w:ascii="宋体" w:hAnsi="宋体"/>
                          <w:b/>
                          <w:sz w:val="18"/>
                          <w:szCs w:val="18"/>
                          <w:lang w:val="en-US" w:eastAsia="zh-CN"/>
                        </w:rPr>
                      </w:pPr>
                      <w:r>
                        <w:rPr>
                          <w:rFonts w:hint="eastAsia" w:ascii="宋体" w:hAnsi="宋体"/>
                          <w:b/>
                          <w:sz w:val="18"/>
                          <w:szCs w:val="18"/>
                          <w:lang w:val="en-US" w:eastAsia="zh-CN"/>
                        </w:rPr>
                        <w:t>大气评价范围</w:t>
                      </w:r>
                    </w:p>
                    <w:p>
                      <w:pPr>
                        <w:keepNext w:val="0"/>
                        <w:keepLines w:val="0"/>
                        <w:pageBreakBefore w:val="0"/>
                        <w:widowControl w:val="0"/>
                        <w:kinsoku/>
                        <w:wordWrap/>
                        <w:overflowPunct/>
                        <w:topLinePunct w:val="0"/>
                        <w:bidi w:val="0"/>
                        <w:adjustRightInd/>
                        <w:snapToGrid/>
                        <w:spacing w:line="360" w:lineRule="auto"/>
                        <w:ind w:firstLine="0" w:firstLineChars="0"/>
                        <w:jc w:val="center"/>
                        <w:textAlignment w:val="auto"/>
                        <w:rPr>
                          <w:rFonts w:hint="eastAsia" w:ascii="宋体" w:hAnsi="宋体"/>
                          <w:b/>
                          <w:sz w:val="18"/>
                          <w:szCs w:val="18"/>
                          <w:lang w:val="en-US" w:eastAsia="zh-CN"/>
                        </w:rPr>
                      </w:pPr>
                      <w:r>
                        <w:rPr>
                          <w:rFonts w:hint="eastAsia" w:ascii="宋体" w:hAnsi="宋体"/>
                          <w:b/>
                          <w:sz w:val="18"/>
                          <w:szCs w:val="18"/>
                          <w:lang w:val="en-US" w:eastAsia="zh-CN"/>
                        </w:rPr>
                        <w:t>大气敏感目标</w:t>
                      </w:r>
                    </w:p>
                    <w:p>
                      <w:pPr>
                        <w:keepNext w:val="0"/>
                        <w:keepLines w:val="0"/>
                        <w:pageBreakBefore w:val="0"/>
                        <w:widowControl w:val="0"/>
                        <w:kinsoku/>
                        <w:wordWrap/>
                        <w:overflowPunct/>
                        <w:topLinePunct w:val="0"/>
                        <w:bidi w:val="0"/>
                        <w:adjustRightInd/>
                        <w:snapToGrid/>
                        <w:spacing w:line="360" w:lineRule="auto"/>
                        <w:ind w:firstLine="0" w:firstLineChars="0"/>
                        <w:jc w:val="center"/>
                        <w:textAlignment w:val="auto"/>
                        <w:rPr>
                          <w:rFonts w:hint="eastAsia" w:ascii="宋体" w:hAnsi="宋体"/>
                          <w:b/>
                          <w:sz w:val="18"/>
                          <w:szCs w:val="18"/>
                          <w:lang w:val="en-US" w:eastAsia="zh-CN"/>
                        </w:rPr>
                      </w:pPr>
                      <w:r>
                        <w:rPr>
                          <w:rFonts w:hint="eastAsia" w:ascii="宋体" w:hAnsi="宋体"/>
                          <w:b/>
                          <w:sz w:val="18"/>
                          <w:szCs w:val="18"/>
                          <w:lang w:val="en-US" w:eastAsia="zh-CN"/>
                        </w:rPr>
                        <w:t>声环境评价范围</w:t>
                      </w:r>
                    </w:p>
                    <w:p>
                      <w:pPr>
                        <w:keepNext w:val="0"/>
                        <w:keepLines w:val="0"/>
                        <w:pageBreakBefore w:val="0"/>
                        <w:widowControl w:val="0"/>
                        <w:kinsoku/>
                        <w:wordWrap/>
                        <w:overflowPunct/>
                        <w:topLinePunct w:val="0"/>
                        <w:bidi w:val="0"/>
                        <w:adjustRightInd/>
                        <w:snapToGrid/>
                        <w:spacing w:line="360" w:lineRule="auto"/>
                        <w:ind w:firstLine="0" w:firstLineChars="0"/>
                        <w:jc w:val="center"/>
                        <w:textAlignment w:val="auto"/>
                        <w:rPr>
                          <w:rFonts w:hint="default" w:ascii="宋体" w:hAnsi="宋体"/>
                          <w:b/>
                          <w:sz w:val="18"/>
                          <w:szCs w:val="18"/>
                          <w:lang w:val="en-US" w:eastAsia="zh-CN"/>
                        </w:rPr>
                      </w:pPr>
                      <w:r>
                        <w:rPr>
                          <w:rFonts w:hint="eastAsia" w:ascii="宋体" w:hAnsi="宋体"/>
                          <w:b/>
                          <w:sz w:val="18"/>
                          <w:szCs w:val="18"/>
                          <w:lang w:val="en-US" w:eastAsia="zh-CN"/>
                        </w:rPr>
                        <w:t>声环境敏感目标</w:t>
                      </w:r>
                    </w:p>
                  </w:txbxContent>
                </v:textbox>
              </v:shape>
            </w:pict>
          </mc:Fallback>
        </mc:AlternateContent>
      </w:r>
      <w:r>
        <w:rPr>
          <w:rFonts w:ascii="Times New Roman" w:hAnsi="Times New Roman" w:cs="Times New Roman"/>
          <w:color w:val="auto"/>
          <w:kern w:val="2"/>
          <w:u w:val="none" w:color="000000"/>
        </w:rPr>
        <w:drawing>
          <wp:anchor distT="0" distB="0" distL="114300" distR="114300" simplePos="0" relativeHeight="251670528" behindDoc="0" locked="0" layoutInCell="1" allowOverlap="1">
            <wp:simplePos x="0" y="0"/>
            <wp:positionH relativeFrom="column">
              <wp:posOffset>27305</wp:posOffset>
            </wp:positionH>
            <wp:positionV relativeFrom="page">
              <wp:posOffset>922020</wp:posOffset>
            </wp:positionV>
            <wp:extent cx="712470" cy="703580"/>
            <wp:effectExtent l="0" t="0" r="11430" b="1270"/>
            <wp:wrapNone/>
            <wp:docPr id="53"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89"/>
                    <pic:cNvPicPr>
                      <a:picLocks noChangeAspect="1"/>
                    </pic:cNvPicPr>
                  </pic:nvPicPr>
                  <pic:blipFill>
                    <a:blip r:embed="rId17"/>
                    <a:srcRect t="9791" b="7525"/>
                    <a:stretch>
                      <a:fillRect/>
                    </a:stretch>
                  </pic:blipFill>
                  <pic:spPr>
                    <a:xfrm>
                      <a:off x="0" y="0"/>
                      <a:ext cx="712470" cy="703580"/>
                    </a:xfrm>
                    <a:prstGeom prst="rect">
                      <a:avLst/>
                    </a:prstGeom>
                    <a:noFill/>
                    <a:ln>
                      <a:noFill/>
                    </a:ln>
                  </pic:spPr>
                </pic:pic>
              </a:graphicData>
            </a:graphic>
          </wp:anchor>
        </w:drawing>
      </w:r>
    </w:p>
    <w:p>
      <w:pPr>
        <w:pStyle w:val="226"/>
        <w:keepNext w:val="0"/>
        <w:keepLines w:val="0"/>
        <w:pageBreakBefore w:val="0"/>
        <w:widowControl w:val="0"/>
        <w:kinsoku/>
        <w:wordWrap/>
        <w:overflowPunct/>
        <w:topLinePunct w:val="0"/>
        <w:autoSpaceDE w:val="0"/>
        <w:autoSpaceDN w:val="0"/>
        <w:bidi w:val="0"/>
        <w:adjustRightInd w:val="0"/>
        <w:snapToGrid w:val="0"/>
        <w:textAlignment w:val="auto"/>
        <w:rPr>
          <w:rFonts w:hint="eastAsia"/>
          <w:b/>
          <w:color w:val="000000"/>
          <w:sz w:val="24"/>
          <w:szCs w:val="24"/>
          <w:highlight w:val="none"/>
          <w:lang w:val="en-US" w:eastAsia="zh-CN"/>
        </w:rPr>
      </w:pPr>
      <w:r>
        <w:rPr>
          <w:sz w:val="24"/>
        </w:rPr>
        <mc:AlternateContent>
          <mc:Choice Requires="wps">
            <w:drawing>
              <wp:anchor distT="0" distB="0" distL="114300" distR="114300" simplePos="0" relativeHeight="251691008" behindDoc="0" locked="0" layoutInCell="1" allowOverlap="1">
                <wp:simplePos x="0" y="0"/>
                <wp:positionH relativeFrom="column">
                  <wp:posOffset>3024505</wp:posOffset>
                </wp:positionH>
                <wp:positionV relativeFrom="paragraph">
                  <wp:posOffset>4127500</wp:posOffset>
                </wp:positionV>
                <wp:extent cx="1052830" cy="179070"/>
                <wp:effectExtent l="4445" t="5080" r="9525" b="6350"/>
                <wp:wrapNone/>
                <wp:docPr id="11" name="矩形 11"/>
                <wp:cNvGraphicFramePr/>
                <a:graphic xmlns:a="http://schemas.openxmlformats.org/drawingml/2006/main">
                  <a:graphicData uri="http://schemas.microsoft.com/office/word/2010/wordprocessingShape">
                    <wps:wsp>
                      <wps:cNvSpPr/>
                      <wps:spPr>
                        <a:xfrm>
                          <a:off x="0" y="0"/>
                          <a:ext cx="1052830" cy="17907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bidi w:val="0"/>
                              <w:adjustRightInd w:val="0"/>
                              <w:snapToGrid w:val="0"/>
                              <w:ind w:firstLine="0" w:firstLineChars="0"/>
                              <w:jc w:val="center"/>
                              <w:textAlignment w:val="auto"/>
                              <w:rPr>
                                <w:rFonts w:hint="eastAsia" w:ascii="宋体" w:hAnsi="宋体"/>
                                <w:sz w:val="18"/>
                                <w:szCs w:val="18"/>
                              </w:rPr>
                            </w:pPr>
                            <w:r>
                              <w:rPr>
                                <w:rFonts w:hint="eastAsia" w:ascii="宋体" w:hAnsi="宋体"/>
                                <w:sz w:val="18"/>
                                <w:szCs w:val="18"/>
                              </w:rPr>
                              <w:t>项目地理位置</w:t>
                            </w:r>
                          </w:p>
                        </w:txbxContent>
                      </wps:txbx>
                      <wps:bodyPr lIns="0" tIns="0" rIns="0" bIns="0" upright="1"/>
                    </wps:wsp>
                  </a:graphicData>
                </a:graphic>
              </wp:anchor>
            </w:drawing>
          </mc:Choice>
          <mc:Fallback>
            <w:pict>
              <v:rect id="_x0000_s1026" o:spid="_x0000_s1026" o:spt="1" style="position:absolute;left:0pt;margin-left:238.15pt;margin-top:325pt;height:14.1pt;width:82.9pt;z-index:251691008;mso-width-relative:page;mso-height-relative:page;" fillcolor="#FFFFFF" filled="t" stroked="t" coordsize="21600,21600" o:gfxdata="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">
                <v:fill on="t" focussize="0,0"/>
                <v:stroke color="#000000" joinstyle="miter"/>
                <v:imagedata o:title=""/>
                <o:lock v:ext="edit" aspectratio="f"/>
                <v:textbox inset="0mm,0mm,0mm,0mm">
                  <w:txbxContent>
                    <w:p>
                      <w:pPr>
                        <w:keepNext w:val="0"/>
                        <w:keepLines w:val="0"/>
                        <w:pageBreakBefore w:val="0"/>
                        <w:widowControl w:val="0"/>
                        <w:kinsoku/>
                        <w:wordWrap/>
                        <w:overflowPunct/>
                        <w:topLinePunct w:val="0"/>
                        <w:bidi w:val="0"/>
                        <w:adjustRightInd w:val="0"/>
                        <w:snapToGrid w:val="0"/>
                        <w:ind w:firstLine="0" w:firstLineChars="0"/>
                        <w:jc w:val="center"/>
                        <w:textAlignment w:val="auto"/>
                        <w:rPr>
                          <w:rFonts w:hint="eastAsia" w:ascii="宋体" w:hAnsi="宋体"/>
                          <w:sz w:val="18"/>
                          <w:szCs w:val="18"/>
                        </w:rPr>
                      </w:pPr>
                      <w:r>
                        <w:rPr>
                          <w:rFonts w:hint="eastAsia" w:ascii="宋体" w:hAnsi="宋体"/>
                          <w:sz w:val="18"/>
                          <w:szCs w:val="18"/>
                        </w:rPr>
                        <w:t>项目地理位置</w:t>
                      </w:r>
                    </w:p>
                  </w:txbxContent>
                </v:textbox>
              </v:rect>
            </w:pict>
          </mc:Fallback>
        </mc:AlternateContent>
      </w:r>
      <w:r>
        <w:rPr>
          <w:sz w:val="24"/>
        </w:rPr>
        <mc:AlternateContent>
          <mc:Choice Requires="wps">
            <w:drawing>
              <wp:anchor distT="0" distB="0" distL="114300" distR="114300" simplePos="0" relativeHeight="251692032" behindDoc="0" locked="0" layoutInCell="1" allowOverlap="1">
                <wp:simplePos x="0" y="0"/>
                <wp:positionH relativeFrom="column">
                  <wp:posOffset>3457575</wp:posOffset>
                </wp:positionH>
                <wp:positionV relativeFrom="paragraph">
                  <wp:posOffset>3993515</wp:posOffset>
                </wp:positionV>
                <wp:extent cx="255905" cy="160655"/>
                <wp:effectExtent l="4445" t="4445" r="6350" b="6350"/>
                <wp:wrapNone/>
                <wp:docPr id="12" name="任意多边形 12"/>
                <wp:cNvGraphicFramePr/>
                <a:graphic xmlns:a="http://schemas.openxmlformats.org/drawingml/2006/main">
                  <a:graphicData uri="http://schemas.microsoft.com/office/word/2010/wordprocessingShape">
                    <wps:wsp>
                      <wps:cNvSpPr/>
                      <wps:spPr>
                        <a:xfrm rot="10800000">
                          <a:off x="0" y="0"/>
                          <a:ext cx="255905" cy="160655"/>
                        </a:xfrm>
                        <a:custGeom>
                          <a:avLst/>
                          <a:gdLst/>
                          <a:ahLst/>
                          <a:cxnLst/>
                          <a:pathLst>
                            <a:path w="540" h="312">
                              <a:moveTo>
                                <a:pt x="0" y="312"/>
                              </a:moveTo>
                              <a:lnTo>
                                <a:pt x="180" y="0"/>
                              </a:lnTo>
                              <a:lnTo>
                                <a:pt x="180" y="156"/>
                              </a:lnTo>
                              <a:lnTo>
                                <a:pt x="540" y="0"/>
                              </a:lnTo>
                              <a:lnTo>
                                <a:pt x="0" y="312"/>
                              </a:lnTo>
                              <a:close/>
                            </a:path>
                          </a:pathLst>
                        </a:custGeom>
                        <a:solidFill>
                          <a:srgbClr val="FFFFFF"/>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72.25pt;margin-top:314.45pt;height:12.65pt;width:20.15pt;rotation:11796480f;z-index:251692032;mso-width-relative:page;mso-height-relative:page;" fillcolor="#FFFFFF" filled="t" stroked="t" coordsize="540,312" o:gfxdata="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" path="m0,312l180,0,180,156,540,0,0,312xe">
                <v:fill on="t" focussize="0,0"/>
                <v:stroke color="#000000" joinstyle="round"/>
                <v:imagedata o:title=""/>
                <o:lock v:ext="edit" aspectratio="f"/>
              </v:shape>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3635375</wp:posOffset>
                </wp:positionH>
                <wp:positionV relativeFrom="paragraph">
                  <wp:posOffset>3880485</wp:posOffset>
                </wp:positionV>
                <wp:extent cx="99060" cy="76200"/>
                <wp:effectExtent l="4445" t="4445" r="10795" b="14605"/>
                <wp:wrapNone/>
                <wp:docPr id="13" name="矩形 13"/>
                <wp:cNvGraphicFramePr/>
                <a:graphic xmlns:a="http://schemas.openxmlformats.org/drawingml/2006/main">
                  <a:graphicData uri="http://schemas.microsoft.com/office/word/2010/wordprocessingShape">
                    <wps:wsp>
                      <wps:cNvSpPr/>
                      <wps:spPr>
                        <a:xfrm>
                          <a:off x="0" y="0"/>
                          <a:ext cx="99060" cy="76200"/>
                        </a:xfrm>
                        <a:prstGeom prst="rect">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86.25pt;margin-top:305.55pt;height:6pt;width:7.8pt;z-index:251689984;mso-width-relative:page;mso-height-relative:page;" fillcolor="#FF0000" filled="t" stroked="t" coordsize="21600,21600" o:gfxdata="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">
                <v:fill on="t" focussize="0,0"/>
                <v:stroke color="#000000" joinstyle="miter"/>
                <v:imagedata o:title=""/>
                <o:lock v:ext="edit" aspectratio="f"/>
              </v:rect>
            </w:pict>
          </mc:Fallback>
        </mc:AlternateContent>
      </w:r>
      <w:r>
        <w:rPr>
          <w:rFonts w:hint="eastAsia"/>
          <w:spacing w:val="-20"/>
          <w:lang w:val="en-US" w:eastAsia="zh-CN"/>
        </w:rPr>
        <w:drawing>
          <wp:inline distT="0" distB="0" distL="114300" distR="114300">
            <wp:extent cx="8201660" cy="5441950"/>
            <wp:effectExtent l="0" t="0" r="8890" b="6350"/>
            <wp:docPr id="5" name="图片 5" descr="正蓝旗上都镇声环境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正蓝旗上都镇声环境功能区划图"/>
                    <pic:cNvPicPr>
                      <a:picLocks noChangeAspect="1"/>
                    </pic:cNvPicPr>
                  </pic:nvPicPr>
                  <pic:blipFill>
                    <a:blip r:embed="rId26"/>
                    <a:srcRect l="6385" t="9548" r="6828" b="9099"/>
                    <a:stretch>
                      <a:fillRect/>
                    </a:stretch>
                  </pic:blipFill>
                  <pic:spPr>
                    <a:xfrm>
                      <a:off x="0" y="0"/>
                      <a:ext cx="8201660" cy="5441950"/>
                    </a:xfrm>
                    <a:prstGeom prst="rect">
                      <a:avLst/>
                    </a:prstGeom>
                  </pic:spPr>
                </pic:pic>
              </a:graphicData>
            </a:graphic>
          </wp:inline>
        </w:drawing>
      </w:r>
    </w:p>
    <w:p>
      <w:pPr>
        <w:pStyle w:val="226"/>
        <w:keepNext w:val="0"/>
        <w:keepLines w:val="0"/>
        <w:pageBreakBefore w:val="0"/>
        <w:widowControl w:val="0"/>
        <w:kinsoku/>
        <w:wordWrap/>
        <w:overflowPunct/>
        <w:topLinePunct w:val="0"/>
        <w:autoSpaceDE w:val="0"/>
        <w:autoSpaceDN w:val="0"/>
        <w:bidi w:val="0"/>
        <w:adjustRightInd w:val="0"/>
        <w:snapToGrid w:val="0"/>
        <w:textAlignment w:val="auto"/>
        <w:rPr>
          <w:rFonts w:hint="default"/>
          <w:b/>
          <w:color w:val="000000"/>
          <w:sz w:val="24"/>
          <w:szCs w:val="24"/>
          <w:highlight w:val="none"/>
          <w:lang w:val="en-US" w:eastAsia="zh-CN"/>
        </w:rPr>
      </w:pPr>
      <w:r>
        <w:rPr>
          <w:rFonts w:hint="eastAsia"/>
          <w:b/>
          <w:color w:val="000000"/>
          <w:sz w:val="21"/>
          <w:szCs w:val="21"/>
          <w:highlight w:val="none"/>
          <w:lang w:val="en-US" w:eastAsia="zh-CN"/>
        </w:rPr>
        <w:t>附图6  项目与声功能区相对位置图</w:t>
      </w:r>
    </w:p>
    <w:p>
      <w:pPr>
        <w:pStyle w:val="226"/>
        <w:bidi w:val="0"/>
        <w:rPr>
          <w:rFonts w:hint="default"/>
          <w:lang w:val="en-US" w:eastAsia="zh-CN"/>
        </w:rPr>
        <w:sectPr>
          <w:pgSz w:w="16838" w:h="11906" w:orient="landscape"/>
          <w:pgMar w:top="1417" w:right="1417" w:bottom="1417" w:left="1701" w:header="851" w:footer="850" w:gutter="0"/>
          <w:pgBorders>
            <w:top w:val="none" w:sz="0" w:space="0"/>
            <w:left w:val="none" w:sz="0" w:space="0"/>
            <w:bottom w:val="none" w:sz="0" w:space="0"/>
            <w:right w:val="none" w:sz="0" w:space="0"/>
          </w:pgBorders>
          <w:pgNumType w:fmt="decimal"/>
          <w:cols w:space="720" w:num="1"/>
          <w:rtlGutter w:val="0"/>
          <w:docGrid w:linePitch="312" w:charSpace="0"/>
        </w:sectPr>
      </w:pPr>
    </w:p>
    <w:p>
      <w:pPr>
        <w:pStyle w:val="6"/>
        <w:bidi w:val="0"/>
        <w:ind w:left="0" w:leftChars="0" w:firstLine="0" w:firstLineChars="0"/>
        <w:rPr>
          <w:color w:val="000000"/>
        </w:rPr>
      </w:pPr>
      <w:r>
        <w:rPr>
          <w:color w:val="000000"/>
        </w:rPr>
        <w:t xml:space="preserve">附件1 </w:t>
      </w:r>
      <w:r>
        <w:rPr>
          <w:rFonts w:hint="eastAsia"/>
          <w:color w:val="000000"/>
          <w:lang w:val="en-US" w:eastAsia="zh-CN"/>
        </w:rPr>
        <w:t xml:space="preserve"> </w:t>
      </w:r>
      <w:r>
        <w:rPr>
          <w:color w:val="000000"/>
        </w:rPr>
        <w:t xml:space="preserve"> 委托函</w:t>
      </w:r>
    </w:p>
    <w:p>
      <w:pPr>
        <w:spacing w:line="240" w:lineRule="auto"/>
        <w:ind w:left="0" w:leftChars="0" w:firstLine="0" w:firstLineChars="0"/>
        <w:jc w:val="both"/>
        <w:rPr>
          <w:rFonts w:hint="eastAsia" w:eastAsia="宋体"/>
          <w:b w:val="0"/>
          <w:bCs/>
          <w:color w:val="000000"/>
          <w:sz w:val="28"/>
          <w:szCs w:val="28"/>
          <w:lang w:eastAsia="zh-CN"/>
        </w:rPr>
      </w:pPr>
      <w:r>
        <w:drawing>
          <wp:inline distT="0" distB="0" distL="114300" distR="114300">
            <wp:extent cx="5756275" cy="6244590"/>
            <wp:effectExtent l="0" t="0" r="15875" b="381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27"/>
                    <a:stretch>
                      <a:fillRect/>
                    </a:stretch>
                  </pic:blipFill>
                  <pic:spPr>
                    <a:xfrm>
                      <a:off x="0" y="0"/>
                      <a:ext cx="5756275" cy="6244590"/>
                    </a:xfrm>
                    <a:prstGeom prst="rect">
                      <a:avLst/>
                    </a:prstGeom>
                    <a:noFill/>
                    <a:ln>
                      <a:noFill/>
                    </a:ln>
                  </pic:spPr>
                </pic:pic>
              </a:graphicData>
            </a:graphic>
          </wp:inline>
        </w:drawing>
      </w:r>
    </w:p>
    <w:p>
      <w:pPr>
        <w:spacing w:line="240" w:lineRule="auto"/>
        <w:jc w:val="center"/>
        <w:rPr>
          <w:rFonts w:hint="eastAsia" w:eastAsia="宋体"/>
          <w:b w:val="0"/>
          <w:bCs/>
          <w:color w:val="000000"/>
          <w:sz w:val="28"/>
          <w:szCs w:val="28"/>
          <w:lang w:eastAsia="zh-CN"/>
        </w:rPr>
      </w:pPr>
    </w:p>
    <w:p>
      <w:pPr>
        <w:pStyle w:val="29"/>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auto"/>
        <w:ind w:left="0" w:leftChars="0" w:firstLine="0" w:firstLineChars="0"/>
        <w:jc w:val="both"/>
        <w:textAlignment w:val="auto"/>
        <w:rPr>
          <w:rFonts w:ascii="Times New Roman" w:hAnsi="Times New Roman" w:eastAsia="黑体" w:cs="Times New Roman"/>
          <w:b/>
          <w:color w:val="000000"/>
          <w:kern w:val="2"/>
          <w:sz w:val="24"/>
          <w:szCs w:val="20"/>
          <w:lang w:val="en-US" w:eastAsia="zh-CN" w:bidi="ar-SA"/>
        </w:rPr>
      </w:pPr>
      <w:r>
        <w:rPr>
          <w:snapToGrid w:val="0"/>
          <w:color w:val="000000"/>
          <w:szCs w:val="24"/>
        </w:rPr>
        <w:br w:type="page"/>
      </w:r>
      <w:r>
        <w:rPr>
          <w:rStyle w:val="45"/>
          <w:rFonts w:hint="default" w:ascii="Times New Roman" w:hAnsi="Times New Roman" w:cs="Times New Roman"/>
          <w:lang w:val="en-US" w:eastAsia="zh-CN"/>
        </w:rPr>
        <w:t>附件2   建设单位营业执照</w:t>
      </w:r>
    </w:p>
    <w:p>
      <w:pPr>
        <w:pStyle w:val="29"/>
        <w:keepNext w:val="0"/>
        <w:keepLines w:val="0"/>
        <w:pageBreakBefore w:val="0"/>
        <w:widowControl/>
        <w:kinsoku/>
        <w:wordWrap/>
        <w:overflowPunct/>
        <w:topLinePunct w:val="0"/>
        <w:autoSpaceDE w:val="0"/>
        <w:autoSpaceDN w:val="0"/>
        <w:bidi w:val="0"/>
        <w:adjustRightInd w:val="0"/>
        <w:snapToGrid w:val="0"/>
        <w:spacing w:before="0" w:beforeAutospacing="0" w:after="0" w:afterAutospacing="0" w:line="360" w:lineRule="auto"/>
        <w:ind w:firstLine="0" w:firstLineChars="0"/>
        <w:jc w:val="both"/>
        <w:textAlignment w:val="auto"/>
        <w:rPr>
          <w:rFonts w:hint="default"/>
          <w:b/>
          <w:bCs/>
          <w:snapToGrid w:val="0"/>
          <w:color w:val="000000"/>
          <w:szCs w:val="24"/>
          <w:lang w:val="en-US" w:eastAsia="zh-CN"/>
        </w:rPr>
      </w:pPr>
      <w:r>
        <w:drawing>
          <wp:inline distT="0" distB="0" distL="114300" distR="114300">
            <wp:extent cx="5753100" cy="7061200"/>
            <wp:effectExtent l="0" t="0" r="0" b="6350"/>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28"/>
                    <a:stretch>
                      <a:fillRect/>
                    </a:stretch>
                  </pic:blipFill>
                  <pic:spPr>
                    <a:xfrm>
                      <a:off x="0" y="0"/>
                      <a:ext cx="5753100" cy="7061200"/>
                    </a:xfrm>
                    <a:prstGeom prst="rect">
                      <a:avLst/>
                    </a:prstGeom>
                    <a:noFill/>
                    <a:ln>
                      <a:noFill/>
                    </a:ln>
                  </pic:spPr>
                </pic:pic>
              </a:graphicData>
            </a:graphic>
          </wp:inline>
        </w:drawing>
      </w:r>
      <w:r>
        <w:rPr>
          <w:snapToGrid w:val="0"/>
          <w:color w:val="000000"/>
          <w:szCs w:val="24"/>
        </w:rPr>
        <w:br w:type="page"/>
      </w:r>
    </w:p>
    <w:p>
      <w:pPr>
        <w:pStyle w:val="6"/>
        <w:bidi w:val="0"/>
        <w:ind w:left="0" w:leftChars="0" w:firstLine="0" w:firstLineChars="0"/>
        <w:rPr>
          <w:rFonts w:hint="eastAsia" w:eastAsia="黑体"/>
          <w:color w:val="0000FF"/>
          <w:lang w:val="en-US" w:eastAsia="zh-CN"/>
        </w:rPr>
      </w:pPr>
      <w:r>
        <w:rPr>
          <w:rFonts w:hint="eastAsia"/>
          <w:color w:val="0000FF"/>
          <w:lang w:val="en-US" w:eastAsia="zh-CN"/>
        </w:rPr>
        <w:t>附件3  项目建设说明</w:t>
      </w:r>
    </w:p>
    <w:p>
      <w:pPr>
        <w:keepNext w:val="0"/>
        <w:keepLines w:val="0"/>
        <w:pageBreakBefore w:val="0"/>
        <w:widowControl w:val="0"/>
        <w:kinsoku/>
        <w:wordWrap/>
        <w:overflowPunct/>
        <w:topLinePunct w:val="0"/>
        <w:autoSpaceDE w:val="0"/>
        <w:autoSpaceDN w:val="0"/>
        <w:bidi w:val="0"/>
        <w:adjustRightInd w:val="0"/>
        <w:snapToGrid w:val="0"/>
        <w:ind w:firstLine="0" w:firstLineChars="0"/>
        <w:textAlignment w:val="auto"/>
        <w:rPr>
          <w:rFonts w:hint="eastAsia"/>
          <w:color w:val="000000"/>
          <w:lang w:eastAsia="zh-CN"/>
        </w:rPr>
      </w:pPr>
      <w:r>
        <w:drawing>
          <wp:inline distT="0" distB="0" distL="114300" distR="114300">
            <wp:extent cx="5756910" cy="6106795"/>
            <wp:effectExtent l="0" t="0" r="15240" b="8255"/>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29"/>
                    <a:stretch>
                      <a:fillRect/>
                    </a:stretch>
                  </pic:blipFill>
                  <pic:spPr>
                    <a:xfrm>
                      <a:off x="0" y="0"/>
                      <a:ext cx="5756910" cy="6106795"/>
                    </a:xfrm>
                    <a:prstGeom prst="rect">
                      <a:avLst/>
                    </a:prstGeom>
                    <a:noFill/>
                    <a:ln>
                      <a:noFill/>
                    </a:ln>
                  </pic:spPr>
                </pic:pic>
              </a:graphicData>
            </a:graphic>
          </wp:inline>
        </w:drawing>
      </w:r>
    </w:p>
    <w:p>
      <w:pPr>
        <w:pStyle w:val="29"/>
        <w:adjustRightInd w:val="0"/>
        <w:snapToGrid w:val="0"/>
        <w:spacing w:before="0" w:beforeAutospacing="0" w:after="0" w:afterAutospacing="0" w:line="360" w:lineRule="auto"/>
        <w:jc w:val="center"/>
        <w:rPr>
          <w:rFonts w:hint="eastAsia" w:eastAsia="宋体"/>
          <w:snapToGrid w:val="0"/>
          <w:color w:val="000000"/>
          <w:szCs w:val="24"/>
          <w:lang w:eastAsia="zh-CN"/>
        </w:rPr>
        <w:sectPr>
          <w:pgSz w:w="11906" w:h="16838"/>
          <w:pgMar w:top="1418" w:right="1418" w:bottom="1701" w:left="1418"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6"/>
        <w:bidi w:val="0"/>
        <w:ind w:left="0" w:leftChars="0" w:firstLine="0" w:firstLineChars="0"/>
        <w:rPr>
          <w:rFonts w:hint="eastAsia"/>
          <w:color w:val="000000"/>
          <w:lang w:val="en-US" w:eastAsia="zh-CN"/>
        </w:rPr>
      </w:pPr>
      <w:r>
        <w:rPr>
          <w:rFonts w:hint="eastAsia"/>
          <w:color w:val="000000"/>
          <w:lang w:val="en-US" w:eastAsia="zh-CN"/>
        </w:rPr>
        <w:t>附件4：宗地图</w:t>
      </w:r>
    </w:p>
    <w:p>
      <w:pPr>
        <w:pStyle w:val="7"/>
        <w:ind w:left="0" w:leftChars="0" w:firstLine="0" w:firstLineChars="0"/>
      </w:pPr>
      <w:r>
        <w:drawing>
          <wp:inline distT="0" distB="0" distL="114300" distR="114300">
            <wp:extent cx="5267325" cy="6229350"/>
            <wp:effectExtent l="0" t="0" r="952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0"/>
                    <a:stretch>
                      <a:fillRect/>
                    </a:stretch>
                  </pic:blipFill>
                  <pic:spPr>
                    <a:xfrm>
                      <a:off x="0" y="0"/>
                      <a:ext cx="5267325" cy="6229350"/>
                    </a:xfrm>
                    <a:prstGeom prst="rect">
                      <a:avLst/>
                    </a:prstGeom>
                    <a:noFill/>
                    <a:ln>
                      <a:noFill/>
                    </a:ln>
                  </pic:spPr>
                </pic:pic>
              </a:graphicData>
            </a:graphic>
          </wp:inline>
        </w:drawing>
      </w:r>
    </w:p>
    <w:p>
      <w:pPr>
        <w:sectPr>
          <w:footerReference r:id="rId8" w:type="default"/>
          <w:pgSz w:w="11906" w:h="16838"/>
          <w:pgMar w:top="1418" w:right="1418" w:bottom="1701" w:left="1418"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6"/>
        <w:bidi w:val="0"/>
        <w:ind w:left="0" w:leftChars="0" w:firstLine="0" w:firstLineChars="0"/>
        <w:rPr>
          <w:rFonts w:hint="eastAsia"/>
          <w:color w:val="000000"/>
          <w:lang w:val="en-US" w:eastAsia="zh-CN"/>
        </w:rPr>
      </w:pPr>
      <w:r>
        <w:rPr>
          <w:rFonts w:hint="eastAsia"/>
          <w:color w:val="000000"/>
          <w:lang w:val="en-US" w:eastAsia="zh-CN"/>
        </w:rPr>
        <w:t>附件5  现有医疗废物处置协议</w:t>
      </w:r>
    </w:p>
    <w:p>
      <w:pPr>
        <w:pStyle w:val="7"/>
        <w:ind w:left="0" w:leftChars="0" w:firstLine="0" w:firstLineChars="0"/>
        <w:rPr>
          <w:rFonts w:hint="eastAsia"/>
          <w:lang w:val="en-US" w:eastAsia="zh-CN"/>
        </w:rPr>
      </w:pPr>
      <w:r>
        <w:drawing>
          <wp:inline distT="0" distB="0" distL="114300" distR="114300">
            <wp:extent cx="5756910" cy="7786370"/>
            <wp:effectExtent l="0" t="0" r="15240" b="5080"/>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31"/>
                    <a:stretch>
                      <a:fillRect/>
                    </a:stretch>
                  </pic:blipFill>
                  <pic:spPr>
                    <a:xfrm>
                      <a:off x="0" y="0"/>
                      <a:ext cx="5756910" cy="7786370"/>
                    </a:xfrm>
                    <a:prstGeom prst="rect">
                      <a:avLst/>
                    </a:prstGeom>
                    <a:noFill/>
                    <a:ln>
                      <a:noFill/>
                    </a:ln>
                  </pic:spPr>
                </pic:pic>
              </a:graphicData>
            </a:graphic>
          </wp:inline>
        </w:drawing>
      </w:r>
      <w:r>
        <w:drawing>
          <wp:inline distT="0" distB="0" distL="114300" distR="114300">
            <wp:extent cx="5543550" cy="7810500"/>
            <wp:effectExtent l="0" t="0" r="0" b="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32"/>
                    <a:stretch>
                      <a:fillRect/>
                    </a:stretch>
                  </pic:blipFill>
                  <pic:spPr>
                    <a:xfrm>
                      <a:off x="0" y="0"/>
                      <a:ext cx="5543550" cy="7810500"/>
                    </a:xfrm>
                    <a:prstGeom prst="rect">
                      <a:avLst/>
                    </a:prstGeom>
                    <a:noFill/>
                    <a:ln>
                      <a:noFill/>
                    </a:ln>
                  </pic:spPr>
                </pic:pic>
              </a:graphicData>
            </a:graphic>
          </wp:inline>
        </w:drawing>
      </w:r>
    </w:p>
    <w:p>
      <w:pPr>
        <w:pStyle w:val="6"/>
        <w:bidi w:val="0"/>
        <w:ind w:left="0" w:leftChars="0" w:firstLine="0" w:firstLineChars="0"/>
        <w:rPr>
          <w:rFonts w:hint="eastAsia"/>
          <w:color w:val="000000"/>
          <w:lang w:val="en-US" w:eastAsia="zh-CN"/>
        </w:rPr>
      </w:pPr>
      <w:r>
        <w:rPr>
          <w:rFonts w:hint="eastAsia"/>
          <w:color w:val="000000"/>
          <w:lang w:val="en-US" w:eastAsia="zh-CN"/>
        </w:rPr>
        <w:t>附件六  监测报告</w:t>
      </w:r>
    </w:p>
    <w:p>
      <w:pPr>
        <w:pStyle w:val="7"/>
        <w:ind w:left="0" w:leftChars="0" w:firstLine="0" w:firstLineChars="0"/>
        <w:rPr>
          <w:rFonts w:hint="default"/>
          <w:lang w:val="en-US" w:eastAsia="zh-CN"/>
        </w:rPr>
      </w:pPr>
      <w:r>
        <w:drawing>
          <wp:inline distT="0" distB="0" distL="114300" distR="114300">
            <wp:extent cx="5757545" cy="7734935"/>
            <wp:effectExtent l="0" t="0" r="14605" b="1841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33"/>
                    <a:stretch>
                      <a:fillRect/>
                    </a:stretch>
                  </pic:blipFill>
                  <pic:spPr>
                    <a:xfrm>
                      <a:off x="0" y="0"/>
                      <a:ext cx="5757545" cy="7734935"/>
                    </a:xfrm>
                    <a:prstGeom prst="rect">
                      <a:avLst/>
                    </a:prstGeom>
                    <a:noFill/>
                    <a:ln>
                      <a:noFill/>
                    </a:ln>
                  </pic:spPr>
                </pic:pic>
              </a:graphicData>
            </a:graphic>
          </wp:inline>
        </w:drawing>
      </w:r>
      <w:r>
        <w:drawing>
          <wp:inline distT="0" distB="0" distL="114300" distR="114300">
            <wp:extent cx="5756910" cy="7902575"/>
            <wp:effectExtent l="0" t="0" r="15240" b="317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34"/>
                    <a:stretch>
                      <a:fillRect/>
                    </a:stretch>
                  </pic:blipFill>
                  <pic:spPr>
                    <a:xfrm>
                      <a:off x="0" y="0"/>
                      <a:ext cx="5756910" cy="7902575"/>
                    </a:xfrm>
                    <a:prstGeom prst="rect">
                      <a:avLst/>
                    </a:prstGeom>
                    <a:noFill/>
                    <a:ln>
                      <a:noFill/>
                    </a:ln>
                  </pic:spPr>
                </pic:pic>
              </a:graphicData>
            </a:graphic>
          </wp:inline>
        </w:drawing>
      </w:r>
      <w:r>
        <w:drawing>
          <wp:inline distT="0" distB="0" distL="114300" distR="114300">
            <wp:extent cx="5758180" cy="8117840"/>
            <wp:effectExtent l="0" t="0" r="13970" b="16510"/>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35"/>
                    <a:stretch>
                      <a:fillRect/>
                    </a:stretch>
                  </pic:blipFill>
                  <pic:spPr>
                    <a:xfrm>
                      <a:off x="0" y="0"/>
                      <a:ext cx="5758180" cy="8117840"/>
                    </a:xfrm>
                    <a:prstGeom prst="rect">
                      <a:avLst/>
                    </a:prstGeom>
                    <a:noFill/>
                    <a:ln>
                      <a:noFill/>
                    </a:ln>
                  </pic:spPr>
                </pic:pic>
              </a:graphicData>
            </a:graphic>
          </wp:inline>
        </w:drawing>
      </w:r>
      <w:r>
        <w:drawing>
          <wp:inline distT="0" distB="0" distL="114300" distR="114300">
            <wp:extent cx="5757545" cy="7862570"/>
            <wp:effectExtent l="0" t="0" r="14605" b="5080"/>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36"/>
                    <a:stretch>
                      <a:fillRect/>
                    </a:stretch>
                  </pic:blipFill>
                  <pic:spPr>
                    <a:xfrm>
                      <a:off x="0" y="0"/>
                      <a:ext cx="5757545" cy="7862570"/>
                    </a:xfrm>
                    <a:prstGeom prst="rect">
                      <a:avLst/>
                    </a:prstGeom>
                    <a:noFill/>
                    <a:ln>
                      <a:noFill/>
                    </a:ln>
                  </pic:spPr>
                </pic:pic>
              </a:graphicData>
            </a:graphic>
          </wp:inline>
        </w:drawing>
      </w:r>
      <w:r>
        <w:drawing>
          <wp:inline distT="0" distB="0" distL="114300" distR="114300">
            <wp:extent cx="5754370" cy="7843520"/>
            <wp:effectExtent l="0" t="0" r="17780" b="5080"/>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37"/>
                    <a:stretch>
                      <a:fillRect/>
                    </a:stretch>
                  </pic:blipFill>
                  <pic:spPr>
                    <a:xfrm>
                      <a:off x="0" y="0"/>
                      <a:ext cx="5754370" cy="7843520"/>
                    </a:xfrm>
                    <a:prstGeom prst="rect">
                      <a:avLst/>
                    </a:prstGeom>
                    <a:noFill/>
                    <a:ln>
                      <a:noFill/>
                    </a:ln>
                  </pic:spPr>
                </pic:pic>
              </a:graphicData>
            </a:graphic>
          </wp:inline>
        </w:drawing>
      </w:r>
      <w:r>
        <w:drawing>
          <wp:inline distT="0" distB="0" distL="114300" distR="114300">
            <wp:extent cx="5755005" cy="7793990"/>
            <wp:effectExtent l="0" t="0" r="17145" b="16510"/>
            <wp:docPr id="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pic:cNvPicPr>
                      <a:picLocks noChangeAspect="1"/>
                    </pic:cNvPicPr>
                  </pic:nvPicPr>
                  <pic:blipFill>
                    <a:blip r:embed="rId38"/>
                    <a:stretch>
                      <a:fillRect/>
                    </a:stretch>
                  </pic:blipFill>
                  <pic:spPr>
                    <a:xfrm>
                      <a:off x="0" y="0"/>
                      <a:ext cx="5755005" cy="7793990"/>
                    </a:xfrm>
                    <a:prstGeom prst="rect">
                      <a:avLst/>
                    </a:prstGeom>
                    <a:noFill/>
                    <a:ln>
                      <a:noFill/>
                    </a:ln>
                  </pic:spPr>
                </pic:pic>
              </a:graphicData>
            </a:graphic>
          </wp:inline>
        </w:drawing>
      </w:r>
      <w:r>
        <w:drawing>
          <wp:inline distT="0" distB="0" distL="114300" distR="114300">
            <wp:extent cx="5756910" cy="7847330"/>
            <wp:effectExtent l="0" t="0" r="15240" b="1270"/>
            <wp:docPr id="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39"/>
                    <a:stretch>
                      <a:fillRect/>
                    </a:stretch>
                  </pic:blipFill>
                  <pic:spPr>
                    <a:xfrm>
                      <a:off x="0" y="0"/>
                      <a:ext cx="5756910" cy="7847330"/>
                    </a:xfrm>
                    <a:prstGeom prst="rect">
                      <a:avLst/>
                    </a:prstGeom>
                    <a:noFill/>
                    <a:ln>
                      <a:noFill/>
                    </a:ln>
                  </pic:spPr>
                </pic:pic>
              </a:graphicData>
            </a:graphic>
          </wp:inline>
        </w:drawing>
      </w:r>
      <w:r>
        <w:drawing>
          <wp:inline distT="0" distB="0" distL="114300" distR="114300">
            <wp:extent cx="5758180" cy="7949565"/>
            <wp:effectExtent l="0" t="0" r="13970" b="13335"/>
            <wp:docPr id="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1"/>
                    </pic:cNvPicPr>
                  </pic:nvPicPr>
                  <pic:blipFill>
                    <a:blip r:embed="rId40"/>
                    <a:stretch>
                      <a:fillRect/>
                    </a:stretch>
                  </pic:blipFill>
                  <pic:spPr>
                    <a:xfrm>
                      <a:off x="0" y="0"/>
                      <a:ext cx="5758180" cy="7949565"/>
                    </a:xfrm>
                    <a:prstGeom prst="rect">
                      <a:avLst/>
                    </a:prstGeom>
                    <a:noFill/>
                    <a:ln>
                      <a:noFill/>
                    </a:ln>
                  </pic:spPr>
                </pic:pic>
              </a:graphicData>
            </a:graphic>
          </wp:inline>
        </w:drawing>
      </w:r>
      <w:r>
        <w:drawing>
          <wp:inline distT="0" distB="0" distL="114300" distR="114300">
            <wp:extent cx="5755640" cy="7942580"/>
            <wp:effectExtent l="0" t="0" r="16510" b="1270"/>
            <wp:docPr id="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pic:cNvPicPr>
                      <a:picLocks noChangeAspect="1"/>
                    </pic:cNvPicPr>
                  </pic:nvPicPr>
                  <pic:blipFill>
                    <a:blip r:embed="rId41"/>
                    <a:stretch>
                      <a:fillRect/>
                    </a:stretch>
                  </pic:blipFill>
                  <pic:spPr>
                    <a:xfrm>
                      <a:off x="0" y="0"/>
                      <a:ext cx="5755640" cy="7942580"/>
                    </a:xfrm>
                    <a:prstGeom prst="rect">
                      <a:avLst/>
                    </a:prstGeom>
                    <a:noFill/>
                    <a:ln>
                      <a:noFill/>
                    </a:ln>
                  </pic:spPr>
                </pic:pic>
              </a:graphicData>
            </a:graphic>
          </wp:inline>
        </w:drawing>
      </w:r>
      <w:r>
        <w:drawing>
          <wp:inline distT="0" distB="0" distL="114300" distR="114300">
            <wp:extent cx="5759450" cy="7831455"/>
            <wp:effectExtent l="0" t="0" r="12700" b="17145"/>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r:embed="rId42"/>
                    <a:stretch>
                      <a:fillRect/>
                    </a:stretch>
                  </pic:blipFill>
                  <pic:spPr>
                    <a:xfrm>
                      <a:off x="0" y="0"/>
                      <a:ext cx="5759450" cy="7831455"/>
                    </a:xfrm>
                    <a:prstGeom prst="rect">
                      <a:avLst/>
                    </a:prstGeom>
                    <a:noFill/>
                    <a:ln>
                      <a:noFill/>
                    </a:ln>
                  </pic:spPr>
                </pic:pic>
              </a:graphicData>
            </a:graphic>
          </wp:inline>
        </w:drawing>
      </w:r>
      <w:r>
        <w:drawing>
          <wp:inline distT="0" distB="0" distL="114300" distR="114300">
            <wp:extent cx="5756910" cy="7964805"/>
            <wp:effectExtent l="0" t="0" r="15240" b="17145"/>
            <wp:docPr id="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pic:cNvPicPr>
                      <a:picLocks noChangeAspect="1"/>
                    </pic:cNvPicPr>
                  </pic:nvPicPr>
                  <pic:blipFill>
                    <a:blip r:embed="rId43"/>
                    <a:stretch>
                      <a:fillRect/>
                    </a:stretch>
                  </pic:blipFill>
                  <pic:spPr>
                    <a:xfrm>
                      <a:off x="0" y="0"/>
                      <a:ext cx="5756910" cy="7964805"/>
                    </a:xfrm>
                    <a:prstGeom prst="rect">
                      <a:avLst/>
                    </a:prstGeom>
                    <a:noFill/>
                    <a:ln>
                      <a:noFill/>
                    </a:ln>
                  </pic:spPr>
                </pic:pic>
              </a:graphicData>
            </a:graphic>
          </wp:inline>
        </w:drawing>
      </w:r>
    </w:p>
    <w:p>
      <w:pPr>
        <w:pStyle w:val="216"/>
        <w:bidi w:val="0"/>
        <w:rPr>
          <w:rFonts w:hint="default"/>
          <w:b/>
          <w:bCs/>
          <w:snapToGrid w:val="0"/>
          <w:color w:val="000000"/>
          <w:szCs w:val="24"/>
          <w:lang w:val="en-US" w:eastAsia="zh-CN"/>
        </w:rPr>
      </w:pPr>
    </w:p>
    <w:sectPr>
      <w:pgSz w:w="11906" w:h="16838"/>
      <w:pgMar w:top="1418" w:right="1418" w:bottom="1701" w:left="1418"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EFF" w:usb1="C000785B" w:usb2="00000009" w:usb3="00000000" w:csb0="400001FF" w:csb1="FFFF0000"/>
  </w:font>
  <w:font w:name="方正楷体_GB2312">
    <w:altName w:val="楷体_GB2312"/>
    <w:panose1 w:val="02000000000000000000"/>
    <w:charset w:val="86"/>
    <w:family w:val="auto"/>
    <w:pitch w:val="default"/>
    <w:sig w:usb0="00000000" w:usb1="00000000" w:usb2="00000012" w:usb3="00000000" w:csb0="00040001" w:csb1="00000000"/>
  </w:font>
  <w:font w:name="楷体_GB2312">
    <w:panose1 w:val="02010609030101010101"/>
    <w:charset w:val="86"/>
    <w:family w:val="auto"/>
    <w:pitch w:val="default"/>
    <w:sig w:usb0="00000001" w:usb1="080E0000" w:usb2="00000000" w:usb3="00000000" w:csb0="00040000" w:csb1="00000000"/>
  </w:font>
  <w:font w:name="方正仿宋_GB2312">
    <w:altName w:val="方正仿宋_GBK"/>
    <w:panose1 w:val="02000000000000000000"/>
    <w:charset w:val="86"/>
    <w:family w:val="auto"/>
    <w:pitch w:val="default"/>
    <w:sig w:usb0="00000000" w:usb1="00000000" w:usb2="00000012" w:usb3="00000000" w:csb0="00040001" w:csb1="00000000"/>
  </w:font>
  <w:font w:name="方正仿宋_GBK">
    <w:panose1 w:val="02000000000000000000"/>
    <w:charset w:val="86"/>
    <w:family w:val="auto"/>
    <w:pitch w:val="default"/>
    <w:sig w:usb0="00000001" w:usb1="08000000" w:usb2="00000000" w:usb3="00000000" w:csb0="00040000" w:csb1="00000000"/>
  </w:font>
  <w:font w:name="楷体">
    <w:altName w:val="方正楷体_GBK"/>
    <w:panose1 w:val="02010609060101010101"/>
    <w:charset w:val="86"/>
    <w:family w:val="auto"/>
    <w:pitch w:val="default"/>
    <w:sig w:usb0="00000000" w:usb1="00000000" w:usb2="00000016" w:usb3="00000000" w:csb0="00040001" w:csb1="00000000"/>
  </w:font>
  <w:font w:name="方正楷体_GBK">
    <w:panose1 w:val="02000000000000000000"/>
    <w:charset w:val="86"/>
    <w:family w:val="auto"/>
    <w:pitch w:val="default"/>
    <w:sig w:usb0="00000001" w:usb1="08000000" w:usb2="00000000" w:usb3="00000000" w:csb0="00040000" w:csb1="00000000"/>
  </w:font>
  <w:font w:name="Tahoma">
    <w:altName w:val="DejaVu Sans"/>
    <w:panose1 w:val="020B0604030504040204"/>
    <w:charset w:val="00"/>
    <w:family w:val="swiss"/>
    <w:pitch w:val="default"/>
    <w:sig w:usb0="00000000" w:usb1="00000000" w:usb2="00000029" w:usb3="00000000" w:csb0="200101FF" w:csb1="20280000"/>
  </w:font>
  <w:font w:name="DejaVu Sans">
    <w:panose1 w:val="020B0603030804020204"/>
    <w:charset w:val="00"/>
    <w:family w:val="auto"/>
    <w:pitch w:val="default"/>
    <w:sig w:usb0="E7006EFF" w:usb1="D200FDFF" w:usb2="0A246029" w:usb3="0400200C" w:csb0="600001FF" w:csb1="DFFF0000"/>
  </w:font>
  <w:font w:name="Arial Unicode MS">
    <w:altName w:val="宋体"/>
    <w:panose1 w:val="020B0604020202020204"/>
    <w:charset w:val="86"/>
    <w:family w:val="swiss"/>
    <w:pitch w:val="default"/>
    <w:sig w:usb0="00000000" w:usb1="00000000" w:usb2="0000003F" w:usb3="00000000" w:csb0="603F01FF" w:csb1="FFFF0000"/>
  </w:font>
  <w:font w:name="Cambria">
    <w:altName w:val="FreeSerif"/>
    <w:panose1 w:val="02040503050406030204"/>
    <w:charset w:val="00"/>
    <w:family w:val="roman"/>
    <w:pitch w:val="default"/>
    <w:sig w:usb0="00000000" w:usb1="00000000" w:usb2="00000000" w:usb3="00000000" w:csb0="2000019F" w:csb1="00000000"/>
  </w:font>
  <w:font w:name="FreeSerif">
    <w:panose1 w:val="02020603050405020304"/>
    <w:charset w:val="00"/>
    <w:family w:val="auto"/>
    <w:pitch w:val="default"/>
    <w:sig w:usb0="E59FAFFF" w:usb1="C200FDFF" w:usb2="43501B29" w:usb3="04000043" w:csb0="600101FF" w:csb1="FFFF0000"/>
  </w:font>
  <w:font w:name="微软雅黑">
    <w:altName w:val="黑体"/>
    <w:panose1 w:val="020B0503020204020204"/>
    <w:charset w:val="86"/>
    <w:family w:val="auto"/>
    <w:pitch w:val="default"/>
    <w:sig w:usb0="00000000" w:usb1="00000000" w:usb2="00000016" w:usb3="00000000" w:csb0="0004001F" w:csb1="00000000"/>
  </w:font>
  <w:font w:name="方正黑体简体">
    <w:altName w:val="方正黑体_GBK"/>
    <w:panose1 w:val="02000000000000000000"/>
    <w:charset w:val="86"/>
    <w:family w:val="auto"/>
    <w:pitch w:val="default"/>
    <w:sig w:usb0="00000000" w:usb1="00000000" w:usb2="00000012" w:usb3="00000000" w:csb0="00040001" w:csb1="00000000"/>
  </w:font>
  <w:font w:name="方正黑体_GBK">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mc:AlternateContent>
        <mc:Choice Requires="wps">
          <w:drawing>
            <wp:anchor distT="0" distB="0" distL="114300" distR="114300" simplePos="0" relativeHeight="251661312" behindDoc="0" locked="0" layoutInCell="1" allowOverlap="1">
              <wp:simplePos x="0" y="0"/>
              <wp:positionH relativeFrom="margin">
                <wp:posOffset>2613025</wp:posOffset>
              </wp:positionH>
              <wp:positionV relativeFrom="paragraph">
                <wp:posOffset>43815</wp:posOffset>
              </wp:positionV>
              <wp:extent cx="1828800" cy="1828800"/>
              <wp:effectExtent l="0" t="0" r="0" b="0"/>
              <wp:wrapNone/>
              <wp:docPr id="41" name="文本框 30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id="文本框 3079" o:spid="_x0000_s1026" o:spt="202" type="#_x0000_t202" style="position:absolute;left:0pt;margin-left:205.75pt;margin-top:3.45pt;height:144pt;width:144pt;mso-position-horizontal-relative:margin;mso-wrap-style:none;z-index:251661312;mso-width-relative:page;mso-height-relative:page;" filled="f" stroked="f" coordsize="21600,21600" o:gfxdata="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">
              <v:fill on="f" focussize="0,0"/>
              <v:stroke on="f"/>
              <v:imagedata o:title=""/>
              <o:lock v:ext="edit" aspectratio="f"/>
              <v:textbox inset="0mm,0mm,0mm,0mm" style="mso-fit-shape-to-text:t;">
                <w:txbxContent>
                  <w:p>
                    <w:pPr>
                      <w:pStyle w:val="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30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
                          </w:pPr>
                          <w:r>
                            <w:fldChar w:fldCharType="begin"/>
                          </w:r>
                          <w:r>
                            <w:instrText xml:space="preserve"> PAGE  \* MERGEFORMAT </w:instrText>
                          </w:r>
                          <w:r>
                            <w:fldChar w:fldCharType="separate"/>
                          </w:r>
                          <w:r>
                            <w:t>42</w:t>
                          </w:r>
                          <w:r>
                            <w:fldChar w:fldCharType="end"/>
                          </w:r>
                        </w:p>
                      </w:txbxContent>
                    </wps:txbx>
                    <wps:bodyPr vert="horz" wrap="none" lIns="0" tIns="0" rIns="0" bIns="0" anchor="t" anchorCtr="0" upright="0">
                      <a:spAutoFit/>
                    </wps:bodyPr>
                  </wps:wsp>
                </a:graphicData>
              </a:graphic>
            </wp:anchor>
          </w:drawing>
        </mc:Choice>
        <mc:Fallback>
          <w:pict>
            <v:shape id="文本框 3077"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">
              <v:fill on="f" focussize="0,0"/>
              <v:stroke on="f"/>
              <v:imagedata o:title=""/>
              <o:lock v:ext="edit" aspectratio="f"/>
              <v:textbox inset="0mm,0mm,0mm,0mm" style="mso-fit-shape-to-text:t;">
                <w:txbxContent>
                  <w:p>
                    <w:pPr>
                      <w:pStyle w:val="2"/>
                    </w:pPr>
                    <w:r>
                      <w:fldChar w:fldCharType="begin"/>
                    </w:r>
                    <w:r>
                      <w:instrText xml:space="preserve"> PAGE  \* MERGEFORMAT </w:instrText>
                    </w:r>
                    <w:r>
                      <w:fldChar w:fldCharType="separate"/>
                    </w:r>
                    <w:r>
                      <w:t>42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30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
                          </w:pPr>
                          <w:r>
                            <w:fldChar w:fldCharType="begin"/>
                          </w:r>
                          <w:r>
                            <w:instrText xml:space="preserve"> PAGE  \* MERGEFORMAT </w:instrText>
                          </w:r>
                          <w:r>
                            <w:fldChar w:fldCharType="separate"/>
                          </w:r>
                          <w:r>
                            <w:t>43</w:t>
                          </w:r>
                          <w:r>
                            <w:fldChar w:fldCharType="end"/>
                          </w:r>
                        </w:p>
                      </w:txbxContent>
                    </wps:txbx>
                    <wps:bodyPr vert="horz" wrap="none" lIns="0" tIns="0" rIns="0" bIns="0" anchor="t" anchorCtr="0" upright="0">
                      <a:spAutoFit/>
                    </wps:bodyPr>
                  </wps:wsp>
                </a:graphicData>
              </a:graphic>
            </wp:anchor>
          </w:drawing>
        </mc:Choice>
        <mc:Fallback>
          <w:pict>
            <v:shape id="文本框 3078"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">
              <v:fill on="f" focussize="0,0"/>
              <v:stroke on="f"/>
              <v:imagedata o:title=""/>
              <o:lock v:ext="edit" aspectratio="f"/>
              <v:textbox inset="0mm,0mm,0mm,0mm" style="mso-fit-shape-to-text:t;">
                <w:txbxContent>
                  <w:p>
                    <w:pPr>
                      <w:pStyle w:val="2"/>
                    </w:pPr>
                    <w:r>
                      <w:fldChar w:fldCharType="begin"/>
                    </w:r>
                    <w:r>
                      <w:instrText xml:space="preserve"> PAGE  \* MERGEFORMAT </w:instrText>
                    </w:r>
                    <w:r>
                      <w:fldChar w:fldCharType="separate"/>
                    </w:r>
                    <w:r>
                      <w:t>43</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
                          </w:pPr>
                          <w:r>
                            <w:fldChar w:fldCharType="begin"/>
                          </w:r>
                          <w:r>
                            <w:instrText xml:space="preserve"> PAGE  \* MERGEFORMAT </w:instrText>
                          </w:r>
                          <w:r>
                            <w:fldChar w:fldCharType="separate"/>
                          </w:r>
                          <w:r>
                            <w:t>85</w:t>
                          </w:r>
                          <w:r>
                            <w:fldChar w:fldCharType="end"/>
                          </w:r>
                        </w:p>
                      </w:txbxContent>
                    </wps:txbx>
                    <wps:bodyPr vert="horz" wrap="none" lIns="0" tIns="0" rIns="0" bIns="0" anchor="t" anchorCtr="0" upright="0">
                      <a:spAutoFit/>
                    </wps:bodyPr>
                  </wps:wsp>
                </a:graphicData>
              </a:graphic>
            </wp:anchor>
          </w:drawing>
        </mc:Choice>
        <mc:Fallback>
          <w:pict>
            <v:shape id="文本框 8"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">
              <v:fill on="f" focussize="0,0"/>
              <v:stroke on="f"/>
              <v:imagedata o:title=""/>
              <o:lock v:ext="edit" aspectratio="f"/>
              <v:textbox inset="0mm,0mm,0mm,0mm" style="mso-fit-shape-to-text:t;">
                <w:txbxContent>
                  <w:p>
                    <w:pPr>
                      <w:pStyle w:val="2"/>
                    </w:pPr>
                    <w:r>
                      <w:fldChar w:fldCharType="begin"/>
                    </w:r>
                    <w:r>
                      <w:instrText xml:space="preserve"> PAGE  \* MERGEFORMAT </w:instrText>
                    </w:r>
                    <w:r>
                      <w:fldChar w:fldCharType="separate"/>
                    </w:r>
                    <w:r>
                      <w:t>85</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863A4C"/>
    <w:multiLevelType w:val="singleLevel"/>
    <w:tmpl w:val="B6863A4C"/>
    <w:lvl w:ilvl="0" w:tentative="0">
      <w:start w:val="6"/>
      <w:numFmt w:val="decimal"/>
      <w:suff w:val="nothing"/>
      <w:lvlText w:val="%1、"/>
      <w:lvlJc w:val="left"/>
    </w:lvl>
  </w:abstractNum>
  <w:abstractNum w:abstractNumId="1">
    <w:nsid w:val="C5C9453D"/>
    <w:multiLevelType w:val="singleLevel"/>
    <w:tmpl w:val="C5C9453D"/>
    <w:lvl w:ilvl="0" w:tentative="0">
      <w:start w:val="4"/>
      <w:numFmt w:val="decimal"/>
      <w:suff w:val="nothing"/>
      <w:lvlText w:val="%1、"/>
      <w:lvlJc w:val="left"/>
    </w:lvl>
  </w:abstractNum>
  <w:abstractNum w:abstractNumId="2">
    <w:nsid w:val="25F0DFE1"/>
    <w:multiLevelType w:val="singleLevel"/>
    <w:tmpl w:val="25F0DFE1"/>
    <w:lvl w:ilvl="0" w:tentative="0">
      <w:start w:val="3"/>
      <w:numFmt w:val="decimal"/>
      <w:suff w:val="nothing"/>
      <w:lvlText w:val="（%1）"/>
      <w:lvlJc w:val="left"/>
    </w:lvl>
  </w:abstractNum>
  <w:abstractNum w:abstractNumId="3">
    <w:nsid w:val="4C4739D8"/>
    <w:multiLevelType w:val="singleLevel"/>
    <w:tmpl w:val="4C4739D8"/>
    <w:lvl w:ilvl="0" w:tentative="0">
      <w:start w:val="1"/>
      <w:numFmt w:val="bullet"/>
      <w:pStyle w:val="16"/>
      <w:lvlText w:val=""/>
      <w:lvlJc w:val="left"/>
      <w:pPr>
        <w:tabs>
          <w:tab w:val="left" w:pos="2040"/>
        </w:tabs>
        <w:ind w:left="2040" w:hanging="360"/>
      </w:pPr>
      <w:rPr>
        <w:rFonts w:hint="default" w:ascii="Wingdings" w:hAnsi="Wingdings"/>
      </w:r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lmYjgzNzE4ZWQ5ZjkzMTgwMmVlOGM5OGVhYWIzOTQifQ=="/>
  </w:docVars>
  <w:rsids>
    <w:rsidRoot w:val="00A14947"/>
    <w:rsid w:val="00001B61"/>
    <w:rsid w:val="00002B02"/>
    <w:rsid w:val="000060B3"/>
    <w:rsid w:val="00015E2C"/>
    <w:rsid w:val="000163D6"/>
    <w:rsid w:val="00030400"/>
    <w:rsid w:val="0003524F"/>
    <w:rsid w:val="0003715F"/>
    <w:rsid w:val="00041833"/>
    <w:rsid w:val="0004364B"/>
    <w:rsid w:val="00046EF1"/>
    <w:rsid w:val="0004785E"/>
    <w:rsid w:val="00050402"/>
    <w:rsid w:val="00057948"/>
    <w:rsid w:val="000607CA"/>
    <w:rsid w:val="00061B1F"/>
    <w:rsid w:val="00064D98"/>
    <w:rsid w:val="000666EA"/>
    <w:rsid w:val="00071956"/>
    <w:rsid w:val="000733C4"/>
    <w:rsid w:val="00074783"/>
    <w:rsid w:val="0008070B"/>
    <w:rsid w:val="000810AC"/>
    <w:rsid w:val="000813F6"/>
    <w:rsid w:val="00081A02"/>
    <w:rsid w:val="00082231"/>
    <w:rsid w:val="00082443"/>
    <w:rsid w:val="00092D38"/>
    <w:rsid w:val="0009377B"/>
    <w:rsid w:val="000A20C9"/>
    <w:rsid w:val="000A3823"/>
    <w:rsid w:val="000B058F"/>
    <w:rsid w:val="000B4467"/>
    <w:rsid w:val="000B4DB9"/>
    <w:rsid w:val="000C09AC"/>
    <w:rsid w:val="000C1FF9"/>
    <w:rsid w:val="000C319A"/>
    <w:rsid w:val="000C5A05"/>
    <w:rsid w:val="000C767F"/>
    <w:rsid w:val="000D04D1"/>
    <w:rsid w:val="000D1386"/>
    <w:rsid w:val="000D3514"/>
    <w:rsid w:val="000D4FAF"/>
    <w:rsid w:val="000D5A44"/>
    <w:rsid w:val="000D6547"/>
    <w:rsid w:val="000E3ED2"/>
    <w:rsid w:val="000E6B75"/>
    <w:rsid w:val="000F1FC9"/>
    <w:rsid w:val="000F79A5"/>
    <w:rsid w:val="0010419C"/>
    <w:rsid w:val="00110B56"/>
    <w:rsid w:val="00114002"/>
    <w:rsid w:val="001216BD"/>
    <w:rsid w:val="00124B66"/>
    <w:rsid w:val="00130660"/>
    <w:rsid w:val="00130EDE"/>
    <w:rsid w:val="00131F42"/>
    <w:rsid w:val="00133C21"/>
    <w:rsid w:val="001357F1"/>
    <w:rsid w:val="00136243"/>
    <w:rsid w:val="00140FA8"/>
    <w:rsid w:val="00142FEB"/>
    <w:rsid w:val="001438A9"/>
    <w:rsid w:val="00143A2D"/>
    <w:rsid w:val="00145A41"/>
    <w:rsid w:val="00151675"/>
    <w:rsid w:val="0015530A"/>
    <w:rsid w:val="00155CF1"/>
    <w:rsid w:val="00157435"/>
    <w:rsid w:val="00157892"/>
    <w:rsid w:val="00174909"/>
    <w:rsid w:val="0017504D"/>
    <w:rsid w:val="0017671A"/>
    <w:rsid w:val="00177422"/>
    <w:rsid w:val="001800F6"/>
    <w:rsid w:val="00180F0B"/>
    <w:rsid w:val="00184590"/>
    <w:rsid w:val="001870D1"/>
    <w:rsid w:val="0018781E"/>
    <w:rsid w:val="0019262D"/>
    <w:rsid w:val="00194CEC"/>
    <w:rsid w:val="001A1B35"/>
    <w:rsid w:val="001A48A2"/>
    <w:rsid w:val="001A6BCF"/>
    <w:rsid w:val="001A6F61"/>
    <w:rsid w:val="001B0B1F"/>
    <w:rsid w:val="001B3937"/>
    <w:rsid w:val="001B3F02"/>
    <w:rsid w:val="001B72B8"/>
    <w:rsid w:val="001C5E2A"/>
    <w:rsid w:val="001C69B3"/>
    <w:rsid w:val="001D0969"/>
    <w:rsid w:val="001D5595"/>
    <w:rsid w:val="001D5FB4"/>
    <w:rsid w:val="001D683F"/>
    <w:rsid w:val="001D7874"/>
    <w:rsid w:val="001D7F22"/>
    <w:rsid w:val="001E698D"/>
    <w:rsid w:val="001F0F17"/>
    <w:rsid w:val="001F1448"/>
    <w:rsid w:val="001F3347"/>
    <w:rsid w:val="001F3ADA"/>
    <w:rsid w:val="001F69E4"/>
    <w:rsid w:val="001F6A6C"/>
    <w:rsid w:val="0020074F"/>
    <w:rsid w:val="00204E5B"/>
    <w:rsid w:val="00207187"/>
    <w:rsid w:val="002125B4"/>
    <w:rsid w:val="00213C82"/>
    <w:rsid w:val="002155B8"/>
    <w:rsid w:val="00220A3E"/>
    <w:rsid w:val="0022292B"/>
    <w:rsid w:val="00224839"/>
    <w:rsid w:val="002249B2"/>
    <w:rsid w:val="00226574"/>
    <w:rsid w:val="002278EC"/>
    <w:rsid w:val="0023126F"/>
    <w:rsid w:val="0023280E"/>
    <w:rsid w:val="00233B75"/>
    <w:rsid w:val="0023625C"/>
    <w:rsid w:val="002377D1"/>
    <w:rsid w:val="002410AE"/>
    <w:rsid w:val="002426B5"/>
    <w:rsid w:val="002506BC"/>
    <w:rsid w:val="00252449"/>
    <w:rsid w:val="00254345"/>
    <w:rsid w:val="002606DC"/>
    <w:rsid w:val="00261898"/>
    <w:rsid w:val="00263FFA"/>
    <w:rsid w:val="00264557"/>
    <w:rsid w:val="00264D8B"/>
    <w:rsid w:val="002667DD"/>
    <w:rsid w:val="00267728"/>
    <w:rsid w:val="00270A5A"/>
    <w:rsid w:val="00270BE1"/>
    <w:rsid w:val="002805AB"/>
    <w:rsid w:val="00284204"/>
    <w:rsid w:val="00285085"/>
    <w:rsid w:val="00290BC8"/>
    <w:rsid w:val="00291773"/>
    <w:rsid w:val="0029614F"/>
    <w:rsid w:val="002A168C"/>
    <w:rsid w:val="002A3DC7"/>
    <w:rsid w:val="002A6A4C"/>
    <w:rsid w:val="002B49E2"/>
    <w:rsid w:val="002B7B00"/>
    <w:rsid w:val="002B7C44"/>
    <w:rsid w:val="002C2B17"/>
    <w:rsid w:val="002C3044"/>
    <w:rsid w:val="002C61F7"/>
    <w:rsid w:val="002D3DD0"/>
    <w:rsid w:val="002D74EA"/>
    <w:rsid w:val="002E1F3A"/>
    <w:rsid w:val="002E298A"/>
    <w:rsid w:val="002E2C57"/>
    <w:rsid w:val="002F7297"/>
    <w:rsid w:val="00301978"/>
    <w:rsid w:val="0030332C"/>
    <w:rsid w:val="003051C2"/>
    <w:rsid w:val="00310659"/>
    <w:rsid w:val="00311DC5"/>
    <w:rsid w:val="00312296"/>
    <w:rsid w:val="0031293A"/>
    <w:rsid w:val="00314F0E"/>
    <w:rsid w:val="0031730B"/>
    <w:rsid w:val="003218C6"/>
    <w:rsid w:val="00321D8E"/>
    <w:rsid w:val="00323438"/>
    <w:rsid w:val="003235CB"/>
    <w:rsid w:val="00325928"/>
    <w:rsid w:val="003300FF"/>
    <w:rsid w:val="00332863"/>
    <w:rsid w:val="0033684D"/>
    <w:rsid w:val="00337B42"/>
    <w:rsid w:val="003403ED"/>
    <w:rsid w:val="00341B42"/>
    <w:rsid w:val="0034348F"/>
    <w:rsid w:val="00346767"/>
    <w:rsid w:val="00356653"/>
    <w:rsid w:val="0035743F"/>
    <w:rsid w:val="00357BE2"/>
    <w:rsid w:val="00360047"/>
    <w:rsid w:val="0036077C"/>
    <w:rsid w:val="0036170C"/>
    <w:rsid w:val="00363300"/>
    <w:rsid w:val="003637EC"/>
    <w:rsid w:val="00366E0F"/>
    <w:rsid w:val="0037132B"/>
    <w:rsid w:val="003775AE"/>
    <w:rsid w:val="00381A72"/>
    <w:rsid w:val="00382DEE"/>
    <w:rsid w:val="00384676"/>
    <w:rsid w:val="00384B9C"/>
    <w:rsid w:val="00385000"/>
    <w:rsid w:val="00387267"/>
    <w:rsid w:val="00390857"/>
    <w:rsid w:val="0039501E"/>
    <w:rsid w:val="003A3BFF"/>
    <w:rsid w:val="003A4888"/>
    <w:rsid w:val="003A4BF3"/>
    <w:rsid w:val="003A4DB8"/>
    <w:rsid w:val="003B420D"/>
    <w:rsid w:val="003B77C6"/>
    <w:rsid w:val="003C6C16"/>
    <w:rsid w:val="003D08B8"/>
    <w:rsid w:val="003D1420"/>
    <w:rsid w:val="003D794D"/>
    <w:rsid w:val="003E3058"/>
    <w:rsid w:val="003E4BA6"/>
    <w:rsid w:val="003E51A7"/>
    <w:rsid w:val="003E76A9"/>
    <w:rsid w:val="003F0148"/>
    <w:rsid w:val="003F0809"/>
    <w:rsid w:val="003F1A63"/>
    <w:rsid w:val="003F31AC"/>
    <w:rsid w:val="003F6A8C"/>
    <w:rsid w:val="003F755C"/>
    <w:rsid w:val="003F791B"/>
    <w:rsid w:val="003F7A19"/>
    <w:rsid w:val="004059B5"/>
    <w:rsid w:val="00406F01"/>
    <w:rsid w:val="00407F50"/>
    <w:rsid w:val="004165B9"/>
    <w:rsid w:val="00416D50"/>
    <w:rsid w:val="00416FD5"/>
    <w:rsid w:val="00417173"/>
    <w:rsid w:val="00417772"/>
    <w:rsid w:val="00420E6A"/>
    <w:rsid w:val="00423F5F"/>
    <w:rsid w:val="004250BA"/>
    <w:rsid w:val="00425A9E"/>
    <w:rsid w:val="00425F4E"/>
    <w:rsid w:val="00426D6B"/>
    <w:rsid w:val="00431B1A"/>
    <w:rsid w:val="00431E6C"/>
    <w:rsid w:val="00433CE7"/>
    <w:rsid w:val="00442614"/>
    <w:rsid w:val="00446A40"/>
    <w:rsid w:val="0045152D"/>
    <w:rsid w:val="0045270E"/>
    <w:rsid w:val="00452738"/>
    <w:rsid w:val="00456091"/>
    <w:rsid w:val="00460D2E"/>
    <w:rsid w:val="00466321"/>
    <w:rsid w:val="00471E6B"/>
    <w:rsid w:val="0047295C"/>
    <w:rsid w:val="00473311"/>
    <w:rsid w:val="004751E2"/>
    <w:rsid w:val="00477556"/>
    <w:rsid w:val="00484B9B"/>
    <w:rsid w:val="004855F6"/>
    <w:rsid w:val="0048661E"/>
    <w:rsid w:val="004940F1"/>
    <w:rsid w:val="00494670"/>
    <w:rsid w:val="00496DA9"/>
    <w:rsid w:val="004A2946"/>
    <w:rsid w:val="004A348D"/>
    <w:rsid w:val="004A3823"/>
    <w:rsid w:val="004A65A7"/>
    <w:rsid w:val="004B1098"/>
    <w:rsid w:val="004B2840"/>
    <w:rsid w:val="004D38CE"/>
    <w:rsid w:val="004D397F"/>
    <w:rsid w:val="004D4080"/>
    <w:rsid w:val="004D707E"/>
    <w:rsid w:val="004E3101"/>
    <w:rsid w:val="004E3FD7"/>
    <w:rsid w:val="004E6946"/>
    <w:rsid w:val="004E7A00"/>
    <w:rsid w:val="004F1AD8"/>
    <w:rsid w:val="005039CB"/>
    <w:rsid w:val="0050558F"/>
    <w:rsid w:val="0050559F"/>
    <w:rsid w:val="00505CBD"/>
    <w:rsid w:val="00505E7C"/>
    <w:rsid w:val="00506286"/>
    <w:rsid w:val="00510813"/>
    <w:rsid w:val="00511990"/>
    <w:rsid w:val="00511DE0"/>
    <w:rsid w:val="00514405"/>
    <w:rsid w:val="00514870"/>
    <w:rsid w:val="00514B9B"/>
    <w:rsid w:val="00515C5E"/>
    <w:rsid w:val="00517F02"/>
    <w:rsid w:val="00520E8E"/>
    <w:rsid w:val="00522102"/>
    <w:rsid w:val="00523EB0"/>
    <w:rsid w:val="00524303"/>
    <w:rsid w:val="005258A2"/>
    <w:rsid w:val="005337E9"/>
    <w:rsid w:val="00534D75"/>
    <w:rsid w:val="005401AE"/>
    <w:rsid w:val="00542B40"/>
    <w:rsid w:val="00542E07"/>
    <w:rsid w:val="00545424"/>
    <w:rsid w:val="005506F9"/>
    <w:rsid w:val="00554A7B"/>
    <w:rsid w:val="0055572C"/>
    <w:rsid w:val="005572A1"/>
    <w:rsid w:val="0056106A"/>
    <w:rsid w:val="005720AE"/>
    <w:rsid w:val="00572582"/>
    <w:rsid w:val="00573406"/>
    <w:rsid w:val="0057604E"/>
    <w:rsid w:val="00576D6B"/>
    <w:rsid w:val="00576D89"/>
    <w:rsid w:val="00580C12"/>
    <w:rsid w:val="0058177B"/>
    <w:rsid w:val="00584B3D"/>
    <w:rsid w:val="0058523E"/>
    <w:rsid w:val="00586FEC"/>
    <w:rsid w:val="0059215D"/>
    <w:rsid w:val="00594B0F"/>
    <w:rsid w:val="00594D77"/>
    <w:rsid w:val="00595787"/>
    <w:rsid w:val="005969E4"/>
    <w:rsid w:val="005A06B7"/>
    <w:rsid w:val="005A1759"/>
    <w:rsid w:val="005A2B4F"/>
    <w:rsid w:val="005A4313"/>
    <w:rsid w:val="005A4881"/>
    <w:rsid w:val="005A68A7"/>
    <w:rsid w:val="005A6E3E"/>
    <w:rsid w:val="005A7208"/>
    <w:rsid w:val="005B19CD"/>
    <w:rsid w:val="005B57BC"/>
    <w:rsid w:val="005C1CB6"/>
    <w:rsid w:val="005C1E6D"/>
    <w:rsid w:val="005C7172"/>
    <w:rsid w:val="005D36AB"/>
    <w:rsid w:val="005E41ED"/>
    <w:rsid w:val="005F282D"/>
    <w:rsid w:val="005F769A"/>
    <w:rsid w:val="00603542"/>
    <w:rsid w:val="006073BB"/>
    <w:rsid w:val="00607C59"/>
    <w:rsid w:val="00611591"/>
    <w:rsid w:val="00612345"/>
    <w:rsid w:val="006140F3"/>
    <w:rsid w:val="00615A56"/>
    <w:rsid w:val="00617CA9"/>
    <w:rsid w:val="00617CC3"/>
    <w:rsid w:val="00631A7F"/>
    <w:rsid w:val="006377A6"/>
    <w:rsid w:val="00637A3D"/>
    <w:rsid w:val="00640633"/>
    <w:rsid w:val="006411EF"/>
    <w:rsid w:val="006416BA"/>
    <w:rsid w:val="00644B7F"/>
    <w:rsid w:val="00644B98"/>
    <w:rsid w:val="00650E0F"/>
    <w:rsid w:val="006649F4"/>
    <w:rsid w:val="00671E4B"/>
    <w:rsid w:val="006748B8"/>
    <w:rsid w:val="00675118"/>
    <w:rsid w:val="006775C3"/>
    <w:rsid w:val="006822C3"/>
    <w:rsid w:val="0068429B"/>
    <w:rsid w:val="00685260"/>
    <w:rsid w:val="006927FD"/>
    <w:rsid w:val="0069290A"/>
    <w:rsid w:val="0069518B"/>
    <w:rsid w:val="0069775A"/>
    <w:rsid w:val="00697813"/>
    <w:rsid w:val="006A08E5"/>
    <w:rsid w:val="006A3EE8"/>
    <w:rsid w:val="006A72BF"/>
    <w:rsid w:val="006A778E"/>
    <w:rsid w:val="006B03F2"/>
    <w:rsid w:val="006B37DC"/>
    <w:rsid w:val="006B4F68"/>
    <w:rsid w:val="006B7694"/>
    <w:rsid w:val="006C0592"/>
    <w:rsid w:val="006C0889"/>
    <w:rsid w:val="006C272E"/>
    <w:rsid w:val="006C4D94"/>
    <w:rsid w:val="006C51A1"/>
    <w:rsid w:val="006C5479"/>
    <w:rsid w:val="006C7715"/>
    <w:rsid w:val="006D13B5"/>
    <w:rsid w:val="006D62EC"/>
    <w:rsid w:val="006D63C5"/>
    <w:rsid w:val="006E12FF"/>
    <w:rsid w:val="006E607E"/>
    <w:rsid w:val="006E77F0"/>
    <w:rsid w:val="006F4C29"/>
    <w:rsid w:val="007007DA"/>
    <w:rsid w:val="00700F70"/>
    <w:rsid w:val="00702F09"/>
    <w:rsid w:val="00703C50"/>
    <w:rsid w:val="00706C5D"/>
    <w:rsid w:val="00716075"/>
    <w:rsid w:val="00721327"/>
    <w:rsid w:val="00721592"/>
    <w:rsid w:val="00732922"/>
    <w:rsid w:val="0075162E"/>
    <w:rsid w:val="00751902"/>
    <w:rsid w:val="0075194C"/>
    <w:rsid w:val="00754034"/>
    <w:rsid w:val="007550D0"/>
    <w:rsid w:val="0075532C"/>
    <w:rsid w:val="00756556"/>
    <w:rsid w:val="007618C4"/>
    <w:rsid w:val="00762106"/>
    <w:rsid w:val="00766051"/>
    <w:rsid w:val="00767208"/>
    <w:rsid w:val="00767980"/>
    <w:rsid w:val="00770B19"/>
    <w:rsid w:val="0077463F"/>
    <w:rsid w:val="007770E9"/>
    <w:rsid w:val="007829BF"/>
    <w:rsid w:val="007836EA"/>
    <w:rsid w:val="00784609"/>
    <w:rsid w:val="00784CDA"/>
    <w:rsid w:val="0078710F"/>
    <w:rsid w:val="007906C4"/>
    <w:rsid w:val="007914A6"/>
    <w:rsid w:val="00791990"/>
    <w:rsid w:val="007940EA"/>
    <w:rsid w:val="007967E8"/>
    <w:rsid w:val="00796D66"/>
    <w:rsid w:val="007A0BE0"/>
    <w:rsid w:val="007A2170"/>
    <w:rsid w:val="007A22BF"/>
    <w:rsid w:val="007A3323"/>
    <w:rsid w:val="007A4EEE"/>
    <w:rsid w:val="007B1DB4"/>
    <w:rsid w:val="007B4776"/>
    <w:rsid w:val="007B72B8"/>
    <w:rsid w:val="007B7A58"/>
    <w:rsid w:val="007C21B5"/>
    <w:rsid w:val="007D13C0"/>
    <w:rsid w:val="007D7925"/>
    <w:rsid w:val="007E050B"/>
    <w:rsid w:val="007E0A6F"/>
    <w:rsid w:val="007E3D71"/>
    <w:rsid w:val="007E4BD2"/>
    <w:rsid w:val="007F223F"/>
    <w:rsid w:val="00801393"/>
    <w:rsid w:val="00802F88"/>
    <w:rsid w:val="0081293E"/>
    <w:rsid w:val="00812E08"/>
    <w:rsid w:val="00815465"/>
    <w:rsid w:val="00817E9A"/>
    <w:rsid w:val="00825FB8"/>
    <w:rsid w:val="008306BD"/>
    <w:rsid w:val="00831A80"/>
    <w:rsid w:val="008322BB"/>
    <w:rsid w:val="00832934"/>
    <w:rsid w:val="00833743"/>
    <w:rsid w:val="008340A4"/>
    <w:rsid w:val="008346C3"/>
    <w:rsid w:val="00835D04"/>
    <w:rsid w:val="008363F3"/>
    <w:rsid w:val="008378DE"/>
    <w:rsid w:val="00844277"/>
    <w:rsid w:val="00850685"/>
    <w:rsid w:val="00857067"/>
    <w:rsid w:val="0087135F"/>
    <w:rsid w:val="00872D94"/>
    <w:rsid w:val="00875A4C"/>
    <w:rsid w:val="00880364"/>
    <w:rsid w:val="008808AC"/>
    <w:rsid w:val="008820C1"/>
    <w:rsid w:val="008872FB"/>
    <w:rsid w:val="008874F0"/>
    <w:rsid w:val="00891592"/>
    <w:rsid w:val="0089189B"/>
    <w:rsid w:val="00891E9E"/>
    <w:rsid w:val="008A2F68"/>
    <w:rsid w:val="008A4619"/>
    <w:rsid w:val="008A57E3"/>
    <w:rsid w:val="008A6EF8"/>
    <w:rsid w:val="008B4181"/>
    <w:rsid w:val="008B4FA6"/>
    <w:rsid w:val="008B5282"/>
    <w:rsid w:val="008B7C17"/>
    <w:rsid w:val="008C2D01"/>
    <w:rsid w:val="008C40E6"/>
    <w:rsid w:val="008D0F7A"/>
    <w:rsid w:val="008D162D"/>
    <w:rsid w:val="008D4581"/>
    <w:rsid w:val="008D68E4"/>
    <w:rsid w:val="008E0506"/>
    <w:rsid w:val="008E0CFF"/>
    <w:rsid w:val="008E5D6B"/>
    <w:rsid w:val="008E76F0"/>
    <w:rsid w:val="008F15FE"/>
    <w:rsid w:val="008F195B"/>
    <w:rsid w:val="008F2D29"/>
    <w:rsid w:val="008F5187"/>
    <w:rsid w:val="008F5533"/>
    <w:rsid w:val="008F60D8"/>
    <w:rsid w:val="00900297"/>
    <w:rsid w:val="00900BC1"/>
    <w:rsid w:val="00902727"/>
    <w:rsid w:val="0090312B"/>
    <w:rsid w:val="00914C63"/>
    <w:rsid w:val="0091736D"/>
    <w:rsid w:val="009223E7"/>
    <w:rsid w:val="00924F12"/>
    <w:rsid w:val="0093037A"/>
    <w:rsid w:val="00930660"/>
    <w:rsid w:val="009365C6"/>
    <w:rsid w:val="0094154D"/>
    <w:rsid w:val="00942AA3"/>
    <w:rsid w:val="00946692"/>
    <w:rsid w:val="0095155F"/>
    <w:rsid w:val="00954429"/>
    <w:rsid w:val="00955F44"/>
    <w:rsid w:val="009563CE"/>
    <w:rsid w:val="00957CAE"/>
    <w:rsid w:val="00964528"/>
    <w:rsid w:val="00972B39"/>
    <w:rsid w:val="00972DD4"/>
    <w:rsid w:val="009730E6"/>
    <w:rsid w:val="0097415F"/>
    <w:rsid w:val="00976328"/>
    <w:rsid w:val="0097680D"/>
    <w:rsid w:val="00981823"/>
    <w:rsid w:val="009818ED"/>
    <w:rsid w:val="00982438"/>
    <w:rsid w:val="0098404C"/>
    <w:rsid w:val="00985283"/>
    <w:rsid w:val="00995992"/>
    <w:rsid w:val="009A03E5"/>
    <w:rsid w:val="009A0F3B"/>
    <w:rsid w:val="009A1BB4"/>
    <w:rsid w:val="009A2628"/>
    <w:rsid w:val="009A3200"/>
    <w:rsid w:val="009B0897"/>
    <w:rsid w:val="009B569C"/>
    <w:rsid w:val="009B6D0E"/>
    <w:rsid w:val="009B787E"/>
    <w:rsid w:val="009B7BD9"/>
    <w:rsid w:val="009C03D4"/>
    <w:rsid w:val="009C091B"/>
    <w:rsid w:val="009C0BFF"/>
    <w:rsid w:val="009C2B15"/>
    <w:rsid w:val="009C3467"/>
    <w:rsid w:val="009C7DD5"/>
    <w:rsid w:val="009D010D"/>
    <w:rsid w:val="009D3125"/>
    <w:rsid w:val="009E227D"/>
    <w:rsid w:val="009E5019"/>
    <w:rsid w:val="009F07AF"/>
    <w:rsid w:val="009F1240"/>
    <w:rsid w:val="009F6EA2"/>
    <w:rsid w:val="00A04F1B"/>
    <w:rsid w:val="00A0501B"/>
    <w:rsid w:val="00A14947"/>
    <w:rsid w:val="00A32A83"/>
    <w:rsid w:val="00A368DB"/>
    <w:rsid w:val="00A40483"/>
    <w:rsid w:val="00A423AA"/>
    <w:rsid w:val="00A53855"/>
    <w:rsid w:val="00A53EC6"/>
    <w:rsid w:val="00A55C0F"/>
    <w:rsid w:val="00A566D5"/>
    <w:rsid w:val="00A6247C"/>
    <w:rsid w:val="00A6386A"/>
    <w:rsid w:val="00A66E49"/>
    <w:rsid w:val="00A70E8C"/>
    <w:rsid w:val="00A736F9"/>
    <w:rsid w:val="00A76F86"/>
    <w:rsid w:val="00A84D45"/>
    <w:rsid w:val="00A8713F"/>
    <w:rsid w:val="00A90BA1"/>
    <w:rsid w:val="00A94D2B"/>
    <w:rsid w:val="00A95A9A"/>
    <w:rsid w:val="00A97A9A"/>
    <w:rsid w:val="00AA0671"/>
    <w:rsid w:val="00AA086C"/>
    <w:rsid w:val="00AA2531"/>
    <w:rsid w:val="00AA62E3"/>
    <w:rsid w:val="00AB19EF"/>
    <w:rsid w:val="00AB1E09"/>
    <w:rsid w:val="00AB35C0"/>
    <w:rsid w:val="00AB3901"/>
    <w:rsid w:val="00AB5330"/>
    <w:rsid w:val="00AB7595"/>
    <w:rsid w:val="00AB7747"/>
    <w:rsid w:val="00AB7A00"/>
    <w:rsid w:val="00AC14CE"/>
    <w:rsid w:val="00AC1C7B"/>
    <w:rsid w:val="00AC2A56"/>
    <w:rsid w:val="00AD055E"/>
    <w:rsid w:val="00AD47A7"/>
    <w:rsid w:val="00AD575E"/>
    <w:rsid w:val="00AD7541"/>
    <w:rsid w:val="00AE3430"/>
    <w:rsid w:val="00AF0CBF"/>
    <w:rsid w:val="00AF1302"/>
    <w:rsid w:val="00AF257F"/>
    <w:rsid w:val="00AF33CF"/>
    <w:rsid w:val="00AF4D50"/>
    <w:rsid w:val="00AF6179"/>
    <w:rsid w:val="00B02650"/>
    <w:rsid w:val="00B034CA"/>
    <w:rsid w:val="00B0426B"/>
    <w:rsid w:val="00B06401"/>
    <w:rsid w:val="00B1295A"/>
    <w:rsid w:val="00B20A45"/>
    <w:rsid w:val="00B22C5C"/>
    <w:rsid w:val="00B24F30"/>
    <w:rsid w:val="00B30981"/>
    <w:rsid w:val="00B31ABF"/>
    <w:rsid w:val="00B33BE3"/>
    <w:rsid w:val="00B343D2"/>
    <w:rsid w:val="00B36242"/>
    <w:rsid w:val="00B4371B"/>
    <w:rsid w:val="00B438AC"/>
    <w:rsid w:val="00B46E5D"/>
    <w:rsid w:val="00B53B5D"/>
    <w:rsid w:val="00B547E5"/>
    <w:rsid w:val="00B6055E"/>
    <w:rsid w:val="00B6317D"/>
    <w:rsid w:val="00B64242"/>
    <w:rsid w:val="00B67992"/>
    <w:rsid w:val="00B67DF8"/>
    <w:rsid w:val="00B701B7"/>
    <w:rsid w:val="00B7723F"/>
    <w:rsid w:val="00B80534"/>
    <w:rsid w:val="00B8433C"/>
    <w:rsid w:val="00B8485D"/>
    <w:rsid w:val="00B87491"/>
    <w:rsid w:val="00B911EA"/>
    <w:rsid w:val="00B95CDD"/>
    <w:rsid w:val="00BA1A55"/>
    <w:rsid w:val="00BA29E9"/>
    <w:rsid w:val="00BA3837"/>
    <w:rsid w:val="00BA7142"/>
    <w:rsid w:val="00BB237C"/>
    <w:rsid w:val="00BB271F"/>
    <w:rsid w:val="00BB41A3"/>
    <w:rsid w:val="00BB555B"/>
    <w:rsid w:val="00BB7C6F"/>
    <w:rsid w:val="00BC0AA2"/>
    <w:rsid w:val="00BC219E"/>
    <w:rsid w:val="00BC32DC"/>
    <w:rsid w:val="00BC35B6"/>
    <w:rsid w:val="00BC4284"/>
    <w:rsid w:val="00BD1B51"/>
    <w:rsid w:val="00BD399E"/>
    <w:rsid w:val="00BD4596"/>
    <w:rsid w:val="00BD7627"/>
    <w:rsid w:val="00BD76A6"/>
    <w:rsid w:val="00BE1405"/>
    <w:rsid w:val="00BE312D"/>
    <w:rsid w:val="00BF1C20"/>
    <w:rsid w:val="00C10578"/>
    <w:rsid w:val="00C11035"/>
    <w:rsid w:val="00C135BC"/>
    <w:rsid w:val="00C143BD"/>
    <w:rsid w:val="00C15C95"/>
    <w:rsid w:val="00C178E1"/>
    <w:rsid w:val="00C17DBB"/>
    <w:rsid w:val="00C213BD"/>
    <w:rsid w:val="00C24B15"/>
    <w:rsid w:val="00C2596A"/>
    <w:rsid w:val="00C2622C"/>
    <w:rsid w:val="00C27537"/>
    <w:rsid w:val="00C328FE"/>
    <w:rsid w:val="00C33507"/>
    <w:rsid w:val="00C336FB"/>
    <w:rsid w:val="00C33D35"/>
    <w:rsid w:val="00C42514"/>
    <w:rsid w:val="00C4409D"/>
    <w:rsid w:val="00C44E72"/>
    <w:rsid w:val="00C45A06"/>
    <w:rsid w:val="00C47E5B"/>
    <w:rsid w:val="00C547DF"/>
    <w:rsid w:val="00C57CE2"/>
    <w:rsid w:val="00C6114E"/>
    <w:rsid w:val="00C61E4B"/>
    <w:rsid w:val="00C6231E"/>
    <w:rsid w:val="00C64BFF"/>
    <w:rsid w:val="00C67FF4"/>
    <w:rsid w:val="00C704E9"/>
    <w:rsid w:val="00C73B78"/>
    <w:rsid w:val="00C743FB"/>
    <w:rsid w:val="00C763C9"/>
    <w:rsid w:val="00C80057"/>
    <w:rsid w:val="00C82232"/>
    <w:rsid w:val="00C82913"/>
    <w:rsid w:val="00C84439"/>
    <w:rsid w:val="00C905F4"/>
    <w:rsid w:val="00C972B1"/>
    <w:rsid w:val="00CA0EC2"/>
    <w:rsid w:val="00CA2CCE"/>
    <w:rsid w:val="00CA3455"/>
    <w:rsid w:val="00CA3E99"/>
    <w:rsid w:val="00CA43FD"/>
    <w:rsid w:val="00CA754E"/>
    <w:rsid w:val="00CA7EEA"/>
    <w:rsid w:val="00CA7EF8"/>
    <w:rsid w:val="00CB1FA1"/>
    <w:rsid w:val="00CC11E8"/>
    <w:rsid w:val="00CC489B"/>
    <w:rsid w:val="00CC600D"/>
    <w:rsid w:val="00CD2BCD"/>
    <w:rsid w:val="00CD3A4C"/>
    <w:rsid w:val="00CE10E9"/>
    <w:rsid w:val="00CE2910"/>
    <w:rsid w:val="00CE5393"/>
    <w:rsid w:val="00CF0140"/>
    <w:rsid w:val="00CF36BE"/>
    <w:rsid w:val="00CF6000"/>
    <w:rsid w:val="00CF68F3"/>
    <w:rsid w:val="00D003F3"/>
    <w:rsid w:val="00D0364F"/>
    <w:rsid w:val="00D0625D"/>
    <w:rsid w:val="00D06834"/>
    <w:rsid w:val="00D10AF2"/>
    <w:rsid w:val="00D2379F"/>
    <w:rsid w:val="00D2584D"/>
    <w:rsid w:val="00D308ED"/>
    <w:rsid w:val="00D31342"/>
    <w:rsid w:val="00D348C5"/>
    <w:rsid w:val="00D34BE7"/>
    <w:rsid w:val="00D35A1A"/>
    <w:rsid w:val="00D36D86"/>
    <w:rsid w:val="00D428AA"/>
    <w:rsid w:val="00D42B45"/>
    <w:rsid w:val="00D42B67"/>
    <w:rsid w:val="00D4323C"/>
    <w:rsid w:val="00D4572C"/>
    <w:rsid w:val="00D50A34"/>
    <w:rsid w:val="00D53EFA"/>
    <w:rsid w:val="00D54408"/>
    <w:rsid w:val="00D5502F"/>
    <w:rsid w:val="00D75D70"/>
    <w:rsid w:val="00D94A7C"/>
    <w:rsid w:val="00D95896"/>
    <w:rsid w:val="00DA615D"/>
    <w:rsid w:val="00DA7F4D"/>
    <w:rsid w:val="00DB2757"/>
    <w:rsid w:val="00DB2983"/>
    <w:rsid w:val="00DB4BCC"/>
    <w:rsid w:val="00DB5F2F"/>
    <w:rsid w:val="00DC1257"/>
    <w:rsid w:val="00DC3DC0"/>
    <w:rsid w:val="00DC4A3E"/>
    <w:rsid w:val="00DC5B2B"/>
    <w:rsid w:val="00DD00BD"/>
    <w:rsid w:val="00DD1543"/>
    <w:rsid w:val="00DD318D"/>
    <w:rsid w:val="00DD6395"/>
    <w:rsid w:val="00DE0504"/>
    <w:rsid w:val="00DE1BE7"/>
    <w:rsid w:val="00DF2E12"/>
    <w:rsid w:val="00DF514A"/>
    <w:rsid w:val="00DF6690"/>
    <w:rsid w:val="00DF6804"/>
    <w:rsid w:val="00E01229"/>
    <w:rsid w:val="00E01552"/>
    <w:rsid w:val="00E0358D"/>
    <w:rsid w:val="00E04323"/>
    <w:rsid w:val="00E070A2"/>
    <w:rsid w:val="00E15234"/>
    <w:rsid w:val="00E21476"/>
    <w:rsid w:val="00E219DB"/>
    <w:rsid w:val="00E22B76"/>
    <w:rsid w:val="00E25A7E"/>
    <w:rsid w:val="00E2656A"/>
    <w:rsid w:val="00E271A5"/>
    <w:rsid w:val="00E32AF1"/>
    <w:rsid w:val="00E412D0"/>
    <w:rsid w:val="00E51DD4"/>
    <w:rsid w:val="00E54D24"/>
    <w:rsid w:val="00E56322"/>
    <w:rsid w:val="00E5769B"/>
    <w:rsid w:val="00E60982"/>
    <w:rsid w:val="00E61C3E"/>
    <w:rsid w:val="00E62C62"/>
    <w:rsid w:val="00E645F8"/>
    <w:rsid w:val="00E654C1"/>
    <w:rsid w:val="00E659EA"/>
    <w:rsid w:val="00E65D97"/>
    <w:rsid w:val="00E67030"/>
    <w:rsid w:val="00E67F0E"/>
    <w:rsid w:val="00E72A5A"/>
    <w:rsid w:val="00E73354"/>
    <w:rsid w:val="00E819BF"/>
    <w:rsid w:val="00E838A5"/>
    <w:rsid w:val="00E84AD7"/>
    <w:rsid w:val="00E9242D"/>
    <w:rsid w:val="00E927E1"/>
    <w:rsid w:val="00EA1A3E"/>
    <w:rsid w:val="00EA7F19"/>
    <w:rsid w:val="00EB2B0B"/>
    <w:rsid w:val="00EB38C2"/>
    <w:rsid w:val="00EB5255"/>
    <w:rsid w:val="00EB5C47"/>
    <w:rsid w:val="00EB6CF9"/>
    <w:rsid w:val="00EC1143"/>
    <w:rsid w:val="00EC1C99"/>
    <w:rsid w:val="00EC3E75"/>
    <w:rsid w:val="00EC5EED"/>
    <w:rsid w:val="00EC5F32"/>
    <w:rsid w:val="00EC63F7"/>
    <w:rsid w:val="00EC66BF"/>
    <w:rsid w:val="00EC6A2E"/>
    <w:rsid w:val="00ED0639"/>
    <w:rsid w:val="00ED4533"/>
    <w:rsid w:val="00ED6BCB"/>
    <w:rsid w:val="00EE1448"/>
    <w:rsid w:val="00EE55EF"/>
    <w:rsid w:val="00EF00E8"/>
    <w:rsid w:val="00EF4755"/>
    <w:rsid w:val="00EF7135"/>
    <w:rsid w:val="00F027DB"/>
    <w:rsid w:val="00F03469"/>
    <w:rsid w:val="00F1150C"/>
    <w:rsid w:val="00F14A7A"/>
    <w:rsid w:val="00F22985"/>
    <w:rsid w:val="00F27F9B"/>
    <w:rsid w:val="00F314AB"/>
    <w:rsid w:val="00F3383E"/>
    <w:rsid w:val="00F346B6"/>
    <w:rsid w:val="00F37473"/>
    <w:rsid w:val="00F40A02"/>
    <w:rsid w:val="00F420B8"/>
    <w:rsid w:val="00F465A7"/>
    <w:rsid w:val="00F46D15"/>
    <w:rsid w:val="00F50B7C"/>
    <w:rsid w:val="00F514A5"/>
    <w:rsid w:val="00F54C27"/>
    <w:rsid w:val="00F550E6"/>
    <w:rsid w:val="00F559CF"/>
    <w:rsid w:val="00F705B3"/>
    <w:rsid w:val="00F7228B"/>
    <w:rsid w:val="00F72CA9"/>
    <w:rsid w:val="00F74345"/>
    <w:rsid w:val="00F74ABF"/>
    <w:rsid w:val="00F80A0A"/>
    <w:rsid w:val="00F82B19"/>
    <w:rsid w:val="00F90A2E"/>
    <w:rsid w:val="00F9212D"/>
    <w:rsid w:val="00F9501C"/>
    <w:rsid w:val="00F965DA"/>
    <w:rsid w:val="00F97A86"/>
    <w:rsid w:val="00FA406A"/>
    <w:rsid w:val="00FB0975"/>
    <w:rsid w:val="00FB503A"/>
    <w:rsid w:val="00FB516C"/>
    <w:rsid w:val="00FC02BF"/>
    <w:rsid w:val="00FC2898"/>
    <w:rsid w:val="00FC7FCF"/>
    <w:rsid w:val="00FD0236"/>
    <w:rsid w:val="00FD0D8B"/>
    <w:rsid w:val="00FD18F4"/>
    <w:rsid w:val="00FD54DB"/>
    <w:rsid w:val="00FD619F"/>
    <w:rsid w:val="00FD73E8"/>
    <w:rsid w:val="00FD781C"/>
    <w:rsid w:val="00FE329B"/>
    <w:rsid w:val="00FF038A"/>
    <w:rsid w:val="00FF45B5"/>
    <w:rsid w:val="00FF7088"/>
    <w:rsid w:val="010333FC"/>
    <w:rsid w:val="01057174"/>
    <w:rsid w:val="01064C9A"/>
    <w:rsid w:val="010B22B0"/>
    <w:rsid w:val="010D6029"/>
    <w:rsid w:val="01176043"/>
    <w:rsid w:val="01290F7E"/>
    <w:rsid w:val="012A4E2C"/>
    <w:rsid w:val="012C0060"/>
    <w:rsid w:val="012C2953"/>
    <w:rsid w:val="01315448"/>
    <w:rsid w:val="013C0D59"/>
    <w:rsid w:val="01401F5A"/>
    <w:rsid w:val="014065F7"/>
    <w:rsid w:val="01437C9C"/>
    <w:rsid w:val="014A4B87"/>
    <w:rsid w:val="015C2B0C"/>
    <w:rsid w:val="015D1E09"/>
    <w:rsid w:val="015D7DFD"/>
    <w:rsid w:val="0160084E"/>
    <w:rsid w:val="01610122"/>
    <w:rsid w:val="01633E9B"/>
    <w:rsid w:val="01635C49"/>
    <w:rsid w:val="0167398B"/>
    <w:rsid w:val="016B3827"/>
    <w:rsid w:val="016C71F3"/>
    <w:rsid w:val="016D4D19"/>
    <w:rsid w:val="016F45ED"/>
    <w:rsid w:val="017A7702"/>
    <w:rsid w:val="017C54D2"/>
    <w:rsid w:val="01800562"/>
    <w:rsid w:val="018067FB"/>
    <w:rsid w:val="018151B6"/>
    <w:rsid w:val="018C1A4B"/>
    <w:rsid w:val="018F6A3E"/>
    <w:rsid w:val="01934780"/>
    <w:rsid w:val="019404F8"/>
    <w:rsid w:val="01944054"/>
    <w:rsid w:val="019D55FE"/>
    <w:rsid w:val="01A00602"/>
    <w:rsid w:val="01A56261"/>
    <w:rsid w:val="01AA3877"/>
    <w:rsid w:val="01AC0B1B"/>
    <w:rsid w:val="01B37BE7"/>
    <w:rsid w:val="01B8783E"/>
    <w:rsid w:val="01BC6AD2"/>
    <w:rsid w:val="01BF37C7"/>
    <w:rsid w:val="01BF778C"/>
    <w:rsid w:val="01BF7ACE"/>
    <w:rsid w:val="01C53EF4"/>
    <w:rsid w:val="01C80EB6"/>
    <w:rsid w:val="01C81F50"/>
    <w:rsid w:val="01CC5EE4"/>
    <w:rsid w:val="01CC7C92"/>
    <w:rsid w:val="01CF32DE"/>
    <w:rsid w:val="01D152A8"/>
    <w:rsid w:val="01D32DCE"/>
    <w:rsid w:val="01D6466C"/>
    <w:rsid w:val="01DE1773"/>
    <w:rsid w:val="01DE6755"/>
    <w:rsid w:val="01DF5C17"/>
    <w:rsid w:val="01E1319E"/>
    <w:rsid w:val="01E23011"/>
    <w:rsid w:val="01E52B01"/>
    <w:rsid w:val="01EE499C"/>
    <w:rsid w:val="01F86CD9"/>
    <w:rsid w:val="01FB40D3"/>
    <w:rsid w:val="01FF0067"/>
    <w:rsid w:val="020411DA"/>
    <w:rsid w:val="020553BC"/>
    <w:rsid w:val="020E02AA"/>
    <w:rsid w:val="0213141D"/>
    <w:rsid w:val="021653B1"/>
    <w:rsid w:val="021F4265"/>
    <w:rsid w:val="02203B3A"/>
    <w:rsid w:val="02223D56"/>
    <w:rsid w:val="02225B04"/>
    <w:rsid w:val="0227136C"/>
    <w:rsid w:val="022E28D7"/>
    <w:rsid w:val="023250CE"/>
    <w:rsid w:val="02374FEA"/>
    <w:rsid w:val="02397F9E"/>
    <w:rsid w:val="02531DD6"/>
    <w:rsid w:val="02540982"/>
    <w:rsid w:val="02562441"/>
    <w:rsid w:val="025A34EF"/>
    <w:rsid w:val="025B2DC4"/>
    <w:rsid w:val="025F567B"/>
    <w:rsid w:val="026057DC"/>
    <w:rsid w:val="02607150"/>
    <w:rsid w:val="02641C78"/>
    <w:rsid w:val="02654C5A"/>
    <w:rsid w:val="02663C42"/>
    <w:rsid w:val="02681684"/>
    <w:rsid w:val="02697903"/>
    <w:rsid w:val="027125E7"/>
    <w:rsid w:val="0273010D"/>
    <w:rsid w:val="02773402"/>
    <w:rsid w:val="02796BAC"/>
    <w:rsid w:val="02816CCE"/>
    <w:rsid w:val="028247F4"/>
    <w:rsid w:val="02857DD0"/>
    <w:rsid w:val="02867E41"/>
    <w:rsid w:val="028E4F47"/>
    <w:rsid w:val="029321C1"/>
    <w:rsid w:val="02962E34"/>
    <w:rsid w:val="02963DFC"/>
    <w:rsid w:val="029D518A"/>
    <w:rsid w:val="02A209F3"/>
    <w:rsid w:val="02A76009"/>
    <w:rsid w:val="02B26E88"/>
    <w:rsid w:val="02B374C5"/>
    <w:rsid w:val="02B653D3"/>
    <w:rsid w:val="02BC1AB4"/>
    <w:rsid w:val="02BC1B43"/>
    <w:rsid w:val="02BC3862"/>
    <w:rsid w:val="02BF3353"/>
    <w:rsid w:val="02C92423"/>
    <w:rsid w:val="02C97E0D"/>
    <w:rsid w:val="02CB619B"/>
    <w:rsid w:val="02DA018C"/>
    <w:rsid w:val="02DA4630"/>
    <w:rsid w:val="02DA7875"/>
    <w:rsid w:val="02DF39F5"/>
    <w:rsid w:val="02E1776D"/>
    <w:rsid w:val="02E4100B"/>
    <w:rsid w:val="02E44199"/>
    <w:rsid w:val="02EB5C98"/>
    <w:rsid w:val="02EE59E6"/>
    <w:rsid w:val="02F0175E"/>
    <w:rsid w:val="02F254D6"/>
    <w:rsid w:val="02F2776D"/>
    <w:rsid w:val="02F56D74"/>
    <w:rsid w:val="02F5724D"/>
    <w:rsid w:val="02F96569"/>
    <w:rsid w:val="030566C6"/>
    <w:rsid w:val="03065425"/>
    <w:rsid w:val="03084CFA"/>
    <w:rsid w:val="030F6088"/>
    <w:rsid w:val="03167028"/>
    <w:rsid w:val="031713E0"/>
    <w:rsid w:val="031C69F7"/>
    <w:rsid w:val="0321400D"/>
    <w:rsid w:val="03262F0D"/>
    <w:rsid w:val="03265180"/>
    <w:rsid w:val="03273071"/>
    <w:rsid w:val="0327763F"/>
    <w:rsid w:val="03291391"/>
    <w:rsid w:val="032F2286"/>
    <w:rsid w:val="0332621A"/>
    <w:rsid w:val="03327FC8"/>
    <w:rsid w:val="033F6420"/>
    <w:rsid w:val="03400B54"/>
    <w:rsid w:val="03451AAA"/>
    <w:rsid w:val="034675D0"/>
    <w:rsid w:val="034A3564"/>
    <w:rsid w:val="034A38D2"/>
    <w:rsid w:val="034C72DC"/>
    <w:rsid w:val="034D5409"/>
    <w:rsid w:val="034D6BB0"/>
    <w:rsid w:val="034F2928"/>
    <w:rsid w:val="034F3D75"/>
    <w:rsid w:val="03540B1A"/>
    <w:rsid w:val="03547F3F"/>
    <w:rsid w:val="03553E2B"/>
    <w:rsid w:val="03574697"/>
    <w:rsid w:val="035C6E7A"/>
    <w:rsid w:val="035E3D65"/>
    <w:rsid w:val="0361265C"/>
    <w:rsid w:val="03681FC7"/>
    <w:rsid w:val="036A3069"/>
    <w:rsid w:val="036E6798"/>
    <w:rsid w:val="0374413D"/>
    <w:rsid w:val="0381685A"/>
    <w:rsid w:val="03830824"/>
    <w:rsid w:val="038500F8"/>
    <w:rsid w:val="03861D8B"/>
    <w:rsid w:val="038D16A3"/>
    <w:rsid w:val="03906A9D"/>
    <w:rsid w:val="03912F41"/>
    <w:rsid w:val="039B3DC0"/>
    <w:rsid w:val="039D18E6"/>
    <w:rsid w:val="03A013D6"/>
    <w:rsid w:val="03A10CAA"/>
    <w:rsid w:val="03A26EFC"/>
    <w:rsid w:val="03A52548"/>
    <w:rsid w:val="03A8518E"/>
    <w:rsid w:val="03A924C6"/>
    <w:rsid w:val="03B1713F"/>
    <w:rsid w:val="03B46C2F"/>
    <w:rsid w:val="03B63A1E"/>
    <w:rsid w:val="03B65EE5"/>
    <w:rsid w:val="03BB1D6C"/>
    <w:rsid w:val="03BD4AF9"/>
    <w:rsid w:val="03BE6311"/>
    <w:rsid w:val="03C13657"/>
    <w:rsid w:val="03C42C02"/>
    <w:rsid w:val="03C650E4"/>
    <w:rsid w:val="03C9092D"/>
    <w:rsid w:val="03CB1CCE"/>
    <w:rsid w:val="03CF75C5"/>
    <w:rsid w:val="03D177E1"/>
    <w:rsid w:val="03D418F0"/>
    <w:rsid w:val="03D77769"/>
    <w:rsid w:val="03DB0660"/>
    <w:rsid w:val="03DD6186"/>
    <w:rsid w:val="03E5328D"/>
    <w:rsid w:val="03EA7B21"/>
    <w:rsid w:val="03EF5EB9"/>
    <w:rsid w:val="03F45BC6"/>
    <w:rsid w:val="03F62DA4"/>
    <w:rsid w:val="03FB03BA"/>
    <w:rsid w:val="03FD2384"/>
    <w:rsid w:val="04001E75"/>
    <w:rsid w:val="04043713"/>
    <w:rsid w:val="04094D40"/>
    <w:rsid w:val="04096F7B"/>
    <w:rsid w:val="040A4AA1"/>
    <w:rsid w:val="041B6CAE"/>
    <w:rsid w:val="041D65FF"/>
    <w:rsid w:val="041E34F0"/>
    <w:rsid w:val="0423158B"/>
    <w:rsid w:val="04253689"/>
    <w:rsid w:val="042E1182"/>
    <w:rsid w:val="042E48B2"/>
    <w:rsid w:val="04333C79"/>
    <w:rsid w:val="04363AE8"/>
    <w:rsid w:val="04365896"/>
    <w:rsid w:val="043D62BA"/>
    <w:rsid w:val="044127DF"/>
    <w:rsid w:val="04543D1E"/>
    <w:rsid w:val="045A77D7"/>
    <w:rsid w:val="04673CA2"/>
    <w:rsid w:val="046818C2"/>
    <w:rsid w:val="046D4E8F"/>
    <w:rsid w:val="04730898"/>
    <w:rsid w:val="047B14FB"/>
    <w:rsid w:val="047B4A79"/>
    <w:rsid w:val="04823AEC"/>
    <w:rsid w:val="04826D2E"/>
    <w:rsid w:val="048760F2"/>
    <w:rsid w:val="04893C18"/>
    <w:rsid w:val="048C3708"/>
    <w:rsid w:val="048E185E"/>
    <w:rsid w:val="04915503"/>
    <w:rsid w:val="04966335"/>
    <w:rsid w:val="04987D4C"/>
    <w:rsid w:val="0499418A"/>
    <w:rsid w:val="049B7CE0"/>
    <w:rsid w:val="04A3117E"/>
    <w:rsid w:val="04A5777F"/>
    <w:rsid w:val="04A86794"/>
    <w:rsid w:val="04AB1DE0"/>
    <w:rsid w:val="04AC7907"/>
    <w:rsid w:val="04AF1D85"/>
    <w:rsid w:val="04B14F1D"/>
    <w:rsid w:val="04B24D04"/>
    <w:rsid w:val="04BE0603"/>
    <w:rsid w:val="04BE3AB0"/>
    <w:rsid w:val="04C24711"/>
    <w:rsid w:val="04C5047C"/>
    <w:rsid w:val="04D01847"/>
    <w:rsid w:val="04D05CEB"/>
    <w:rsid w:val="04D728EB"/>
    <w:rsid w:val="04D74983"/>
    <w:rsid w:val="04D87928"/>
    <w:rsid w:val="04D94B9F"/>
    <w:rsid w:val="04DC6DE5"/>
    <w:rsid w:val="04E13A54"/>
    <w:rsid w:val="04E44EEF"/>
    <w:rsid w:val="04EA500C"/>
    <w:rsid w:val="04EE7F1F"/>
    <w:rsid w:val="04F54F20"/>
    <w:rsid w:val="04FC088E"/>
    <w:rsid w:val="050339CA"/>
    <w:rsid w:val="05096B07"/>
    <w:rsid w:val="050D4849"/>
    <w:rsid w:val="050D65F7"/>
    <w:rsid w:val="05143E2A"/>
    <w:rsid w:val="05157BA2"/>
    <w:rsid w:val="05163267"/>
    <w:rsid w:val="051A0D14"/>
    <w:rsid w:val="051E5D07"/>
    <w:rsid w:val="0523406D"/>
    <w:rsid w:val="052749B1"/>
    <w:rsid w:val="052D0A47"/>
    <w:rsid w:val="052D6C99"/>
    <w:rsid w:val="05322502"/>
    <w:rsid w:val="053242B0"/>
    <w:rsid w:val="0532605E"/>
    <w:rsid w:val="053718C6"/>
    <w:rsid w:val="05387C03"/>
    <w:rsid w:val="053C6B7D"/>
    <w:rsid w:val="054A784B"/>
    <w:rsid w:val="054D2E98"/>
    <w:rsid w:val="05504C33"/>
    <w:rsid w:val="055C132D"/>
    <w:rsid w:val="055C30DB"/>
    <w:rsid w:val="055E6E53"/>
    <w:rsid w:val="056401E1"/>
    <w:rsid w:val="056614A0"/>
    <w:rsid w:val="056B77C2"/>
    <w:rsid w:val="057B5525"/>
    <w:rsid w:val="05850883"/>
    <w:rsid w:val="05856AD5"/>
    <w:rsid w:val="058645FB"/>
    <w:rsid w:val="058A7C48"/>
    <w:rsid w:val="058D598A"/>
    <w:rsid w:val="05917228"/>
    <w:rsid w:val="05922FA0"/>
    <w:rsid w:val="059C5BCD"/>
    <w:rsid w:val="059D3E1F"/>
    <w:rsid w:val="05A131E3"/>
    <w:rsid w:val="05A84572"/>
    <w:rsid w:val="05AB7BBE"/>
    <w:rsid w:val="05B60A3D"/>
    <w:rsid w:val="05BC1DCB"/>
    <w:rsid w:val="05BF4F1C"/>
    <w:rsid w:val="05C5173A"/>
    <w:rsid w:val="05D048BA"/>
    <w:rsid w:val="05D2339D"/>
    <w:rsid w:val="05D47115"/>
    <w:rsid w:val="05D62E8D"/>
    <w:rsid w:val="05D830A9"/>
    <w:rsid w:val="05DC421B"/>
    <w:rsid w:val="05E21CB0"/>
    <w:rsid w:val="05E416CA"/>
    <w:rsid w:val="05E912CD"/>
    <w:rsid w:val="05ED100C"/>
    <w:rsid w:val="05ED6429"/>
    <w:rsid w:val="05EF03F3"/>
    <w:rsid w:val="05F72E03"/>
    <w:rsid w:val="05F83EAE"/>
    <w:rsid w:val="05FA2ED0"/>
    <w:rsid w:val="060317A8"/>
    <w:rsid w:val="06095BAC"/>
    <w:rsid w:val="06096508"/>
    <w:rsid w:val="06142021"/>
    <w:rsid w:val="0618757B"/>
    <w:rsid w:val="061B2209"/>
    <w:rsid w:val="061B4D44"/>
    <w:rsid w:val="06221253"/>
    <w:rsid w:val="062956B3"/>
    <w:rsid w:val="063315B8"/>
    <w:rsid w:val="06383B48"/>
    <w:rsid w:val="0639341C"/>
    <w:rsid w:val="063B10D2"/>
    <w:rsid w:val="063B53E6"/>
    <w:rsid w:val="063E7D85"/>
    <w:rsid w:val="064047AA"/>
    <w:rsid w:val="064249C6"/>
    <w:rsid w:val="06430D0A"/>
    <w:rsid w:val="06475B39"/>
    <w:rsid w:val="064918B1"/>
    <w:rsid w:val="064E124C"/>
    <w:rsid w:val="06577152"/>
    <w:rsid w:val="06584A82"/>
    <w:rsid w:val="06587D46"/>
    <w:rsid w:val="0659586C"/>
    <w:rsid w:val="065B15E4"/>
    <w:rsid w:val="065B5A88"/>
    <w:rsid w:val="065D535C"/>
    <w:rsid w:val="065F10D4"/>
    <w:rsid w:val="06672AD8"/>
    <w:rsid w:val="066761DB"/>
    <w:rsid w:val="06712BB6"/>
    <w:rsid w:val="06753290"/>
    <w:rsid w:val="06783F44"/>
    <w:rsid w:val="067A2640"/>
    <w:rsid w:val="067B57E2"/>
    <w:rsid w:val="067E0ACF"/>
    <w:rsid w:val="067F1A0F"/>
    <w:rsid w:val="067F3525"/>
    <w:rsid w:val="067F7369"/>
    <w:rsid w:val="0680729D"/>
    <w:rsid w:val="06833F00"/>
    <w:rsid w:val="0688341E"/>
    <w:rsid w:val="068E19BA"/>
    <w:rsid w:val="068F5D32"/>
    <w:rsid w:val="0696086E"/>
    <w:rsid w:val="0699220F"/>
    <w:rsid w:val="069A035E"/>
    <w:rsid w:val="069A210C"/>
    <w:rsid w:val="069C40D7"/>
    <w:rsid w:val="069D1BFD"/>
    <w:rsid w:val="06A74829"/>
    <w:rsid w:val="06A905A2"/>
    <w:rsid w:val="06A92350"/>
    <w:rsid w:val="06AB60C8"/>
    <w:rsid w:val="06AE2FA5"/>
    <w:rsid w:val="06AE5BB8"/>
    <w:rsid w:val="06B156A8"/>
    <w:rsid w:val="06B50CF4"/>
    <w:rsid w:val="06B52E78"/>
    <w:rsid w:val="06BA6B5D"/>
    <w:rsid w:val="06BC02D5"/>
    <w:rsid w:val="06BD229F"/>
    <w:rsid w:val="06C07699"/>
    <w:rsid w:val="06C13B3D"/>
    <w:rsid w:val="06C20043"/>
    <w:rsid w:val="06C47189"/>
    <w:rsid w:val="06C673A5"/>
    <w:rsid w:val="06C8671D"/>
    <w:rsid w:val="06CA05CC"/>
    <w:rsid w:val="06D3561E"/>
    <w:rsid w:val="06DE41D3"/>
    <w:rsid w:val="06DF7CDF"/>
    <w:rsid w:val="06E93094"/>
    <w:rsid w:val="06EB6E0C"/>
    <w:rsid w:val="06EE06AA"/>
    <w:rsid w:val="06F85085"/>
    <w:rsid w:val="06FE1898"/>
    <w:rsid w:val="070021F9"/>
    <w:rsid w:val="07013F3A"/>
    <w:rsid w:val="07035F04"/>
    <w:rsid w:val="07084286"/>
    <w:rsid w:val="070D0B30"/>
    <w:rsid w:val="070E5B8F"/>
    <w:rsid w:val="070E62E0"/>
    <w:rsid w:val="071349B6"/>
    <w:rsid w:val="071579E5"/>
    <w:rsid w:val="07175CBC"/>
    <w:rsid w:val="071C0D73"/>
    <w:rsid w:val="071F0864"/>
    <w:rsid w:val="07293586"/>
    <w:rsid w:val="07294469"/>
    <w:rsid w:val="07295285"/>
    <w:rsid w:val="07301885"/>
    <w:rsid w:val="073323EE"/>
    <w:rsid w:val="07350087"/>
    <w:rsid w:val="07351E35"/>
    <w:rsid w:val="073C7668"/>
    <w:rsid w:val="0744651C"/>
    <w:rsid w:val="07480E14"/>
    <w:rsid w:val="074F1149"/>
    <w:rsid w:val="075521B6"/>
    <w:rsid w:val="075575E9"/>
    <w:rsid w:val="075E313A"/>
    <w:rsid w:val="075E75DE"/>
    <w:rsid w:val="075F5104"/>
    <w:rsid w:val="07612C2A"/>
    <w:rsid w:val="07636392"/>
    <w:rsid w:val="076445F2"/>
    <w:rsid w:val="07646854"/>
    <w:rsid w:val="07683FB9"/>
    <w:rsid w:val="076B2D7D"/>
    <w:rsid w:val="076B3AA9"/>
    <w:rsid w:val="076D15CF"/>
    <w:rsid w:val="077104C1"/>
    <w:rsid w:val="077527CF"/>
    <w:rsid w:val="07770C56"/>
    <w:rsid w:val="077B21C7"/>
    <w:rsid w:val="077C0455"/>
    <w:rsid w:val="077D218D"/>
    <w:rsid w:val="07840581"/>
    <w:rsid w:val="0788465B"/>
    <w:rsid w:val="078A2181"/>
    <w:rsid w:val="078B290D"/>
    <w:rsid w:val="078F4268"/>
    <w:rsid w:val="07911761"/>
    <w:rsid w:val="07941252"/>
    <w:rsid w:val="07943000"/>
    <w:rsid w:val="07990616"/>
    <w:rsid w:val="079A5AD8"/>
    <w:rsid w:val="079C3C62"/>
    <w:rsid w:val="07A0475C"/>
    <w:rsid w:val="07A50D69"/>
    <w:rsid w:val="07A62D33"/>
    <w:rsid w:val="07A6497A"/>
    <w:rsid w:val="07A77080"/>
    <w:rsid w:val="07AC659B"/>
    <w:rsid w:val="07B40FAC"/>
    <w:rsid w:val="07B74F40"/>
    <w:rsid w:val="07BD4E86"/>
    <w:rsid w:val="07BE54E0"/>
    <w:rsid w:val="07C05BA3"/>
    <w:rsid w:val="07CC279A"/>
    <w:rsid w:val="07CD6512"/>
    <w:rsid w:val="07D57174"/>
    <w:rsid w:val="07D63618"/>
    <w:rsid w:val="07D71FE0"/>
    <w:rsid w:val="07D96E0D"/>
    <w:rsid w:val="07E21E31"/>
    <w:rsid w:val="07E22EA3"/>
    <w:rsid w:val="07E51AAD"/>
    <w:rsid w:val="07E762BB"/>
    <w:rsid w:val="07F10452"/>
    <w:rsid w:val="07F36916"/>
    <w:rsid w:val="07F533CB"/>
    <w:rsid w:val="07F64E89"/>
    <w:rsid w:val="07FA2A8F"/>
    <w:rsid w:val="07FA4F83"/>
    <w:rsid w:val="0802440D"/>
    <w:rsid w:val="08033CE1"/>
    <w:rsid w:val="08053EFD"/>
    <w:rsid w:val="080575D1"/>
    <w:rsid w:val="080A24D3"/>
    <w:rsid w:val="080A5070"/>
    <w:rsid w:val="080D690E"/>
    <w:rsid w:val="081133E0"/>
    <w:rsid w:val="0815274A"/>
    <w:rsid w:val="081B727D"/>
    <w:rsid w:val="082222E2"/>
    <w:rsid w:val="082500FC"/>
    <w:rsid w:val="0825330C"/>
    <w:rsid w:val="08283748"/>
    <w:rsid w:val="0828459B"/>
    <w:rsid w:val="08290EEF"/>
    <w:rsid w:val="082A6E89"/>
    <w:rsid w:val="082F0F7A"/>
    <w:rsid w:val="083064C8"/>
    <w:rsid w:val="083B393B"/>
    <w:rsid w:val="083C39D9"/>
    <w:rsid w:val="08400416"/>
    <w:rsid w:val="0840235A"/>
    <w:rsid w:val="08420CAE"/>
    <w:rsid w:val="08422A5C"/>
    <w:rsid w:val="084674BB"/>
    <w:rsid w:val="084A7B62"/>
    <w:rsid w:val="084D31AF"/>
    <w:rsid w:val="084D5A51"/>
    <w:rsid w:val="084E1401"/>
    <w:rsid w:val="085A72E1"/>
    <w:rsid w:val="08602EE2"/>
    <w:rsid w:val="08646E76"/>
    <w:rsid w:val="086504F8"/>
    <w:rsid w:val="0865499C"/>
    <w:rsid w:val="08675CCD"/>
    <w:rsid w:val="0878022B"/>
    <w:rsid w:val="087D3A94"/>
    <w:rsid w:val="087E15BA"/>
    <w:rsid w:val="08844E22"/>
    <w:rsid w:val="08892439"/>
    <w:rsid w:val="088C32C5"/>
    <w:rsid w:val="08935EC7"/>
    <w:rsid w:val="089963F4"/>
    <w:rsid w:val="08A94889"/>
    <w:rsid w:val="08AA0601"/>
    <w:rsid w:val="08AB6853"/>
    <w:rsid w:val="08AE00F1"/>
    <w:rsid w:val="08B27B57"/>
    <w:rsid w:val="08BD0334"/>
    <w:rsid w:val="08C71C2A"/>
    <w:rsid w:val="08CA3688"/>
    <w:rsid w:val="08D12032"/>
    <w:rsid w:val="08D15B8E"/>
    <w:rsid w:val="08DA2C94"/>
    <w:rsid w:val="08E053FD"/>
    <w:rsid w:val="08F52091"/>
    <w:rsid w:val="08F67F1C"/>
    <w:rsid w:val="08FF6B9F"/>
    <w:rsid w:val="09004CE3"/>
    <w:rsid w:val="09093579"/>
    <w:rsid w:val="090A4ACE"/>
    <w:rsid w:val="090E13FF"/>
    <w:rsid w:val="090E293E"/>
    <w:rsid w:val="091837BC"/>
    <w:rsid w:val="091B5818"/>
    <w:rsid w:val="091C32AD"/>
    <w:rsid w:val="091F0FEF"/>
    <w:rsid w:val="091F2D9D"/>
    <w:rsid w:val="092217DD"/>
    <w:rsid w:val="09246605"/>
    <w:rsid w:val="092752BD"/>
    <w:rsid w:val="092B607E"/>
    <w:rsid w:val="092E2FE0"/>
    <w:rsid w:val="09313B11"/>
    <w:rsid w:val="0935611C"/>
    <w:rsid w:val="093A7294"/>
    <w:rsid w:val="093C1B7F"/>
    <w:rsid w:val="093E76C7"/>
    <w:rsid w:val="093F51ED"/>
    <w:rsid w:val="09420839"/>
    <w:rsid w:val="09423C12"/>
    <w:rsid w:val="09475E50"/>
    <w:rsid w:val="095A2027"/>
    <w:rsid w:val="095C5D9F"/>
    <w:rsid w:val="095C7B4D"/>
    <w:rsid w:val="095F13EB"/>
    <w:rsid w:val="09644C54"/>
    <w:rsid w:val="09652EA6"/>
    <w:rsid w:val="09664528"/>
    <w:rsid w:val="0969226A"/>
    <w:rsid w:val="096A216E"/>
    <w:rsid w:val="096B7D90"/>
    <w:rsid w:val="09774987"/>
    <w:rsid w:val="098826F0"/>
    <w:rsid w:val="0988465A"/>
    <w:rsid w:val="09893B40"/>
    <w:rsid w:val="09895AEA"/>
    <w:rsid w:val="098E3A7F"/>
    <w:rsid w:val="099077F7"/>
    <w:rsid w:val="099B3D9B"/>
    <w:rsid w:val="099E1F14"/>
    <w:rsid w:val="09A972F5"/>
    <w:rsid w:val="09AA6B0A"/>
    <w:rsid w:val="09AB2883"/>
    <w:rsid w:val="09AD2157"/>
    <w:rsid w:val="09B37F47"/>
    <w:rsid w:val="09CA2D09"/>
    <w:rsid w:val="09CF031F"/>
    <w:rsid w:val="09D04097"/>
    <w:rsid w:val="09D122E9"/>
    <w:rsid w:val="09E425A5"/>
    <w:rsid w:val="09E638BB"/>
    <w:rsid w:val="09EC28F6"/>
    <w:rsid w:val="09EF4C97"/>
    <w:rsid w:val="09F558AC"/>
    <w:rsid w:val="09F63AFE"/>
    <w:rsid w:val="09F81AC3"/>
    <w:rsid w:val="0A00672A"/>
    <w:rsid w:val="0A0A57FB"/>
    <w:rsid w:val="0A0A75A9"/>
    <w:rsid w:val="0A0C7573"/>
    <w:rsid w:val="0A0E04BF"/>
    <w:rsid w:val="0A157CFC"/>
    <w:rsid w:val="0A165F4E"/>
    <w:rsid w:val="0A2148F3"/>
    <w:rsid w:val="0A256191"/>
    <w:rsid w:val="0A263993"/>
    <w:rsid w:val="0A2A19F9"/>
    <w:rsid w:val="0A2D3AC2"/>
    <w:rsid w:val="0A2E58A1"/>
    <w:rsid w:val="0A3230A6"/>
    <w:rsid w:val="0A334D52"/>
    <w:rsid w:val="0A39654A"/>
    <w:rsid w:val="0A397E5D"/>
    <w:rsid w:val="0A3B3C06"/>
    <w:rsid w:val="0A40746F"/>
    <w:rsid w:val="0A466107"/>
    <w:rsid w:val="0A4800D1"/>
    <w:rsid w:val="0A49347A"/>
    <w:rsid w:val="0A4D4223"/>
    <w:rsid w:val="0A4E2BBC"/>
    <w:rsid w:val="0A522CFE"/>
    <w:rsid w:val="0A530F50"/>
    <w:rsid w:val="0A553620"/>
    <w:rsid w:val="0A5B1BB3"/>
    <w:rsid w:val="0A656ED5"/>
    <w:rsid w:val="0A6B2BD4"/>
    <w:rsid w:val="0A6D380D"/>
    <w:rsid w:val="0A717628"/>
    <w:rsid w:val="0A724A15"/>
    <w:rsid w:val="0A80786B"/>
    <w:rsid w:val="0A856C30"/>
    <w:rsid w:val="0A88407B"/>
    <w:rsid w:val="0A886720"/>
    <w:rsid w:val="0A9E5F43"/>
    <w:rsid w:val="0AA2244C"/>
    <w:rsid w:val="0AA755DF"/>
    <w:rsid w:val="0AAC240E"/>
    <w:rsid w:val="0AAC79B1"/>
    <w:rsid w:val="0AAD4136"/>
    <w:rsid w:val="0AAD7275"/>
    <w:rsid w:val="0AB264D7"/>
    <w:rsid w:val="0AB508C2"/>
    <w:rsid w:val="0AB80DB3"/>
    <w:rsid w:val="0AB85257"/>
    <w:rsid w:val="0ABD286D"/>
    <w:rsid w:val="0AC05EBA"/>
    <w:rsid w:val="0ACC5161"/>
    <w:rsid w:val="0AD100C7"/>
    <w:rsid w:val="0AD876A7"/>
    <w:rsid w:val="0ADA2474"/>
    <w:rsid w:val="0ADB2CF4"/>
    <w:rsid w:val="0AEA2F37"/>
    <w:rsid w:val="0AF27873"/>
    <w:rsid w:val="0AF65D7F"/>
    <w:rsid w:val="0AFC182C"/>
    <w:rsid w:val="0AFF0C25"/>
    <w:rsid w:val="0AFF69E2"/>
    <w:rsid w:val="0B02681E"/>
    <w:rsid w:val="0B071D3B"/>
    <w:rsid w:val="0B073AE9"/>
    <w:rsid w:val="0B093D05"/>
    <w:rsid w:val="0B0A5387"/>
    <w:rsid w:val="0B0F299D"/>
    <w:rsid w:val="0B100BEF"/>
    <w:rsid w:val="0B120D44"/>
    <w:rsid w:val="0B15259E"/>
    <w:rsid w:val="0B185CF6"/>
    <w:rsid w:val="0B204BAA"/>
    <w:rsid w:val="0B226B74"/>
    <w:rsid w:val="0B246449"/>
    <w:rsid w:val="0B275F39"/>
    <w:rsid w:val="0B304DED"/>
    <w:rsid w:val="0B364F7A"/>
    <w:rsid w:val="0B37577C"/>
    <w:rsid w:val="0B3B3792"/>
    <w:rsid w:val="0B3D575C"/>
    <w:rsid w:val="0B3F14D4"/>
    <w:rsid w:val="0B415214"/>
    <w:rsid w:val="0B416FFB"/>
    <w:rsid w:val="0B4E1717"/>
    <w:rsid w:val="0B50521E"/>
    <w:rsid w:val="0B5331D2"/>
    <w:rsid w:val="0B5A00BC"/>
    <w:rsid w:val="0B5C3E34"/>
    <w:rsid w:val="0B5F56D3"/>
    <w:rsid w:val="0B6254E4"/>
    <w:rsid w:val="0B6B051B"/>
    <w:rsid w:val="0B6B22C9"/>
    <w:rsid w:val="0B6D549E"/>
    <w:rsid w:val="0B6E5AC7"/>
    <w:rsid w:val="0B7047C3"/>
    <w:rsid w:val="0B7078E0"/>
    <w:rsid w:val="0B8213C1"/>
    <w:rsid w:val="0B867103"/>
    <w:rsid w:val="0B8C3FEE"/>
    <w:rsid w:val="0B901D30"/>
    <w:rsid w:val="0B916712"/>
    <w:rsid w:val="0B971310"/>
    <w:rsid w:val="0BB078D7"/>
    <w:rsid w:val="0BB974D9"/>
    <w:rsid w:val="0BBA0B5B"/>
    <w:rsid w:val="0BBC48D3"/>
    <w:rsid w:val="0BC10836"/>
    <w:rsid w:val="0BC32A3F"/>
    <w:rsid w:val="0BCB3625"/>
    <w:rsid w:val="0BCC62FA"/>
    <w:rsid w:val="0BCD088E"/>
    <w:rsid w:val="0BCD4D32"/>
    <w:rsid w:val="0BD065D0"/>
    <w:rsid w:val="0BD27BF6"/>
    <w:rsid w:val="0BE222CB"/>
    <w:rsid w:val="0BE300B2"/>
    <w:rsid w:val="0BEB340A"/>
    <w:rsid w:val="0BF422BF"/>
    <w:rsid w:val="0BF43C72"/>
    <w:rsid w:val="0BF57DE5"/>
    <w:rsid w:val="0BF6475E"/>
    <w:rsid w:val="0BF71DAF"/>
    <w:rsid w:val="0BF7590B"/>
    <w:rsid w:val="0BF978D5"/>
    <w:rsid w:val="0C032502"/>
    <w:rsid w:val="0C033E70"/>
    <w:rsid w:val="0C040E53"/>
    <w:rsid w:val="0C050A5A"/>
    <w:rsid w:val="0C083FBC"/>
    <w:rsid w:val="0C0C51C6"/>
    <w:rsid w:val="0C0D15D3"/>
    <w:rsid w:val="0C116467"/>
    <w:rsid w:val="0C1464BD"/>
    <w:rsid w:val="0C177D5B"/>
    <w:rsid w:val="0C1C35C4"/>
    <w:rsid w:val="0C232BA4"/>
    <w:rsid w:val="0C2506CA"/>
    <w:rsid w:val="0C320BEA"/>
    <w:rsid w:val="0C321039"/>
    <w:rsid w:val="0C3B3C7D"/>
    <w:rsid w:val="0C3C5A03"/>
    <w:rsid w:val="0C3E79DE"/>
    <w:rsid w:val="0C4B5C57"/>
    <w:rsid w:val="0C53395F"/>
    <w:rsid w:val="0C572F24"/>
    <w:rsid w:val="0C5D60B6"/>
    <w:rsid w:val="0C5E6E8A"/>
    <w:rsid w:val="0C6236CC"/>
    <w:rsid w:val="0C637445"/>
    <w:rsid w:val="0C66480D"/>
    <w:rsid w:val="0C6844A6"/>
    <w:rsid w:val="0C684A5B"/>
    <w:rsid w:val="0C7246EF"/>
    <w:rsid w:val="0C78680A"/>
    <w:rsid w:val="0C7C4062"/>
    <w:rsid w:val="0C811C6A"/>
    <w:rsid w:val="0C840D85"/>
    <w:rsid w:val="0C8A1673"/>
    <w:rsid w:val="0C8D6110"/>
    <w:rsid w:val="0C8F1FE8"/>
    <w:rsid w:val="0C923886"/>
    <w:rsid w:val="0C9238CE"/>
    <w:rsid w:val="0C98608F"/>
    <w:rsid w:val="0CA37841"/>
    <w:rsid w:val="0CAB2EAE"/>
    <w:rsid w:val="0CAD246E"/>
    <w:rsid w:val="0CAF61E6"/>
    <w:rsid w:val="0CBA3508"/>
    <w:rsid w:val="0CBE7F73"/>
    <w:rsid w:val="0CC2091C"/>
    <w:rsid w:val="0CC223BD"/>
    <w:rsid w:val="0CC2416B"/>
    <w:rsid w:val="0CC55A09"/>
    <w:rsid w:val="0CC9374C"/>
    <w:rsid w:val="0CD10852"/>
    <w:rsid w:val="0CD317C3"/>
    <w:rsid w:val="0CD65E68"/>
    <w:rsid w:val="0CDA7707"/>
    <w:rsid w:val="0CDF6ABF"/>
    <w:rsid w:val="0CEE31B2"/>
    <w:rsid w:val="0CEF4B4C"/>
    <w:rsid w:val="0CF6255F"/>
    <w:rsid w:val="0D025DB5"/>
    <w:rsid w:val="0D074274"/>
    <w:rsid w:val="0D085D69"/>
    <w:rsid w:val="0D0E73B0"/>
    <w:rsid w:val="0D103128"/>
    <w:rsid w:val="0D15073F"/>
    <w:rsid w:val="0D164230"/>
    <w:rsid w:val="0D181FDD"/>
    <w:rsid w:val="0D1F21E1"/>
    <w:rsid w:val="0D215336"/>
    <w:rsid w:val="0D224C0A"/>
    <w:rsid w:val="0D22719E"/>
    <w:rsid w:val="0D227549"/>
    <w:rsid w:val="0D2A1D10"/>
    <w:rsid w:val="0D2B54E5"/>
    <w:rsid w:val="0D335069"/>
    <w:rsid w:val="0D3407E7"/>
    <w:rsid w:val="0D350DE1"/>
    <w:rsid w:val="0D366907"/>
    <w:rsid w:val="0D3A1F53"/>
    <w:rsid w:val="0D3A63F7"/>
    <w:rsid w:val="0D3D2F32"/>
    <w:rsid w:val="0D3F683C"/>
    <w:rsid w:val="0D4508F8"/>
    <w:rsid w:val="0D470B14"/>
    <w:rsid w:val="0D4B4161"/>
    <w:rsid w:val="0D4C612B"/>
    <w:rsid w:val="0D556BE9"/>
    <w:rsid w:val="0D561DE6"/>
    <w:rsid w:val="0D5634BA"/>
    <w:rsid w:val="0D58062B"/>
    <w:rsid w:val="0D58687D"/>
    <w:rsid w:val="0D5D3E94"/>
    <w:rsid w:val="0D5D5C42"/>
    <w:rsid w:val="0D5E7EC1"/>
    <w:rsid w:val="0D605732"/>
    <w:rsid w:val="0D621C7D"/>
    <w:rsid w:val="0D6422E8"/>
    <w:rsid w:val="0D646FD0"/>
    <w:rsid w:val="0D6622B2"/>
    <w:rsid w:val="0D663C72"/>
    <w:rsid w:val="0D707A81"/>
    <w:rsid w:val="0D755681"/>
    <w:rsid w:val="0D887163"/>
    <w:rsid w:val="0D8E04F1"/>
    <w:rsid w:val="0D927FE1"/>
    <w:rsid w:val="0D935B07"/>
    <w:rsid w:val="0D9A6E96"/>
    <w:rsid w:val="0D9B56C1"/>
    <w:rsid w:val="0DA63A8D"/>
    <w:rsid w:val="0DAA5B57"/>
    <w:rsid w:val="0DB43A2E"/>
    <w:rsid w:val="0DB461AA"/>
    <w:rsid w:val="0DBE3991"/>
    <w:rsid w:val="0DC14423"/>
    <w:rsid w:val="0DC3019B"/>
    <w:rsid w:val="0DC43F13"/>
    <w:rsid w:val="0DC45E1C"/>
    <w:rsid w:val="0DC61A39"/>
    <w:rsid w:val="0DCB2A8A"/>
    <w:rsid w:val="0DCB704F"/>
    <w:rsid w:val="0DD00238"/>
    <w:rsid w:val="0DD118D5"/>
    <w:rsid w:val="0DD1235F"/>
    <w:rsid w:val="0DDA1988"/>
    <w:rsid w:val="0DDA54E4"/>
    <w:rsid w:val="0DDA7292"/>
    <w:rsid w:val="0DDC74AE"/>
    <w:rsid w:val="0DDD6D83"/>
    <w:rsid w:val="0DDF2AFB"/>
    <w:rsid w:val="0DE40111"/>
    <w:rsid w:val="0DE545B5"/>
    <w:rsid w:val="0DE819AF"/>
    <w:rsid w:val="0DE85E53"/>
    <w:rsid w:val="0DE87C01"/>
    <w:rsid w:val="0DEA1BCB"/>
    <w:rsid w:val="0DED16BC"/>
    <w:rsid w:val="0DED6FC6"/>
    <w:rsid w:val="0DF07C77"/>
    <w:rsid w:val="0DF465A6"/>
    <w:rsid w:val="0DF77E44"/>
    <w:rsid w:val="0DFA16E3"/>
    <w:rsid w:val="0E010CC3"/>
    <w:rsid w:val="0E07353A"/>
    <w:rsid w:val="0E0A2F97"/>
    <w:rsid w:val="0E0F33E0"/>
    <w:rsid w:val="0E1327A4"/>
    <w:rsid w:val="0E1529C0"/>
    <w:rsid w:val="0E195AB7"/>
    <w:rsid w:val="0E1D7271"/>
    <w:rsid w:val="0E211365"/>
    <w:rsid w:val="0E2816F2"/>
    <w:rsid w:val="0E3015A8"/>
    <w:rsid w:val="0E341099"/>
    <w:rsid w:val="0E3570B2"/>
    <w:rsid w:val="0E3829A1"/>
    <w:rsid w:val="0E3A23B7"/>
    <w:rsid w:val="0E3B2427"/>
    <w:rsid w:val="0E3C1CFB"/>
    <w:rsid w:val="0E3D6E50"/>
    <w:rsid w:val="0E3E61D9"/>
    <w:rsid w:val="0E402B72"/>
    <w:rsid w:val="0E460DCC"/>
    <w:rsid w:val="0E52068A"/>
    <w:rsid w:val="0E572FD9"/>
    <w:rsid w:val="0E576B35"/>
    <w:rsid w:val="0E59465B"/>
    <w:rsid w:val="0E5B4877"/>
    <w:rsid w:val="0E600B76"/>
    <w:rsid w:val="0E611762"/>
    <w:rsid w:val="0E634333"/>
    <w:rsid w:val="0E67321C"/>
    <w:rsid w:val="0E680F3E"/>
    <w:rsid w:val="0E6C0832"/>
    <w:rsid w:val="0E73034D"/>
    <w:rsid w:val="0E7B0A75"/>
    <w:rsid w:val="0E83604E"/>
    <w:rsid w:val="0E8536A2"/>
    <w:rsid w:val="0E855450"/>
    <w:rsid w:val="0E87741A"/>
    <w:rsid w:val="0E8D07A9"/>
    <w:rsid w:val="0E9112F8"/>
    <w:rsid w:val="0E941B37"/>
    <w:rsid w:val="0E945684"/>
    <w:rsid w:val="0E947D89"/>
    <w:rsid w:val="0E970484"/>
    <w:rsid w:val="0EA578A0"/>
    <w:rsid w:val="0EB21FBD"/>
    <w:rsid w:val="0EB225CD"/>
    <w:rsid w:val="0EB36461"/>
    <w:rsid w:val="0EB71C7C"/>
    <w:rsid w:val="0EB9159E"/>
    <w:rsid w:val="0EC341CA"/>
    <w:rsid w:val="0EC40BE4"/>
    <w:rsid w:val="0EC57F43"/>
    <w:rsid w:val="0ECA37AB"/>
    <w:rsid w:val="0ED463D8"/>
    <w:rsid w:val="0EE228A3"/>
    <w:rsid w:val="0EE42D8F"/>
    <w:rsid w:val="0EE54141"/>
    <w:rsid w:val="0EE652FF"/>
    <w:rsid w:val="0EE77EB9"/>
    <w:rsid w:val="0EF23F55"/>
    <w:rsid w:val="0EF34AB0"/>
    <w:rsid w:val="0EF45763"/>
    <w:rsid w:val="0EF600FC"/>
    <w:rsid w:val="0EFD148A"/>
    <w:rsid w:val="0F024913"/>
    <w:rsid w:val="0F087E2F"/>
    <w:rsid w:val="0F0A004B"/>
    <w:rsid w:val="0F0A1DF9"/>
    <w:rsid w:val="0F0F5662"/>
    <w:rsid w:val="0F135152"/>
    <w:rsid w:val="0F13775A"/>
    <w:rsid w:val="0F1669F0"/>
    <w:rsid w:val="0F2033CB"/>
    <w:rsid w:val="0F2C2A23"/>
    <w:rsid w:val="0F2F3326"/>
    <w:rsid w:val="0F3155D8"/>
    <w:rsid w:val="0F331350"/>
    <w:rsid w:val="0F39623B"/>
    <w:rsid w:val="0F3D21CF"/>
    <w:rsid w:val="0F401396"/>
    <w:rsid w:val="0F490482"/>
    <w:rsid w:val="0F4C683F"/>
    <w:rsid w:val="0F4E1CE6"/>
    <w:rsid w:val="0F5117D6"/>
    <w:rsid w:val="0F557518"/>
    <w:rsid w:val="0F572868"/>
    <w:rsid w:val="0F5B4FA9"/>
    <w:rsid w:val="0F5D017B"/>
    <w:rsid w:val="0F5F2145"/>
    <w:rsid w:val="0F5F3EF3"/>
    <w:rsid w:val="0F5F45FE"/>
    <w:rsid w:val="0F625791"/>
    <w:rsid w:val="0F655282"/>
    <w:rsid w:val="0F680A54"/>
    <w:rsid w:val="0F7756E1"/>
    <w:rsid w:val="0F775C33"/>
    <w:rsid w:val="0F786D63"/>
    <w:rsid w:val="0F7A0D2D"/>
    <w:rsid w:val="0F827BE2"/>
    <w:rsid w:val="0F866140"/>
    <w:rsid w:val="0F895414"/>
    <w:rsid w:val="0F8C0A60"/>
    <w:rsid w:val="0F930041"/>
    <w:rsid w:val="0F9306ED"/>
    <w:rsid w:val="0F943F60"/>
    <w:rsid w:val="0F987405"/>
    <w:rsid w:val="0F9A112B"/>
    <w:rsid w:val="0F9D4306"/>
    <w:rsid w:val="0FA1561A"/>
    <w:rsid w:val="0FA22032"/>
    <w:rsid w:val="0FA43FFC"/>
    <w:rsid w:val="0FA638D0"/>
    <w:rsid w:val="0FAD336A"/>
    <w:rsid w:val="0FB1055F"/>
    <w:rsid w:val="0FB6632F"/>
    <w:rsid w:val="0FB81855"/>
    <w:rsid w:val="0FBD6E6C"/>
    <w:rsid w:val="0FC451A5"/>
    <w:rsid w:val="0FC621C4"/>
    <w:rsid w:val="0FC91CB4"/>
    <w:rsid w:val="0FCB3337"/>
    <w:rsid w:val="0FCB77DB"/>
    <w:rsid w:val="0FD31141"/>
    <w:rsid w:val="0FD50659"/>
    <w:rsid w:val="0FDC11B9"/>
    <w:rsid w:val="0FDC7E43"/>
    <w:rsid w:val="0FDF6DE2"/>
    <w:rsid w:val="0FE20680"/>
    <w:rsid w:val="0FED14FF"/>
    <w:rsid w:val="0FEE734F"/>
    <w:rsid w:val="0FF87EA4"/>
    <w:rsid w:val="0FFC1742"/>
    <w:rsid w:val="0FFC3E38"/>
    <w:rsid w:val="100215E5"/>
    <w:rsid w:val="10090303"/>
    <w:rsid w:val="100B407B"/>
    <w:rsid w:val="100E76C7"/>
    <w:rsid w:val="1010343F"/>
    <w:rsid w:val="10117FA5"/>
    <w:rsid w:val="10196798"/>
    <w:rsid w:val="101A42BE"/>
    <w:rsid w:val="101B763D"/>
    <w:rsid w:val="101E0C87"/>
    <w:rsid w:val="101E5B5C"/>
    <w:rsid w:val="102962AF"/>
    <w:rsid w:val="102E38C6"/>
    <w:rsid w:val="103435D2"/>
    <w:rsid w:val="10354C54"/>
    <w:rsid w:val="10392996"/>
    <w:rsid w:val="103E1D5B"/>
    <w:rsid w:val="104355C3"/>
    <w:rsid w:val="10437371"/>
    <w:rsid w:val="10444231"/>
    <w:rsid w:val="10455972"/>
    <w:rsid w:val="104650B3"/>
    <w:rsid w:val="10501A8E"/>
    <w:rsid w:val="105477D0"/>
    <w:rsid w:val="105526F2"/>
    <w:rsid w:val="1056084D"/>
    <w:rsid w:val="10563548"/>
    <w:rsid w:val="105A2D5C"/>
    <w:rsid w:val="105C0433"/>
    <w:rsid w:val="105D24B8"/>
    <w:rsid w:val="10602244"/>
    <w:rsid w:val="106519DD"/>
    <w:rsid w:val="10664CAB"/>
    <w:rsid w:val="10686DD7"/>
    <w:rsid w:val="106C5F4C"/>
    <w:rsid w:val="106D2F64"/>
    <w:rsid w:val="106F460A"/>
    <w:rsid w:val="106F63B8"/>
    <w:rsid w:val="107216AE"/>
    <w:rsid w:val="107E363C"/>
    <w:rsid w:val="107F7D9F"/>
    <w:rsid w:val="10806817"/>
    <w:rsid w:val="10811704"/>
    <w:rsid w:val="10857989"/>
    <w:rsid w:val="10881228"/>
    <w:rsid w:val="108A4FA0"/>
    <w:rsid w:val="108D14D7"/>
    <w:rsid w:val="109001C7"/>
    <w:rsid w:val="1092654A"/>
    <w:rsid w:val="10961B97"/>
    <w:rsid w:val="10967329"/>
    <w:rsid w:val="10967DE9"/>
    <w:rsid w:val="10991687"/>
    <w:rsid w:val="109C2F25"/>
    <w:rsid w:val="10AB7E22"/>
    <w:rsid w:val="10AC13BA"/>
    <w:rsid w:val="10B63710"/>
    <w:rsid w:val="10B85FB1"/>
    <w:rsid w:val="10B9694D"/>
    <w:rsid w:val="10BC7123"/>
    <w:rsid w:val="10BF1429"/>
    <w:rsid w:val="10C04426"/>
    <w:rsid w:val="10C61D50"/>
    <w:rsid w:val="10C745F1"/>
    <w:rsid w:val="10C83D1A"/>
    <w:rsid w:val="10CA564B"/>
    <w:rsid w:val="10CB2693"/>
    <w:rsid w:val="10CC380A"/>
    <w:rsid w:val="10CD7582"/>
    <w:rsid w:val="10D10E21"/>
    <w:rsid w:val="10D26947"/>
    <w:rsid w:val="10D73F5D"/>
    <w:rsid w:val="10D80401"/>
    <w:rsid w:val="10DB1CB0"/>
    <w:rsid w:val="10DD4110"/>
    <w:rsid w:val="10DE674D"/>
    <w:rsid w:val="10DE709A"/>
    <w:rsid w:val="10F10820"/>
    <w:rsid w:val="10F11D4D"/>
    <w:rsid w:val="10F92125"/>
    <w:rsid w:val="10FE14EA"/>
    <w:rsid w:val="10FF6CE8"/>
    <w:rsid w:val="11066BBB"/>
    <w:rsid w:val="11074842"/>
    <w:rsid w:val="11082369"/>
    <w:rsid w:val="110C3C07"/>
    <w:rsid w:val="110F1949"/>
    <w:rsid w:val="111331E7"/>
    <w:rsid w:val="111C2F7A"/>
    <w:rsid w:val="111D4066"/>
    <w:rsid w:val="112371A2"/>
    <w:rsid w:val="11290C5D"/>
    <w:rsid w:val="112E6273"/>
    <w:rsid w:val="11305B15"/>
    <w:rsid w:val="1131366D"/>
    <w:rsid w:val="113849FC"/>
    <w:rsid w:val="113D2012"/>
    <w:rsid w:val="11405FA6"/>
    <w:rsid w:val="114415F3"/>
    <w:rsid w:val="114521D1"/>
    <w:rsid w:val="11496C09"/>
    <w:rsid w:val="115267C4"/>
    <w:rsid w:val="115455AE"/>
    <w:rsid w:val="11553800"/>
    <w:rsid w:val="115630D4"/>
    <w:rsid w:val="11572401"/>
    <w:rsid w:val="1158509E"/>
    <w:rsid w:val="11586E4C"/>
    <w:rsid w:val="11621A79"/>
    <w:rsid w:val="11665CA1"/>
    <w:rsid w:val="11670BA1"/>
    <w:rsid w:val="11672A5E"/>
    <w:rsid w:val="11731ED8"/>
    <w:rsid w:val="11772E7B"/>
    <w:rsid w:val="117A3266"/>
    <w:rsid w:val="117A5014"/>
    <w:rsid w:val="117D4B05"/>
    <w:rsid w:val="1182211B"/>
    <w:rsid w:val="118B40BA"/>
    <w:rsid w:val="118B5473"/>
    <w:rsid w:val="118E6D12"/>
    <w:rsid w:val="119037EF"/>
    <w:rsid w:val="11A227BD"/>
    <w:rsid w:val="11A52783"/>
    <w:rsid w:val="11AE1162"/>
    <w:rsid w:val="11B00A36"/>
    <w:rsid w:val="11B12A00"/>
    <w:rsid w:val="11B479CE"/>
    <w:rsid w:val="11B524F0"/>
    <w:rsid w:val="11BA3663"/>
    <w:rsid w:val="11BB73DB"/>
    <w:rsid w:val="11BD21AE"/>
    <w:rsid w:val="11C10E95"/>
    <w:rsid w:val="11C444E1"/>
    <w:rsid w:val="11C6025A"/>
    <w:rsid w:val="11CC3396"/>
    <w:rsid w:val="11CC3FE6"/>
    <w:rsid w:val="11D34725"/>
    <w:rsid w:val="11D72467"/>
    <w:rsid w:val="11DB182B"/>
    <w:rsid w:val="11DF131B"/>
    <w:rsid w:val="11DF1C1B"/>
    <w:rsid w:val="11DF30C9"/>
    <w:rsid w:val="11E15093"/>
    <w:rsid w:val="11E701D0"/>
    <w:rsid w:val="11F03528"/>
    <w:rsid w:val="11F272A1"/>
    <w:rsid w:val="11FC011F"/>
    <w:rsid w:val="11FD5EA6"/>
    <w:rsid w:val="11FF19BD"/>
    <w:rsid w:val="120174E4"/>
    <w:rsid w:val="12040D82"/>
    <w:rsid w:val="120945EA"/>
    <w:rsid w:val="120B3EBE"/>
    <w:rsid w:val="120D40DA"/>
    <w:rsid w:val="120E79C7"/>
    <w:rsid w:val="12183ACF"/>
    <w:rsid w:val="121C256F"/>
    <w:rsid w:val="121C431D"/>
    <w:rsid w:val="121E0096"/>
    <w:rsid w:val="122136E2"/>
    <w:rsid w:val="122614E0"/>
    <w:rsid w:val="12263814"/>
    <w:rsid w:val="122A09C9"/>
    <w:rsid w:val="122D2087"/>
    <w:rsid w:val="12325681"/>
    <w:rsid w:val="12353631"/>
    <w:rsid w:val="123A47A4"/>
    <w:rsid w:val="123E4294"/>
    <w:rsid w:val="12435D4E"/>
    <w:rsid w:val="124755D5"/>
    <w:rsid w:val="124A70DD"/>
    <w:rsid w:val="12521AED"/>
    <w:rsid w:val="12521E3B"/>
    <w:rsid w:val="12541D09"/>
    <w:rsid w:val="125910CE"/>
    <w:rsid w:val="125E40A9"/>
    <w:rsid w:val="126431FA"/>
    <w:rsid w:val="12673D10"/>
    <w:rsid w:val="127017F0"/>
    <w:rsid w:val="1272218F"/>
    <w:rsid w:val="127952CC"/>
    <w:rsid w:val="12887C05"/>
    <w:rsid w:val="12891287"/>
    <w:rsid w:val="128A74D9"/>
    <w:rsid w:val="128B3251"/>
    <w:rsid w:val="128D2882"/>
    <w:rsid w:val="1290257A"/>
    <w:rsid w:val="12902616"/>
    <w:rsid w:val="129220FD"/>
    <w:rsid w:val="12924313"/>
    <w:rsid w:val="1292638E"/>
    <w:rsid w:val="12957C2C"/>
    <w:rsid w:val="129C113D"/>
    <w:rsid w:val="129E2F84"/>
    <w:rsid w:val="12B31C14"/>
    <w:rsid w:val="12B44007"/>
    <w:rsid w:val="12B502CE"/>
    <w:rsid w:val="12BB58E4"/>
    <w:rsid w:val="12BE3627"/>
    <w:rsid w:val="12BE7183"/>
    <w:rsid w:val="12C0739F"/>
    <w:rsid w:val="12C66037"/>
    <w:rsid w:val="12CB6EC7"/>
    <w:rsid w:val="12CD315B"/>
    <w:rsid w:val="12CF1390"/>
    <w:rsid w:val="12D15108"/>
    <w:rsid w:val="12DB7DFA"/>
    <w:rsid w:val="12DD1CFF"/>
    <w:rsid w:val="12DE03E6"/>
    <w:rsid w:val="12E0359D"/>
    <w:rsid w:val="12E666D9"/>
    <w:rsid w:val="12EC1F42"/>
    <w:rsid w:val="12EF22E4"/>
    <w:rsid w:val="12F31734"/>
    <w:rsid w:val="12FC7CAB"/>
    <w:rsid w:val="13031039"/>
    <w:rsid w:val="130339B0"/>
    <w:rsid w:val="130F3E82"/>
    <w:rsid w:val="130F79DE"/>
    <w:rsid w:val="131119A8"/>
    <w:rsid w:val="13143247"/>
    <w:rsid w:val="13160D6D"/>
    <w:rsid w:val="131B2827"/>
    <w:rsid w:val="132462D2"/>
    <w:rsid w:val="13294F44"/>
    <w:rsid w:val="132B2AAE"/>
    <w:rsid w:val="132B2F18"/>
    <w:rsid w:val="1331204B"/>
    <w:rsid w:val="133236CD"/>
    <w:rsid w:val="13335ECF"/>
    <w:rsid w:val="133E63BF"/>
    <w:rsid w:val="13405DEA"/>
    <w:rsid w:val="13451652"/>
    <w:rsid w:val="134875CD"/>
    <w:rsid w:val="13497394"/>
    <w:rsid w:val="13547AE7"/>
    <w:rsid w:val="135A334F"/>
    <w:rsid w:val="135D4BEE"/>
    <w:rsid w:val="1362048E"/>
    <w:rsid w:val="13645F7C"/>
    <w:rsid w:val="13655850"/>
    <w:rsid w:val="1373121A"/>
    <w:rsid w:val="13744DAE"/>
    <w:rsid w:val="13750189"/>
    <w:rsid w:val="137B1518"/>
    <w:rsid w:val="13824654"/>
    <w:rsid w:val="138416AD"/>
    <w:rsid w:val="13855EF2"/>
    <w:rsid w:val="13942121"/>
    <w:rsid w:val="13951726"/>
    <w:rsid w:val="13963C5C"/>
    <w:rsid w:val="13981B8C"/>
    <w:rsid w:val="13983317"/>
    <w:rsid w:val="13983E78"/>
    <w:rsid w:val="139B3968"/>
    <w:rsid w:val="13A35EFE"/>
    <w:rsid w:val="13AE369B"/>
    <w:rsid w:val="13B4479E"/>
    <w:rsid w:val="13BD504D"/>
    <w:rsid w:val="13BF7656"/>
    <w:rsid w:val="13C407C9"/>
    <w:rsid w:val="13C65DB1"/>
    <w:rsid w:val="13C7475D"/>
    <w:rsid w:val="13C82EA6"/>
    <w:rsid w:val="13CB0875"/>
    <w:rsid w:val="13CC10F2"/>
    <w:rsid w:val="13D11138"/>
    <w:rsid w:val="13D2293E"/>
    <w:rsid w:val="13D824C6"/>
    <w:rsid w:val="13DC503A"/>
    <w:rsid w:val="13DD3550"/>
    <w:rsid w:val="13DF5603"/>
    <w:rsid w:val="13EC5CD8"/>
    <w:rsid w:val="13F56BD4"/>
    <w:rsid w:val="13F866C4"/>
    <w:rsid w:val="140254B0"/>
    <w:rsid w:val="14025795"/>
    <w:rsid w:val="14055F2A"/>
    <w:rsid w:val="14065285"/>
    <w:rsid w:val="140D728C"/>
    <w:rsid w:val="14131750"/>
    <w:rsid w:val="141334FE"/>
    <w:rsid w:val="141352AC"/>
    <w:rsid w:val="14171240"/>
    <w:rsid w:val="141A488D"/>
    <w:rsid w:val="142474B9"/>
    <w:rsid w:val="142B748D"/>
    <w:rsid w:val="14321BD6"/>
    <w:rsid w:val="1432607A"/>
    <w:rsid w:val="143516C6"/>
    <w:rsid w:val="14353475"/>
    <w:rsid w:val="14396509"/>
    <w:rsid w:val="143A0A8B"/>
    <w:rsid w:val="143D597D"/>
    <w:rsid w:val="143F42F3"/>
    <w:rsid w:val="14522278"/>
    <w:rsid w:val="145B1975"/>
    <w:rsid w:val="146228E4"/>
    <w:rsid w:val="14627FE2"/>
    <w:rsid w:val="146462F6"/>
    <w:rsid w:val="14665D24"/>
    <w:rsid w:val="146D4588"/>
    <w:rsid w:val="146D6F7C"/>
    <w:rsid w:val="14726477"/>
    <w:rsid w:val="14733F9D"/>
    <w:rsid w:val="14755F67"/>
    <w:rsid w:val="14795A57"/>
    <w:rsid w:val="147C10A3"/>
    <w:rsid w:val="147E374A"/>
    <w:rsid w:val="14805EDC"/>
    <w:rsid w:val="148461AA"/>
    <w:rsid w:val="148F527B"/>
    <w:rsid w:val="149C7998"/>
    <w:rsid w:val="14A10B0A"/>
    <w:rsid w:val="14A32948"/>
    <w:rsid w:val="14A405FA"/>
    <w:rsid w:val="14A95C11"/>
    <w:rsid w:val="14AE3227"/>
    <w:rsid w:val="14B00D4D"/>
    <w:rsid w:val="14B02E69"/>
    <w:rsid w:val="14B107A5"/>
    <w:rsid w:val="14B4416C"/>
    <w:rsid w:val="14B545B5"/>
    <w:rsid w:val="14B65127"/>
    <w:rsid w:val="14B84E23"/>
    <w:rsid w:val="14B922F8"/>
    <w:rsid w:val="14BB6070"/>
    <w:rsid w:val="14C36CD2"/>
    <w:rsid w:val="14C52A4A"/>
    <w:rsid w:val="14CB202B"/>
    <w:rsid w:val="14CE3149"/>
    <w:rsid w:val="14CF5677"/>
    <w:rsid w:val="14D73255"/>
    <w:rsid w:val="14DD2C3C"/>
    <w:rsid w:val="14E02606"/>
    <w:rsid w:val="14E7655D"/>
    <w:rsid w:val="14EB154F"/>
    <w:rsid w:val="14ED3D4F"/>
    <w:rsid w:val="14F214A5"/>
    <w:rsid w:val="14F72E20"/>
    <w:rsid w:val="14F973FF"/>
    <w:rsid w:val="150163EA"/>
    <w:rsid w:val="150177FB"/>
    <w:rsid w:val="15035321"/>
    <w:rsid w:val="150C0679"/>
    <w:rsid w:val="150F0169"/>
    <w:rsid w:val="15107A3E"/>
    <w:rsid w:val="151439D2"/>
    <w:rsid w:val="1514752E"/>
    <w:rsid w:val="151C63E2"/>
    <w:rsid w:val="15204C0E"/>
    <w:rsid w:val="15233C15"/>
    <w:rsid w:val="1525798D"/>
    <w:rsid w:val="152D6842"/>
    <w:rsid w:val="15325C06"/>
    <w:rsid w:val="1534372C"/>
    <w:rsid w:val="15353C13"/>
    <w:rsid w:val="15363948"/>
    <w:rsid w:val="1537037E"/>
    <w:rsid w:val="1537321C"/>
    <w:rsid w:val="153B4ABB"/>
    <w:rsid w:val="153E0A4F"/>
    <w:rsid w:val="153E45AB"/>
    <w:rsid w:val="15401A79"/>
    <w:rsid w:val="15453B8B"/>
    <w:rsid w:val="15477903"/>
    <w:rsid w:val="154B10CC"/>
    <w:rsid w:val="15520056"/>
    <w:rsid w:val="15533C47"/>
    <w:rsid w:val="155344FA"/>
    <w:rsid w:val="155362A8"/>
    <w:rsid w:val="15565D98"/>
    <w:rsid w:val="155C1282"/>
    <w:rsid w:val="155E4C4D"/>
    <w:rsid w:val="156D68F8"/>
    <w:rsid w:val="156E1ACB"/>
    <w:rsid w:val="157224A6"/>
    <w:rsid w:val="157306F8"/>
    <w:rsid w:val="1578720C"/>
    <w:rsid w:val="157D50D3"/>
    <w:rsid w:val="157E0E4B"/>
    <w:rsid w:val="157E709D"/>
    <w:rsid w:val="15836462"/>
    <w:rsid w:val="15856888"/>
    <w:rsid w:val="15862969"/>
    <w:rsid w:val="15866F2A"/>
    <w:rsid w:val="15891CCA"/>
    <w:rsid w:val="158C17BA"/>
    <w:rsid w:val="158C3568"/>
    <w:rsid w:val="159031C0"/>
    <w:rsid w:val="159348F7"/>
    <w:rsid w:val="15981F0D"/>
    <w:rsid w:val="159B37AB"/>
    <w:rsid w:val="159B473B"/>
    <w:rsid w:val="15A22D8C"/>
    <w:rsid w:val="15A24B3A"/>
    <w:rsid w:val="15A352EC"/>
    <w:rsid w:val="15A71D62"/>
    <w:rsid w:val="15AA302F"/>
    <w:rsid w:val="15AA796A"/>
    <w:rsid w:val="15B17473"/>
    <w:rsid w:val="15B66837"/>
    <w:rsid w:val="15B8435D"/>
    <w:rsid w:val="15B87EE8"/>
    <w:rsid w:val="15BD7BC5"/>
    <w:rsid w:val="15C251DC"/>
    <w:rsid w:val="15C27350"/>
    <w:rsid w:val="15CD686C"/>
    <w:rsid w:val="15CE3B81"/>
    <w:rsid w:val="15D60C87"/>
    <w:rsid w:val="15DD2016"/>
    <w:rsid w:val="15E2762C"/>
    <w:rsid w:val="15EA4F64"/>
    <w:rsid w:val="15EA5B92"/>
    <w:rsid w:val="15F1161D"/>
    <w:rsid w:val="15F630D7"/>
    <w:rsid w:val="15FA4976"/>
    <w:rsid w:val="15FC33A8"/>
    <w:rsid w:val="15FE0155"/>
    <w:rsid w:val="15FF01DE"/>
    <w:rsid w:val="15FF197D"/>
    <w:rsid w:val="15FF30BE"/>
    <w:rsid w:val="1608383B"/>
    <w:rsid w:val="16087785"/>
    <w:rsid w:val="16087E1D"/>
    <w:rsid w:val="16096967"/>
    <w:rsid w:val="160E009A"/>
    <w:rsid w:val="160E6673"/>
    <w:rsid w:val="16111CBF"/>
    <w:rsid w:val="16157A01"/>
    <w:rsid w:val="16184DFC"/>
    <w:rsid w:val="161D2412"/>
    <w:rsid w:val="161E12A7"/>
    <w:rsid w:val="161F618A"/>
    <w:rsid w:val="16223ECC"/>
    <w:rsid w:val="16227A29"/>
    <w:rsid w:val="1627462B"/>
    <w:rsid w:val="16282F80"/>
    <w:rsid w:val="162B0FD3"/>
    <w:rsid w:val="16356A28"/>
    <w:rsid w:val="1638549E"/>
    <w:rsid w:val="163A1216"/>
    <w:rsid w:val="163B0AEA"/>
    <w:rsid w:val="16421E79"/>
    <w:rsid w:val="16461969"/>
    <w:rsid w:val="16493207"/>
    <w:rsid w:val="164C1247"/>
    <w:rsid w:val="164E6A70"/>
    <w:rsid w:val="1658169C"/>
    <w:rsid w:val="165D0AF2"/>
    <w:rsid w:val="166560CF"/>
    <w:rsid w:val="16663DB9"/>
    <w:rsid w:val="16684286"/>
    <w:rsid w:val="1668460C"/>
    <w:rsid w:val="167504A0"/>
    <w:rsid w:val="167D088E"/>
    <w:rsid w:val="167E55A7"/>
    <w:rsid w:val="16845544"/>
    <w:rsid w:val="16873D30"/>
    <w:rsid w:val="168827EB"/>
    <w:rsid w:val="168D68A7"/>
    <w:rsid w:val="16946B78"/>
    <w:rsid w:val="16946F6A"/>
    <w:rsid w:val="169721C5"/>
    <w:rsid w:val="1699418F"/>
    <w:rsid w:val="169D3553"/>
    <w:rsid w:val="16A06619"/>
    <w:rsid w:val="16A17CFA"/>
    <w:rsid w:val="16A214EF"/>
    <w:rsid w:val="16A80817"/>
    <w:rsid w:val="16A87F47"/>
    <w:rsid w:val="16AF53A7"/>
    <w:rsid w:val="16B03286"/>
    <w:rsid w:val="16B65BB5"/>
    <w:rsid w:val="16BD39C5"/>
    <w:rsid w:val="16C03CFB"/>
    <w:rsid w:val="16C15493"/>
    <w:rsid w:val="16C32FBA"/>
    <w:rsid w:val="16C36FFC"/>
    <w:rsid w:val="16CD208A"/>
    <w:rsid w:val="16CD3E38"/>
    <w:rsid w:val="16D90A2F"/>
    <w:rsid w:val="16DE4297"/>
    <w:rsid w:val="16E10208"/>
    <w:rsid w:val="16EA49EA"/>
    <w:rsid w:val="16F21AF1"/>
    <w:rsid w:val="16F2389F"/>
    <w:rsid w:val="170535D2"/>
    <w:rsid w:val="170B2BB3"/>
    <w:rsid w:val="170B2DCB"/>
    <w:rsid w:val="1711641B"/>
    <w:rsid w:val="17125CEF"/>
    <w:rsid w:val="17147CB9"/>
    <w:rsid w:val="17153EF8"/>
    <w:rsid w:val="17221EA3"/>
    <w:rsid w:val="1723471F"/>
    <w:rsid w:val="17257A59"/>
    <w:rsid w:val="172779EC"/>
    <w:rsid w:val="172F4AF3"/>
    <w:rsid w:val="173914CE"/>
    <w:rsid w:val="173C3712"/>
    <w:rsid w:val="173E4D36"/>
    <w:rsid w:val="173E785B"/>
    <w:rsid w:val="17485BB5"/>
    <w:rsid w:val="174C7453"/>
    <w:rsid w:val="174D31CB"/>
    <w:rsid w:val="175510DB"/>
    <w:rsid w:val="17562080"/>
    <w:rsid w:val="175B7696"/>
    <w:rsid w:val="175D340E"/>
    <w:rsid w:val="176522C3"/>
    <w:rsid w:val="1767092B"/>
    <w:rsid w:val="176F3141"/>
    <w:rsid w:val="17701D14"/>
    <w:rsid w:val="17735226"/>
    <w:rsid w:val="177D585E"/>
    <w:rsid w:val="17890388"/>
    <w:rsid w:val="178B14E0"/>
    <w:rsid w:val="178C5AA1"/>
    <w:rsid w:val="17965BC8"/>
    <w:rsid w:val="17966920"/>
    <w:rsid w:val="17971232"/>
    <w:rsid w:val="17994B59"/>
    <w:rsid w:val="179B7A92"/>
    <w:rsid w:val="179E3A27"/>
    <w:rsid w:val="17A54DB5"/>
    <w:rsid w:val="17AD5A18"/>
    <w:rsid w:val="17AE3C6A"/>
    <w:rsid w:val="17B40B54"/>
    <w:rsid w:val="17B46DA6"/>
    <w:rsid w:val="17B47B2E"/>
    <w:rsid w:val="17B7533E"/>
    <w:rsid w:val="17B943BD"/>
    <w:rsid w:val="17BB0135"/>
    <w:rsid w:val="17C074F9"/>
    <w:rsid w:val="17C10D22"/>
    <w:rsid w:val="17C27715"/>
    <w:rsid w:val="17C76AD9"/>
    <w:rsid w:val="17CD1C16"/>
    <w:rsid w:val="17CE1C1C"/>
    <w:rsid w:val="17CE7E68"/>
    <w:rsid w:val="17CF257F"/>
    <w:rsid w:val="17DB5243"/>
    <w:rsid w:val="17DF23C2"/>
    <w:rsid w:val="17E53731"/>
    <w:rsid w:val="17E75277"/>
    <w:rsid w:val="17E86A50"/>
    <w:rsid w:val="17EA0A1A"/>
    <w:rsid w:val="17EC30C9"/>
    <w:rsid w:val="17F13B56"/>
    <w:rsid w:val="17F17FFA"/>
    <w:rsid w:val="17F378CF"/>
    <w:rsid w:val="17F4498A"/>
    <w:rsid w:val="17F81389"/>
    <w:rsid w:val="17FD6785"/>
    <w:rsid w:val="1801261F"/>
    <w:rsid w:val="18057602"/>
    <w:rsid w:val="18095344"/>
    <w:rsid w:val="180A2E6A"/>
    <w:rsid w:val="180C0990"/>
    <w:rsid w:val="180E08CC"/>
    <w:rsid w:val="180F14AB"/>
    <w:rsid w:val="180F222F"/>
    <w:rsid w:val="180F506D"/>
    <w:rsid w:val="18115FA7"/>
    <w:rsid w:val="18137F71"/>
    <w:rsid w:val="181810E3"/>
    <w:rsid w:val="181A12FF"/>
    <w:rsid w:val="182A0E16"/>
    <w:rsid w:val="182C2DE0"/>
    <w:rsid w:val="182D1560"/>
    <w:rsid w:val="18365A0D"/>
    <w:rsid w:val="183F48C2"/>
    <w:rsid w:val="18400ACF"/>
    <w:rsid w:val="18422604"/>
    <w:rsid w:val="184E2D57"/>
    <w:rsid w:val="18502F73"/>
    <w:rsid w:val="18512847"/>
    <w:rsid w:val="185365BF"/>
    <w:rsid w:val="185A16FC"/>
    <w:rsid w:val="18616F2E"/>
    <w:rsid w:val="18664544"/>
    <w:rsid w:val="1867206B"/>
    <w:rsid w:val="186D58D3"/>
    <w:rsid w:val="18700F1F"/>
    <w:rsid w:val="18786026"/>
    <w:rsid w:val="187A1D9E"/>
    <w:rsid w:val="187C3D68"/>
    <w:rsid w:val="187D188E"/>
    <w:rsid w:val="187F1162"/>
    <w:rsid w:val="18802F86"/>
    <w:rsid w:val="18867715"/>
    <w:rsid w:val="188A67B4"/>
    <w:rsid w:val="188B5D59"/>
    <w:rsid w:val="188D1AD1"/>
    <w:rsid w:val="188E5849"/>
    <w:rsid w:val="1897327F"/>
    <w:rsid w:val="189C1059"/>
    <w:rsid w:val="189F1804"/>
    <w:rsid w:val="189F624C"/>
    <w:rsid w:val="189F7A56"/>
    <w:rsid w:val="18A137CE"/>
    <w:rsid w:val="18A46E1B"/>
    <w:rsid w:val="18AD02DB"/>
    <w:rsid w:val="18B231CD"/>
    <w:rsid w:val="18B54B84"/>
    <w:rsid w:val="18B76B4E"/>
    <w:rsid w:val="18BA03EC"/>
    <w:rsid w:val="18C03584"/>
    <w:rsid w:val="18C1177B"/>
    <w:rsid w:val="18C63235"/>
    <w:rsid w:val="18C9062F"/>
    <w:rsid w:val="18D05E62"/>
    <w:rsid w:val="18D23988"/>
    <w:rsid w:val="18D25736"/>
    <w:rsid w:val="18D35293"/>
    <w:rsid w:val="18D94D16"/>
    <w:rsid w:val="18E13BCB"/>
    <w:rsid w:val="18E24A74"/>
    <w:rsid w:val="18E37080"/>
    <w:rsid w:val="18E45469"/>
    <w:rsid w:val="18E86D07"/>
    <w:rsid w:val="18EE62E8"/>
    <w:rsid w:val="18EF453A"/>
    <w:rsid w:val="18F12651"/>
    <w:rsid w:val="18F549D7"/>
    <w:rsid w:val="18FC27B3"/>
    <w:rsid w:val="18FF4051"/>
    <w:rsid w:val="1901426D"/>
    <w:rsid w:val="1901601B"/>
    <w:rsid w:val="19031D93"/>
    <w:rsid w:val="19094ED0"/>
    <w:rsid w:val="190A3122"/>
    <w:rsid w:val="190E24E6"/>
    <w:rsid w:val="19114849"/>
    <w:rsid w:val="1921046B"/>
    <w:rsid w:val="192341E3"/>
    <w:rsid w:val="19265A82"/>
    <w:rsid w:val="19274198"/>
    <w:rsid w:val="19337CF2"/>
    <w:rsid w:val="19341F4D"/>
    <w:rsid w:val="193C7053"/>
    <w:rsid w:val="1941466A"/>
    <w:rsid w:val="19445F08"/>
    <w:rsid w:val="19516FA3"/>
    <w:rsid w:val="19526877"/>
    <w:rsid w:val="19530656"/>
    <w:rsid w:val="19575C3B"/>
    <w:rsid w:val="19597C05"/>
    <w:rsid w:val="195F2D42"/>
    <w:rsid w:val="19670574"/>
    <w:rsid w:val="196F11D7"/>
    <w:rsid w:val="196F567B"/>
    <w:rsid w:val="19742C91"/>
    <w:rsid w:val="19753F9E"/>
    <w:rsid w:val="197607B7"/>
    <w:rsid w:val="1977452F"/>
    <w:rsid w:val="197762DD"/>
    <w:rsid w:val="197B401F"/>
    <w:rsid w:val="198253AE"/>
    <w:rsid w:val="198700D5"/>
    <w:rsid w:val="19876E89"/>
    <w:rsid w:val="19882298"/>
    <w:rsid w:val="198A4263"/>
    <w:rsid w:val="199450E1"/>
    <w:rsid w:val="19955224"/>
    <w:rsid w:val="199C7AF2"/>
    <w:rsid w:val="19A215AC"/>
    <w:rsid w:val="19AA220F"/>
    <w:rsid w:val="19B117EF"/>
    <w:rsid w:val="19B4308D"/>
    <w:rsid w:val="19C257AA"/>
    <w:rsid w:val="19D11E91"/>
    <w:rsid w:val="19D61256"/>
    <w:rsid w:val="19D628E3"/>
    <w:rsid w:val="19DC596C"/>
    <w:rsid w:val="19E015F0"/>
    <w:rsid w:val="19E02CE0"/>
    <w:rsid w:val="19E03E83"/>
    <w:rsid w:val="19E5593D"/>
    <w:rsid w:val="19E677E8"/>
    <w:rsid w:val="19EA6AAF"/>
    <w:rsid w:val="19F317CF"/>
    <w:rsid w:val="19F8799F"/>
    <w:rsid w:val="19FB6F0E"/>
    <w:rsid w:val="19FD3599"/>
    <w:rsid w:val="19FF69FF"/>
    <w:rsid w:val="1A053239"/>
    <w:rsid w:val="1A0538E9"/>
    <w:rsid w:val="1A057D8D"/>
    <w:rsid w:val="1A136006"/>
    <w:rsid w:val="1A1636E5"/>
    <w:rsid w:val="1A1C66C0"/>
    <w:rsid w:val="1A2F0966"/>
    <w:rsid w:val="1A3348FA"/>
    <w:rsid w:val="1A3362B7"/>
    <w:rsid w:val="1A361806"/>
    <w:rsid w:val="1A3625FD"/>
    <w:rsid w:val="1A381F10"/>
    <w:rsid w:val="1A3D3083"/>
    <w:rsid w:val="1A3F6FF2"/>
    <w:rsid w:val="1A42393B"/>
    <w:rsid w:val="1A442A69"/>
    <w:rsid w:val="1A473F02"/>
    <w:rsid w:val="1A475CB0"/>
    <w:rsid w:val="1A4C59BC"/>
    <w:rsid w:val="1A5105AB"/>
    <w:rsid w:val="1A564145"/>
    <w:rsid w:val="1A591713"/>
    <w:rsid w:val="1A5C0346"/>
    <w:rsid w:val="1A642653"/>
    <w:rsid w:val="1A646862"/>
    <w:rsid w:val="1A673782"/>
    <w:rsid w:val="1A690E37"/>
    <w:rsid w:val="1A6B3B38"/>
    <w:rsid w:val="1A6B4B69"/>
    <w:rsid w:val="1A6C3968"/>
    <w:rsid w:val="1A6D068C"/>
    <w:rsid w:val="1A734E8B"/>
    <w:rsid w:val="1A770105"/>
    <w:rsid w:val="1A7A7E33"/>
    <w:rsid w:val="1A7B1DFD"/>
    <w:rsid w:val="1A7E53C6"/>
    <w:rsid w:val="1A8567D8"/>
    <w:rsid w:val="1A871100"/>
    <w:rsid w:val="1A8B2040"/>
    <w:rsid w:val="1A8E457F"/>
    <w:rsid w:val="1A951111"/>
    <w:rsid w:val="1A962970"/>
    <w:rsid w:val="1A99550E"/>
    <w:rsid w:val="1A9C16CC"/>
    <w:rsid w:val="1A9C424D"/>
    <w:rsid w:val="1A9D6217"/>
    <w:rsid w:val="1AA50C28"/>
    <w:rsid w:val="1AAD45DE"/>
    <w:rsid w:val="1AB073BF"/>
    <w:rsid w:val="1AB51D3D"/>
    <w:rsid w:val="1AB53561"/>
    <w:rsid w:val="1ABA2B84"/>
    <w:rsid w:val="1ABC669E"/>
    <w:rsid w:val="1AC01C6A"/>
    <w:rsid w:val="1AC13CB4"/>
    <w:rsid w:val="1AC36C7A"/>
    <w:rsid w:val="1AC6751C"/>
    <w:rsid w:val="1AC72C3E"/>
    <w:rsid w:val="1ACC5935"/>
    <w:rsid w:val="1ACE017F"/>
    <w:rsid w:val="1AD27C6F"/>
    <w:rsid w:val="1AD35795"/>
    <w:rsid w:val="1AD374EF"/>
    <w:rsid w:val="1ADC6D40"/>
    <w:rsid w:val="1AE52A0C"/>
    <w:rsid w:val="1AE654C9"/>
    <w:rsid w:val="1AE82A44"/>
    <w:rsid w:val="1AED2CFB"/>
    <w:rsid w:val="1AED48A1"/>
    <w:rsid w:val="1AF37BE5"/>
    <w:rsid w:val="1AF51BB0"/>
    <w:rsid w:val="1AFC50A3"/>
    <w:rsid w:val="1B046F80"/>
    <w:rsid w:val="1B067919"/>
    <w:rsid w:val="1B07120F"/>
    <w:rsid w:val="1B087B35"/>
    <w:rsid w:val="1B09565B"/>
    <w:rsid w:val="1B0B3181"/>
    <w:rsid w:val="1B0F05FA"/>
    <w:rsid w:val="1B1262BE"/>
    <w:rsid w:val="1B1955FA"/>
    <w:rsid w:val="1B1C469C"/>
    <w:rsid w:val="1B1E2EB4"/>
    <w:rsid w:val="1B251809"/>
    <w:rsid w:val="1B285AE1"/>
    <w:rsid w:val="1B291859"/>
    <w:rsid w:val="1B291CA5"/>
    <w:rsid w:val="1B300E3A"/>
    <w:rsid w:val="1B3267B5"/>
    <w:rsid w:val="1B3501FE"/>
    <w:rsid w:val="1B357E24"/>
    <w:rsid w:val="1B3721C8"/>
    <w:rsid w:val="1B384DE3"/>
    <w:rsid w:val="1B393EFF"/>
    <w:rsid w:val="1B40161D"/>
    <w:rsid w:val="1B441859"/>
    <w:rsid w:val="1B4641B9"/>
    <w:rsid w:val="1B486183"/>
    <w:rsid w:val="1B4A1CB5"/>
    <w:rsid w:val="1B4A43FA"/>
    <w:rsid w:val="1B532A06"/>
    <w:rsid w:val="1B55264E"/>
    <w:rsid w:val="1B570174"/>
    <w:rsid w:val="1B5F527B"/>
    <w:rsid w:val="1B60394C"/>
    <w:rsid w:val="1B630346"/>
    <w:rsid w:val="1B6606B1"/>
    <w:rsid w:val="1B662947"/>
    <w:rsid w:val="1B662AAD"/>
    <w:rsid w:val="1B6805D3"/>
    <w:rsid w:val="1B6B2479"/>
    <w:rsid w:val="1B6D5BEA"/>
    <w:rsid w:val="1B721452"/>
    <w:rsid w:val="1B75684C"/>
    <w:rsid w:val="1B7A0D9F"/>
    <w:rsid w:val="1B7C4997"/>
    <w:rsid w:val="1B855311"/>
    <w:rsid w:val="1B8916A1"/>
    <w:rsid w:val="1B8D003A"/>
    <w:rsid w:val="1B9015FE"/>
    <w:rsid w:val="1B950C9D"/>
    <w:rsid w:val="1B9E2247"/>
    <w:rsid w:val="1B9E4C1E"/>
    <w:rsid w:val="1B9F38C9"/>
    <w:rsid w:val="1BA17641"/>
    <w:rsid w:val="1BA230A3"/>
    <w:rsid w:val="1BA3160C"/>
    <w:rsid w:val="1BA710FC"/>
    <w:rsid w:val="1BAA0BEC"/>
    <w:rsid w:val="1BB2184F"/>
    <w:rsid w:val="1BB83309"/>
    <w:rsid w:val="1BB87798"/>
    <w:rsid w:val="1BB90E2F"/>
    <w:rsid w:val="1BBE036A"/>
    <w:rsid w:val="1BC577D4"/>
    <w:rsid w:val="1BCA27AB"/>
    <w:rsid w:val="1BCC2910"/>
    <w:rsid w:val="1BCD0437"/>
    <w:rsid w:val="1BCF5C68"/>
    <w:rsid w:val="1BDC727A"/>
    <w:rsid w:val="1BE2666F"/>
    <w:rsid w:val="1BE353CD"/>
    <w:rsid w:val="1BE56831"/>
    <w:rsid w:val="1BEC6B0F"/>
    <w:rsid w:val="1BF6798D"/>
    <w:rsid w:val="1BF9122C"/>
    <w:rsid w:val="1BFD0D1C"/>
    <w:rsid w:val="1BFD7D20"/>
    <w:rsid w:val="1C0314A9"/>
    <w:rsid w:val="1C071B9A"/>
    <w:rsid w:val="1C0A6AB2"/>
    <w:rsid w:val="1C0C01EF"/>
    <w:rsid w:val="1C0D38E3"/>
    <w:rsid w:val="1C0F6CA1"/>
    <w:rsid w:val="1C1222ED"/>
    <w:rsid w:val="1C122C3D"/>
    <w:rsid w:val="1C136791"/>
    <w:rsid w:val="1C1626C0"/>
    <w:rsid w:val="1C163B8C"/>
    <w:rsid w:val="1C177904"/>
    <w:rsid w:val="1C186977"/>
    <w:rsid w:val="1C1B295E"/>
    <w:rsid w:val="1C1C4F1A"/>
    <w:rsid w:val="1C224C26"/>
    <w:rsid w:val="1C2465A3"/>
    <w:rsid w:val="1C381D54"/>
    <w:rsid w:val="1C395ACC"/>
    <w:rsid w:val="1C3B5CE8"/>
    <w:rsid w:val="1C406E5A"/>
    <w:rsid w:val="1C444B9D"/>
    <w:rsid w:val="1C44694B"/>
    <w:rsid w:val="1C4C57FF"/>
    <w:rsid w:val="1C512E16"/>
    <w:rsid w:val="1C56667E"/>
    <w:rsid w:val="1C572F31"/>
    <w:rsid w:val="1C5E7925"/>
    <w:rsid w:val="1C5F3784"/>
    <w:rsid w:val="1C6572E1"/>
    <w:rsid w:val="1C694B84"/>
    <w:rsid w:val="1C6963B1"/>
    <w:rsid w:val="1C6A3ED7"/>
    <w:rsid w:val="1C6A7902"/>
    <w:rsid w:val="1C6C7C4F"/>
    <w:rsid w:val="1C73363F"/>
    <w:rsid w:val="1C7A0F31"/>
    <w:rsid w:val="1C7F3E27"/>
    <w:rsid w:val="1C7F755C"/>
    <w:rsid w:val="1C861486"/>
    <w:rsid w:val="1C896A53"/>
    <w:rsid w:val="1C8C3814"/>
    <w:rsid w:val="1C926A03"/>
    <w:rsid w:val="1C935078"/>
    <w:rsid w:val="1C9378D2"/>
    <w:rsid w:val="1C9553F8"/>
    <w:rsid w:val="1CA51528"/>
    <w:rsid w:val="1CA76EDA"/>
    <w:rsid w:val="1CAD03A9"/>
    <w:rsid w:val="1CB05D8E"/>
    <w:rsid w:val="1CB17D58"/>
    <w:rsid w:val="1CB57848"/>
    <w:rsid w:val="1CB61DC4"/>
    <w:rsid w:val="1CB828BF"/>
    <w:rsid w:val="1CC01D49"/>
    <w:rsid w:val="1CC21F65"/>
    <w:rsid w:val="1CC94341"/>
    <w:rsid w:val="1CD13F56"/>
    <w:rsid w:val="1CD211D9"/>
    <w:rsid w:val="1CD55520"/>
    <w:rsid w:val="1CD6156D"/>
    <w:rsid w:val="1CD87093"/>
    <w:rsid w:val="1CE01A45"/>
    <w:rsid w:val="1CE617B0"/>
    <w:rsid w:val="1CE67E30"/>
    <w:rsid w:val="1CE86BBA"/>
    <w:rsid w:val="1CEB3084"/>
    <w:rsid w:val="1CEB326A"/>
    <w:rsid w:val="1CFD070F"/>
    <w:rsid w:val="1CFD2F9D"/>
    <w:rsid w:val="1CFF2872"/>
    <w:rsid w:val="1D083E1C"/>
    <w:rsid w:val="1D085BCA"/>
    <w:rsid w:val="1D0936F0"/>
    <w:rsid w:val="1D0D31E0"/>
    <w:rsid w:val="1D0D6902"/>
    <w:rsid w:val="1D0E6F59"/>
    <w:rsid w:val="1D1A58FD"/>
    <w:rsid w:val="1D1C283C"/>
    <w:rsid w:val="1D1C78C7"/>
    <w:rsid w:val="1D24677C"/>
    <w:rsid w:val="1D266050"/>
    <w:rsid w:val="1D291FE4"/>
    <w:rsid w:val="1D297B66"/>
    <w:rsid w:val="1D2E3157"/>
    <w:rsid w:val="1D303373"/>
    <w:rsid w:val="1D331864"/>
    <w:rsid w:val="1D3369BF"/>
    <w:rsid w:val="1D3544E5"/>
    <w:rsid w:val="1D3672D1"/>
    <w:rsid w:val="1D3764AF"/>
    <w:rsid w:val="1D3815E7"/>
    <w:rsid w:val="1D3B1BA1"/>
    <w:rsid w:val="1D3D7193"/>
    <w:rsid w:val="1D3E783E"/>
    <w:rsid w:val="1D441CC7"/>
    <w:rsid w:val="1D4571D1"/>
    <w:rsid w:val="1D4604A0"/>
    <w:rsid w:val="1D507571"/>
    <w:rsid w:val="1D595E6C"/>
    <w:rsid w:val="1D5C1A72"/>
    <w:rsid w:val="1D5F6196"/>
    <w:rsid w:val="1D6132A5"/>
    <w:rsid w:val="1D6372A4"/>
    <w:rsid w:val="1D6848BB"/>
    <w:rsid w:val="1D6D3C7F"/>
    <w:rsid w:val="1D725739"/>
    <w:rsid w:val="1D7414B2"/>
    <w:rsid w:val="1D762024"/>
    <w:rsid w:val="1D7F39B2"/>
    <w:rsid w:val="1D81597C"/>
    <w:rsid w:val="1D8B2357"/>
    <w:rsid w:val="1D8B67FB"/>
    <w:rsid w:val="1D8E56D5"/>
    <w:rsid w:val="1D921938"/>
    <w:rsid w:val="1D970CFC"/>
    <w:rsid w:val="1D9F5E03"/>
    <w:rsid w:val="1DA11B7B"/>
    <w:rsid w:val="1DA25BF5"/>
    <w:rsid w:val="1DA63B36"/>
    <w:rsid w:val="1DAD6772"/>
    <w:rsid w:val="1DB06D6D"/>
    <w:rsid w:val="1DB16262"/>
    <w:rsid w:val="1DB23D88"/>
    <w:rsid w:val="1DB93368"/>
    <w:rsid w:val="1DBE097F"/>
    <w:rsid w:val="1DBF0627"/>
    <w:rsid w:val="1DC84D43"/>
    <w:rsid w:val="1DCE36B0"/>
    <w:rsid w:val="1DCF0496"/>
    <w:rsid w:val="1DCF493A"/>
    <w:rsid w:val="1DD106B2"/>
    <w:rsid w:val="1DD261D8"/>
    <w:rsid w:val="1DD43082"/>
    <w:rsid w:val="1DD65CC8"/>
    <w:rsid w:val="1DDB6548"/>
    <w:rsid w:val="1DDE2DCF"/>
    <w:rsid w:val="1DE32193"/>
    <w:rsid w:val="1DE657E0"/>
    <w:rsid w:val="1DEF0809"/>
    <w:rsid w:val="1DF12B02"/>
    <w:rsid w:val="1DF20628"/>
    <w:rsid w:val="1DF60118"/>
    <w:rsid w:val="1DFC4D96"/>
    <w:rsid w:val="1DFE6142"/>
    <w:rsid w:val="1E0068A1"/>
    <w:rsid w:val="1E05210A"/>
    <w:rsid w:val="1E0A7720"/>
    <w:rsid w:val="1E0C16EA"/>
    <w:rsid w:val="1E0C56E0"/>
    <w:rsid w:val="1E114F52"/>
    <w:rsid w:val="1E122A78"/>
    <w:rsid w:val="1E133827"/>
    <w:rsid w:val="1E203C4E"/>
    <w:rsid w:val="1E205195"/>
    <w:rsid w:val="1E222892"/>
    <w:rsid w:val="1E25455A"/>
    <w:rsid w:val="1E2642CF"/>
    <w:rsid w:val="1E29229C"/>
    <w:rsid w:val="1E2F228C"/>
    <w:rsid w:val="1E3166B9"/>
    <w:rsid w:val="1E326C77"/>
    <w:rsid w:val="1E3B5B2B"/>
    <w:rsid w:val="1E3D7AF5"/>
    <w:rsid w:val="1E426EBA"/>
    <w:rsid w:val="1E432470"/>
    <w:rsid w:val="1E472722"/>
    <w:rsid w:val="1E4A5D6E"/>
    <w:rsid w:val="1E4A798E"/>
    <w:rsid w:val="1E513797"/>
    <w:rsid w:val="1E522E75"/>
    <w:rsid w:val="1E562965"/>
    <w:rsid w:val="1E566941"/>
    <w:rsid w:val="1E5E181A"/>
    <w:rsid w:val="1E6037E4"/>
    <w:rsid w:val="1E62755C"/>
    <w:rsid w:val="1E6432D4"/>
    <w:rsid w:val="1E72416F"/>
    <w:rsid w:val="1E7352C5"/>
    <w:rsid w:val="1E764DB5"/>
    <w:rsid w:val="1E7948A6"/>
    <w:rsid w:val="1E7A2AF8"/>
    <w:rsid w:val="1E7A43DA"/>
    <w:rsid w:val="1E831280"/>
    <w:rsid w:val="1E875215"/>
    <w:rsid w:val="1E892D3B"/>
    <w:rsid w:val="1E8E20FF"/>
    <w:rsid w:val="1E9365C7"/>
    <w:rsid w:val="1E94348E"/>
    <w:rsid w:val="1E9B3882"/>
    <w:rsid w:val="1E9F430C"/>
    <w:rsid w:val="1EA062D6"/>
    <w:rsid w:val="1EA27958"/>
    <w:rsid w:val="1EA336D1"/>
    <w:rsid w:val="1EAE27A1"/>
    <w:rsid w:val="1EB22F7C"/>
    <w:rsid w:val="1EB41872"/>
    <w:rsid w:val="1EBB02B9"/>
    <w:rsid w:val="1EBD4177"/>
    <w:rsid w:val="1EC024D4"/>
    <w:rsid w:val="1EC45B21"/>
    <w:rsid w:val="1ECB3353"/>
    <w:rsid w:val="1ECE699F"/>
    <w:rsid w:val="1ED41ADC"/>
    <w:rsid w:val="1ED55F80"/>
    <w:rsid w:val="1ED657E9"/>
    <w:rsid w:val="1EDA17E8"/>
    <w:rsid w:val="1EE12D4E"/>
    <w:rsid w:val="1EE77A61"/>
    <w:rsid w:val="1EE961C7"/>
    <w:rsid w:val="1EEB7551"/>
    <w:rsid w:val="1EFA3C38"/>
    <w:rsid w:val="1EFD54D7"/>
    <w:rsid w:val="1EFE3718"/>
    <w:rsid w:val="1EFE7BB9"/>
    <w:rsid w:val="1F0C571A"/>
    <w:rsid w:val="1F0E4FEE"/>
    <w:rsid w:val="1F106FB8"/>
    <w:rsid w:val="1F122D30"/>
    <w:rsid w:val="1F136AA8"/>
    <w:rsid w:val="1F1C595D"/>
    <w:rsid w:val="1F1D7927"/>
    <w:rsid w:val="1F2760B0"/>
    <w:rsid w:val="1F2C1918"/>
    <w:rsid w:val="1F2F4653"/>
    <w:rsid w:val="1F417171"/>
    <w:rsid w:val="1F446C62"/>
    <w:rsid w:val="1F501AAA"/>
    <w:rsid w:val="1F5270A7"/>
    <w:rsid w:val="1F575624"/>
    <w:rsid w:val="1F5C044F"/>
    <w:rsid w:val="1F5C3FAB"/>
    <w:rsid w:val="1F646687"/>
    <w:rsid w:val="1F654B1B"/>
    <w:rsid w:val="1F68119F"/>
    <w:rsid w:val="1F69491A"/>
    <w:rsid w:val="1F6966C8"/>
    <w:rsid w:val="1F703EFB"/>
    <w:rsid w:val="1F7671F2"/>
    <w:rsid w:val="1F78690B"/>
    <w:rsid w:val="1F7F7C9A"/>
    <w:rsid w:val="1F811C64"/>
    <w:rsid w:val="1F817EB6"/>
    <w:rsid w:val="1F843502"/>
    <w:rsid w:val="1F897441"/>
    <w:rsid w:val="1F8B663F"/>
    <w:rsid w:val="1F8D23B7"/>
    <w:rsid w:val="1F9234C3"/>
    <w:rsid w:val="1F937BBA"/>
    <w:rsid w:val="1F9C6A9E"/>
    <w:rsid w:val="1FA0658E"/>
    <w:rsid w:val="1FA52C50"/>
    <w:rsid w:val="1FA63478"/>
    <w:rsid w:val="1FAB4F33"/>
    <w:rsid w:val="1FAD0CAB"/>
    <w:rsid w:val="1FAE1514"/>
    <w:rsid w:val="1FAE5364"/>
    <w:rsid w:val="1FB3000D"/>
    <w:rsid w:val="1FBB01B2"/>
    <w:rsid w:val="1FBE6A14"/>
    <w:rsid w:val="1FBF278C"/>
    <w:rsid w:val="1FC16504"/>
    <w:rsid w:val="1FC2012F"/>
    <w:rsid w:val="1FC57DA2"/>
    <w:rsid w:val="1FCB1131"/>
    <w:rsid w:val="1FD4737A"/>
    <w:rsid w:val="1FD91AA0"/>
    <w:rsid w:val="1FE66701"/>
    <w:rsid w:val="1FE729A0"/>
    <w:rsid w:val="1FE7539E"/>
    <w:rsid w:val="1FE8583F"/>
    <w:rsid w:val="1FEB3581"/>
    <w:rsid w:val="1FED10A7"/>
    <w:rsid w:val="1FED4A5D"/>
    <w:rsid w:val="1FF561AE"/>
    <w:rsid w:val="1FF842DC"/>
    <w:rsid w:val="1FF952D8"/>
    <w:rsid w:val="1FFE051C"/>
    <w:rsid w:val="2000527E"/>
    <w:rsid w:val="20014B53"/>
    <w:rsid w:val="20016901"/>
    <w:rsid w:val="20032679"/>
    <w:rsid w:val="200B37CC"/>
    <w:rsid w:val="200D34F7"/>
    <w:rsid w:val="20124FB2"/>
    <w:rsid w:val="2020147D"/>
    <w:rsid w:val="20216FA3"/>
    <w:rsid w:val="202251F5"/>
    <w:rsid w:val="20232D1B"/>
    <w:rsid w:val="20256A93"/>
    <w:rsid w:val="202E4EF7"/>
    <w:rsid w:val="202F16C0"/>
    <w:rsid w:val="202F346E"/>
    <w:rsid w:val="2031651D"/>
    <w:rsid w:val="203767C6"/>
    <w:rsid w:val="203C209D"/>
    <w:rsid w:val="203C5B8B"/>
    <w:rsid w:val="203E7B55"/>
    <w:rsid w:val="20447FB9"/>
    <w:rsid w:val="204809D3"/>
    <w:rsid w:val="205011DC"/>
    <w:rsid w:val="20592D03"/>
    <w:rsid w:val="2059673D"/>
    <w:rsid w:val="206016CD"/>
    <w:rsid w:val="206155F1"/>
    <w:rsid w:val="20621A95"/>
    <w:rsid w:val="20623843"/>
    <w:rsid w:val="20631369"/>
    <w:rsid w:val="20670E5A"/>
    <w:rsid w:val="20671BE0"/>
    <w:rsid w:val="20686980"/>
    <w:rsid w:val="206D21E8"/>
    <w:rsid w:val="20745325"/>
    <w:rsid w:val="207812B9"/>
    <w:rsid w:val="207E61A3"/>
    <w:rsid w:val="208C08C0"/>
    <w:rsid w:val="20931C4F"/>
    <w:rsid w:val="2096173F"/>
    <w:rsid w:val="20963CB8"/>
    <w:rsid w:val="20971013"/>
    <w:rsid w:val="20983709"/>
    <w:rsid w:val="209A1548"/>
    <w:rsid w:val="209F6845"/>
    <w:rsid w:val="20A06EA1"/>
    <w:rsid w:val="20A200E4"/>
    <w:rsid w:val="20A630D0"/>
    <w:rsid w:val="20A81A1B"/>
    <w:rsid w:val="20A930AF"/>
    <w:rsid w:val="20AF2801"/>
    <w:rsid w:val="20AF45AF"/>
    <w:rsid w:val="20B006C4"/>
    <w:rsid w:val="20B00A53"/>
    <w:rsid w:val="20B07FB6"/>
    <w:rsid w:val="20B646FB"/>
    <w:rsid w:val="20B83463"/>
    <w:rsid w:val="20BB2F53"/>
    <w:rsid w:val="20BB73F7"/>
    <w:rsid w:val="20BC37C8"/>
    <w:rsid w:val="20BD3C4E"/>
    <w:rsid w:val="20CA3197"/>
    <w:rsid w:val="20D41538"/>
    <w:rsid w:val="20D44015"/>
    <w:rsid w:val="20D64DCD"/>
    <w:rsid w:val="20E57FD0"/>
    <w:rsid w:val="20E71F9A"/>
    <w:rsid w:val="20FB77F4"/>
    <w:rsid w:val="20FC761B"/>
    <w:rsid w:val="21020B82"/>
    <w:rsid w:val="21022930"/>
    <w:rsid w:val="210448FA"/>
    <w:rsid w:val="210466A8"/>
    <w:rsid w:val="21067B38"/>
    <w:rsid w:val="210743EB"/>
    <w:rsid w:val="21090163"/>
    <w:rsid w:val="21093B01"/>
    <w:rsid w:val="210C20AE"/>
    <w:rsid w:val="210C37AF"/>
    <w:rsid w:val="210E00C6"/>
    <w:rsid w:val="210E1D0F"/>
    <w:rsid w:val="2110329F"/>
    <w:rsid w:val="21110DC5"/>
    <w:rsid w:val="211508B6"/>
    <w:rsid w:val="21157358"/>
    <w:rsid w:val="21162880"/>
    <w:rsid w:val="211E0AB5"/>
    <w:rsid w:val="212136FE"/>
    <w:rsid w:val="21221225"/>
    <w:rsid w:val="21244D7F"/>
    <w:rsid w:val="212F7FB2"/>
    <w:rsid w:val="21311468"/>
    <w:rsid w:val="213571AA"/>
    <w:rsid w:val="21357BF7"/>
    <w:rsid w:val="213827F6"/>
    <w:rsid w:val="213A129F"/>
    <w:rsid w:val="213A4399"/>
    <w:rsid w:val="213A47C0"/>
    <w:rsid w:val="213B74B1"/>
    <w:rsid w:val="21425423"/>
    <w:rsid w:val="21442F49"/>
    <w:rsid w:val="21521B0A"/>
    <w:rsid w:val="215A18AE"/>
    <w:rsid w:val="215A2310"/>
    <w:rsid w:val="215B7C77"/>
    <w:rsid w:val="215F7D83"/>
    <w:rsid w:val="21627873"/>
    <w:rsid w:val="21667363"/>
    <w:rsid w:val="216E7FC6"/>
    <w:rsid w:val="21703D3E"/>
    <w:rsid w:val="217429A0"/>
    <w:rsid w:val="21745AEB"/>
    <w:rsid w:val="217C49D7"/>
    <w:rsid w:val="2181453C"/>
    <w:rsid w:val="21871088"/>
    <w:rsid w:val="21894E00"/>
    <w:rsid w:val="218B0B78"/>
    <w:rsid w:val="2190541E"/>
    <w:rsid w:val="21921F06"/>
    <w:rsid w:val="219A700D"/>
    <w:rsid w:val="219C4B33"/>
    <w:rsid w:val="21A1039B"/>
    <w:rsid w:val="21A460DD"/>
    <w:rsid w:val="21A659B2"/>
    <w:rsid w:val="21A8172A"/>
    <w:rsid w:val="21AB121A"/>
    <w:rsid w:val="21B856E5"/>
    <w:rsid w:val="21B93937"/>
    <w:rsid w:val="21BA76AF"/>
    <w:rsid w:val="21BB351A"/>
    <w:rsid w:val="21C127EB"/>
    <w:rsid w:val="21C16BCC"/>
    <w:rsid w:val="21D02A2F"/>
    <w:rsid w:val="21D73DBD"/>
    <w:rsid w:val="21D806AD"/>
    <w:rsid w:val="21D818E3"/>
    <w:rsid w:val="21DA565B"/>
    <w:rsid w:val="21DE318A"/>
    <w:rsid w:val="21E32CB1"/>
    <w:rsid w:val="21E57740"/>
    <w:rsid w:val="21E6121E"/>
    <w:rsid w:val="21EA1D42"/>
    <w:rsid w:val="21EB5ABA"/>
    <w:rsid w:val="21ED35E0"/>
    <w:rsid w:val="21EF55AB"/>
    <w:rsid w:val="21EF5B80"/>
    <w:rsid w:val="21EF7079"/>
    <w:rsid w:val="21F030D1"/>
    <w:rsid w:val="21F229A5"/>
    <w:rsid w:val="21F425AD"/>
    <w:rsid w:val="21F50960"/>
    <w:rsid w:val="21F654C1"/>
    <w:rsid w:val="2208666C"/>
    <w:rsid w:val="220B7F0B"/>
    <w:rsid w:val="22110A4C"/>
    <w:rsid w:val="221E19EC"/>
    <w:rsid w:val="222039B6"/>
    <w:rsid w:val="222114DC"/>
    <w:rsid w:val="2222281A"/>
    <w:rsid w:val="222671D0"/>
    <w:rsid w:val="22284619"/>
    <w:rsid w:val="222B4109"/>
    <w:rsid w:val="222F3BF9"/>
    <w:rsid w:val="223631D9"/>
    <w:rsid w:val="223B07F0"/>
    <w:rsid w:val="223C7883"/>
    <w:rsid w:val="2244565C"/>
    <w:rsid w:val="22477195"/>
    <w:rsid w:val="224B0307"/>
    <w:rsid w:val="22576990"/>
    <w:rsid w:val="225B2C40"/>
    <w:rsid w:val="22602004"/>
    <w:rsid w:val="22603DB2"/>
    <w:rsid w:val="22646256"/>
    <w:rsid w:val="22714212"/>
    <w:rsid w:val="22745AB0"/>
    <w:rsid w:val="22761872"/>
    <w:rsid w:val="2277734E"/>
    <w:rsid w:val="227E633A"/>
    <w:rsid w:val="22806203"/>
    <w:rsid w:val="22843E76"/>
    <w:rsid w:val="22857CBD"/>
    <w:rsid w:val="22925F36"/>
    <w:rsid w:val="22937372"/>
    <w:rsid w:val="229C12E2"/>
    <w:rsid w:val="229C1A18"/>
    <w:rsid w:val="22AA14D2"/>
    <w:rsid w:val="22AB7021"/>
    <w:rsid w:val="22AF0896"/>
    <w:rsid w:val="22C2681B"/>
    <w:rsid w:val="22C407E5"/>
    <w:rsid w:val="22C61138"/>
    <w:rsid w:val="22C75BE0"/>
    <w:rsid w:val="22C81119"/>
    <w:rsid w:val="22CA56D0"/>
    <w:rsid w:val="22D0247C"/>
    <w:rsid w:val="22D078AB"/>
    <w:rsid w:val="22D16E3B"/>
    <w:rsid w:val="22D36C7A"/>
    <w:rsid w:val="22D45E02"/>
    <w:rsid w:val="22D8603F"/>
    <w:rsid w:val="22DD23ED"/>
    <w:rsid w:val="22DE117B"/>
    <w:rsid w:val="22E22A19"/>
    <w:rsid w:val="22E33ACA"/>
    <w:rsid w:val="22E569AE"/>
    <w:rsid w:val="22E70030"/>
    <w:rsid w:val="22E9024C"/>
    <w:rsid w:val="22EA5D72"/>
    <w:rsid w:val="22EC3898"/>
    <w:rsid w:val="22EC5646"/>
    <w:rsid w:val="22EF3388"/>
    <w:rsid w:val="22F06E95"/>
    <w:rsid w:val="22F10EAE"/>
    <w:rsid w:val="22F47480"/>
    <w:rsid w:val="22F8048F"/>
    <w:rsid w:val="22F866E1"/>
    <w:rsid w:val="22FB7F7F"/>
    <w:rsid w:val="22FF181D"/>
    <w:rsid w:val="23076924"/>
    <w:rsid w:val="230C1CD2"/>
    <w:rsid w:val="230C7A96"/>
    <w:rsid w:val="23137077"/>
    <w:rsid w:val="23166B67"/>
    <w:rsid w:val="23185DFB"/>
    <w:rsid w:val="232272BA"/>
    <w:rsid w:val="23304BB0"/>
    <w:rsid w:val="23353491"/>
    <w:rsid w:val="23372FDA"/>
    <w:rsid w:val="23393759"/>
    <w:rsid w:val="233B0635"/>
    <w:rsid w:val="233B65CE"/>
    <w:rsid w:val="233F06B1"/>
    <w:rsid w:val="23463C5E"/>
    <w:rsid w:val="2346744C"/>
    <w:rsid w:val="2355143D"/>
    <w:rsid w:val="23571659"/>
    <w:rsid w:val="23593ADB"/>
    <w:rsid w:val="235A2EF8"/>
    <w:rsid w:val="235D4796"/>
    <w:rsid w:val="235F22BC"/>
    <w:rsid w:val="23626158"/>
    <w:rsid w:val="23694EE9"/>
    <w:rsid w:val="236B6EB3"/>
    <w:rsid w:val="236E4174"/>
    <w:rsid w:val="2375388E"/>
    <w:rsid w:val="23757D31"/>
    <w:rsid w:val="237815D0"/>
    <w:rsid w:val="237C4C1C"/>
    <w:rsid w:val="237D7094"/>
    <w:rsid w:val="23847F75"/>
    <w:rsid w:val="238A3A61"/>
    <w:rsid w:val="238B1303"/>
    <w:rsid w:val="238C0BD7"/>
    <w:rsid w:val="23954615"/>
    <w:rsid w:val="23957A8C"/>
    <w:rsid w:val="23A423C5"/>
    <w:rsid w:val="23AE001C"/>
    <w:rsid w:val="23AE4FF1"/>
    <w:rsid w:val="23B32608"/>
    <w:rsid w:val="23B51EDC"/>
    <w:rsid w:val="23B87C1E"/>
    <w:rsid w:val="23BA1BE8"/>
    <w:rsid w:val="23C15C65"/>
    <w:rsid w:val="23C16AD3"/>
    <w:rsid w:val="23C465C3"/>
    <w:rsid w:val="23C678CD"/>
    <w:rsid w:val="23CB16FF"/>
    <w:rsid w:val="23D20CE0"/>
    <w:rsid w:val="23D22A8E"/>
    <w:rsid w:val="23D305B4"/>
    <w:rsid w:val="23D700A4"/>
    <w:rsid w:val="23D74548"/>
    <w:rsid w:val="23D83E1C"/>
    <w:rsid w:val="23DC390D"/>
    <w:rsid w:val="23DD1433"/>
    <w:rsid w:val="23DE1C48"/>
    <w:rsid w:val="23E02601"/>
    <w:rsid w:val="23E97DD8"/>
    <w:rsid w:val="23EA427B"/>
    <w:rsid w:val="23F11206"/>
    <w:rsid w:val="23F30C56"/>
    <w:rsid w:val="23F918E9"/>
    <w:rsid w:val="24003A9F"/>
    <w:rsid w:val="2400632B"/>
    <w:rsid w:val="240210CD"/>
    <w:rsid w:val="24030E99"/>
    <w:rsid w:val="2403533D"/>
    <w:rsid w:val="24044C11"/>
    <w:rsid w:val="24082954"/>
    <w:rsid w:val="240F3CE2"/>
    <w:rsid w:val="241035B6"/>
    <w:rsid w:val="24125580"/>
    <w:rsid w:val="2418733F"/>
    <w:rsid w:val="241C01AD"/>
    <w:rsid w:val="242332EA"/>
    <w:rsid w:val="24271A0B"/>
    <w:rsid w:val="242A28CA"/>
    <w:rsid w:val="242D23BA"/>
    <w:rsid w:val="243A6885"/>
    <w:rsid w:val="243F3E9B"/>
    <w:rsid w:val="244119C2"/>
    <w:rsid w:val="244514B2"/>
    <w:rsid w:val="244960CA"/>
    <w:rsid w:val="2452597D"/>
    <w:rsid w:val="24555F7D"/>
    <w:rsid w:val="24594F5D"/>
    <w:rsid w:val="245D3C08"/>
    <w:rsid w:val="24626162"/>
    <w:rsid w:val="246B169A"/>
    <w:rsid w:val="246C2EE2"/>
    <w:rsid w:val="246E7DD4"/>
    <w:rsid w:val="247913F3"/>
    <w:rsid w:val="247955FF"/>
    <w:rsid w:val="247A1477"/>
    <w:rsid w:val="247B3126"/>
    <w:rsid w:val="247D74F1"/>
    <w:rsid w:val="248024EA"/>
    <w:rsid w:val="24855D52"/>
    <w:rsid w:val="2492221D"/>
    <w:rsid w:val="24966FE0"/>
    <w:rsid w:val="249B5576"/>
    <w:rsid w:val="249C4E4A"/>
    <w:rsid w:val="24A02B8C"/>
    <w:rsid w:val="24A3267C"/>
    <w:rsid w:val="24AA57B9"/>
    <w:rsid w:val="24AD50DB"/>
    <w:rsid w:val="24AE34FB"/>
    <w:rsid w:val="24B44889"/>
    <w:rsid w:val="24B93C4E"/>
    <w:rsid w:val="24BF09F7"/>
    <w:rsid w:val="24C7636B"/>
    <w:rsid w:val="24D215FA"/>
    <w:rsid w:val="24D46CDA"/>
    <w:rsid w:val="24D64800"/>
    <w:rsid w:val="24D665AE"/>
    <w:rsid w:val="24DB5714"/>
    <w:rsid w:val="24DE1906"/>
    <w:rsid w:val="24E2376A"/>
    <w:rsid w:val="24E46F1D"/>
    <w:rsid w:val="24EA02AB"/>
    <w:rsid w:val="24EF7670"/>
    <w:rsid w:val="24F24D0D"/>
    <w:rsid w:val="250273A3"/>
    <w:rsid w:val="250C0222"/>
    <w:rsid w:val="25113A8A"/>
    <w:rsid w:val="25172D96"/>
    <w:rsid w:val="25180974"/>
    <w:rsid w:val="25194431"/>
    <w:rsid w:val="252026BE"/>
    <w:rsid w:val="25205A7B"/>
    <w:rsid w:val="25237319"/>
    <w:rsid w:val="252437BD"/>
    <w:rsid w:val="25253091"/>
    <w:rsid w:val="25262520"/>
    <w:rsid w:val="25270BB7"/>
    <w:rsid w:val="25281320"/>
    <w:rsid w:val="252A16A8"/>
    <w:rsid w:val="252D53FE"/>
    <w:rsid w:val="25382DC5"/>
    <w:rsid w:val="253908EB"/>
    <w:rsid w:val="253D0B91"/>
    <w:rsid w:val="25494FD2"/>
    <w:rsid w:val="255045B2"/>
    <w:rsid w:val="255120D8"/>
    <w:rsid w:val="25537442"/>
    <w:rsid w:val="25565941"/>
    <w:rsid w:val="25570CE8"/>
    <w:rsid w:val="25607E4B"/>
    <w:rsid w:val="25702511"/>
    <w:rsid w:val="257162D7"/>
    <w:rsid w:val="25754688"/>
    <w:rsid w:val="257B1017"/>
    <w:rsid w:val="257F6C45"/>
    <w:rsid w:val="25850C3F"/>
    <w:rsid w:val="25861D82"/>
    <w:rsid w:val="258B383C"/>
    <w:rsid w:val="258E0C37"/>
    <w:rsid w:val="258E50DA"/>
    <w:rsid w:val="2593449F"/>
    <w:rsid w:val="25965D3D"/>
    <w:rsid w:val="25987A67"/>
    <w:rsid w:val="259F2E44"/>
    <w:rsid w:val="259F4BF2"/>
    <w:rsid w:val="25A20B86"/>
    <w:rsid w:val="25A466AC"/>
    <w:rsid w:val="25A77F4A"/>
    <w:rsid w:val="25A93CC2"/>
    <w:rsid w:val="25AB17E9"/>
    <w:rsid w:val="25AC3125"/>
    <w:rsid w:val="25AD2A01"/>
    <w:rsid w:val="25AE3087"/>
    <w:rsid w:val="25B5003C"/>
    <w:rsid w:val="25B6434C"/>
    <w:rsid w:val="25BB6C67"/>
    <w:rsid w:val="25C3312F"/>
    <w:rsid w:val="25C428AA"/>
    <w:rsid w:val="25CE284D"/>
    <w:rsid w:val="25D23BE2"/>
    <w:rsid w:val="25D54AB7"/>
    <w:rsid w:val="25D725DE"/>
    <w:rsid w:val="25DE6CEE"/>
    <w:rsid w:val="25E44CFA"/>
    <w:rsid w:val="25E60A73"/>
    <w:rsid w:val="25E847EB"/>
    <w:rsid w:val="25EB6089"/>
    <w:rsid w:val="25EC2D81"/>
    <w:rsid w:val="25F211C5"/>
    <w:rsid w:val="25F57925"/>
    <w:rsid w:val="25F807A6"/>
    <w:rsid w:val="25F84C38"/>
    <w:rsid w:val="25F9484B"/>
    <w:rsid w:val="25FC04CA"/>
    <w:rsid w:val="25FF38E2"/>
    <w:rsid w:val="26006A5F"/>
    <w:rsid w:val="2604714B"/>
    <w:rsid w:val="26062DF1"/>
    <w:rsid w:val="26086C3B"/>
    <w:rsid w:val="26094761"/>
    <w:rsid w:val="260E22E5"/>
    <w:rsid w:val="261168A1"/>
    <w:rsid w:val="2613738E"/>
    <w:rsid w:val="26154EB4"/>
    <w:rsid w:val="26192BF6"/>
    <w:rsid w:val="26286C81"/>
    <w:rsid w:val="26296BB1"/>
    <w:rsid w:val="262B46D7"/>
    <w:rsid w:val="262E41C8"/>
    <w:rsid w:val="26307F40"/>
    <w:rsid w:val="26323CB8"/>
    <w:rsid w:val="26341DF0"/>
    <w:rsid w:val="263B7010"/>
    <w:rsid w:val="264137C8"/>
    <w:rsid w:val="2650413E"/>
    <w:rsid w:val="2657371E"/>
    <w:rsid w:val="265F25D3"/>
    <w:rsid w:val="26606A77"/>
    <w:rsid w:val="2661634B"/>
    <w:rsid w:val="26695200"/>
    <w:rsid w:val="267442D0"/>
    <w:rsid w:val="2677791D"/>
    <w:rsid w:val="267B5F1E"/>
    <w:rsid w:val="267F67D1"/>
    <w:rsid w:val="26866CA9"/>
    <w:rsid w:val="268A3AF4"/>
    <w:rsid w:val="268E0134"/>
    <w:rsid w:val="268F0567"/>
    <w:rsid w:val="268F4C66"/>
    <w:rsid w:val="26976211"/>
    <w:rsid w:val="269E30FB"/>
    <w:rsid w:val="269E5ACB"/>
    <w:rsid w:val="26A36964"/>
    <w:rsid w:val="26A6639B"/>
    <w:rsid w:val="26AA1AA0"/>
    <w:rsid w:val="26AF5308"/>
    <w:rsid w:val="26B21A16"/>
    <w:rsid w:val="26B26BA7"/>
    <w:rsid w:val="26B5508E"/>
    <w:rsid w:val="26B552F0"/>
    <w:rsid w:val="26B741BD"/>
    <w:rsid w:val="26B86F09"/>
    <w:rsid w:val="26BB1EFF"/>
    <w:rsid w:val="26BE554B"/>
    <w:rsid w:val="26C11CD8"/>
    <w:rsid w:val="26C32D02"/>
    <w:rsid w:val="26CA172D"/>
    <w:rsid w:val="26CF00D6"/>
    <w:rsid w:val="26D7485F"/>
    <w:rsid w:val="26E6382E"/>
    <w:rsid w:val="26E86A6C"/>
    <w:rsid w:val="26EC0E05"/>
    <w:rsid w:val="26ED7BDF"/>
    <w:rsid w:val="26EF3957"/>
    <w:rsid w:val="26F32457"/>
    <w:rsid w:val="26F7280B"/>
    <w:rsid w:val="26FC7E22"/>
    <w:rsid w:val="26FD2518"/>
    <w:rsid w:val="26FE1DEC"/>
    <w:rsid w:val="26FE3B9A"/>
    <w:rsid w:val="27005B64"/>
    <w:rsid w:val="27037402"/>
    <w:rsid w:val="270616D7"/>
    <w:rsid w:val="270D0281"/>
    <w:rsid w:val="270D202F"/>
    <w:rsid w:val="270F7B55"/>
    <w:rsid w:val="27111B1F"/>
    <w:rsid w:val="27135897"/>
    <w:rsid w:val="27167136"/>
    <w:rsid w:val="271A60A8"/>
    <w:rsid w:val="271B474C"/>
    <w:rsid w:val="271D04C4"/>
    <w:rsid w:val="272337D0"/>
    <w:rsid w:val="27257379"/>
    <w:rsid w:val="27274212"/>
    <w:rsid w:val="27280C17"/>
    <w:rsid w:val="272D0375"/>
    <w:rsid w:val="27386B1B"/>
    <w:rsid w:val="273E668C"/>
    <w:rsid w:val="2741448E"/>
    <w:rsid w:val="27457064"/>
    <w:rsid w:val="27476986"/>
    <w:rsid w:val="27477FF9"/>
    <w:rsid w:val="2748765E"/>
    <w:rsid w:val="274F0899"/>
    <w:rsid w:val="2759173D"/>
    <w:rsid w:val="27640C62"/>
    <w:rsid w:val="27644345"/>
    <w:rsid w:val="2764780E"/>
    <w:rsid w:val="27653C19"/>
    <w:rsid w:val="276A2AFB"/>
    <w:rsid w:val="277057A2"/>
    <w:rsid w:val="27713266"/>
    <w:rsid w:val="277A14C9"/>
    <w:rsid w:val="277D0F63"/>
    <w:rsid w:val="27814EF7"/>
    <w:rsid w:val="278372BE"/>
    <w:rsid w:val="278A18D2"/>
    <w:rsid w:val="278A3680"/>
    <w:rsid w:val="278C389C"/>
    <w:rsid w:val="278E4F1E"/>
    <w:rsid w:val="27930786"/>
    <w:rsid w:val="279462AC"/>
    <w:rsid w:val="279B763B"/>
    <w:rsid w:val="279D1605"/>
    <w:rsid w:val="279D1C62"/>
    <w:rsid w:val="279F3718"/>
    <w:rsid w:val="27A42993"/>
    <w:rsid w:val="27AA2E42"/>
    <w:rsid w:val="27AD6D69"/>
    <w:rsid w:val="27B51802"/>
    <w:rsid w:val="27BD3A55"/>
    <w:rsid w:val="27BE5D3B"/>
    <w:rsid w:val="27BF3329"/>
    <w:rsid w:val="27C70430"/>
    <w:rsid w:val="27C923FA"/>
    <w:rsid w:val="27CC5901"/>
    <w:rsid w:val="27D03788"/>
    <w:rsid w:val="27D33279"/>
    <w:rsid w:val="27D52B4D"/>
    <w:rsid w:val="27D8088F"/>
    <w:rsid w:val="27DC2989"/>
    <w:rsid w:val="27E64D5A"/>
    <w:rsid w:val="27EC7E96"/>
    <w:rsid w:val="27F37477"/>
    <w:rsid w:val="27F82CDF"/>
    <w:rsid w:val="27FA0805"/>
    <w:rsid w:val="27FC27CF"/>
    <w:rsid w:val="28011B94"/>
    <w:rsid w:val="28012E12"/>
    <w:rsid w:val="2802590C"/>
    <w:rsid w:val="280865B7"/>
    <w:rsid w:val="280B2A12"/>
    <w:rsid w:val="280B656E"/>
    <w:rsid w:val="28110526"/>
    <w:rsid w:val="281178FD"/>
    <w:rsid w:val="28173165"/>
    <w:rsid w:val="2818512F"/>
    <w:rsid w:val="28186FA1"/>
    <w:rsid w:val="281A0EA7"/>
    <w:rsid w:val="281A7810"/>
    <w:rsid w:val="28235FAE"/>
    <w:rsid w:val="28244998"/>
    <w:rsid w:val="282662BB"/>
    <w:rsid w:val="282859CE"/>
    <w:rsid w:val="282C4737"/>
    <w:rsid w:val="282D2989"/>
    <w:rsid w:val="282E04AF"/>
    <w:rsid w:val="28321D4D"/>
    <w:rsid w:val="28377363"/>
    <w:rsid w:val="2838132E"/>
    <w:rsid w:val="283E4B96"/>
    <w:rsid w:val="284063F2"/>
    <w:rsid w:val="28425D08"/>
    <w:rsid w:val="28444275"/>
    <w:rsid w:val="28461C9C"/>
    <w:rsid w:val="284E46C6"/>
    <w:rsid w:val="28537F15"/>
    <w:rsid w:val="28552771"/>
    <w:rsid w:val="285D2B42"/>
    <w:rsid w:val="286345FC"/>
    <w:rsid w:val="286454FC"/>
    <w:rsid w:val="28664E86"/>
    <w:rsid w:val="286839C1"/>
    <w:rsid w:val="2868457E"/>
    <w:rsid w:val="286D547B"/>
    <w:rsid w:val="286E4D4F"/>
    <w:rsid w:val="28795BCE"/>
    <w:rsid w:val="287B6958"/>
    <w:rsid w:val="287B7B98"/>
    <w:rsid w:val="28812CD5"/>
    <w:rsid w:val="28836A4D"/>
    <w:rsid w:val="288527C5"/>
    <w:rsid w:val="28856A5B"/>
    <w:rsid w:val="288B5901"/>
    <w:rsid w:val="288E133B"/>
    <w:rsid w:val="28902F18"/>
    <w:rsid w:val="289136D3"/>
    <w:rsid w:val="289335D2"/>
    <w:rsid w:val="289742A6"/>
    <w:rsid w:val="28A013AD"/>
    <w:rsid w:val="28A12219"/>
    <w:rsid w:val="28B27332"/>
    <w:rsid w:val="28B3712F"/>
    <w:rsid w:val="28B5297E"/>
    <w:rsid w:val="28BA1D43"/>
    <w:rsid w:val="28BA5BCB"/>
    <w:rsid w:val="28BE7A85"/>
    <w:rsid w:val="28C0157D"/>
    <w:rsid w:val="28C3509B"/>
    <w:rsid w:val="28C57065"/>
    <w:rsid w:val="28CA0C78"/>
    <w:rsid w:val="28CD7CC8"/>
    <w:rsid w:val="28CF4BBB"/>
    <w:rsid w:val="28D15A0A"/>
    <w:rsid w:val="28D3610D"/>
    <w:rsid w:val="28DB488C"/>
    <w:rsid w:val="28E05C4D"/>
    <w:rsid w:val="28E31299"/>
    <w:rsid w:val="28E53263"/>
    <w:rsid w:val="28E82D54"/>
    <w:rsid w:val="28EC45F2"/>
    <w:rsid w:val="28FC05AD"/>
    <w:rsid w:val="28FE280A"/>
    <w:rsid w:val="29023D96"/>
    <w:rsid w:val="29061DD1"/>
    <w:rsid w:val="29064F88"/>
    <w:rsid w:val="290731DA"/>
    <w:rsid w:val="29093D0F"/>
    <w:rsid w:val="290A2CCA"/>
    <w:rsid w:val="290D27BA"/>
    <w:rsid w:val="290F6532"/>
    <w:rsid w:val="29177195"/>
    <w:rsid w:val="291C47AB"/>
    <w:rsid w:val="29206EB8"/>
    <w:rsid w:val="29210325"/>
    <w:rsid w:val="29240D92"/>
    <w:rsid w:val="29283150"/>
    <w:rsid w:val="292C49EE"/>
    <w:rsid w:val="292E6766"/>
    <w:rsid w:val="29361D11"/>
    <w:rsid w:val="2937299B"/>
    <w:rsid w:val="294229F7"/>
    <w:rsid w:val="294423CE"/>
    <w:rsid w:val="29451F54"/>
    <w:rsid w:val="294855A0"/>
    <w:rsid w:val="29486A52"/>
    <w:rsid w:val="294C5091"/>
    <w:rsid w:val="294E0E09"/>
    <w:rsid w:val="295249D2"/>
    <w:rsid w:val="29564161"/>
    <w:rsid w:val="29595666"/>
    <w:rsid w:val="295960E8"/>
    <w:rsid w:val="296248B4"/>
    <w:rsid w:val="2964687E"/>
    <w:rsid w:val="29657268"/>
    <w:rsid w:val="29673C78"/>
    <w:rsid w:val="29695C42"/>
    <w:rsid w:val="296A3769"/>
    <w:rsid w:val="296E14AB"/>
    <w:rsid w:val="29714AF7"/>
    <w:rsid w:val="297445E7"/>
    <w:rsid w:val="297A7E50"/>
    <w:rsid w:val="297B3247"/>
    <w:rsid w:val="297D27EC"/>
    <w:rsid w:val="297E7214"/>
    <w:rsid w:val="2987431B"/>
    <w:rsid w:val="29874881"/>
    <w:rsid w:val="298760C9"/>
    <w:rsid w:val="298C7330"/>
    <w:rsid w:val="29923959"/>
    <w:rsid w:val="29932CBF"/>
    <w:rsid w:val="299407E6"/>
    <w:rsid w:val="299D58EC"/>
    <w:rsid w:val="299D769A"/>
    <w:rsid w:val="29A529F3"/>
    <w:rsid w:val="29AA5969"/>
    <w:rsid w:val="29AE7AF9"/>
    <w:rsid w:val="29B008A3"/>
    <w:rsid w:val="29B36EBE"/>
    <w:rsid w:val="29BB66FB"/>
    <w:rsid w:val="29BD7D3C"/>
    <w:rsid w:val="29BF5492"/>
    <w:rsid w:val="29C27101"/>
    <w:rsid w:val="29C32C41"/>
    <w:rsid w:val="29C6254F"/>
    <w:rsid w:val="29C76E0D"/>
    <w:rsid w:val="29C9048F"/>
    <w:rsid w:val="29C927F5"/>
    <w:rsid w:val="29CA2459"/>
    <w:rsid w:val="29CE5AA6"/>
    <w:rsid w:val="29D07A70"/>
    <w:rsid w:val="29D137E8"/>
    <w:rsid w:val="29D86924"/>
    <w:rsid w:val="29DB3601"/>
    <w:rsid w:val="29E325E0"/>
    <w:rsid w:val="29E4351B"/>
    <w:rsid w:val="29E52969"/>
    <w:rsid w:val="29EE439A"/>
    <w:rsid w:val="29F55728"/>
    <w:rsid w:val="29FF0355"/>
    <w:rsid w:val="29FF2731"/>
    <w:rsid w:val="2A025C40"/>
    <w:rsid w:val="2A0C4820"/>
    <w:rsid w:val="2A1303F9"/>
    <w:rsid w:val="2A1D4C7F"/>
    <w:rsid w:val="2A2878AC"/>
    <w:rsid w:val="2A2B2EF8"/>
    <w:rsid w:val="2A2B30C4"/>
    <w:rsid w:val="2A3C5105"/>
    <w:rsid w:val="2A41096D"/>
    <w:rsid w:val="2A443FBA"/>
    <w:rsid w:val="2A452503"/>
    <w:rsid w:val="2A497822"/>
    <w:rsid w:val="2A4B359A"/>
    <w:rsid w:val="2A5F7045"/>
    <w:rsid w:val="2A64640A"/>
    <w:rsid w:val="2A654A10"/>
    <w:rsid w:val="2A6B7798"/>
    <w:rsid w:val="2A7523C5"/>
    <w:rsid w:val="2A7813BD"/>
    <w:rsid w:val="2A7F1496"/>
    <w:rsid w:val="2A7F1C4E"/>
    <w:rsid w:val="2A81355A"/>
    <w:rsid w:val="2A81520E"/>
    <w:rsid w:val="2A841D10"/>
    <w:rsid w:val="2A862824"/>
    <w:rsid w:val="2A8A2314"/>
    <w:rsid w:val="2A8D3BB3"/>
    <w:rsid w:val="2A952E60"/>
    <w:rsid w:val="2A99519A"/>
    <w:rsid w:val="2A9C5BA4"/>
    <w:rsid w:val="2AA131BA"/>
    <w:rsid w:val="2AA16E84"/>
    <w:rsid w:val="2AA95862"/>
    <w:rsid w:val="2AAB4039"/>
    <w:rsid w:val="2AB078A1"/>
    <w:rsid w:val="2AB503A6"/>
    <w:rsid w:val="2AB63109"/>
    <w:rsid w:val="2AB7494D"/>
    <w:rsid w:val="2AB94546"/>
    <w:rsid w:val="2ABA427C"/>
    <w:rsid w:val="2AC052CA"/>
    <w:rsid w:val="2AC26619"/>
    <w:rsid w:val="2AC84BEB"/>
    <w:rsid w:val="2ACB46DB"/>
    <w:rsid w:val="2ACD3FAF"/>
    <w:rsid w:val="2ACF7D27"/>
    <w:rsid w:val="2AD27B93"/>
    <w:rsid w:val="2AD76BDC"/>
    <w:rsid w:val="2ADC41F2"/>
    <w:rsid w:val="2AEE1994"/>
    <w:rsid w:val="2AEF3F25"/>
    <w:rsid w:val="2AF23A16"/>
    <w:rsid w:val="2AF46314"/>
    <w:rsid w:val="2AF524D4"/>
    <w:rsid w:val="2AF54B5B"/>
    <w:rsid w:val="2AFA15E0"/>
    <w:rsid w:val="2AFF6E60"/>
    <w:rsid w:val="2B0379D1"/>
    <w:rsid w:val="2B0456D5"/>
    <w:rsid w:val="2B073965"/>
    <w:rsid w:val="2B0B2D29"/>
    <w:rsid w:val="2B0E13DF"/>
    <w:rsid w:val="2B0F12F8"/>
    <w:rsid w:val="2B157704"/>
    <w:rsid w:val="2B2067D5"/>
    <w:rsid w:val="2B231949"/>
    <w:rsid w:val="2B244D75"/>
    <w:rsid w:val="2B251B53"/>
    <w:rsid w:val="2B2C67DC"/>
    <w:rsid w:val="2B30453E"/>
    <w:rsid w:val="2B345DDC"/>
    <w:rsid w:val="2B485D2C"/>
    <w:rsid w:val="2B522706"/>
    <w:rsid w:val="2B644C1E"/>
    <w:rsid w:val="2B65068C"/>
    <w:rsid w:val="2B674404"/>
    <w:rsid w:val="2B6C2473"/>
    <w:rsid w:val="2B6C524F"/>
    <w:rsid w:val="2B7361A2"/>
    <w:rsid w:val="2B7E174D"/>
    <w:rsid w:val="2B7F799F"/>
    <w:rsid w:val="2B807273"/>
    <w:rsid w:val="2B836D64"/>
    <w:rsid w:val="2B84499D"/>
    <w:rsid w:val="2B876854"/>
    <w:rsid w:val="2B8D6D49"/>
    <w:rsid w:val="2B8F5708"/>
    <w:rsid w:val="2B911481"/>
    <w:rsid w:val="2B944ACD"/>
    <w:rsid w:val="2B976D30"/>
    <w:rsid w:val="2B9B5AB0"/>
    <w:rsid w:val="2B9F3B9D"/>
    <w:rsid w:val="2BA07916"/>
    <w:rsid w:val="2BA20764"/>
    <w:rsid w:val="2BA30CB4"/>
    <w:rsid w:val="2BA56CDA"/>
    <w:rsid w:val="2BA87303"/>
    <w:rsid w:val="2BA936A8"/>
    <w:rsid w:val="2BAA0794"/>
    <w:rsid w:val="2BB1742D"/>
    <w:rsid w:val="2BB92785"/>
    <w:rsid w:val="2BBA09D7"/>
    <w:rsid w:val="2BBB7219"/>
    <w:rsid w:val="2BBE1B4A"/>
    <w:rsid w:val="2BC01D66"/>
    <w:rsid w:val="2BC2163A"/>
    <w:rsid w:val="2BC5737C"/>
    <w:rsid w:val="2BC72E05"/>
    <w:rsid w:val="2BCC35C4"/>
    <w:rsid w:val="2BCE1A95"/>
    <w:rsid w:val="2BCF662B"/>
    <w:rsid w:val="2BD001FB"/>
    <w:rsid w:val="2BD13B0C"/>
    <w:rsid w:val="2BD166C5"/>
    <w:rsid w:val="2BDB6BA0"/>
    <w:rsid w:val="2BDD46C6"/>
    <w:rsid w:val="2BE025BB"/>
    <w:rsid w:val="2BE5053F"/>
    <w:rsid w:val="2BE55328"/>
    <w:rsid w:val="2BF13CCD"/>
    <w:rsid w:val="2BF533F3"/>
    <w:rsid w:val="2BFA17E8"/>
    <w:rsid w:val="2BFA5746"/>
    <w:rsid w:val="2BFF63EA"/>
    <w:rsid w:val="2C002162"/>
    <w:rsid w:val="2C016606"/>
    <w:rsid w:val="2C02412C"/>
    <w:rsid w:val="2C0B23D3"/>
    <w:rsid w:val="2C0D59A8"/>
    <w:rsid w:val="2C161986"/>
    <w:rsid w:val="2C183950"/>
    <w:rsid w:val="2C1B1DD3"/>
    <w:rsid w:val="2C2220D9"/>
    <w:rsid w:val="2C2440A3"/>
    <w:rsid w:val="2C247D09"/>
    <w:rsid w:val="2C2916B9"/>
    <w:rsid w:val="2C29790B"/>
    <w:rsid w:val="2C2E6CCF"/>
    <w:rsid w:val="2C31056E"/>
    <w:rsid w:val="2C315A5A"/>
    <w:rsid w:val="2C385DA0"/>
    <w:rsid w:val="2C3B2DFC"/>
    <w:rsid w:val="2C4627F0"/>
    <w:rsid w:val="2C4B1C25"/>
    <w:rsid w:val="2C4C53A8"/>
    <w:rsid w:val="2C534988"/>
    <w:rsid w:val="2C567FD4"/>
    <w:rsid w:val="2C5902D2"/>
    <w:rsid w:val="2C5D1363"/>
    <w:rsid w:val="2C5D3165"/>
    <w:rsid w:val="2C616407"/>
    <w:rsid w:val="2C6B3A80"/>
    <w:rsid w:val="2C6C2E38"/>
    <w:rsid w:val="2C6D5A4A"/>
    <w:rsid w:val="2C732934"/>
    <w:rsid w:val="2C7C5C8D"/>
    <w:rsid w:val="2C842D93"/>
    <w:rsid w:val="2C875B24"/>
    <w:rsid w:val="2C8763E0"/>
    <w:rsid w:val="2C877FD4"/>
    <w:rsid w:val="2C8D5EFB"/>
    <w:rsid w:val="2C901738"/>
    <w:rsid w:val="2C994A91"/>
    <w:rsid w:val="2C9C1E8B"/>
    <w:rsid w:val="2C9C2F83"/>
    <w:rsid w:val="2C9E3E55"/>
    <w:rsid w:val="2CA43435"/>
    <w:rsid w:val="2CA62D0A"/>
    <w:rsid w:val="2CA86A82"/>
    <w:rsid w:val="2CAB0320"/>
    <w:rsid w:val="2CAE1BBE"/>
    <w:rsid w:val="2CB216AE"/>
    <w:rsid w:val="2CBA0563"/>
    <w:rsid w:val="2CBA67B5"/>
    <w:rsid w:val="2CBE100D"/>
    <w:rsid w:val="2CC3566A"/>
    <w:rsid w:val="2CC56CCA"/>
    <w:rsid w:val="2CC82C80"/>
    <w:rsid w:val="2CD23AFF"/>
    <w:rsid w:val="2CD5539D"/>
    <w:rsid w:val="2CD57BB9"/>
    <w:rsid w:val="2CDA1F57"/>
    <w:rsid w:val="2CDE06F5"/>
    <w:rsid w:val="2CDF7FCA"/>
    <w:rsid w:val="2CE11F94"/>
    <w:rsid w:val="2CE35D0C"/>
    <w:rsid w:val="2CE37ABA"/>
    <w:rsid w:val="2CE43832"/>
    <w:rsid w:val="2CE455E0"/>
    <w:rsid w:val="2CE61358"/>
    <w:rsid w:val="2CEA0E4C"/>
    <w:rsid w:val="2CF55A3F"/>
    <w:rsid w:val="2CF80E22"/>
    <w:rsid w:val="2CF9552F"/>
    <w:rsid w:val="2D0C1AAB"/>
    <w:rsid w:val="2D122A25"/>
    <w:rsid w:val="2D1315C0"/>
    <w:rsid w:val="2D142369"/>
    <w:rsid w:val="2D1934DC"/>
    <w:rsid w:val="2D1E0B3B"/>
    <w:rsid w:val="2D200BF3"/>
    <w:rsid w:val="2D297AB8"/>
    <w:rsid w:val="2D2B320F"/>
    <w:rsid w:val="2D320A41"/>
    <w:rsid w:val="2D323D36"/>
    <w:rsid w:val="2D331CCE"/>
    <w:rsid w:val="2D35408E"/>
    <w:rsid w:val="2D430559"/>
    <w:rsid w:val="2D4B565F"/>
    <w:rsid w:val="2D4D587B"/>
    <w:rsid w:val="2D4F15F3"/>
    <w:rsid w:val="2D546C0A"/>
    <w:rsid w:val="2D5C786C"/>
    <w:rsid w:val="2D662499"/>
    <w:rsid w:val="2D6D1A79"/>
    <w:rsid w:val="2D6E62D9"/>
    <w:rsid w:val="2D796670"/>
    <w:rsid w:val="2D7A78E2"/>
    <w:rsid w:val="2D834DF9"/>
    <w:rsid w:val="2D8748E9"/>
    <w:rsid w:val="2D8A262B"/>
    <w:rsid w:val="2D8C5F26"/>
    <w:rsid w:val="2D99461C"/>
    <w:rsid w:val="2D9B0A93"/>
    <w:rsid w:val="2D9E22E1"/>
    <w:rsid w:val="2D9E56F5"/>
    <w:rsid w:val="2D9E7E85"/>
    <w:rsid w:val="2DA134D1"/>
    <w:rsid w:val="2DA2331A"/>
    <w:rsid w:val="2DA336ED"/>
    <w:rsid w:val="2DAA4A7C"/>
    <w:rsid w:val="2DB256DE"/>
    <w:rsid w:val="2DB631E5"/>
    <w:rsid w:val="2DC23B73"/>
    <w:rsid w:val="2DC378FF"/>
    <w:rsid w:val="2DCA0C7A"/>
    <w:rsid w:val="2DCC054E"/>
    <w:rsid w:val="2DCF003E"/>
    <w:rsid w:val="2DD31034"/>
    <w:rsid w:val="2DD65871"/>
    <w:rsid w:val="2DD85145"/>
    <w:rsid w:val="2DD90EBD"/>
    <w:rsid w:val="2DD9710F"/>
    <w:rsid w:val="2DE0224B"/>
    <w:rsid w:val="2DE47F8D"/>
    <w:rsid w:val="2DF444A5"/>
    <w:rsid w:val="2DF47AA5"/>
    <w:rsid w:val="2DF61A6F"/>
    <w:rsid w:val="2DF7019E"/>
    <w:rsid w:val="2DF81343"/>
    <w:rsid w:val="2DFD2DFD"/>
    <w:rsid w:val="2DFF6B75"/>
    <w:rsid w:val="2E053A60"/>
    <w:rsid w:val="2E057F04"/>
    <w:rsid w:val="2E094310"/>
    <w:rsid w:val="2E113D9C"/>
    <w:rsid w:val="2E1867B0"/>
    <w:rsid w:val="2E20553E"/>
    <w:rsid w:val="2E232138"/>
    <w:rsid w:val="2E237750"/>
    <w:rsid w:val="2E24038A"/>
    <w:rsid w:val="2E284DE6"/>
    <w:rsid w:val="2E291E44"/>
    <w:rsid w:val="2E31222F"/>
    <w:rsid w:val="2E324A6C"/>
    <w:rsid w:val="2E36630F"/>
    <w:rsid w:val="2E387A42"/>
    <w:rsid w:val="2E426A62"/>
    <w:rsid w:val="2E4C5B33"/>
    <w:rsid w:val="2E4E23FE"/>
    <w:rsid w:val="2E50117F"/>
    <w:rsid w:val="2E514EF7"/>
    <w:rsid w:val="2E516BDC"/>
    <w:rsid w:val="2E532A1D"/>
    <w:rsid w:val="2E534C88"/>
    <w:rsid w:val="2E552C39"/>
    <w:rsid w:val="2E5F7614"/>
    <w:rsid w:val="2E620EB2"/>
    <w:rsid w:val="2E667F96"/>
    <w:rsid w:val="2E6764C9"/>
    <w:rsid w:val="2E6E3CFB"/>
    <w:rsid w:val="2E772BB0"/>
    <w:rsid w:val="2E781AAD"/>
    <w:rsid w:val="2E7A26A0"/>
    <w:rsid w:val="2E7F1A64"/>
    <w:rsid w:val="2E7F7CB6"/>
    <w:rsid w:val="2E813A2E"/>
    <w:rsid w:val="2E8226AB"/>
    <w:rsid w:val="2E823302"/>
    <w:rsid w:val="2E8250B1"/>
    <w:rsid w:val="2E861045"/>
    <w:rsid w:val="2E89643F"/>
    <w:rsid w:val="2E8B0409"/>
    <w:rsid w:val="2E913546"/>
    <w:rsid w:val="2E921798"/>
    <w:rsid w:val="2E9574DA"/>
    <w:rsid w:val="2E976857"/>
    <w:rsid w:val="2E9D1EEA"/>
    <w:rsid w:val="2E9F315C"/>
    <w:rsid w:val="2EA12983"/>
    <w:rsid w:val="2EA339A5"/>
    <w:rsid w:val="2EA80FBB"/>
    <w:rsid w:val="2EAC191D"/>
    <w:rsid w:val="2EB86D24"/>
    <w:rsid w:val="2EC11008"/>
    <w:rsid w:val="2EC21951"/>
    <w:rsid w:val="2EC41B6D"/>
    <w:rsid w:val="2ED33B5E"/>
    <w:rsid w:val="2ED51684"/>
    <w:rsid w:val="2ED753FC"/>
    <w:rsid w:val="2EDC6EB7"/>
    <w:rsid w:val="2EE34460"/>
    <w:rsid w:val="2EE93382"/>
    <w:rsid w:val="2EEB0EA8"/>
    <w:rsid w:val="2EED10C4"/>
    <w:rsid w:val="2EED2E72"/>
    <w:rsid w:val="2EF02962"/>
    <w:rsid w:val="2EF775CB"/>
    <w:rsid w:val="2EF7784D"/>
    <w:rsid w:val="2F0106CB"/>
    <w:rsid w:val="2F042E13"/>
    <w:rsid w:val="2F0859B3"/>
    <w:rsid w:val="2F0B4493"/>
    <w:rsid w:val="2F0B779C"/>
    <w:rsid w:val="2F1142EB"/>
    <w:rsid w:val="2F120B2A"/>
    <w:rsid w:val="2F155F25"/>
    <w:rsid w:val="2F176141"/>
    <w:rsid w:val="2F177EEF"/>
    <w:rsid w:val="2F1877C3"/>
    <w:rsid w:val="2F195A15"/>
    <w:rsid w:val="2F1C5505"/>
    <w:rsid w:val="2F210D6D"/>
    <w:rsid w:val="2F2148C9"/>
    <w:rsid w:val="2F226E07"/>
    <w:rsid w:val="2F234AE5"/>
    <w:rsid w:val="2F260132"/>
    <w:rsid w:val="2F2919D0"/>
    <w:rsid w:val="2F326AD7"/>
    <w:rsid w:val="2F34284F"/>
    <w:rsid w:val="2F350375"/>
    <w:rsid w:val="2F363C4A"/>
    <w:rsid w:val="2F3744D0"/>
    <w:rsid w:val="2F3C1703"/>
    <w:rsid w:val="2F3C7955"/>
    <w:rsid w:val="2F3E5A53"/>
    <w:rsid w:val="2F452CAE"/>
    <w:rsid w:val="2F462582"/>
    <w:rsid w:val="2F4B7B98"/>
    <w:rsid w:val="2F4C2AC4"/>
    <w:rsid w:val="2F521A6D"/>
    <w:rsid w:val="2F522CD5"/>
    <w:rsid w:val="2F532BD3"/>
    <w:rsid w:val="2F5527C5"/>
    <w:rsid w:val="2F584039"/>
    <w:rsid w:val="2F633134"/>
    <w:rsid w:val="2F644305"/>
    <w:rsid w:val="2F6D5D61"/>
    <w:rsid w:val="2F725125"/>
    <w:rsid w:val="2F7470EF"/>
    <w:rsid w:val="2F77273B"/>
    <w:rsid w:val="2F7C41F6"/>
    <w:rsid w:val="2F7E1D1C"/>
    <w:rsid w:val="2F805817"/>
    <w:rsid w:val="2F827A5E"/>
    <w:rsid w:val="2F8C4439"/>
    <w:rsid w:val="2F8E1F35"/>
    <w:rsid w:val="2F950E14"/>
    <w:rsid w:val="2F990904"/>
    <w:rsid w:val="2F9A2833"/>
    <w:rsid w:val="2F9C4446"/>
    <w:rsid w:val="2FB7522E"/>
    <w:rsid w:val="2FB80EA1"/>
    <w:rsid w:val="2FBB46A0"/>
    <w:rsid w:val="2FBE73C6"/>
    <w:rsid w:val="2FC9172B"/>
    <w:rsid w:val="2FD065E6"/>
    <w:rsid w:val="2FD23E16"/>
    <w:rsid w:val="2FD47B8E"/>
    <w:rsid w:val="2FD96870"/>
    <w:rsid w:val="2FDD4C94"/>
    <w:rsid w:val="2FDE27BA"/>
    <w:rsid w:val="2FE06DAF"/>
    <w:rsid w:val="2FEA73B1"/>
    <w:rsid w:val="2FEC137B"/>
    <w:rsid w:val="2FED1391"/>
    <w:rsid w:val="2FEF0BC4"/>
    <w:rsid w:val="2FF81ACE"/>
    <w:rsid w:val="2FFC6134"/>
    <w:rsid w:val="30066A85"/>
    <w:rsid w:val="300C7328"/>
    <w:rsid w:val="300F0BC6"/>
    <w:rsid w:val="301442A2"/>
    <w:rsid w:val="30185CCC"/>
    <w:rsid w:val="301A1F72"/>
    <w:rsid w:val="302873D7"/>
    <w:rsid w:val="302A5A00"/>
    <w:rsid w:val="302A69A5"/>
    <w:rsid w:val="303074BA"/>
    <w:rsid w:val="30383D7B"/>
    <w:rsid w:val="30393E95"/>
    <w:rsid w:val="303F598D"/>
    <w:rsid w:val="30442F65"/>
    <w:rsid w:val="30444D13"/>
    <w:rsid w:val="304D38DA"/>
    <w:rsid w:val="304F36B8"/>
    <w:rsid w:val="30580BC9"/>
    <w:rsid w:val="306000AA"/>
    <w:rsid w:val="30676C54"/>
    <w:rsid w:val="3069477A"/>
    <w:rsid w:val="306A22A0"/>
    <w:rsid w:val="307153DD"/>
    <w:rsid w:val="30762520"/>
    <w:rsid w:val="30766E97"/>
    <w:rsid w:val="307D3313"/>
    <w:rsid w:val="307F283E"/>
    <w:rsid w:val="30843362"/>
    <w:rsid w:val="30890978"/>
    <w:rsid w:val="30894E1C"/>
    <w:rsid w:val="308E2433"/>
    <w:rsid w:val="308E5F8F"/>
    <w:rsid w:val="309537C1"/>
    <w:rsid w:val="30954547"/>
    <w:rsid w:val="3095731D"/>
    <w:rsid w:val="309D61D2"/>
    <w:rsid w:val="30A21A3A"/>
    <w:rsid w:val="30A24257"/>
    <w:rsid w:val="30A9726C"/>
    <w:rsid w:val="30AC4667"/>
    <w:rsid w:val="30AE6631"/>
    <w:rsid w:val="30B26121"/>
    <w:rsid w:val="30B654E5"/>
    <w:rsid w:val="30B8125D"/>
    <w:rsid w:val="30C2327B"/>
    <w:rsid w:val="30C37408"/>
    <w:rsid w:val="30D2231F"/>
    <w:rsid w:val="30D37E45"/>
    <w:rsid w:val="30D836AE"/>
    <w:rsid w:val="30DA11D4"/>
    <w:rsid w:val="30DD2A72"/>
    <w:rsid w:val="30E04E9B"/>
    <w:rsid w:val="30E3277E"/>
    <w:rsid w:val="30E42053"/>
    <w:rsid w:val="30E91417"/>
    <w:rsid w:val="30F027A5"/>
    <w:rsid w:val="30F57DBC"/>
    <w:rsid w:val="30FA7AC8"/>
    <w:rsid w:val="30FC739C"/>
    <w:rsid w:val="30FD4EC2"/>
    <w:rsid w:val="30FD5408"/>
    <w:rsid w:val="310149B3"/>
    <w:rsid w:val="31042EFF"/>
    <w:rsid w:val="3106021B"/>
    <w:rsid w:val="31083F93"/>
    <w:rsid w:val="31091AB9"/>
    <w:rsid w:val="310D15A9"/>
    <w:rsid w:val="310E70CF"/>
    <w:rsid w:val="31114115"/>
    <w:rsid w:val="3112096E"/>
    <w:rsid w:val="31132938"/>
    <w:rsid w:val="31140B8A"/>
    <w:rsid w:val="311A3CC6"/>
    <w:rsid w:val="311E2ED7"/>
    <w:rsid w:val="311E37B6"/>
    <w:rsid w:val="312406A1"/>
    <w:rsid w:val="312468F3"/>
    <w:rsid w:val="312E1520"/>
    <w:rsid w:val="312F7772"/>
    <w:rsid w:val="31374CF7"/>
    <w:rsid w:val="3138414C"/>
    <w:rsid w:val="313A6116"/>
    <w:rsid w:val="313B330F"/>
    <w:rsid w:val="313C3C3D"/>
    <w:rsid w:val="31440D43"/>
    <w:rsid w:val="3144654F"/>
    <w:rsid w:val="3148438F"/>
    <w:rsid w:val="314A4F98"/>
    <w:rsid w:val="314B1C20"/>
    <w:rsid w:val="314B20D2"/>
    <w:rsid w:val="314D19A6"/>
    <w:rsid w:val="315415C0"/>
    <w:rsid w:val="315619EE"/>
    <w:rsid w:val="315A40C3"/>
    <w:rsid w:val="315A6344"/>
    <w:rsid w:val="315C449C"/>
    <w:rsid w:val="315F792B"/>
    <w:rsid w:val="31605B7D"/>
    <w:rsid w:val="316945B9"/>
    <w:rsid w:val="31750EFD"/>
    <w:rsid w:val="31774C75"/>
    <w:rsid w:val="317909ED"/>
    <w:rsid w:val="31794E91"/>
    <w:rsid w:val="317B178C"/>
    <w:rsid w:val="317C228B"/>
    <w:rsid w:val="31837ABD"/>
    <w:rsid w:val="3186705A"/>
    <w:rsid w:val="31903F88"/>
    <w:rsid w:val="3192114C"/>
    <w:rsid w:val="3195334D"/>
    <w:rsid w:val="319533DB"/>
    <w:rsid w:val="31975317"/>
    <w:rsid w:val="319C292D"/>
    <w:rsid w:val="31A174DD"/>
    <w:rsid w:val="31A44643"/>
    <w:rsid w:val="31A51DEB"/>
    <w:rsid w:val="31A7683A"/>
    <w:rsid w:val="31AA6DF8"/>
    <w:rsid w:val="31B5112C"/>
    <w:rsid w:val="31B82709"/>
    <w:rsid w:val="31C003CA"/>
    <w:rsid w:val="31C17076"/>
    <w:rsid w:val="31C205E6"/>
    <w:rsid w:val="31C3435E"/>
    <w:rsid w:val="31C51CD0"/>
    <w:rsid w:val="31C83722"/>
    <w:rsid w:val="31CA11C3"/>
    <w:rsid w:val="31CC4FC0"/>
    <w:rsid w:val="31D05482"/>
    <w:rsid w:val="31D64091"/>
    <w:rsid w:val="31D66567"/>
    <w:rsid w:val="31D67BED"/>
    <w:rsid w:val="31D976DD"/>
    <w:rsid w:val="31DA4BC7"/>
    <w:rsid w:val="31DB3455"/>
    <w:rsid w:val="31DE4CF4"/>
    <w:rsid w:val="31E0281A"/>
    <w:rsid w:val="31E26109"/>
    <w:rsid w:val="31E367AE"/>
    <w:rsid w:val="31EA3699"/>
    <w:rsid w:val="31F2079F"/>
    <w:rsid w:val="31F31583"/>
    <w:rsid w:val="31F44517"/>
    <w:rsid w:val="31F476C7"/>
    <w:rsid w:val="31F83764"/>
    <w:rsid w:val="320209E2"/>
    <w:rsid w:val="320329AC"/>
    <w:rsid w:val="32036508"/>
    <w:rsid w:val="3208448F"/>
    <w:rsid w:val="3208606F"/>
    <w:rsid w:val="32096215"/>
    <w:rsid w:val="320A3D3B"/>
    <w:rsid w:val="320A7897"/>
    <w:rsid w:val="320C1861"/>
    <w:rsid w:val="320C7413"/>
    <w:rsid w:val="320F30FF"/>
    <w:rsid w:val="321309E3"/>
    <w:rsid w:val="3216623C"/>
    <w:rsid w:val="322A7F39"/>
    <w:rsid w:val="322E66C9"/>
    <w:rsid w:val="32400B34"/>
    <w:rsid w:val="324234D5"/>
    <w:rsid w:val="32430FFB"/>
    <w:rsid w:val="32472899"/>
    <w:rsid w:val="32484000"/>
    <w:rsid w:val="324D019C"/>
    <w:rsid w:val="324F6436"/>
    <w:rsid w:val="324F79A0"/>
    <w:rsid w:val="32543208"/>
    <w:rsid w:val="32560D2E"/>
    <w:rsid w:val="325925CC"/>
    <w:rsid w:val="325D066D"/>
    <w:rsid w:val="32612242"/>
    <w:rsid w:val="32654947"/>
    <w:rsid w:val="3267118D"/>
    <w:rsid w:val="32674CE9"/>
    <w:rsid w:val="3268470B"/>
    <w:rsid w:val="326C2300"/>
    <w:rsid w:val="326D7BB9"/>
    <w:rsid w:val="326E4305"/>
    <w:rsid w:val="327318E0"/>
    <w:rsid w:val="327411B4"/>
    <w:rsid w:val="32747406"/>
    <w:rsid w:val="32786EF6"/>
    <w:rsid w:val="327A2C6E"/>
    <w:rsid w:val="327F0285"/>
    <w:rsid w:val="3280427B"/>
    <w:rsid w:val="32805DAB"/>
    <w:rsid w:val="328533C1"/>
    <w:rsid w:val="32891103"/>
    <w:rsid w:val="32893E1D"/>
    <w:rsid w:val="328C208B"/>
    <w:rsid w:val="328D215A"/>
    <w:rsid w:val="32911D66"/>
    <w:rsid w:val="32917FB8"/>
    <w:rsid w:val="329A6E6D"/>
    <w:rsid w:val="329D070B"/>
    <w:rsid w:val="329E6876"/>
    <w:rsid w:val="32AE0B6A"/>
    <w:rsid w:val="32AE2918"/>
    <w:rsid w:val="32B83797"/>
    <w:rsid w:val="32C44003"/>
    <w:rsid w:val="32CB34CA"/>
    <w:rsid w:val="32D4469C"/>
    <w:rsid w:val="32E20814"/>
    <w:rsid w:val="32EE540A"/>
    <w:rsid w:val="32F318C8"/>
    <w:rsid w:val="32F522F5"/>
    <w:rsid w:val="32F56799"/>
    <w:rsid w:val="32FC18D5"/>
    <w:rsid w:val="33064502"/>
    <w:rsid w:val="331210F9"/>
    <w:rsid w:val="331309CD"/>
    <w:rsid w:val="33144C1B"/>
    <w:rsid w:val="331C69B4"/>
    <w:rsid w:val="33226E62"/>
    <w:rsid w:val="33252D91"/>
    <w:rsid w:val="332901F1"/>
    <w:rsid w:val="33294694"/>
    <w:rsid w:val="332B3F69"/>
    <w:rsid w:val="333015F2"/>
    <w:rsid w:val="333519A6"/>
    <w:rsid w:val="3337290D"/>
    <w:rsid w:val="333E1EEE"/>
    <w:rsid w:val="333F17C2"/>
    <w:rsid w:val="33404F09"/>
    <w:rsid w:val="33423060"/>
    <w:rsid w:val="334410FF"/>
    <w:rsid w:val="3344502A"/>
    <w:rsid w:val="33446DD8"/>
    <w:rsid w:val="33494EA8"/>
    <w:rsid w:val="334B6320"/>
    <w:rsid w:val="334D0383"/>
    <w:rsid w:val="334E5EA9"/>
    <w:rsid w:val="335D7410"/>
    <w:rsid w:val="335E60EC"/>
    <w:rsid w:val="33615BDC"/>
    <w:rsid w:val="3361798A"/>
    <w:rsid w:val="33651E40"/>
    <w:rsid w:val="336631F3"/>
    <w:rsid w:val="33664FA1"/>
    <w:rsid w:val="336D27D3"/>
    <w:rsid w:val="33704071"/>
    <w:rsid w:val="337218E7"/>
    <w:rsid w:val="33745910"/>
    <w:rsid w:val="337A0A4C"/>
    <w:rsid w:val="337E22EA"/>
    <w:rsid w:val="337E5A91"/>
    <w:rsid w:val="337E678E"/>
    <w:rsid w:val="339715FE"/>
    <w:rsid w:val="339A4C4A"/>
    <w:rsid w:val="339C09C3"/>
    <w:rsid w:val="339E298D"/>
    <w:rsid w:val="339E6623"/>
    <w:rsid w:val="339F04B3"/>
    <w:rsid w:val="33A31D51"/>
    <w:rsid w:val="33A56B8E"/>
    <w:rsid w:val="33A621FA"/>
    <w:rsid w:val="33AB5EDD"/>
    <w:rsid w:val="33B201E6"/>
    <w:rsid w:val="33B2113D"/>
    <w:rsid w:val="33B43F5E"/>
    <w:rsid w:val="33B45D0C"/>
    <w:rsid w:val="33B57CD6"/>
    <w:rsid w:val="33BC1065"/>
    <w:rsid w:val="33C10429"/>
    <w:rsid w:val="33C70135"/>
    <w:rsid w:val="33C816B6"/>
    <w:rsid w:val="33CD3272"/>
    <w:rsid w:val="33CE6458"/>
    <w:rsid w:val="33D934D4"/>
    <w:rsid w:val="33DB1FF2"/>
    <w:rsid w:val="33DC0D9B"/>
    <w:rsid w:val="33DE0B40"/>
    <w:rsid w:val="33DE5F1B"/>
    <w:rsid w:val="33E44A6B"/>
    <w:rsid w:val="33E4774C"/>
    <w:rsid w:val="33E660E2"/>
    <w:rsid w:val="33E67E90"/>
    <w:rsid w:val="33F00D0E"/>
    <w:rsid w:val="33F366B2"/>
    <w:rsid w:val="33F61566"/>
    <w:rsid w:val="33FE2F6A"/>
    <w:rsid w:val="340071A3"/>
    <w:rsid w:val="340746A0"/>
    <w:rsid w:val="340E07E5"/>
    <w:rsid w:val="340F5638"/>
    <w:rsid w:val="34142C4F"/>
    <w:rsid w:val="341744ED"/>
    <w:rsid w:val="341D7D55"/>
    <w:rsid w:val="34207730"/>
    <w:rsid w:val="34235BF7"/>
    <w:rsid w:val="34242DA5"/>
    <w:rsid w:val="34272982"/>
    <w:rsid w:val="342842DC"/>
    <w:rsid w:val="342A4220"/>
    <w:rsid w:val="342B1D46"/>
    <w:rsid w:val="342E1F62"/>
    <w:rsid w:val="342F5CDB"/>
    <w:rsid w:val="3431487E"/>
    <w:rsid w:val="343248A9"/>
    <w:rsid w:val="34357460"/>
    <w:rsid w:val="34362BC5"/>
    <w:rsid w:val="34390907"/>
    <w:rsid w:val="343A517C"/>
    <w:rsid w:val="343B467F"/>
    <w:rsid w:val="343F284A"/>
    <w:rsid w:val="34425A0E"/>
    <w:rsid w:val="34441786"/>
    <w:rsid w:val="345117AD"/>
    <w:rsid w:val="34515C51"/>
    <w:rsid w:val="345626E4"/>
    <w:rsid w:val="345B087E"/>
    <w:rsid w:val="34645984"/>
    <w:rsid w:val="347100A1"/>
    <w:rsid w:val="347253F1"/>
    <w:rsid w:val="347B5BFC"/>
    <w:rsid w:val="3482405C"/>
    <w:rsid w:val="348558FB"/>
    <w:rsid w:val="34883202"/>
    <w:rsid w:val="348E39B9"/>
    <w:rsid w:val="34952A8E"/>
    <w:rsid w:val="349A13A6"/>
    <w:rsid w:val="349B3370"/>
    <w:rsid w:val="349F4C0E"/>
    <w:rsid w:val="34A55F9D"/>
    <w:rsid w:val="34A75871"/>
    <w:rsid w:val="34A942A0"/>
    <w:rsid w:val="34AA45DD"/>
    <w:rsid w:val="34AE30A3"/>
    <w:rsid w:val="34AF2977"/>
    <w:rsid w:val="34B8182C"/>
    <w:rsid w:val="34B85CD0"/>
    <w:rsid w:val="34B866F6"/>
    <w:rsid w:val="34BB756E"/>
    <w:rsid w:val="34BD49ED"/>
    <w:rsid w:val="34C24459"/>
    <w:rsid w:val="34C43EE2"/>
    <w:rsid w:val="34C46423"/>
    <w:rsid w:val="34C603ED"/>
    <w:rsid w:val="34CD3E36"/>
    <w:rsid w:val="34CE54F3"/>
    <w:rsid w:val="34CF1DAC"/>
    <w:rsid w:val="34CF6B76"/>
    <w:rsid w:val="34D643A8"/>
    <w:rsid w:val="34D83195"/>
    <w:rsid w:val="34D84889"/>
    <w:rsid w:val="34DD1293"/>
    <w:rsid w:val="34DF29B2"/>
    <w:rsid w:val="34DF325D"/>
    <w:rsid w:val="34E15227"/>
    <w:rsid w:val="34E72F61"/>
    <w:rsid w:val="34FA3BF3"/>
    <w:rsid w:val="34FF745B"/>
    <w:rsid w:val="35020CF9"/>
    <w:rsid w:val="35066139"/>
    <w:rsid w:val="350A7810"/>
    <w:rsid w:val="350C3926"/>
    <w:rsid w:val="3517712A"/>
    <w:rsid w:val="351A4295"/>
    <w:rsid w:val="351C625F"/>
    <w:rsid w:val="35213875"/>
    <w:rsid w:val="3522139B"/>
    <w:rsid w:val="352769B2"/>
    <w:rsid w:val="35301944"/>
    <w:rsid w:val="35305866"/>
    <w:rsid w:val="35373099"/>
    <w:rsid w:val="353A22A1"/>
    <w:rsid w:val="353C420B"/>
    <w:rsid w:val="353D7F83"/>
    <w:rsid w:val="35414B88"/>
    <w:rsid w:val="354237EC"/>
    <w:rsid w:val="35470E02"/>
    <w:rsid w:val="354A7B40"/>
    <w:rsid w:val="354E4899"/>
    <w:rsid w:val="35507CB7"/>
    <w:rsid w:val="35553F5A"/>
    <w:rsid w:val="3558300F"/>
    <w:rsid w:val="35584DBD"/>
    <w:rsid w:val="355A6D87"/>
    <w:rsid w:val="355C48AD"/>
    <w:rsid w:val="35611EC4"/>
    <w:rsid w:val="356419B4"/>
    <w:rsid w:val="356801D5"/>
    <w:rsid w:val="356B105B"/>
    <w:rsid w:val="356B4AF0"/>
    <w:rsid w:val="35835F65"/>
    <w:rsid w:val="35847C46"/>
    <w:rsid w:val="35867B7C"/>
    <w:rsid w:val="358C5FA8"/>
    <w:rsid w:val="358E07DF"/>
    <w:rsid w:val="359A3628"/>
    <w:rsid w:val="359C2EFC"/>
    <w:rsid w:val="35A40002"/>
    <w:rsid w:val="35A65B28"/>
    <w:rsid w:val="35AA72B8"/>
    <w:rsid w:val="35AB7E70"/>
    <w:rsid w:val="35B30245"/>
    <w:rsid w:val="35BA3386"/>
    <w:rsid w:val="35BE2E72"/>
    <w:rsid w:val="35BF6BEA"/>
    <w:rsid w:val="35C10BB4"/>
    <w:rsid w:val="35C15DF1"/>
    <w:rsid w:val="35C3492C"/>
    <w:rsid w:val="35C530A0"/>
    <w:rsid w:val="35C81F43"/>
    <w:rsid w:val="35CD57AB"/>
    <w:rsid w:val="35CF32D1"/>
    <w:rsid w:val="35D040F5"/>
    <w:rsid w:val="35D2691D"/>
    <w:rsid w:val="35D42696"/>
    <w:rsid w:val="35DF67D0"/>
    <w:rsid w:val="35E11256"/>
    <w:rsid w:val="35E6686D"/>
    <w:rsid w:val="35E86141"/>
    <w:rsid w:val="35ED3757"/>
    <w:rsid w:val="35F26FC0"/>
    <w:rsid w:val="35F45BD4"/>
    <w:rsid w:val="35F621A2"/>
    <w:rsid w:val="35F72828"/>
    <w:rsid w:val="35F745D6"/>
    <w:rsid w:val="35F86203"/>
    <w:rsid w:val="35FC01D3"/>
    <w:rsid w:val="35FE7713"/>
    <w:rsid w:val="36005709"/>
    <w:rsid w:val="36070CBD"/>
    <w:rsid w:val="36074A7F"/>
    <w:rsid w:val="360C1CB4"/>
    <w:rsid w:val="360D204B"/>
    <w:rsid w:val="36130DED"/>
    <w:rsid w:val="36130F8B"/>
    <w:rsid w:val="36140CE4"/>
    <w:rsid w:val="361B6516"/>
    <w:rsid w:val="361C5DEB"/>
    <w:rsid w:val="361E0A8A"/>
    <w:rsid w:val="3632560E"/>
    <w:rsid w:val="364041CF"/>
    <w:rsid w:val="36420916"/>
    <w:rsid w:val="36484E32"/>
    <w:rsid w:val="364A0368"/>
    <w:rsid w:val="364B1B0C"/>
    <w:rsid w:val="364C5427"/>
    <w:rsid w:val="364F61C0"/>
    <w:rsid w:val="364F7F6E"/>
    <w:rsid w:val="36533F02"/>
    <w:rsid w:val="365612FD"/>
    <w:rsid w:val="365732C7"/>
    <w:rsid w:val="365B2DB7"/>
    <w:rsid w:val="365C268B"/>
    <w:rsid w:val="365D6B2F"/>
    <w:rsid w:val="365D6FA5"/>
    <w:rsid w:val="365F3D0E"/>
    <w:rsid w:val="366A04BD"/>
    <w:rsid w:val="366D4898"/>
    <w:rsid w:val="366D7B0C"/>
    <w:rsid w:val="366E199A"/>
    <w:rsid w:val="366F0610"/>
    <w:rsid w:val="367125DA"/>
    <w:rsid w:val="36730100"/>
    <w:rsid w:val="367D16A9"/>
    <w:rsid w:val="36873BAC"/>
    <w:rsid w:val="36874FE4"/>
    <w:rsid w:val="368B585E"/>
    <w:rsid w:val="368E60B7"/>
    <w:rsid w:val="368F50B8"/>
    <w:rsid w:val="36923549"/>
    <w:rsid w:val="36941E25"/>
    <w:rsid w:val="36A17CB3"/>
    <w:rsid w:val="36A302BA"/>
    <w:rsid w:val="36A55028"/>
    <w:rsid w:val="36A75FFC"/>
    <w:rsid w:val="36AA0DE7"/>
    <w:rsid w:val="36AA1648"/>
    <w:rsid w:val="36B204FD"/>
    <w:rsid w:val="36B75FBF"/>
    <w:rsid w:val="36B97ADD"/>
    <w:rsid w:val="36BD0C45"/>
    <w:rsid w:val="36BF1C9E"/>
    <w:rsid w:val="36C4455F"/>
    <w:rsid w:val="36CA5847"/>
    <w:rsid w:val="36CD0F60"/>
    <w:rsid w:val="36D52B69"/>
    <w:rsid w:val="36DC6758"/>
    <w:rsid w:val="36DD1A1E"/>
    <w:rsid w:val="36EC7EB3"/>
    <w:rsid w:val="36EF272D"/>
    <w:rsid w:val="36F220CE"/>
    <w:rsid w:val="36F542E6"/>
    <w:rsid w:val="36F935B6"/>
    <w:rsid w:val="37001C42"/>
    <w:rsid w:val="37023232"/>
    <w:rsid w:val="37032975"/>
    <w:rsid w:val="370A20E7"/>
    <w:rsid w:val="370E631D"/>
    <w:rsid w:val="37133692"/>
    <w:rsid w:val="371A4A20"/>
    <w:rsid w:val="371B42F4"/>
    <w:rsid w:val="371B53A3"/>
    <w:rsid w:val="371F3DE4"/>
    <w:rsid w:val="3727713D"/>
    <w:rsid w:val="3729335E"/>
    <w:rsid w:val="372B2789"/>
    <w:rsid w:val="37353608"/>
    <w:rsid w:val="3747333B"/>
    <w:rsid w:val="374750E9"/>
    <w:rsid w:val="374C27E2"/>
    <w:rsid w:val="37585548"/>
    <w:rsid w:val="37620175"/>
    <w:rsid w:val="37656B53"/>
    <w:rsid w:val="376932B2"/>
    <w:rsid w:val="376B053F"/>
    <w:rsid w:val="376B50ED"/>
    <w:rsid w:val="376D2DA2"/>
    <w:rsid w:val="376E08C8"/>
    <w:rsid w:val="376F3581"/>
    <w:rsid w:val="37781747"/>
    <w:rsid w:val="37797999"/>
    <w:rsid w:val="377C1237"/>
    <w:rsid w:val="377C2128"/>
    <w:rsid w:val="377D0B0B"/>
    <w:rsid w:val="377E4FAF"/>
    <w:rsid w:val="37886865"/>
    <w:rsid w:val="378B0A5B"/>
    <w:rsid w:val="378B147A"/>
    <w:rsid w:val="378B6CEE"/>
    <w:rsid w:val="378C55E8"/>
    <w:rsid w:val="3790451D"/>
    <w:rsid w:val="37930AC5"/>
    <w:rsid w:val="37936580"/>
    <w:rsid w:val="379522F8"/>
    <w:rsid w:val="379C673E"/>
    <w:rsid w:val="37A20571"/>
    <w:rsid w:val="37A442EA"/>
    <w:rsid w:val="37A67753"/>
    <w:rsid w:val="37A75B88"/>
    <w:rsid w:val="37A81C17"/>
    <w:rsid w:val="37A8202C"/>
    <w:rsid w:val="37A97B52"/>
    <w:rsid w:val="37AB38CA"/>
    <w:rsid w:val="37B409D1"/>
    <w:rsid w:val="37B502A5"/>
    <w:rsid w:val="37B54749"/>
    <w:rsid w:val="37B658C8"/>
    <w:rsid w:val="37C14E9C"/>
    <w:rsid w:val="37C404E8"/>
    <w:rsid w:val="37C46192"/>
    <w:rsid w:val="37C624B2"/>
    <w:rsid w:val="37C93D50"/>
    <w:rsid w:val="37CA561C"/>
    <w:rsid w:val="37D44BCF"/>
    <w:rsid w:val="37D85AA1"/>
    <w:rsid w:val="37E00298"/>
    <w:rsid w:val="37E1109A"/>
    <w:rsid w:val="37E34E12"/>
    <w:rsid w:val="37E82428"/>
    <w:rsid w:val="37ED7A3F"/>
    <w:rsid w:val="37F11528"/>
    <w:rsid w:val="37F76B0F"/>
    <w:rsid w:val="37F8490D"/>
    <w:rsid w:val="37F9425B"/>
    <w:rsid w:val="3801798E"/>
    <w:rsid w:val="38044D88"/>
    <w:rsid w:val="38051852"/>
    <w:rsid w:val="38120A66"/>
    <w:rsid w:val="381551E7"/>
    <w:rsid w:val="38170F5F"/>
    <w:rsid w:val="3818645A"/>
    <w:rsid w:val="381979D3"/>
    <w:rsid w:val="381D44BE"/>
    <w:rsid w:val="38207FEF"/>
    <w:rsid w:val="38211DDE"/>
    <w:rsid w:val="3825367C"/>
    <w:rsid w:val="38284F1B"/>
    <w:rsid w:val="38296E42"/>
    <w:rsid w:val="382B2FAC"/>
    <w:rsid w:val="382F62A9"/>
    <w:rsid w:val="3830290A"/>
    <w:rsid w:val="38306A12"/>
    <w:rsid w:val="383218F5"/>
    <w:rsid w:val="3836588A"/>
    <w:rsid w:val="383733B0"/>
    <w:rsid w:val="383D7C57"/>
    <w:rsid w:val="383E029A"/>
    <w:rsid w:val="383E473E"/>
    <w:rsid w:val="383E4C63"/>
    <w:rsid w:val="38433B03"/>
    <w:rsid w:val="38451629"/>
    <w:rsid w:val="384A4E91"/>
    <w:rsid w:val="384A6C3F"/>
    <w:rsid w:val="38545D10"/>
    <w:rsid w:val="38566219"/>
    <w:rsid w:val="385C4BC4"/>
    <w:rsid w:val="385C4FA8"/>
    <w:rsid w:val="385E2E31"/>
    <w:rsid w:val="38602906"/>
    <w:rsid w:val="3864178A"/>
    <w:rsid w:val="386A72E1"/>
    <w:rsid w:val="38797524"/>
    <w:rsid w:val="387B302C"/>
    <w:rsid w:val="387D6E77"/>
    <w:rsid w:val="387E0FDF"/>
    <w:rsid w:val="38832151"/>
    <w:rsid w:val="388D4D7E"/>
    <w:rsid w:val="389600D6"/>
    <w:rsid w:val="38967039"/>
    <w:rsid w:val="389C077C"/>
    <w:rsid w:val="389E6F8B"/>
    <w:rsid w:val="38A547BD"/>
    <w:rsid w:val="38A6346D"/>
    <w:rsid w:val="38A722E3"/>
    <w:rsid w:val="38A87E0A"/>
    <w:rsid w:val="38A943F0"/>
    <w:rsid w:val="38AC78FA"/>
    <w:rsid w:val="38B302F9"/>
    <w:rsid w:val="38B36EDA"/>
    <w:rsid w:val="38B508D6"/>
    <w:rsid w:val="38B60778"/>
    <w:rsid w:val="38B84141"/>
    <w:rsid w:val="38B844F1"/>
    <w:rsid w:val="38BB5D8F"/>
    <w:rsid w:val="38BE4B9B"/>
    <w:rsid w:val="38C8225A"/>
    <w:rsid w:val="38CA7D80"/>
    <w:rsid w:val="38CE5AC2"/>
    <w:rsid w:val="38CF183A"/>
    <w:rsid w:val="38D04143"/>
    <w:rsid w:val="38D34E86"/>
    <w:rsid w:val="38DE1A7D"/>
    <w:rsid w:val="38E452E6"/>
    <w:rsid w:val="38F11C5F"/>
    <w:rsid w:val="38F12CD3"/>
    <w:rsid w:val="38F94775"/>
    <w:rsid w:val="38FA435C"/>
    <w:rsid w:val="38FB43DD"/>
    <w:rsid w:val="38FE7A29"/>
    <w:rsid w:val="39017E99"/>
    <w:rsid w:val="39074B30"/>
    <w:rsid w:val="390C0398"/>
    <w:rsid w:val="39102742"/>
    <w:rsid w:val="39111E53"/>
    <w:rsid w:val="3911775D"/>
    <w:rsid w:val="39154B5D"/>
    <w:rsid w:val="39180AEB"/>
    <w:rsid w:val="39227BBC"/>
    <w:rsid w:val="39241B86"/>
    <w:rsid w:val="39243934"/>
    <w:rsid w:val="392971ED"/>
    <w:rsid w:val="39325651"/>
    <w:rsid w:val="393357C5"/>
    <w:rsid w:val="39336819"/>
    <w:rsid w:val="39352BB5"/>
    <w:rsid w:val="39396CB4"/>
    <w:rsid w:val="393F42CA"/>
    <w:rsid w:val="394418E0"/>
    <w:rsid w:val="39460C51"/>
    <w:rsid w:val="39475874"/>
    <w:rsid w:val="394E4259"/>
    <w:rsid w:val="394F4ABD"/>
    <w:rsid w:val="3950297B"/>
    <w:rsid w:val="39504435"/>
    <w:rsid w:val="39578484"/>
    <w:rsid w:val="3958538C"/>
    <w:rsid w:val="395F671A"/>
    <w:rsid w:val="3968327D"/>
    <w:rsid w:val="39811729"/>
    <w:rsid w:val="3988410C"/>
    <w:rsid w:val="398E5251"/>
    <w:rsid w:val="39900FC9"/>
    <w:rsid w:val="39904B26"/>
    <w:rsid w:val="399D5494"/>
    <w:rsid w:val="39AA71BC"/>
    <w:rsid w:val="39AC0A05"/>
    <w:rsid w:val="39B06F76"/>
    <w:rsid w:val="39B2124F"/>
    <w:rsid w:val="39B36A66"/>
    <w:rsid w:val="39B527DE"/>
    <w:rsid w:val="39B7663D"/>
    <w:rsid w:val="39BC1DBE"/>
    <w:rsid w:val="39BD17FA"/>
    <w:rsid w:val="39C11183"/>
    <w:rsid w:val="39C40C73"/>
    <w:rsid w:val="39CC3BD0"/>
    <w:rsid w:val="39D152E4"/>
    <w:rsid w:val="39D623C1"/>
    <w:rsid w:val="39D92970"/>
    <w:rsid w:val="39DA3FF3"/>
    <w:rsid w:val="39E44E71"/>
    <w:rsid w:val="39E92488"/>
    <w:rsid w:val="39EC676B"/>
    <w:rsid w:val="39EE7A9E"/>
    <w:rsid w:val="39F257E0"/>
    <w:rsid w:val="39F33306"/>
    <w:rsid w:val="39F50E2C"/>
    <w:rsid w:val="39FC040D"/>
    <w:rsid w:val="39FE23D7"/>
    <w:rsid w:val="3A060E23"/>
    <w:rsid w:val="3A0F0AD3"/>
    <w:rsid w:val="3A0F6392"/>
    <w:rsid w:val="3A125E9F"/>
    <w:rsid w:val="3A18438A"/>
    <w:rsid w:val="3A1D44D9"/>
    <w:rsid w:val="3A25583C"/>
    <w:rsid w:val="3A282FB0"/>
    <w:rsid w:val="3A2A5062"/>
    <w:rsid w:val="3A323E2F"/>
    <w:rsid w:val="3A345DF9"/>
    <w:rsid w:val="3A35391F"/>
    <w:rsid w:val="3A3556CD"/>
    <w:rsid w:val="3A393EE5"/>
    <w:rsid w:val="3A3C2EFF"/>
    <w:rsid w:val="3A3E4FC0"/>
    <w:rsid w:val="3A3F654C"/>
    <w:rsid w:val="3A43428E"/>
    <w:rsid w:val="3A4A1178"/>
    <w:rsid w:val="3A4D1EF5"/>
    <w:rsid w:val="3A4D6EBA"/>
    <w:rsid w:val="3A5A4A09"/>
    <w:rsid w:val="3A5C70FE"/>
    <w:rsid w:val="3A5E2E76"/>
    <w:rsid w:val="3A61177C"/>
    <w:rsid w:val="3A647D60"/>
    <w:rsid w:val="3A695377"/>
    <w:rsid w:val="3A6D130B"/>
    <w:rsid w:val="3A6D4E67"/>
    <w:rsid w:val="3A6F0BDF"/>
    <w:rsid w:val="3A7149A6"/>
    <w:rsid w:val="3A724207"/>
    <w:rsid w:val="3A7601BF"/>
    <w:rsid w:val="3A7E52C6"/>
    <w:rsid w:val="3A856654"/>
    <w:rsid w:val="3A872856"/>
    <w:rsid w:val="3A884F96"/>
    <w:rsid w:val="3A95616C"/>
    <w:rsid w:val="3A970136"/>
    <w:rsid w:val="3A992100"/>
    <w:rsid w:val="3A9B6B07"/>
    <w:rsid w:val="3AA17663"/>
    <w:rsid w:val="3AA20FB4"/>
    <w:rsid w:val="3AB02FA5"/>
    <w:rsid w:val="3AB26D1E"/>
    <w:rsid w:val="3ABC194A"/>
    <w:rsid w:val="3ABC7B9C"/>
    <w:rsid w:val="3ABD09B0"/>
    <w:rsid w:val="3AC16F61"/>
    <w:rsid w:val="3ACF78CF"/>
    <w:rsid w:val="3AD75321"/>
    <w:rsid w:val="3AD76784"/>
    <w:rsid w:val="3AE01ADD"/>
    <w:rsid w:val="3AE3337B"/>
    <w:rsid w:val="3AE35129"/>
    <w:rsid w:val="3AE672FF"/>
    <w:rsid w:val="3AE72E6B"/>
    <w:rsid w:val="3AE76371"/>
    <w:rsid w:val="3AE95163"/>
    <w:rsid w:val="3AEE291E"/>
    <w:rsid w:val="3AEE41FA"/>
    <w:rsid w:val="3AF606FF"/>
    <w:rsid w:val="3B037579"/>
    <w:rsid w:val="3B04522C"/>
    <w:rsid w:val="3B0C2BBF"/>
    <w:rsid w:val="3B0C4680"/>
    <w:rsid w:val="3B112AE7"/>
    <w:rsid w:val="3B121C60"/>
    <w:rsid w:val="3B1361A9"/>
    <w:rsid w:val="3B193566"/>
    <w:rsid w:val="3B1B0D67"/>
    <w:rsid w:val="3B1B2B15"/>
    <w:rsid w:val="3B1D063B"/>
    <w:rsid w:val="3B225C51"/>
    <w:rsid w:val="3B2A0FAA"/>
    <w:rsid w:val="3B2F036E"/>
    <w:rsid w:val="3B3140E6"/>
    <w:rsid w:val="3B356074"/>
    <w:rsid w:val="3B373ED6"/>
    <w:rsid w:val="3B3763D1"/>
    <w:rsid w:val="3B457B92"/>
    <w:rsid w:val="3B471B5C"/>
    <w:rsid w:val="3B4756B8"/>
    <w:rsid w:val="3B556027"/>
    <w:rsid w:val="3B563B4D"/>
    <w:rsid w:val="3B566601"/>
    <w:rsid w:val="3B5C5B35"/>
    <w:rsid w:val="3B697D24"/>
    <w:rsid w:val="3B6B0CE0"/>
    <w:rsid w:val="3B6B2810"/>
    <w:rsid w:val="3B6B3A9C"/>
    <w:rsid w:val="3B6E2A60"/>
    <w:rsid w:val="3B6E533A"/>
    <w:rsid w:val="3B714022"/>
    <w:rsid w:val="3B7B1805"/>
    <w:rsid w:val="3B7F0AC1"/>
    <w:rsid w:val="3B7F437A"/>
    <w:rsid w:val="3B807C65"/>
    <w:rsid w:val="3B81506E"/>
    <w:rsid w:val="3B844B5E"/>
    <w:rsid w:val="3B892174"/>
    <w:rsid w:val="3B895CD0"/>
    <w:rsid w:val="3B903503"/>
    <w:rsid w:val="3B96663F"/>
    <w:rsid w:val="3B9F153B"/>
    <w:rsid w:val="3B9F54F4"/>
    <w:rsid w:val="3BA146B7"/>
    <w:rsid w:val="3BA50630"/>
    <w:rsid w:val="3BAE3989"/>
    <w:rsid w:val="3BB60F40"/>
    <w:rsid w:val="3BC136BC"/>
    <w:rsid w:val="3BC46D08"/>
    <w:rsid w:val="3BC9431F"/>
    <w:rsid w:val="3BDD601C"/>
    <w:rsid w:val="3BDE2C28"/>
    <w:rsid w:val="3BDF27E5"/>
    <w:rsid w:val="3BDF2E43"/>
    <w:rsid w:val="3BE13D5E"/>
    <w:rsid w:val="3BE22F9B"/>
    <w:rsid w:val="3BE5321E"/>
    <w:rsid w:val="3BE5461B"/>
    <w:rsid w:val="3BED2703"/>
    <w:rsid w:val="3BEF6440"/>
    <w:rsid w:val="3BF065C8"/>
    <w:rsid w:val="3BF13876"/>
    <w:rsid w:val="3BF27D19"/>
    <w:rsid w:val="3BF33A92"/>
    <w:rsid w:val="3BF375EE"/>
    <w:rsid w:val="3BF53366"/>
    <w:rsid w:val="3BF70BEE"/>
    <w:rsid w:val="3BFD31A4"/>
    <w:rsid w:val="3C0430B5"/>
    <w:rsid w:val="3C044D45"/>
    <w:rsid w:val="3C0744DD"/>
    <w:rsid w:val="3C094BB2"/>
    <w:rsid w:val="3C145EE2"/>
    <w:rsid w:val="3C2123AD"/>
    <w:rsid w:val="3C2E0626"/>
    <w:rsid w:val="3C2E6878"/>
    <w:rsid w:val="3C2F371D"/>
    <w:rsid w:val="3C2F6E1E"/>
    <w:rsid w:val="3C30439E"/>
    <w:rsid w:val="3C32609B"/>
    <w:rsid w:val="3C351DB4"/>
    <w:rsid w:val="3C381D1D"/>
    <w:rsid w:val="3C3F2833"/>
    <w:rsid w:val="3C447E49"/>
    <w:rsid w:val="3C467007"/>
    <w:rsid w:val="3C4B567C"/>
    <w:rsid w:val="3C4D13F4"/>
    <w:rsid w:val="3C4F3FEE"/>
    <w:rsid w:val="3C4F64BA"/>
    <w:rsid w:val="3C502C92"/>
    <w:rsid w:val="3C5207B8"/>
    <w:rsid w:val="3C574020"/>
    <w:rsid w:val="3C5B1154"/>
    <w:rsid w:val="3C5C1637"/>
    <w:rsid w:val="3C5C2B50"/>
    <w:rsid w:val="3C5E53AF"/>
    <w:rsid w:val="3C5F2ED5"/>
    <w:rsid w:val="3C636D7C"/>
    <w:rsid w:val="3C7819C5"/>
    <w:rsid w:val="3C790E9F"/>
    <w:rsid w:val="3C7A1ABD"/>
    <w:rsid w:val="3C862210"/>
    <w:rsid w:val="3C864A14"/>
    <w:rsid w:val="3C8A056A"/>
    <w:rsid w:val="3C8B7826"/>
    <w:rsid w:val="3C8C1F1C"/>
    <w:rsid w:val="3C8D17F0"/>
    <w:rsid w:val="3C8E6CDE"/>
    <w:rsid w:val="3C8F4D32"/>
    <w:rsid w:val="3C962485"/>
    <w:rsid w:val="3C9C5ED7"/>
    <w:rsid w:val="3C9F32D2"/>
    <w:rsid w:val="3CA20800"/>
    <w:rsid w:val="3CA31014"/>
    <w:rsid w:val="3CA83D23"/>
    <w:rsid w:val="3CAA1666"/>
    <w:rsid w:val="3CAB373A"/>
    <w:rsid w:val="3CB23005"/>
    <w:rsid w:val="3CB30BE8"/>
    <w:rsid w:val="3CB44FCF"/>
    <w:rsid w:val="3CB4634D"/>
    <w:rsid w:val="3CC03974"/>
    <w:rsid w:val="3CC33464"/>
    <w:rsid w:val="3CC6323C"/>
    <w:rsid w:val="3CC72F54"/>
    <w:rsid w:val="3CCA47F2"/>
    <w:rsid w:val="3CD016DD"/>
    <w:rsid w:val="3CD218F9"/>
    <w:rsid w:val="3CD236A7"/>
    <w:rsid w:val="3CDA245A"/>
    <w:rsid w:val="3CDB255C"/>
    <w:rsid w:val="3CE60F00"/>
    <w:rsid w:val="3CE77BBE"/>
    <w:rsid w:val="3CEB69AE"/>
    <w:rsid w:val="3CF01E1B"/>
    <w:rsid w:val="3CF33D49"/>
    <w:rsid w:val="3CF5076E"/>
    <w:rsid w:val="3CF63839"/>
    <w:rsid w:val="3CFE2478"/>
    <w:rsid w:val="3D010B81"/>
    <w:rsid w:val="3D0B3A5E"/>
    <w:rsid w:val="3D0C0967"/>
    <w:rsid w:val="3D0D2931"/>
    <w:rsid w:val="3D0F0457"/>
    <w:rsid w:val="3D1141CF"/>
    <w:rsid w:val="3D136525"/>
    <w:rsid w:val="3D1912D6"/>
    <w:rsid w:val="3D1C4922"/>
    <w:rsid w:val="3D1E06B7"/>
    <w:rsid w:val="3D387082"/>
    <w:rsid w:val="3D4225DB"/>
    <w:rsid w:val="3D424389"/>
    <w:rsid w:val="3D477BF1"/>
    <w:rsid w:val="3D540560"/>
    <w:rsid w:val="3D581DFE"/>
    <w:rsid w:val="3D5D5666"/>
    <w:rsid w:val="3D6267D9"/>
    <w:rsid w:val="3D65451B"/>
    <w:rsid w:val="3D6A1B31"/>
    <w:rsid w:val="3D6E07F0"/>
    <w:rsid w:val="3D7D7AB7"/>
    <w:rsid w:val="3D89645B"/>
    <w:rsid w:val="3D8A4C4C"/>
    <w:rsid w:val="3D8C11EC"/>
    <w:rsid w:val="3D9077EA"/>
    <w:rsid w:val="3D98044D"/>
    <w:rsid w:val="3D98433D"/>
    <w:rsid w:val="3D9A41C5"/>
    <w:rsid w:val="3D9B618F"/>
    <w:rsid w:val="3DA05553"/>
    <w:rsid w:val="3DA23079"/>
    <w:rsid w:val="3DB1150E"/>
    <w:rsid w:val="3DB11AD4"/>
    <w:rsid w:val="3DB3244A"/>
    <w:rsid w:val="3DB80AEF"/>
    <w:rsid w:val="3DBB413B"/>
    <w:rsid w:val="3DC15BF5"/>
    <w:rsid w:val="3DC2371B"/>
    <w:rsid w:val="3DC41242"/>
    <w:rsid w:val="3DC456E6"/>
    <w:rsid w:val="3DC54FBA"/>
    <w:rsid w:val="3DC94AAA"/>
    <w:rsid w:val="3DC96858"/>
    <w:rsid w:val="3DD125CB"/>
    <w:rsid w:val="3DD376D7"/>
    <w:rsid w:val="3DD60F75"/>
    <w:rsid w:val="3DDC48A9"/>
    <w:rsid w:val="3DDF4503"/>
    <w:rsid w:val="3DE10046"/>
    <w:rsid w:val="3DE25B6C"/>
    <w:rsid w:val="3DE363C2"/>
    <w:rsid w:val="3DE418E4"/>
    <w:rsid w:val="3DE6740A"/>
    <w:rsid w:val="3DE96EFA"/>
    <w:rsid w:val="3DEB2C72"/>
    <w:rsid w:val="3DEE4511"/>
    <w:rsid w:val="3DF00C3A"/>
    <w:rsid w:val="3DF618A2"/>
    <w:rsid w:val="3DF71617"/>
    <w:rsid w:val="3DF748FE"/>
    <w:rsid w:val="3DFD29A6"/>
    <w:rsid w:val="3E083D5E"/>
    <w:rsid w:val="3E0B7D28"/>
    <w:rsid w:val="3E1723C3"/>
    <w:rsid w:val="3E175815"/>
    <w:rsid w:val="3E183486"/>
    <w:rsid w:val="3E206345"/>
    <w:rsid w:val="3E261EFC"/>
    <w:rsid w:val="3E276DA0"/>
    <w:rsid w:val="3E2F4A84"/>
    <w:rsid w:val="3E30725D"/>
    <w:rsid w:val="3E32264F"/>
    <w:rsid w:val="3E333B65"/>
    <w:rsid w:val="3E3B3C8A"/>
    <w:rsid w:val="3E3F6B1A"/>
    <w:rsid w:val="3E4448F7"/>
    <w:rsid w:val="3E4B54BF"/>
    <w:rsid w:val="3E530817"/>
    <w:rsid w:val="3E5325C6"/>
    <w:rsid w:val="3E587A0E"/>
    <w:rsid w:val="3E590B98"/>
    <w:rsid w:val="3E5C76CC"/>
    <w:rsid w:val="3E5D6BAF"/>
    <w:rsid w:val="3E5F2A77"/>
    <w:rsid w:val="3E66679D"/>
    <w:rsid w:val="3E6875C1"/>
    <w:rsid w:val="3E6E73FF"/>
    <w:rsid w:val="3E725142"/>
    <w:rsid w:val="3E734A16"/>
    <w:rsid w:val="3E74351A"/>
    <w:rsid w:val="3E79027E"/>
    <w:rsid w:val="3E7964D0"/>
    <w:rsid w:val="3E845132"/>
    <w:rsid w:val="3E864121"/>
    <w:rsid w:val="3E871D2B"/>
    <w:rsid w:val="3E88226F"/>
    <w:rsid w:val="3E8E25F4"/>
    <w:rsid w:val="3E912AE3"/>
    <w:rsid w:val="3EA01CAF"/>
    <w:rsid w:val="3EA15FF0"/>
    <w:rsid w:val="3EA177D5"/>
    <w:rsid w:val="3EA6303D"/>
    <w:rsid w:val="3EA82911"/>
    <w:rsid w:val="3EB412B6"/>
    <w:rsid w:val="3EB457B7"/>
    <w:rsid w:val="3EB5502E"/>
    <w:rsid w:val="3EB57A72"/>
    <w:rsid w:val="3EB63280"/>
    <w:rsid w:val="3EB70DA6"/>
    <w:rsid w:val="3EB82C69"/>
    <w:rsid w:val="3EBA43F3"/>
    <w:rsid w:val="3EBA4CBD"/>
    <w:rsid w:val="3EBC016B"/>
    <w:rsid w:val="3EC139D3"/>
    <w:rsid w:val="3EC3599D"/>
    <w:rsid w:val="3EC3774B"/>
    <w:rsid w:val="3EDA0523"/>
    <w:rsid w:val="3EDA6843"/>
    <w:rsid w:val="3EDE19DE"/>
    <w:rsid w:val="3EDE27D7"/>
    <w:rsid w:val="3EEB0A50"/>
    <w:rsid w:val="3EF420E8"/>
    <w:rsid w:val="3EF43DA9"/>
    <w:rsid w:val="3F010273"/>
    <w:rsid w:val="3F03223E"/>
    <w:rsid w:val="3F055FB6"/>
    <w:rsid w:val="3F0833B0"/>
    <w:rsid w:val="3F0A0656"/>
    <w:rsid w:val="3F0D4E6A"/>
    <w:rsid w:val="3F0E34EF"/>
    <w:rsid w:val="3F1104B7"/>
    <w:rsid w:val="3F1911D5"/>
    <w:rsid w:val="3F1E7077"/>
    <w:rsid w:val="3F1F03B8"/>
    <w:rsid w:val="3F2A1578"/>
    <w:rsid w:val="3F2B4343"/>
    <w:rsid w:val="3F2C52F0"/>
    <w:rsid w:val="3F2E22E7"/>
    <w:rsid w:val="3F3643C1"/>
    <w:rsid w:val="3F38569E"/>
    <w:rsid w:val="3F3B19D7"/>
    <w:rsid w:val="3F3D74FE"/>
    <w:rsid w:val="3F41451A"/>
    <w:rsid w:val="3F44662B"/>
    <w:rsid w:val="3F454604"/>
    <w:rsid w:val="3F4D122D"/>
    <w:rsid w:val="3F4D34B9"/>
    <w:rsid w:val="3F512FA9"/>
    <w:rsid w:val="3F520ACF"/>
    <w:rsid w:val="3F593C0C"/>
    <w:rsid w:val="3F60143E"/>
    <w:rsid w:val="3F602F82"/>
    <w:rsid w:val="3F650802"/>
    <w:rsid w:val="3F6727CC"/>
    <w:rsid w:val="3F6902F3"/>
    <w:rsid w:val="3F6C179B"/>
    <w:rsid w:val="3F6E3B5B"/>
    <w:rsid w:val="3F6F5934"/>
    <w:rsid w:val="3F70067A"/>
    <w:rsid w:val="3F740A45"/>
    <w:rsid w:val="3F76656C"/>
    <w:rsid w:val="3F7B6278"/>
    <w:rsid w:val="3F80388E"/>
    <w:rsid w:val="3F823162"/>
    <w:rsid w:val="3F830C89"/>
    <w:rsid w:val="3F850EA5"/>
    <w:rsid w:val="3F874B45"/>
    <w:rsid w:val="3F8F3AD1"/>
    <w:rsid w:val="3F9133A5"/>
    <w:rsid w:val="3FAB6476"/>
    <w:rsid w:val="3FAE21A9"/>
    <w:rsid w:val="3FB452E6"/>
    <w:rsid w:val="3FB928FC"/>
    <w:rsid w:val="3FB957E5"/>
    <w:rsid w:val="3FBA6DA0"/>
    <w:rsid w:val="3FC7326B"/>
    <w:rsid w:val="3FCC76E3"/>
    <w:rsid w:val="3FCE0156"/>
    <w:rsid w:val="3FD6525C"/>
    <w:rsid w:val="3FDD495C"/>
    <w:rsid w:val="3FE060DB"/>
    <w:rsid w:val="3FE356EE"/>
    <w:rsid w:val="3FE536F1"/>
    <w:rsid w:val="3FE61943"/>
    <w:rsid w:val="3FE727C0"/>
    <w:rsid w:val="3FEE6372"/>
    <w:rsid w:val="3FF23D11"/>
    <w:rsid w:val="3FF36C78"/>
    <w:rsid w:val="40061FE5"/>
    <w:rsid w:val="40064B6F"/>
    <w:rsid w:val="400973E0"/>
    <w:rsid w:val="400C112B"/>
    <w:rsid w:val="400D2F31"/>
    <w:rsid w:val="400E49F6"/>
    <w:rsid w:val="40153FD6"/>
    <w:rsid w:val="40175FA1"/>
    <w:rsid w:val="40181D19"/>
    <w:rsid w:val="40185875"/>
    <w:rsid w:val="401A783F"/>
    <w:rsid w:val="401C6A29"/>
    <w:rsid w:val="40204729"/>
    <w:rsid w:val="40231FA2"/>
    <w:rsid w:val="40271F5C"/>
    <w:rsid w:val="40300E10"/>
    <w:rsid w:val="40301C33"/>
    <w:rsid w:val="40302BBE"/>
    <w:rsid w:val="40363F4D"/>
    <w:rsid w:val="403A1C8F"/>
    <w:rsid w:val="403A3A3D"/>
    <w:rsid w:val="404228F2"/>
    <w:rsid w:val="40491ED2"/>
    <w:rsid w:val="404A4CCE"/>
    <w:rsid w:val="40526FD9"/>
    <w:rsid w:val="4057639D"/>
    <w:rsid w:val="40612C06"/>
    <w:rsid w:val="406805AA"/>
    <w:rsid w:val="406B3DDC"/>
    <w:rsid w:val="406D0ACB"/>
    <w:rsid w:val="406E7B8B"/>
    <w:rsid w:val="40701CF6"/>
    <w:rsid w:val="40703903"/>
    <w:rsid w:val="407056B1"/>
    <w:rsid w:val="4070745F"/>
    <w:rsid w:val="40730CFD"/>
    <w:rsid w:val="40776A3F"/>
    <w:rsid w:val="407927B7"/>
    <w:rsid w:val="407A6407"/>
    <w:rsid w:val="407C4287"/>
    <w:rsid w:val="408056BB"/>
    <w:rsid w:val="408353E4"/>
    <w:rsid w:val="40860A30"/>
    <w:rsid w:val="408A6390"/>
    <w:rsid w:val="40955117"/>
    <w:rsid w:val="409F7D44"/>
    <w:rsid w:val="40A07B61"/>
    <w:rsid w:val="40A35A86"/>
    <w:rsid w:val="40A46442"/>
    <w:rsid w:val="40A8309D"/>
    <w:rsid w:val="40A84E4B"/>
    <w:rsid w:val="40A972C3"/>
    <w:rsid w:val="40B57579"/>
    <w:rsid w:val="40B57980"/>
    <w:rsid w:val="40B76E3C"/>
    <w:rsid w:val="40BB0C76"/>
    <w:rsid w:val="40BC43B4"/>
    <w:rsid w:val="40BD62C9"/>
    <w:rsid w:val="40C4409D"/>
    <w:rsid w:val="40C81049"/>
    <w:rsid w:val="40C8729B"/>
    <w:rsid w:val="40CA1DAF"/>
    <w:rsid w:val="40CD48B1"/>
    <w:rsid w:val="40CF23D7"/>
    <w:rsid w:val="40D043A1"/>
    <w:rsid w:val="40D20119"/>
    <w:rsid w:val="40E02836"/>
    <w:rsid w:val="40E85247"/>
    <w:rsid w:val="40F43B92"/>
    <w:rsid w:val="40F702BA"/>
    <w:rsid w:val="40F877A1"/>
    <w:rsid w:val="40FD66AE"/>
    <w:rsid w:val="41006A35"/>
    <w:rsid w:val="41013860"/>
    <w:rsid w:val="41016309"/>
    <w:rsid w:val="41051EE7"/>
    <w:rsid w:val="41076015"/>
    <w:rsid w:val="410A1661"/>
    <w:rsid w:val="410A78B3"/>
    <w:rsid w:val="411029F0"/>
    <w:rsid w:val="41173D7E"/>
    <w:rsid w:val="41197AF6"/>
    <w:rsid w:val="411C6663"/>
    <w:rsid w:val="411C75E7"/>
    <w:rsid w:val="41230975"/>
    <w:rsid w:val="41253B5D"/>
    <w:rsid w:val="412E1809"/>
    <w:rsid w:val="4134579A"/>
    <w:rsid w:val="413761CE"/>
    <w:rsid w:val="413910A1"/>
    <w:rsid w:val="41393CF5"/>
    <w:rsid w:val="41395AA3"/>
    <w:rsid w:val="413B7A6D"/>
    <w:rsid w:val="413E755D"/>
    <w:rsid w:val="41452699"/>
    <w:rsid w:val="41474664"/>
    <w:rsid w:val="414916BA"/>
    <w:rsid w:val="414A0375"/>
    <w:rsid w:val="414A73BA"/>
    <w:rsid w:val="414E37B5"/>
    <w:rsid w:val="414F3518"/>
    <w:rsid w:val="41596145"/>
    <w:rsid w:val="415B010F"/>
    <w:rsid w:val="41614FF9"/>
    <w:rsid w:val="41676AB4"/>
    <w:rsid w:val="41727207"/>
    <w:rsid w:val="41736270"/>
    <w:rsid w:val="41766CF7"/>
    <w:rsid w:val="41847666"/>
    <w:rsid w:val="41872CB2"/>
    <w:rsid w:val="4188068C"/>
    <w:rsid w:val="419158DF"/>
    <w:rsid w:val="41931657"/>
    <w:rsid w:val="41943621"/>
    <w:rsid w:val="41990C37"/>
    <w:rsid w:val="419D4283"/>
    <w:rsid w:val="41A27AEC"/>
    <w:rsid w:val="41A5138A"/>
    <w:rsid w:val="41AA5CEB"/>
    <w:rsid w:val="41AA69A0"/>
    <w:rsid w:val="41AC5365"/>
    <w:rsid w:val="41AF4CFE"/>
    <w:rsid w:val="41B415CD"/>
    <w:rsid w:val="41B4781F"/>
    <w:rsid w:val="41B56C37"/>
    <w:rsid w:val="41BD4926"/>
    <w:rsid w:val="41BE41FA"/>
    <w:rsid w:val="41BE73E4"/>
    <w:rsid w:val="41C07F72"/>
    <w:rsid w:val="41C9151C"/>
    <w:rsid w:val="41C95079"/>
    <w:rsid w:val="41CE33BE"/>
    <w:rsid w:val="41CF4659"/>
    <w:rsid w:val="41D43A1D"/>
    <w:rsid w:val="41DB4DAC"/>
    <w:rsid w:val="41E44CDF"/>
    <w:rsid w:val="41E747E2"/>
    <w:rsid w:val="41EA4FEF"/>
    <w:rsid w:val="41ED4B15"/>
    <w:rsid w:val="41F159EB"/>
    <w:rsid w:val="41F83BB0"/>
    <w:rsid w:val="41F93484"/>
    <w:rsid w:val="4200449D"/>
    <w:rsid w:val="42012045"/>
    <w:rsid w:val="420337A5"/>
    <w:rsid w:val="420F3471"/>
    <w:rsid w:val="42101E4A"/>
    <w:rsid w:val="421107CE"/>
    <w:rsid w:val="42113D3C"/>
    <w:rsid w:val="42114C71"/>
    <w:rsid w:val="42146971"/>
    <w:rsid w:val="42176B1E"/>
    <w:rsid w:val="421A3B26"/>
    <w:rsid w:val="421F113C"/>
    <w:rsid w:val="4223163E"/>
    <w:rsid w:val="422350AB"/>
    <w:rsid w:val="42240501"/>
    <w:rsid w:val="422778C6"/>
    <w:rsid w:val="422B7AE1"/>
    <w:rsid w:val="42310E70"/>
    <w:rsid w:val="423A3BCC"/>
    <w:rsid w:val="423D15C3"/>
    <w:rsid w:val="423F17DF"/>
    <w:rsid w:val="42456FB6"/>
    <w:rsid w:val="42466EEC"/>
    <w:rsid w:val="424B1F31"/>
    <w:rsid w:val="424E557E"/>
    <w:rsid w:val="424E57D2"/>
    <w:rsid w:val="425414F0"/>
    <w:rsid w:val="425C5EED"/>
    <w:rsid w:val="425D7EB7"/>
    <w:rsid w:val="425F6603"/>
    <w:rsid w:val="42636FFD"/>
    <w:rsid w:val="4267663F"/>
    <w:rsid w:val="42703746"/>
    <w:rsid w:val="42723962"/>
    <w:rsid w:val="42725710"/>
    <w:rsid w:val="42726BEB"/>
    <w:rsid w:val="42764AD5"/>
    <w:rsid w:val="427C033D"/>
    <w:rsid w:val="428471F1"/>
    <w:rsid w:val="42850C80"/>
    <w:rsid w:val="42892A5A"/>
    <w:rsid w:val="428B3D82"/>
    <w:rsid w:val="428D174E"/>
    <w:rsid w:val="42905431"/>
    <w:rsid w:val="42972733"/>
    <w:rsid w:val="42976F25"/>
    <w:rsid w:val="429D02B3"/>
    <w:rsid w:val="429E24FE"/>
    <w:rsid w:val="42A06238"/>
    <w:rsid w:val="42A104B9"/>
    <w:rsid w:val="42A41642"/>
    <w:rsid w:val="42A47894"/>
    <w:rsid w:val="42A81132"/>
    <w:rsid w:val="42A930FC"/>
    <w:rsid w:val="42B07FE6"/>
    <w:rsid w:val="42B23D5F"/>
    <w:rsid w:val="42B26C49"/>
    <w:rsid w:val="42BC1159"/>
    <w:rsid w:val="42BC4BDD"/>
    <w:rsid w:val="42C35F6C"/>
    <w:rsid w:val="42C41CE4"/>
    <w:rsid w:val="42C6780A"/>
    <w:rsid w:val="42CC4777"/>
    <w:rsid w:val="42CD2946"/>
    <w:rsid w:val="42CE7920"/>
    <w:rsid w:val="42CF149E"/>
    <w:rsid w:val="42CF2B62"/>
    <w:rsid w:val="42D31F27"/>
    <w:rsid w:val="42D67F85"/>
    <w:rsid w:val="42D9753D"/>
    <w:rsid w:val="42DF08CC"/>
    <w:rsid w:val="42E165FF"/>
    <w:rsid w:val="42E859D2"/>
    <w:rsid w:val="42EA799C"/>
    <w:rsid w:val="42EC7049"/>
    <w:rsid w:val="42EF3715"/>
    <w:rsid w:val="42F04FEB"/>
    <w:rsid w:val="42F26851"/>
    <w:rsid w:val="42F37C28"/>
    <w:rsid w:val="42F54742"/>
    <w:rsid w:val="42FA5706"/>
    <w:rsid w:val="42FE51F6"/>
    <w:rsid w:val="43016A94"/>
    <w:rsid w:val="430420E0"/>
    <w:rsid w:val="430B7913"/>
    <w:rsid w:val="430F7403"/>
    <w:rsid w:val="43120CA1"/>
    <w:rsid w:val="43143184"/>
    <w:rsid w:val="431524EE"/>
    <w:rsid w:val="431A7B56"/>
    <w:rsid w:val="431C0FA3"/>
    <w:rsid w:val="4320516C"/>
    <w:rsid w:val="432307B8"/>
    <w:rsid w:val="43290A63"/>
    <w:rsid w:val="432B5EFD"/>
    <w:rsid w:val="432C171C"/>
    <w:rsid w:val="432E2B7E"/>
    <w:rsid w:val="43305EF3"/>
    <w:rsid w:val="433165D2"/>
    <w:rsid w:val="433A6FE6"/>
    <w:rsid w:val="433E1A96"/>
    <w:rsid w:val="433E74DD"/>
    <w:rsid w:val="43413334"/>
    <w:rsid w:val="43430E5B"/>
    <w:rsid w:val="43432C09"/>
    <w:rsid w:val="43480868"/>
    <w:rsid w:val="4350713C"/>
    <w:rsid w:val="43560B8E"/>
    <w:rsid w:val="435741FA"/>
    <w:rsid w:val="435C3CCA"/>
    <w:rsid w:val="436338F0"/>
    <w:rsid w:val="43633A26"/>
    <w:rsid w:val="43650DD1"/>
    <w:rsid w:val="436653E0"/>
    <w:rsid w:val="436A63E7"/>
    <w:rsid w:val="436F1C50"/>
    <w:rsid w:val="43770B04"/>
    <w:rsid w:val="43782C30"/>
    <w:rsid w:val="4379487C"/>
    <w:rsid w:val="437B6846"/>
    <w:rsid w:val="43827BD5"/>
    <w:rsid w:val="4383394D"/>
    <w:rsid w:val="438374A9"/>
    <w:rsid w:val="43847A3E"/>
    <w:rsid w:val="43853221"/>
    <w:rsid w:val="4387343D"/>
    <w:rsid w:val="438C45B0"/>
    <w:rsid w:val="438C63A4"/>
    <w:rsid w:val="439873F8"/>
    <w:rsid w:val="43996CCD"/>
    <w:rsid w:val="439A3F56"/>
    <w:rsid w:val="439F512D"/>
    <w:rsid w:val="43A42BBC"/>
    <w:rsid w:val="43AA0EDA"/>
    <w:rsid w:val="43AC4C52"/>
    <w:rsid w:val="43B6162D"/>
    <w:rsid w:val="43B835F7"/>
    <w:rsid w:val="43C4431A"/>
    <w:rsid w:val="43C55D14"/>
    <w:rsid w:val="43C875B2"/>
    <w:rsid w:val="43C95804"/>
    <w:rsid w:val="43CA1EE0"/>
    <w:rsid w:val="43CB43EB"/>
    <w:rsid w:val="43CC0E50"/>
    <w:rsid w:val="43D1290A"/>
    <w:rsid w:val="43E53B4A"/>
    <w:rsid w:val="43E77A38"/>
    <w:rsid w:val="43E837B0"/>
    <w:rsid w:val="43F02DE7"/>
    <w:rsid w:val="43F108B7"/>
    <w:rsid w:val="43F62371"/>
    <w:rsid w:val="43F65ECD"/>
    <w:rsid w:val="43F959BD"/>
    <w:rsid w:val="43FD4F52"/>
    <w:rsid w:val="44020D16"/>
    <w:rsid w:val="44022AC4"/>
    <w:rsid w:val="44071E88"/>
    <w:rsid w:val="44095C00"/>
    <w:rsid w:val="440E3217"/>
    <w:rsid w:val="44110F59"/>
    <w:rsid w:val="4413082D"/>
    <w:rsid w:val="441A33DF"/>
    <w:rsid w:val="441D0A1C"/>
    <w:rsid w:val="44246EDE"/>
    <w:rsid w:val="442567B2"/>
    <w:rsid w:val="442E3854"/>
    <w:rsid w:val="44307631"/>
    <w:rsid w:val="443133A9"/>
    <w:rsid w:val="443864E5"/>
    <w:rsid w:val="443C5AF9"/>
    <w:rsid w:val="44427364"/>
    <w:rsid w:val="444741D0"/>
    <w:rsid w:val="44485D0A"/>
    <w:rsid w:val="44496945"/>
    <w:rsid w:val="444D69AE"/>
    <w:rsid w:val="444E3F5B"/>
    <w:rsid w:val="44501221"/>
    <w:rsid w:val="445045EE"/>
    <w:rsid w:val="44511355"/>
    <w:rsid w:val="44544A76"/>
    <w:rsid w:val="44576100"/>
    <w:rsid w:val="445826E4"/>
    <w:rsid w:val="445A2900"/>
    <w:rsid w:val="445D55DD"/>
    <w:rsid w:val="445D5F4C"/>
    <w:rsid w:val="445E6E80"/>
    <w:rsid w:val="445F3A72"/>
    <w:rsid w:val="44692B43"/>
    <w:rsid w:val="447514E8"/>
    <w:rsid w:val="44797BEE"/>
    <w:rsid w:val="447A08AC"/>
    <w:rsid w:val="447A6AFE"/>
    <w:rsid w:val="447C0AC8"/>
    <w:rsid w:val="447D214A"/>
    <w:rsid w:val="447F4114"/>
    <w:rsid w:val="44820C74"/>
    <w:rsid w:val="448A2A88"/>
    <w:rsid w:val="448D4A83"/>
    <w:rsid w:val="448E6105"/>
    <w:rsid w:val="44906321"/>
    <w:rsid w:val="44915BF6"/>
    <w:rsid w:val="4492209A"/>
    <w:rsid w:val="44953938"/>
    <w:rsid w:val="449556E6"/>
    <w:rsid w:val="44986F84"/>
    <w:rsid w:val="449C61AA"/>
    <w:rsid w:val="449D27EC"/>
    <w:rsid w:val="44A65B45"/>
    <w:rsid w:val="44A92F3F"/>
    <w:rsid w:val="44B85878"/>
    <w:rsid w:val="44B951CC"/>
    <w:rsid w:val="44BF09B5"/>
    <w:rsid w:val="44C24001"/>
    <w:rsid w:val="44C35604"/>
    <w:rsid w:val="44C436F6"/>
    <w:rsid w:val="44C91833"/>
    <w:rsid w:val="44C972F5"/>
    <w:rsid w:val="44CB1108"/>
    <w:rsid w:val="44CB7899"/>
    <w:rsid w:val="44CD14E0"/>
    <w:rsid w:val="44CE29A6"/>
    <w:rsid w:val="44D34460"/>
    <w:rsid w:val="44D75CFE"/>
    <w:rsid w:val="44DC711C"/>
    <w:rsid w:val="44DF32C4"/>
    <w:rsid w:val="44E14213"/>
    <w:rsid w:val="44E67E08"/>
    <w:rsid w:val="44E93A5D"/>
    <w:rsid w:val="44E93C84"/>
    <w:rsid w:val="44F20B0B"/>
    <w:rsid w:val="44F22B38"/>
    <w:rsid w:val="44F85C75"/>
    <w:rsid w:val="44FE14DD"/>
    <w:rsid w:val="45017ECF"/>
    <w:rsid w:val="450D1720"/>
    <w:rsid w:val="450D34CE"/>
    <w:rsid w:val="450D4C5A"/>
    <w:rsid w:val="45126D36"/>
    <w:rsid w:val="45140D01"/>
    <w:rsid w:val="45151F34"/>
    <w:rsid w:val="451607AC"/>
    <w:rsid w:val="4516187A"/>
    <w:rsid w:val="451C1963"/>
    <w:rsid w:val="451E337D"/>
    <w:rsid w:val="4521341D"/>
    <w:rsid w:val="452E5F4C"/>
    <w:rsid w:val="452F78E8"/>
    <w:rsid w:val="45336D96"/>
    <w:rsid w:val="45356EC9"/>
    <w:rsid w:val="45367DE1"/>
    <w:rsid w:val="454315E6"/>
    <w:rsid w:val="45431824"/>
    <w:rsid w:val="454809AA"/>
    <w:rsid w:val="454964D0"/>
    <w:rsid w:val="454B3FF6"/>
    <w:rsid w:val="454D4212"/>
    <w:rsid w:val="454D5FC1"/>
    <w:rsid w:val="45596713"/>
    <w:rsid w:val="455A248C"/>
    <w:rsid w:val="45603F46"/>
    <w:rsid w:val="45612018"/>
    <w:rsid w:val="45654FA5"/>
    <w:rsid w:val="45660E30"/>
    <w:rsid w:val="45690320"/>
    <w:rsid w:val="456B6447"/>
    <w:rsid w:val="456C08C7"/>
    <w:rsid w:val="45723C79"/>
    <w:rsid w:val="45734199"/>
    <w:rsid w:val="4577128F"/>
    <w:rsid w:val="45786D7F"/>
    <w:rsid w:val="45833790"/>
    <w:rsid w:val="4585575A"/>
    <w:rsid w:val="458946E9"/>
    <w:rsid w:val="45924EDB"/>
    <w:rsid w:val="45927E77"/>
    <w:rsid w:val="459B6D2C"/>
    <w:rsid w:val="45A2455E"/>
    <w:rsid w:val="45A3567F"/>
    <w:rsid w:val="45A47C0E"/>
    <w:rsid w:val="45A55DFD"/>
    <w:rsid w:val="45AB6B4A"/>
    <w:rsid w:val="45BD3146"/>
    <w:rsid w:val="45C02C36"/>
    <w:rsid w:val="45C5024D"/>
    <w:rsid w:val="45C51FFB"/>
    <w:rsid w:val="45C53DA9"/>
    <w:rsid w:val="45CC3389"/>
    <w:rsid w:val="45D16BF2"/>
    <w:rsid w:val="45D64208"/>
    <w:rsid w:val="45E36925"/>
    <w:rsid w:val="45EA1A61"/>
    <w:rsid w:val="45EF7078"/>
    <w:rsid w:val="45F53058"/>
    <w:rsid w:val="45F60406"/>
    <w:rsid w:val="45F702A5"/>
    <w:rsid w:val="45FE72BB"/>
    <w:rsid w:val="460C19D8"/>
    <w:rsid w:val="460C6113"/>
    <w:rsid w:val="460F14C8"/>
    <w:rsid w:val="4618257E"/>
    <w:rsid w:val="46207231"/>
    <w:rsid w:val="46256F3D"/>
    <w:rsid w:val="46276812"/>
    <w:rsid w:val="462C4478"/>
    <w:rsid w:val="46322581"/>
    <w:rsid w:val="46402205"/>
    <w:rsid w:val="464253F9"/>
    <w:rsid w:val="4645313C"/>
    <w:rsid w:val="46577FD6"/>
    <w:rsid w:val="465810C1"/>
    <w:rsid w:val="465B64BB"/>
    <w:rsid w:val="465C53DC"/>
    <w:rsid w:val="465F4C71"/>
    <w:rsid w:val="46607F75"/>
    <w:rsid w:val="466468B3"/>
    <w:rsid w:val="46650319"/>
    <w:rsid w:val="46676F0B"/>
    <w:rsid w:val="466C3BA2"/>
    <w:rsid w:val="466C714D"/>
    <w:rsid w:val="4670640B"/>
    <w:rsid w:val="46794B93"/>
    <w:rsid w:val="467D4684"/>
    <w:rsid w:val="468375E3"/>
    <w:rsid w:val="46896210"/>
    <w:rsid w:val="468C7999"/>
    <w:rsid w:val="469112A2"/>
    <w:rsid w:val="46911EDD"/>
    <w:rsid w:val="4694480F"/>
    <w:rsid w:val="46975632"/>
    <w:rsid w:val="469A4406"/>
    <w:rsid w:val="469B0FAE"/>
    <w:rsid w:val="469D6AD4"/>
    <w:rsid w:val="469E26B5"/>
    <w:rsid w:val="46A14816"/>
    <w:rsid w:val="46A3107E"/>
    <w:rsid w:val="46A549EA"/>
    <w:rsid w:val="46A63BDA"/>
    <w:rsid w:val="46B502C1"/>
    <w:rsid w:val="46B81F97"/>
    <w:rsid w:val="46BF4C9C"/>
    <w:rsid w:val="46C2653A"/>
    <w:rsid w:val="46C73B51"/>
    <w:rsid w:val="46CB1893"/>
    <w:rsid w:val="46D5190A"/>
    <w:rsid w:val="46D53DA4"/>
    <w:rsid w:val="46D70238"/>
    <w:rsid w:val="46D955A7"/>
    <w:rsid w:val="46DA1AD6"/>
    <w:rsid w:val="46DD5122"/>
    <w:rsid w:val="46E0127E"/>
    <w:rsid w:val="46E27B98"/>
    <w:rsid w:val="46E42955"/>
    <w:rsid w:val="46EA3A86"/>
    <w:rsid w:val="46EC45B4"/>
    <w:rsid w:val="46EE61A8"/>
    <w:rsid w:val="46F030A7"/>
    <w:rsid w:val="46F21274"/>
    <w:rsid w:val="46F26E20"/>
    <w:rsid w:val="46F506BE"/>
    <w:rsid w:val="46FC1A4C"/>
    <w:rsid w:val="46FF32EA"/>
    <w:rsid w:val="470703F1"/>
    <w:rsid w:val="47133957"/>
    <w:rsid w:val="471D1481"/>
    <w:rsid w:val="471D3886"/>
    <w:rsid w:val="4723522B"/>
    <w:rsid w:val="472D7E58"/>
    <w:rsid w:val="47307948"/>
    <w:rsid w:val="47332F94"/>
    <w:rsid w:val="473867FC"/>
    <w:rsid w:val="473A4323"/>
    <w:rsid w:val="473A67BC"/>
    <w:rsid w:val="47411B55"/>
    <w:rsid w:val="474156B1"/>
    <w:rsid w:val="474B4782"/>
    <w:rsid w:val="474D04FA"/>
    <w:rsid w:val="474F025E"/>
    <w:rsid w:val="47523D62"/>
    <w:rsid w:val="47532CF6"/>
    <w:rsid w:val="475630E3"/>
    <w:rsid w:val="475950F1"/>
    <w:rsid w:val="475B2884"/>
    <w:rsid w:val="475D7EB0"/>
    <w:rsid w:val="475F6DA7"/>
    <w:rsid w:val="47670515"/>
    <w:rsid w:val="476A2E5A"/>
    <w:rsid w:val="476B0980"/>
    <w:rsid w:val="476E221E"/>
    <w:rsid w:val="47705F96"/>
    <w:rsid w:val="477B5067"/>
    <w:rsid w:val="477C4003"/>
    <w:rsid w:val="477F442B"/>
    <w:rsid w:val="47841A42"/>
    <w:rsid w:val="47855EE6"/>
    <w:rsid w:val="47887784"/>
    <w:rsid w:val="479003E6"/>
    <w:rsid w:val="4791488A"/>
    <w:rsid w:val="47944F23"/>
    <w:rsid w:val="479A21DE"/>
    <w:rsid w:val="479D06E0"/>
    <w:rsid w:val="479F1E41"/>
    <w:rsid w:val="47A07E0C"/>
    <w:rsid w:val="47A10846"/>
    <w:rsid w:val="47A81BD4"/>
    <w:rsid w:val="47AA41CD"/>
    <w:rsid w:val="47AC3472"/>
    <w:rsid w:val="47AD0F98"/>
    <w:rsid w:val="47AD71EA"/>
    <w:rsid w:val="47AF6393"/>
    <w:rsid w:val="47B265AF"/>
    <w:rsid w:val="47B30186"/>
    <w:rsid w:val="47B57E4D"/>
    <w:rsid w:val="47B9336E"/>
    <w:rsid w:val="47C54534"/>
    <w:rsid w:val="47C55E99"/>
    <w:rsid w:val="47C6205A"/>
    <w:rsid w:val="47C927DD"/>
    <w:rsid w:val="47CF3A8A"/>
    <w:rsid w:val="47CF53B3"/>
    <w:rsid w:val="47D26C51"/>
    <w:rsid w:val="47E0311C"/>
    <w:rsid w:val="47E32C0C"/>
    <w:rsid w:val="47E50732"/>
    <w:rsid w:val="47E510EC"/>
    <w:rsid w:val="47EA3F9B"/>
    <w:rsid w:val="47F155E6"/>
    <w:rsid w:val="47F646ED"/>
    <w:rsid w:val="47F95F8C"/>
    <w:rsid w:val="47FD252B"/>
    <w:rsid w:val="47FE17F4"/>
    <w:rsid w:val="48054931"/>
    <w:rsid w:val="480F6C3C"/>
    <w:rsid w:val="481608EC"/>
    <w:rsid w:val="48164D90"/>
    <w:rsid w:val="481728B6"/>
    <w:rsid w:val="48286871"/>
    <w:rsid w:val="482F19AD"/>
    <w:rsid w:val="483002E2"/>
    <w:rsid w:val="48343468"/>
    <w:rsid w:val="48362D3C"/>
    <w:rsid w:val="483C42AD"/>
    <w:rsid w:val="483D0888"/>
    <w:rsid w:val="48401E0D"/>
    <w:rsid w:val="484216E1"/>
    <w:rsid w:val="48482A6F"/>
    <w:rsid w:val="484D75B3"/>
    <w:rsid w:val="484F6835"/>
    <w:rsid w:val="48587156"/>
    <w:rsid w:val="486A0C38"/>
    <w:rsid w:val="486A6E89"/>
    <w:rsid w:val="486C49B0"/>
    <w:rsid w:val="486E0837"/>
    <w:rsid w:val="4870272E"/>
    <w:rsid w:val="487815A6"/>
    <w:rsid w:val="487D0138"/>
    <w:rsid w:val="487E46E3"/>
    <w:rsid w:val="4884619D"/>
    <w:rsid w:val="48873619"/>
    <w:rsid w:val="48897310"/>
    <w:rsid w:val="489255B6"/>
    <w:rsid w:val="489857A5"/>
    <w:rsid w:val="489A61C9"/>
    <w:rsid w:val="489B5295"/>
    <w:rsid w:val="489E4062"/>
    <w:rsid w:val="48A71E8C"/>
    <w:rsid w:val="48A754F5"/>
    <w:rsid w:val="48AC33AA"/>
    <w:rsid w:val="48B30830"/>
    <w:rsid w:val="48B87BF5"/>
    <w:rsid w:val="48BA5DDF"/>
    <w:rsid w:val="48BC75FB"/>
    <w:rsid w:val="48BF5427"/>
    <w:rsid w:val="48C04CFB"/>
    <w:rsid w:val="48C8034C"/>
    <w:rsid w:val="48C90054"/>
    <w:rsid w:val="48CD31CE"/>
    <w:rsid w:val="48D00645"/>
    <w:rsid w:val="48D2515B"/>
    <w:rsid w:val="48D34A2F"/>
    <w:rsid w:val="48D52D81"/>
    <w:rsid w:val="48DA3857"/>
    <w:rsid w:val="48DF06FE"/>
    <w:rsid w:val="48E9432B"/>
    <w:rsid w:val="48EB621C"/>
    <w:rsid w:val="48F52BF7"/>
    <w:rsid w:val="48F6071D"/>
    <w:rsid w:val="49024433"/>
    <w:rsid w:val="49025314"/>
    <w:rsid w:val="49072873"/>
    <w:rsid w:val="4907292A"/>
    <w:rsid w:val="4920170B"/>
    <w:rsid w:val="49274206"/>
    <w:rsid w:val="492C413F"/>
    <w:rsid w:val="493224B5"/>
    <w:rsid w:val="49331971"/>
    <w:rsid w:val="493C25D4"/>
    <w:rsid w:val="493D00FA"/>
    <w:rsid w:val="494B7321"/>
    <w:rsid w:val="494C43EE"/>
    <w:rsid w:val="49542D88"/>
    <w:rsid w:val="49543DC1"/>
    <w:rsid w:val="495A5150"/>
    <w:rsid w:val="495F2766"/>
    <w:rsid w:val="49667651"/>
    <w:rsid w:val="496E4757"/>
    <w:rsid w:val="49757894"/>
    <w:rsid w:val="49766DE5"/>
    <w:rsid w:val="497C50C6"/>
    <w:rsid w:val="497E0E3E"/>
    <w:rsid w:val="498001D0"/>
    <w:rsid w:val="498122D2"/>
    <w:rsid w:val="49891591"/>
    <w:rsid w:val="4989333F"/>
    <w:rsid w:val="498B5309"/>
    <w:rsid w:val="498D1081"/>
    <w:rsid w:val="498D5A41"/>
    <w:rsid w:val="498E6BA8"/>
    <w:rsid w:val="499441BE"/>
    <w:rsid w:val="49997A26"/>
    <w:rsid w:val="49A14B2D"/>
    <w:rsid w:val="49AC2AE7"/>
    <w:rsid w:val="49B605D8"/>
    <w:rsid w:val="49B77EAC"/>
    <w:rsid w:val="49B941A0"/>
    <w:rsid w:val="49BA160F"/>
    <w:rsid w:val="49C01457"/>
    <w:rsid w:val="49C222CA"/>
    <w:rsid w:val="49C64593"/>
    <w:rsid w:val="49CA5E32"/>
    <w:rsid w:val="49CD76D0"/>
    <w:rsid w:val="49D12FAE"/>
    <w:rsid w:val="49DC4814"/>
    <w:rsid w:val="49DC7715"/>
    <w:rsid w:val="49E33A18"/>
    <w:rsid w:val="49E55C76"/>
    <w:rsid w:val="49E55DEC"/>
    <w:rsid w:val="49E62540"/>
    <w:rsid w:val="49E8275C"/>
    <w:rsid w:val="49EA5378"/>
    <w:rsid w:val="49F14158"/>
    <w:rsid w:val="49FE2F6E"/>
    <w:rsid w:val="4A023139"/>
    <w:rsid w:val="4A08695A"/>
    <w:rsid w:val="4A0A0193"/>
    <w:rsid w:val="4A0A4DA4"/>
    <w:rsid w:val="4A0C644A"/>
    <w:rsid w:val="4A0F0B0B"/>
    <w:rsid w:val="4A1672C9"/>
    <w:rsid w:val="4A1E1CDA"/>
    <w:rsid w:val="4A1E2964"/>
    <w:rsid w:val="4A1E617D"/>
    <w:rsid w:val="4A211429"/>
    <w:rsid w:val="4A225C6E"/>
    <w:rsid w:val="4A275032"/>
    <w:rsid w:val="4A2803BA"/>
    <w:rsid w:val="4A2C4B4A"/>
    <w:rsid w:val="4A2F2139"/>
    <w:rsid w:val="4A2F399F"/>
    <w:rsid w:val="4A357E84"/>
    <w:rsid w:val="4A37602F"/>
    <w:rsid w:val="4A396B13"/>
    <w:rsid w:val="4A3B6D2F"/>
    <w:rsid w:val="4A4200BE"/>
    <w:rsid w:val="4A421E6C"/>
    <w:rsid w:val="4A432976"/>
    <w:rsid w:val="4A4B1B0B"/>
    <w:rsid w:val="4A4B5C29"/>
    <w:rsid w:val="4A5120AF"/>
    <w:rsid w:val="4A530BB4"/>
    <w:rsid w:val="4A534079"/>
    <w:rsid w:val="4A535498"/>
    <w:rsid w:val="4A537E5C"/>
    <w:rsid w:val="4A54394D"/>
    <w:rsid w:val="4A563B69"/>
    <w:rsid w:val="4A6242BC"/>
    <w:rsid w:val="4A633B90"/>
    <w:rsid w:val="4A655B5A"/>
    <w:rsid w:val="4A6A13C3"/>
    <w:rsid w:val="4A6C513B"/>
    <w:rsid w:val="4A6F0787"/>
    <w:rsid w:val="4A712751"/>
    <w:rsid w:val="4A722025"/>
    <w:rsid w:val="4A730277"/>
    <w:rsid w:val="4A752D19"/>
    <w:rsid w:val="4A774290"/>
    <w:rsid w:val="4A775D79"/>
    <w:rsid w:val="4A7B576F"/>
    <w:rsid w:val="4A7D42AC"/>
    <w:rsid w:val="4A875AD1"/>
    <w:rsid w:val="4A8A55C1"/>
    <w:rsid w:val="4A8E50B1"/>
    <w:rsid w:val="4A950BD0"/>
    <w:rsid w:val="4AA246B9"/>
    <w:rsid w:val="4AA65524"/>
    <w:rsid w:val="4AA91EEB"/>
    <w:rsid w:val="4AAA5C63"/>
    <w:rsid w:val="4AAF6DD6"/>
    <w:rsid w:val="4AB13EEB"/>
    <w:rsid w:val="4AB14DD1"/>
    <w:rsid w:val="4ACA3C0F"/>
    <w:rsid w:val="4ACD3B01"/>
    <w:rsid w:val="4AD04447"/>
    <w:rsid w:val="4AD14F9E"/>
    <w:rsid w:val="4AD41C76"/>
    <w:rsid w:val="4AD53F40"/>
    <w:rsid w:val="4AD625B4"/>
    <w:rsid w:val="4ADB21DA"/>
    <w:rsid w:val="4ADC5F3B"/>
    <w:rsid w:val="4ADD669E"/>
    <w:rsid w:val="4AE22B52"/>
    <w:rsid w:val="4AE253FD"/>
    <w:rsid w:val="4AEB15BA"/>
    <w:rsid w:val="4AEF3676"/>
    <w:rsid w:val="4AF31F03"/>
    <w:rsid w:val="4AF561A9"/>
    <w:rsid w:val="4AF56EDE"/>
    <w:rsid w:val="4AF64A04"/>
    <w:rsid w:val="4AF84C20"/>
    <w:rsid w:val="4AF869CF"/>
    <w:rsid w:val="4AFA44F5"/>
    <w:rsid w:val="4AFD5D93"/>
    <w:rsid w:val="4B047121"/>
    <w:rsid w:val="4B066CB9"/>
    <w:rsid w:val="4B15132F"/>
    <w:rsid w:val="4B16698D"/>
    <w:rsid w:val="4B1B26BD"/>
    <w:rsid w:val="4B1D6F30"/>
    <w:rsid w:val="4B221C9D"/>
    <w:rsid w:val="4B271062"/>
    <w:rsid w:val="4B294DDA"/>
    <w:rsid w:val="4B313C8F"/>
    <w:rsid w:val="4B315A3D"/>
    <w:rsid w:val="4B3814C1"/>
    <w:rsid w:val="4B3D41DA"/>
    <w:rsid w:val="4B4B2FA2"/>
    <w:rsid w:val="4B4E2A92"/>
    <w:rsid w:val="4B4E65EF"/>
    <w:rsid w:val="4B50680B"/>
    <w:rsid w:val="4B5300A9"/>
    <w:rsid w:val="4B564280"/>
    <w:rsid w:val="4B5A31E5"/>
    <w:rsid w:val="4B5D43C3"/>
    <w:rsid w:val="4B614574"/>
    <w:rsid w:val="4B693428"/>
    <w:rsid w:val="4B6E4EE3"/>
    <w:rsid w:val="4B6E6C91"/>
    <w:rsid w:val="4B6F3EED"/>
    <w:rsid w:val="4B751DCD"/>
    <w:rsid w:val="4B797B0F"/>
    <w:rsid w:val="4B7F0E9E"/>
    <w:rsid w:val="4B8B15F1"/>
    <w:rsid w:val="4B8C5495"/>
    <w:rsid w:val="4B8D7117"/>
    <w:rsid w:val="4B8F7333"/>
    <w:rsid w:val="4B9366F7"/>
    <w:rsid w:val="4B95421D"/>
    <w:rsid w:val="4B9D288E"/>
    <w:rsid w:val="4B9E23D3"/>
    <w:rsid w:val="4BA426B2"/>
    <w:rsid w:val="4BA77715"/>
    <w:rsid w:val="4BAA5FB0"/>
    <w:rsid w:val="4BB26B7D"/>
    <w:rsid w:val="4BB8507F"/>
    <w:rsid w:val="4BBA5F62"/>
    <w:rsid w:val="4BBC5C4E"/>
    <w:rsid w:val="4BC40382"/>
    <w:rsid w:val="4BC459F3"/>
    <w:rsid w:val="4BC863A1"/>
    <w:rsid w:val="4BCD1C09"/>
    <w:rsid w:val="4BD44D46"/>
    <w:rsid w:val="4BDC698D"/>
    <w:rsid w:val="4BE07B8E"/>
    <w:rsid w:val="4BE156B5"/>
    <w:rsid w:val="4BE27206"/>
    <w:rsid w:val="4BE942C4"/>
    <w:rsid w:val="4BE96317"/>
    <w:rsid w:val="4BED4059"/>
    <w:rsid w:val="4BEF7DD1"/>
    <w:rsid w:val="4BF453E8"/>
    <w:rsid w:val="4BF9058A"/>
    <w:rsid w:val="4BFA22D2"/>
    <w:rsid w:val="4BFC604B"/>
    <w:rsid w:val="4C03562B"/>
    <w:rsid w:val="4C0513A3"/>
    <w:rsid w:val="4C053323"/>
    <w:rsid w:val="4C0A4C0B"/>
    <w:rsid w:val="4C101AF6"/>
    <w:rsid w:val="4C125927"/>
    <w:rsid w:val="4C143394"/>
    <w:rsid w:val="4C172E84"/>
    <w:rsid w:val="4C173F71"/>
    <w:rsid w:val="4C1A4723"/>
    <w:rsid w:val="4C1E4213"/>
    <w:rsid w:val="4C20216B"/>
    <w:rsid w:val="4C235CCD"/>
    <w:rsid w:val="4C341C88"/>
    <w:rsid w:val="4C3457E4"/>
    <w:rsid w:val="4C35155C"/>
    <w:rsid w:val="4C3677AE"/>
    <w:rsid w:val="4C371778"/>
    <w:rsid w:val="4C3954F1"/>
    <w:rsid w:val="4C4462FD"/>
    <w:rsid w:val="4C485734"/>
    <w:rsid w:val="4C4A0649"/>
    <w:rsid w:val="4C531391"/>
    <w:rsid w:val="4C540EA7"/>
    <w:rsid w:val="4C547C35"/>
    <w:rsid w:val="4C583BC9"/>
    <w:rsid w:val="4C692BD0"/>
    <w:rsid w:val="4C6E0E52"/>
    <w:rsid w:val="4C72455F"/>
    <w:rsid w:val="4C746446"/>
    <w:rsid w:val="4C76046D"/>
    <w:rsid w:val="4C76110D"/>
    <w:rsid w:val="4C777DB1"/>
    <w:rsid w:val="4C79769B"/>
    <w:rsid w:val="4C7E5ECA"/>
    <w:rsid w:val="4C7E73A7"/>
    <w:rsid w:val="4C80750A"/>
    <w:rsid w:val="4C876AA5"/>
    <w:rsid w:val="4C96179F"/>
    <w:rsid w:val="4C96649F"/>
    <w:rsid w:val="4C9B3AB5"/>
    <w:rsid w:val="4CA62181"/>
    <w:rsid w:val="4CAF57B3"/>
    <w:rsid w:val="4CB371F9"/>
    <w:rsid w:val="4CB535E7"/>
    <w:rsid w:val="4CB60CE0"/>
    <w:rsid w:val="4CB93F3C"/>
    <w:rsid w:val="4CBE1552"/>
    <w:rsid w:val="4CBF09AB"/>
    <w:rsid w:val="4CC22665"/>
    <w:rsid w:val="4CC4300C"/>
    <w:rsid w:val="4CC62CC5"/>
    <w:rsid w:val="4CC748AA"/>
    <w:rsid w:val="4CCF7A95"/>
    <w:rsid w:val="4CDE39A2"/>
    <w:rsid w:val="4CE00297"/>
    <w:rsid w:val="4CE03BBE"/>
    <w:rsid w:val="4CE03D1A"/>
    <w:rsid w:val="4CE30FB8"/>
    <w:rsid w:val="4CE81FAB"/>
    <w:rsid w:val="4CE865CF"/>
    <w:rsid w:val="4CEC2563"/>
    <w:rsid w:val="4CEE0729"/>
    <w:rsid w:val="4CF32FA4"/>
    <w:rsid w:val="4CF3569F"/>
    <w:rsid w:val="4CF431C6"/>
    <w:rsid w:val="4CF50A7A"/>
    <w:rsid w:val="4CF868A7"/>
    <w:rsid w:val="4CFF4044"/>
    <w:rsid w:val="4CFF45A7"/>
    <w:rsid w:val="4D0E00FB"/>
    <w:rsid w:val="4D0E24D9"/>
    <w:rsid w:val="4D0F1DAD"/>
    <w:rsid w:val="4D176606"/>
    <w:rsid w:val="4D185C09"/>
    <w:rsid w:val="4D1A70D0"/>
    <w:rsid w:val="4D1B5200"/>
    <w:rsid w:val="4D1C2677"/>
    <w:rsid w:val="4D215B05"/>
    <w:rsid w:val="4D275349"/>
    <w:rsid w:val="4D297313"/>
    <w:rsid w:val="4D2B308B"/>
    <w:rsid w:val="4D2C295F"/>
    <w:rsid w:val="4D2E66D8"/>
    <w:rsid w:val="4D3005E0"/>
    <w:rsid w:val="4D302826"/>
    <w:rsid w:val="4D333CEE"/>
    <w:rsid w:val="4D3B0DF4"/>
    <w:rsid w:val="4D3E2890"/>
    <w:rsid w:val="4D3F6B37"/>
    <w:rsid w:val="4D44414D"/>
    <w:rsid w:val="4D453A21"/>
    <w:rsid w:val="4D467EC5"/>
    <w:rsid w:val="4D4C4DB0"/>
    <w:rsid w:val="4D4E6D7A"/>
    <w:rsid w:val="4D51292F"/>
    <w:rsid w:val="4D53613E"/>
    <w:rsid w:val="4D553167"/>
    <w:rsid w:val="4D5B3843"/>
    <w:rsid w:val="4D5C1497"/>
    <w:rsid w:val="4D5C3245"/>
    <w:rsid w:val="4D5E530F"/>
    <w:rsid w:val="4D611881"/>
    <w:rsid w:val="4D671BE9"/>
    <w:rsid w:val="4D6974CB"/>
    <w:rsid w:val="4D6E2929"/>
    <w:rsid w:val="4D704F42"/>
    <w:rsid w:val="4D7A191D"/>
    <w:rsid w:val="4D7A7B6F"/>
    <w:rsid w:val="4D7C38E7"/>
    <w:rsid w:val="4D7D576C"/>
    <w:rsid w:val="4D7F0CE1"/>
    <w:rsid w:val="4D7F1423"/>
    <w:rsid w:val="4D7F33D7"/>
    <w:rsid w:val="4D812CAB"/>
    <w:rsid w:val="4D856F64"/>
    <w:rsid w:val="4D8B1D7C"/>
    <w:rsid w:val="4D8B3B2A"/>
    <w:rsid w:val="4D8B55C5"/>
    <w:rsid w:val="4D8E53C8"/>
    <w:rsid w:val="4D8E5D48"/>
    <w:rsid w:val="4D902EEE"/>
    <w:rsid w:val="4D950505"/>
    <w:rsid w:val="4D9A5B1B"/>
    <w:rsid w:val="4D9C1893"/>
    <w:rsid w:val="4D9F6990"/>
    <w:rsid w:val="4DA92202"/>
    <w:rsid w:val="4DAF0A1A"/>
    <w:rsid w:val="4DB50BA7"/>
    <w:rsid w:val="4DB841F3"/>
    <w:rsid w:val="4DBC3CE3"/>
    <w:rsid w:val="4DBE3EFF"/>
    <w:rsid w:val="4DBF53A3"/>
    <w:rsid w:val="4DC40DEA"/>
    <w:rsid w:val="4DC5319C"/>
    <w:rsid w:val="4DC617B7"/>
    <w:rsid w:val="4DC86B2C"/>
    <w:rsid w:val="4DD059E1"/>
    <w:rsid w:val="4DD21759"/>
    <w:rsid w:val="4DD86643"/>
    <w:rsid w:val="4DE84AD8"/>
    <w:rsid w:val="4DEA4CF4"/>
    <w:rsid w:val="4DEC4FB0"/>
    <w:rsid w:val="4DED4BFE"/>
    <w:rsid w:val="4DF416CF"/>
    <w:rsid w:val="4DF53699"/>
    <w:rsid w:val="4DF55447"/>
    <w:rsid w:val="4DF80416"/>
    <w:rsid w:val="4DFA547D"/>
    <w:rsid w:val="4DFE266C"/>
    <w:rsid w:val="4E075D8A"/>
    <w:rsid w:val="4E0D453F"/>
    <w:rsid w:val="4E0E53FA"/>
    <w:rsid w:val="4E0F475B"/>
    <w:rsid w:val="4E124A57"/>
    <w:rsid w:val="4E1407FF"/>
    <w:rsid w:val="4E143B1F"/>
    <w:rsid w:val="4E1458CD"/>
    <w:rsid w:val="4E195B96"/>
    <w:rsid w:val="4E21623C"/>
    <w:rsid w:val="4E2224CF"/>
    <w:rsid w:val="4E2A3343"/>
    <w:rsid w:val="4E2B0E69"/>
    <w:rsid w:val="4E30647F"/>
    <w:rsid w:val="4E33668C"/>
    <w:rsid w:val="4E345418"/>
    <w:rsid w:val="4E347D1E"/>
    <w:rsid w:val="4E355844"/>
    <w:rsid w:val="4E3A10AC"/>
    <w:rsid w:val="4E3E6DEE"/>
    <w:rsid w:val="4E3F66C2"/>
    <w:rsid w:val="4E4116FB"/>
    <w:rsid w:val="4E42534C"/>
    <w:rsid w:val="4E487C6D"/>
    <w:rsid w:val="4E4D7031"/>
    <w:rsid w:val="4E544FA0"/>
    <w:rsid w:val="4E5C7274"/>
    <w:rsid w:val="4E606D65"/>
    <w:rsid w:val="4E754AC8"/>
    <w:rsid w:val="4E7740AE"/>
    <w:rsid w:val="4E791BD4"/>
    <w:rsid w:val="4E7B1C7A"/>
    <w:rsid w:val="4E807407"/>
    <w:rsid w:val="4E816CDB"/>
    <w:rsid w:val="4E834801"/>
    <w:rsid w:val="4E8642F1"/>
    <w:rsid w:val="4E86609F"/>
    <w:rsid w:val="4E8D38D2"/>
    <w:rsid w:val="4E8E7D02"/>
    <w:rsid w:val="4E8F13F8"/>
    <w:rsid w:val="4E96471C"/>
    <w:rsid w:val="4E9B7D9D"/>
    <w:rsid w:val="4E9C3B15"/>
    <w:rsid w:val="4E9E788D"/>
    <w:rsid w:val="4EA824BA"/>
    <w:rsid w:val="4EA935CC"/>
    <w:rsid w:val="4EAA3328"/>
    <w:rsid w:val="4EB40E5E"/>
    <w:rsid w:val="4EC00FAD"/>
    <w:rsid w:val="4EC015B1"/>
    <w:rsid w:val="4EC45545"/>
    <w:rsid w:val="4EC70B92"/>
    <w:rsid w:val="4EC87CD3"/>
    <w:rsid w:val="4EC92B5C"/>
    <w:rsid w:val="4ED30DF7"/>
    <w:rsid w:val="4ED30F92"/>
    <w:rsid w:val="4ED67027"/>
    <w:rsid w:val="4EDE412D"/>
    <w:rsid w:val="4EDF1CF2"/>
    <w:rsid w:val="4EE51018"/>
    <w:rsid w:val="4EE554BC"/>
    <w:rsid w:val="4EEC23A6"/>
    <w:rsid w:val="4EF86F9D"/>
    <w:rsid w:val="4EFE032C"/>
    <w:rsid w:val="4F021BCA"/>
    <w:rsid w:val="4F035942"/>
    <w:rsid w:val="4F043E26"/>
    <w:rsid w:val="4F0E67C1"/>
    <w:rsid w:val="4F0F3256"/>
    <w:rsid w:val="4F11005F"/>
    <w:rsid w:val="4F1162B1"/>
    <w:rsid w:val="4F161B19"/>
    <w:rsid w:val="4F1813ED"/>
    <w:rsid w:val="4F1D6A04"/>
    <w:rsid w:val="4F253B0A"/>
    <w:rsid w:val="4F271630"/>
    <w:rsid w:val="4F2C6C47"/>
    <w:rsid w:val="4F2E6E63"/>
    <w:rsid w:val="4F3501F1"/>
    <w:rsid w:val="4F361873"/>
    <w:rsid w:val="4F3B1644"/>
    <w:rsid w:val="4F3D70A6"/>
    <w:rsid w:val="4F452D8C"/>
    <w:rsid w:val="4F5166AD"/>
    <w:rsid w:val="4F5543EF"/>
    <w:rsid w:val="4F5923C6"/>
    <w:rsid w:val="4F6208BA"/>
    <w:rsid w:val="4F652159"/>
    <w:rsid w:val="4F653E8A"/>
    <w:rsid w:val="4F6E3703"/>
    <w:rsid w:val="4F6F4D85"/>
    <w:rsid w:val="4F7F480E"/>
    <w:rsid w:val="4F824AB9"/>
    <w:rsid w:val="4F860A4D"/>
    <w:rsid w:val="4F870321"/>
    <w:rsid w:val="4F872991"/>
    <w:rsid w:val="4F895E47"/>
    <w:rsid w:val="4F8E1B37"/>
    <w:rsid w:val="4F8E7901"/>
    <w:rsid w:val="4F9843DC"/>
    <w:rsid w:val="4F9A62A6"/>
    <w:rsid w:val="4FA03191"/>
    <w:rsid w:val="4FA72771"/>
    <w:rsid w:val="4FA7451F"/>
    <w:rsid w:val="4FAB04B3"/>
    <w:rsid w:val="4FAB400F"/>
    <w:rsid w:val="4FB235F0"/>
    <w:rsid w:val="4FB54E8E"/>
    <w:rsid w:val="4FB8672C"/>
    <w:rsid w:val="4FB96CA6"/>
    <w:rsid w:val="4FBE7F00"/>
    <w:rsid w:val="4FC41575"/>
    <w:rsid w:val="4FC62A8C"/>
    <w:rsid w:val="4FC67853"/>
    <w:rsid w:val="4FC74BC1"/>
    <w:rsid w:val="4FC85C2C"/>
    <w:rsid w:val="4FC92795"/>
    <w:rsid w:val="4FC96B8B"/>
    <w:rsid w:val="4FD01CC8"/>
    <w:rsid w:val="4FD5101B"/>
    <w:rsid w:val="4FD60B6D"/>
    <w:rsid w:val="4FD72232"/>
    <w:rsid w:val="4FD74E04"/>
    <w:rsid w:val="4FD80B7D"/>
    <w:rsid w:val="4FDB1E13"/>
    <w:rsid w:val="4FDC241B"/>
    <w:rsid w:val="4FDD66D9"/>
    <w:rsid w:val="4FE20F0D"/>
    <w:rsid w:val="4FE51552"/>
    <w:rsid w:val="4FE65048"/>
    <w:rsid w:val="4FE87012"/>
    <w:rsid w:val="4FED287A"/>
    <w:rsid w:val="4FED685A"/>
    <w:rsid w:val="4FF2388C"/>
    <w:rsid w:val="4FF359B6"/>
    <w:rsid w:val="4FF736F9"/>
    <w:rsid w:val="4FFA4FBE"/>
    <w:rsid w:val="4FFC3F8D"/>
    <w:rsid w:val="50011E81"/>
    <w:rsid w:val="50065FB1"/>
    <w:rsid w:val="500A342C"/>
    <w:rsid w:val="500B2D00"/>
    <w:rsid w:val="500C2660"/>
    <w:rsid w:val="500E459E"/>
    <w:rsid w:val="501242FA"/>
    <w:rsid w:val="5015545B"/>
    <w:rsid w:val="50205E11"/>
    <w:rsid w:val="502142D2"/>
    <w:rsid w:val="50216A82"/>
    <w:rsid w:val="50235132"/>
    <w:rsid w:val="50281B04"/>
    <w:rsid w:val="502B271D"/>
    <w:rsid w:val="50354221"/>
    <w:rsid w:val="5038249C"/>
    <w:rsid w:val="503F1DC4"/>
    <w:rsid w:val="504306EC"/>
    <w:rsid w:val="50461F8A"/>
    <w:rsid w:val="50487AB0"/>
    <w:rsid w:val="50493828"/>
    <w:rsid w:val="50504C4B"/>
    <w:rsid w:val="505446A7"/>
    <w:rsid w:val="50544866"/>
    <w:rsid w:val="50586D12"/>
    <w:rsid w:val="50591CBD"/>
    <w:rsid w:val="5059380E"/>
    <w:rsid w:val="505E5526"/>
    <w:rsid w:val="50610B72"/>
    <w:rsid w:val="50642410"/>
    <w:rsid w:val="50680152"/>
    <w:rsid w:val="506A49DA"/>
    <w:rsid w:val="50707007"/>
    <w:rsid w:val="507428EA"/>
    <w:rsid w:val="5076286F"/>
    <w:rsid w:val="507F724A"/>
    <w:rsid w:val="50860E7B"/>
    <w:rsid w:val="508825A3"/>
    <w:rsid w:val="508E5890"/>
    <w:rsid w:val="50926F7D"/>
    <w:rsid w:val="509471A3"/>
    <w:rsid w:val="5099655E"/>
    <w:rsid w:val="509C6E7C"/>
    <w:rsid w:val="509E597B"/>
    <w:rsid w:val="50A06051"/>
    <w:rsid w:val="50A22815"/>
    <w:rsid w:val="50A45C5C"/>
    <w:rsid w:val="50A76ECD"/>
    <w:rsid w:val="50AB7556"/>
    <w:rsid w:val="50AD2009"/>
    <w:rsid w:val="50AD72A1"/>
    <w:rsid w:val="50B11AF9"/>
    <w:rsid w:val="50B25872"/>
    <w:rsid w:val="50B4790D"/>
    <w:rsid w:val="50B63C02"/>
    <w:rsid w:val="50B6780E"/>
    <w:rsid w:val="50B82E88"/>
    <w:rsid w:val="50B96C00"/>
    <w:rsid w:val="50BB64D4"/>
    <w:rsid w:val="50CD4459"/>
    <w:rsid w:val="50CF3D2E"/>
    <w:rsid w:val="50D21A70"/>
    <w:rsid w:val="50D37CC2"/>
    <w:rsid w:val="50D457E8"/>
    <w:rsid w:val="50D471E0"/>
    <w:rsid w:val="50E40B50"/>
    <w:rsid w:val="50E97F21"/>
    <w:rsid w:val="50F1639A"/>
    <w:rsid w:val="50F63C66"/>
    <w:rsid w:val="50F6575E"/>
    <w:rsid w:val="50F814D6"/>
    <w:rsid w:val="50FE2865"/>
    <w:rsid w:val="51071719"/>
    <w:rsid w:val="510B4EAE"/>
    <w:rsid w:val="510E7EA0"/>
    <w:rsid w:val="51145BE4"/>
    <w:rsid w:val="51146DB6"/>
    <w:rsid w:val="51167BAE"/>
    <w:rsid w:val="512027DB"/>
    <w:rsid w:val="51204302"/>
    <w:rsid w:val="51217D57"/>
    <w:rsid w:val="51245448"/>
    <w:rsid w:val="51257DF2"/>
    <w:rsid w:val="51271DBC"/>
    <w:rsid w:val="512F2A1E"/>
    <w:rsid w:val="512F6EC2"/>
    <w:rsid w:val="51316796"/>
    <w:rsid w:val="51321F21"/>
    <w:rsid w:val="51327A4B"/>
    <w:rsid w:val="5133250E"/>
    <w:rsid w:val="51353F02"/>
    <w:rsid w:val="5139564B"/>
    <w:rsid w:val="513B58E5"/>
    <w:rsid w:val="5144471C"/>
    <w:rsid w:val="51452242"/>
    <w:rsid w:val="514E10F6"/>
    <w:rsid w:val="51595081"/>
    <w:rsid w:val="5162104E"/>
    <w:rsid w:val="51664FAA"/>
    <w:rsid w:val="5167040A"/>
    <w:rsid w:val="51680867"/>
    <w:rsid w:val="51695F30"/>
    <w:rsid w:val="51706EC7"/>
    <w:rsid w:val="51711289"/>
    <w:rsid w:val="51770C52"/>
    <w:rsid w:val="517B3F0E"/>
    <w:rsid w:val="517B492F"/>
    <w:rsid w:val="517D5E7F"/>
    <w:rsid w:val="51825E73"/>
    <w:rsid w:val="51841612"/>
    <w:rsid w:val="518A3399"/>
    <w:rsid w:val="518A40F8"/>
    <w:rsid w:val="518B1563"/>
    <w:rsid w:val="518B234A"/>
    <w:rsid w:val="518F07D2"/>
    <w:rsid w:val="519544C5"/>
    <w:rsid w:val="51954F77"/>
    <w:rsid w:val="519A07DF"/>
    <w:rsid w:val="519A258E"/>
    <w:rsid w:val="519B130F"/>
    <w:rsid w:val="519C4558"/>
    <w:rsid w:val="519D3E2C"/>
    <w:rsid w:val="51A651DA"/>
    <w:rsid w:val="51A72EFC"/>
    <w:rsid w:val="51AD63D9"/>
    <w:rsid w:val="51AD665B"/>
    <w:rsid w:val="51AD6837"/>
    <w:rsid w:val="51AE6039"/>
    <w:rsid w:val="51B750E9"/>
    <w:rsid w:val="51BA2C30"/>
    <w:rsid w:val="51BE0D23"/>
    <w:rsid w:val="51C03390"/>
    <w:rsid w:val="51C27D36"/>
    <w:rsid w:val="51C448E2"/>
    <w:rsid w:val="51D32C9A"/>
    <w:rsid w:val="51D535C6"/>
    <w:rsid w:val="51D72D57"/>
    <w:rsid w:val="51DA3866"/>
    <w:rsid w:val="51DB6702"/>
    <w:rsid w:val="51E24A36"/>
    <w:rsid w:val="51F41ED2"/>
    <w:rsid w:val="51F6353C"/>
    <w:rsid w:val="51F83758"/>
    <w:rsid w:val="51F837BE"/>
    <w:rsid w:val="51F85506"/>
    <w:rsid w:val="51FB3C2A"/>
    <w:rsid w:val="51FC0A11"/>
    <w:rsid w:val="52036385"/>
    <w:rsid w:val="520619D1"/>
    <w:rsid w:val="52075749"/>
    <w:rsid w:val="52090C5A"/>
    <w:rsid w:val="520B348B"/>
    <w:rsid w:val="520E4D2A"/>
    <w:rsid w:val="52100AA2"/>
    <w:rsid w:val="52120376"/>
    <w:rsid w:val="521265C8"/>
    <w:rsid w:val="52173BDE"/>
    <w:rsid w:val="5217640F"/>
    <w:rsid w:val="52240852"/>
    <w:rsid w:val="52287B99"/>
    <w:rsid w:val="523522B6"/>
    <w:rsid w:val="52383B54"/>
    <w:rsid w:val="523E73BD"/>
    <w:rsid w:val="52466271"/>
    <w:rsid w:val="52497B10"/>
    <w:rsid w:val="524D1B5D"/>
    <w:rsid w:val="52522E68"/>
    <w:rsid w:val="52546BE0"/>
    <w:rsid w:val="52641995"/>
    <w:rsid w:val="5269604D"/>
    <w:rsid w:val="526B2619"/>
    <w:rsid w:val="526C43DD"/>
    <w:rsid w:val="526F21C3"/>
    <w:rsid w:val="5274269E"/>
    <w:rsid w:val="52756B57"/>
    <w:rsid w:val="52790F72"/>
    <w:rsid w:val="527E5A0B"/>
    <w:rsid w:val="528172AA"/>
    <w:rsid w:val="52833022"/>
    <w:rsid w:val="528818DA"/>
    <w:rsid w:val="528A2602"/>
    <w:rsid w:val="528F5E6A"/>
    <w:rsid w:val="52903990"/>
    <w:rsid w:val="52952D55"/>
    <w:rsid w:val="52990CB8"/>
    <w:rsid w:val="52993C6A"/>
    <w:rsid w:val="529C2335"/>
    <w:rsid w:val="529E42FF"/>
    <w:rsid w:val="52A46CC0"/>
    <w:rsid w:val="52A511EA"/>
    <w:rsid w:val="52A5743C"/>
    <w:rsid w:val="52A847D6"/>
    <w:rsid w:val="52AC6214"/>
    <w:rsid w:val="52C5188C"/>
    <w:rsid w:val="52C5363A"/>
    <w:rsid w:val="52D41ACF"/>
    <w:rsid w:val="52D56CA7"/>
    <w:rsid w:val="52D62801"/>
    <w:rsid w:val="52D65847"/>
    <w:rsid w:val="52DB4C79"/>
    <w:rsid w:val="52DC6BD6"/>
    <w:rsid w:val="52E2243E"/>
    <w:rsid w:val="52E33AC0"/>
    <w:rsid w:val="52EE71D7"/>
    <w:rsid w:val="52F1442F"/>
    <w:rsid w:val="52F43F1F"/>
    <w:rsid w:val="52F60580"/>
    <w:rsid w:val="52F61A46"/>
    <w:rsid w:val="530028C4"/>
    <w:rsid w:val="53004672"/>
    <w:rsid w:val="530D4DBF"/>
    <w:rsid w:val="530D6C45"/>
    <w:rsid w:val="53146370"/>
    <w:rsid w:val="5325232B"/>
    <w:rsid w:val="53283BC9"/>
    <w:rsid w:val="533267F6"/>
    <w:rsid w:val="53343D33"/>
    <w:rsid w:val="53373E0C"/>
    <w:rsid w:val="5340782F"/>
    <w:rsid w:val="53413F1D"/>
    <w:rsid w:val="534529CD"/>
    <w:rsid w:val="5347445F"/>
    <w:rsid w:val="534C78B7"/>
    <w:rsid w:val="53552AE0"/>
    <w:rsid w:val="53566988"/>
    <w:rsid w:val="536144A1"/>
    <w:rsid w:val="536966BB"/>
    <w:rsid w:val="536A5849"/>
    <w:rsid w:val="53702565"/>
    <w:rsid w:val="53733096"/>
    <w:rsid w:val="5373753A"/>
    <w:rsid w:val="53784B50"/>
    <w:rsid w:val="537961D3"/>
    <w:rsid w:val="537A08C9"/>
    <w:rsid w:val="537A2677"/>
    <w:rsid w:val="537B019D"/>
    <w:rsid w:val="53836F38"/>
    <w:rsid w:val="53852DC9"/>
    <w:rsid w:val="538B4884"/>
    <w:rsid w:val="538E7ED0"/>
    <w:rsid w:val="539354E6"/>
    <w:rsid w:val="5394300C"/>
    <w:rsid w:val="53966D85"/>
    <w:rsid w:val="53976EC1"/>
    <w:rsid w:val="539B439B"/>
    <w:rsid w:val="53A039CC"/>
    <w:rsid w:val="53A05E55"/>
    <w:rsid w:val="53A1505A"/>
    <w:rsid w:val="53A21BCD"/>
    <w:rsid w:val="53A319A0"/>
    <w:rsid w:val="53A5171C"/>
    <w:rsid w:val="53A616BE"/>
    <w:rsid w:val="53AC65A8"/>
    <w:rsid w:val="53AE2320"/>
    <w:rsid w:val="53B855EF"/>
    <w:rsid w:val="53BA6F17"/>
    <w:rsid w:val="53BC2C8F"/>
    <w:rsid w:val="53BC7A42"/>
    <w:rsid w:val="53BD2563"/>
    <w:rsid w:val="53BF0089"/>
    <w:rsid w:val="53C03E02"/>
    <w:rsid w:val="53C438F2"/>
    <w:rsid w:val="53D1063E"/>
    <w:rsid w:val="53D17DBD"/>
    <w:rsid w:val="53D214EE"/>
    <w:rsid w:val="53D27BA4"/>
    <w:rsid w:val="53D55EFB"/>
    <w:rsid w:val="53DC5D66"/>
    <w:rsid w:val="53DD2C05"/>
    <w:rsid w:val="53E61ABA"/>
    <w:rsid w:val="53EB5322"/>
    <w:rsid w:val="53EE4E13"/>
    <w:rsid w:val="53F32429"/>
    <w:rsid w:val="53FF2B7C"/>
    <w:rsid w:val="540264B2"/>
    <w:rsid w:val="54041F40"/>
    <w:rsid w:val="54047EF9"/>
    <w:rsid w:val="54063E08"/>
    <w:rsid w:val="5415239F"/>
    <w:rsid w:val="541969E6"/>
    <w:rsid w:val="541B40ED"/>
    <w:rsid w:val="541D7259"/>
    <w:rsid w:val="54204E31"/>
    <w:rsid w:val="542A0962"/>
    <w:rsid w:val="542E16B3"/>
    <w:rsid w:val="54300F87"/>
    <w:rsid w:val="543437E8"/>
    <w:rsid w:val="54343E78"/>
    <w:rsid w:val="543550AF"/>
    <w:rsid w:val="54370568"/>
    <w:rsid w:val="543C5B7E"/>
    <w:rsid w:val="544F3B03"/>
    <w:rsid w:val="54507740"/>
    <w:rsid w:val="5455279C"/>
    <w:rsid w:val="545A6004"/>
    <w:rsid w:val="545A6B19"/>
    <w:rsid w:val="545E3D46"/>
    <w:rsid w:val="54604B65"/>
    <w:rsid w:val="546864B2"/>
    <w:rsid w:val="546A7BE0"/>
    <w:rsid w:val="546E1AAF"/>
    <w:rsid w:val="546E3421"/>
    <w:rsid w:val="547075D6"/>
    <w:rsid w:val="5472334E"/>
    <w:rsid w:val="54745318"/>
    <w:rsid w:val="547E7F44"/>
    <w:rsid w:val="5483752F"/>
    <w:rsid w:val="54881E90"/>
    <w:rsid w:val="54890697"/>
    <w:rsid w:val="548A4B3B"/>
    <w:rsid w:val="548B2661"/>
    <w:rsid w:val="548E001E"/>
    <w:rsid w:val="5492579E"/>
    <w:rsid w:val="54974764"/>
    <w:rsid w:val="54996B2C"/>
    <w:rsid w:val="549C443C"/>
    <w:rsid w:val="549F5590"/>
    <w:rsid w:val="54A31759"/>
    <w:rsid w:val="54A43723"/>
    <w:rsid w:val="54AE0CFA"/>
    <w:rsid w:val="54B24F6A"/>
    <w:rsid w:val="54B45C5F"/>
    <w:rsid w:val="54BD4169"/>
    <w:rsid w:val="54BF6AA5"/>
    <w:rsid w:val="54C16083"/>
    <w:rsid w:val="54C17A4C"/>
    <w:rsid w:val="54C570A2"/>
    <w:rsid w:val="54CD4A28"/>
    <w:rsid w:val="54D77E12"/>
    <w:rsid w:val="54D9517B"/>
    <w:rsid w:val="54DD72C0"/>
    <w:rsid w:val="54DE28F8"/>
    <w:rsid w:val="54DE2B60"/>
    <w:rsid w:val="54E57FC4"/>
    <w:rsid w:val="54E87AB4"/>
    <w:rsid w:val="54EA382C"/>
    <w:rsid w:val="54EC7BD0"/>
    <w:rsid w:val="54F16618"/>
    <w:rsid w:val="54F226E1"/>
    <w:rsid w:val="54F63F7F"/>
    <w:rsid w:val="54F73313"/>
    <w:rsid w:val="54F80955"/>
    <w:rsid w:val="54FC70BB"/>
    <w:rsid w:val="54FD118D"/>
    <w:rsid w:val="55016AE0"/>
    <w:rsid w:val="550F5041"/>
    <w:rsid w:val="550F6DEF"/>
    <w:rsid w:val="551B5793"/>
    <w:rsid w:val="551E34D6"/>
    <w:rsid w:val="55212D89"/>
    <w:rsid w:val="55284354"/>
    <w:rsid w:val="552A59D6"/>
    <w:rsid w:val="55322ADD"/>
    <w:rsid w:val="55376345"/>
    <w:rsid w:val="553E5926"/>
    <w:rsid w:val="55417CFF"/>
    <w:rsid w:val="554231B4"/>
    <w:rsid w:val="55436A98"/>
    <w:rsid w:val="554967A4"/>
    <w:rsid w:val="554D7917"/>
    <w:rsid w:val="554F368F"/>
    <w:rsid w:val="555170A7"/>
    <w:rsid w:val="5559513A"/>
    <w:rsid w:val="555D3598"/>
    <w:rsid w:val="555D5DAC"/>
    <w:rsid w:val="55621614"/>
    <w:rsid w:val="556A671B"/>
    <w:rsid w:val="556E620B"/>
    <w:rsid w:val="556E7FB9"/>
    <w:rsid w:val="556F1F83"/>
    <w:rsid w:val="557032D3"/>
    <w:rsid w:val="55711857"/>
    <w:rsid w:val="55782BE6"/>
    <w:rsid w:val="557956AB"/>
    <w:rsid w:val="5579695E"/>
    <w:rsid w:val="55805F3E"/>
    <w:rsid w:val="558110E9"/>
    <w:rsid w:val="5587536D"/>
    <w:rsid w:val="558A46C7"/>
    <w:rsid w:val="558E0FC6"/>
    <w:rsid w:val="558F169F"/>
    <w:rsid w:val="559612BE"/>
    <w:rsid w:val="55994B8B"/>
    <w:rsid w:val="559B174B"/>
    <w:rsid w:val="559D264C"/>
    <w:rsid w:val="55A34937"/>
    <w:rsid w:val="55A82D9F"/>
    <w:rsid w:val="55AB1B25"/>
    <w:rsid w:val="55AC0AE1"/>
    <w:rsid w:val="55AC65BD"/>
    <w:rsid w:val="55B61F0E"/>
    <w:rsid w:val="55BD684B"/>
    <w:rsid w:val="55C37BD9"/>
    <w:rsid w:val="55C53951"/>
    <w:rsid w:val="55C70617"/>
    <w:rsid w:val="55C71477"/>
    <w:rsid w:val="55C93441"/>
    <w:rsid w:val="55CE0CF4"/>
    <w:rsid w:val="55D3606E"/>
    <w:rsid w:val="55DB4F23"/>
    <w:rsid w:val="55DC01B2"/>
    <w:rsid w:val="55DF4ABF"/>
    <w:rsid w:val="55E03DE1"/>
    <w:rsid w:val="55E21386"/>
    <w:rsid w:val="55E25945"/>
    <w:rsid w:val="55E464CD"/>
    <w:rsid w:val="55E674D5"/>
    <w:rsid w:val="55E756C6"/>
    <w:rsid w:val="55E93AE3"/>
    <w:rsid w:val="55E97640"/>
    <w:rsid w:val="55EC5382"/>
    <w:rsid w:val="55EE0030"/>
    <w:rsid w:val="55EE10FA"/>
    <w:rsid w:val="55EE1EA2"/>
    <w:rsid w:val="55EE4C56"/>
    <w:rsid w:val="55F41661"/>
    <w:rsid w:val="55FB7373"/>
    <w:rsid w:val="55FC0968"/>
    <w:rsid w:val="55FC3817"/>
    <w:rsid w:val="56066443"/>
    <w:rsid w:val="56074D28"/>
    <w:rsid w:val="560A5808"/>
    <w:rsid w:val="560C77D2"/>
    <w:rsid w:val="56151937"/>
    <w:rsid w:val="56181029"/>
    <w:rsid w:val="561B17C3"/>
    <w:rsid w:val="561B7A15"/>
    <w:rsid w:val="56262642"/>
    <w:rsid w:val="5627006F"/>
    <w:rsid w:val="562B64D0"/>
    <w:rsid w:val="562E14F6"/>
    <w:rsid w:val="563034C0"/>
    <w:rsid w:val="56351561"/>
    <w:rsid w:val="5637484F"/>
    <w:rsid w:val="56382375"/>
    <w:rsid w:val="563A7E9B"/>
    <w:rsid w:val="56424FA2"/>
    <w:rsid w:val="564F154D"/>
    <w:rsid w:val="56503B63"/>
    <w:rsid w:val="565249FA"/>
    <w:rsid w:val="565730C7"/>
    <w:rsid w:val="565D002E"/>
    <w:rsid w:val="56694C24"/>
    <w:rsid w:val="566C14C0"/>
    <w:rsid w:val="566E5D97"/>
    <w:rsid w:val="56705FB3"/>
    <w:rsid w:val="567169DC"/>
    <w:rsid w:val="56717635"/>
    <w:rsid w:val="56723AD9"/>
    <w:rsid w:val="567710EF"/>
    <w:rsid w:val="56784994"/>
    <w:rsid w:val="567C04B4"/>
    <w:rsid w:val="567C4958"/>
    <w:rsid w:val="567D0466"/>
    <w:rsid w:val="567D422C"/>
    <w:rsid w:val="56863784"/>
    <w:rsid w:val="56867584"/>
    <w:rsid w:val="568B4B9B"/>
    <w:rsid w:val="56925F04"/>
    <w:rsid w:val="5695007A"/>
    <w:rsid w:val="569577C7"/>
    <w:rsid w:val="56960BFE"/>
    <w:rsid w:val="56992E7A"/>
    <w:rsid w:val="569A6B8C"/>
    <w:rsid w:val="569C0B56"/>
    <w:rsid w:val="569C6DA8"/>
    <w:rsid w:val="56A03FE7"/>
    <w:rsid w:val="56A1616C"/>
    <w:rsid w:val="56A36AFD"/>
    <w:rsid w:val="56A417B8"/>
    <w:rsid w:val="56A81110"/>
    <w:rsid w:val="56A812A9"/>
    <w:rsid w:val="56A9637A"/>
    <w:rsid w:val="56AB107E"/>
    <w:rsid w:val="56AE4E82"/>
    <w:rsid w:val="56AF6ADB"/>
    <w:rsid w:val="56B063AF"/>
    <w:rsid w:val="56B22A9C"/>
    <w:rsid w:val="56B440F1"/>
    <w:rsid w:val="56B714EC"/>
    <w:rsid w:val="56B85264"/>
    <w:rsid w:val="56B934B6"/>
    <w:rsid w:val="56BD065F"/>
    <w:rsid w:val="56BE4828"/>
    <w:rsid w:val="56C02A96"/>
    <w:rsid w:val="56C67981"/>
    <w:rsid w:val="56C8194B"/>
    <w:rsid w:val="56CD6F61"/>
    <w:rsid w:val="56CD777C"/>
    <w:rsid w:val="56CE2C5E"/>
    <w:rsid w:val="56D51924"/>
    <w:rsid w:val="56D54068"/>
    <w:rsid w:val="56D71B8E"/>
    <w:rsid w:val="56D77DE0"/>
    <w:rsid w:val="56E27F2F"/>
    <w:rsid w:val="56E66275"/>
    <w:rsid w:val="56EB73E7"/>
    <w:rsid w:val="56ED32E3"/>
    <w:rsid w:val="56F664B8"/>
    <w:rsid w:val="56F91B04"/>
    <w:rsid w:val="57014E5D"/>
    <w:rsid w:val="570259B0"/>
    <w:rsid w:val="57034731"/>
    <w:rsid w:val="570F5769"/>
    <w:rsid w:val="571132F2"/>
    <w:rsid w:val="5712706A"/>
    <w:rsid w:val="57163314"/>
    <w:rsid w:val="57184324"/>
    <w:rsid w:val="57193F55"/>
    <w:rsid w:val="571E2689"/>
    <w:rsid w:val="571F7091"/>
    <w:rsid w:val="57201787"/>
    <w:rsid w:val="57250B4B"/>
    <w:rsid w:val="5726041F"/>
    <w:rsid w:val="572A2264"/>
    <w:rsid w:val="572B3C88"/>
    <w:rsid w:val="57323268"/>
    <w:rsid w:val="57362D58"/>
    <w:rsid w:val="573963A5"/>
    <w:rsid w:val="5739681C"/>
    <w:rsid w:val="573C3A1D"/>
    <w:rsid w:val="573E1C0D"/>
    <w:rsid w:val="574511ED"/>
    <w:rsid w:val="57454D4A"/>
    <w:rsid w:val="57474312"/>
    <w:rsid w:val="574D00A2"/>
    <w:rsid w:val="574E60B7"/>
    <w:rsid w:val="574F3E1A"/>
    <w:rsid w:val="575907F5"/>
    <w:rsid w:val="575925A3"/>
    <w:rsid w:val="575B456D"/>
    <w:rsid w:val="5765719A"/>
    <w:rsid w:val="57683042"/>
    <w:rsid w:val="576A2F6D"/>
    <w:rsid w:val="57711FE2"/>
    <w:rsid w:val="57725A42"/>
    <w:rsid w:val="5778034C"/>
    <w:rsid w:val="57805D82"/>
    <w:rsid w:val="57863747"/>
    <w:rsid w:val="57875362"/>
    <w:rsid w:val="578D40B5"/>
    <w:rsid w:val="578F2469"/>
    <w:rsid w:val="57931F59"/>
    <w:rsid w:val="57996E43"/>
    <w:rsid w:val="579D547E"/>
    <w:rsid w:val="57B40121"/>
    <w:rsid w:val="57B43DFF"/>
    <w:rsid w:val="57B72A76"/>
    <w:rsid w:val="57B95737"/>
    <w:rsid w:val="57BD2888"/>
    <w:rsid w:val="57BD6FD6"/>
    <w:rsid w:val="57C2283E"/>
    <w:rsid w:val="57C32112"/>
    <w:rsid w:val="57C3426C"/>
    <w:rsid w:val="57C739B1"/>
    <w:rsid w:val="57CC546B"/>
    <w:rsid w:val="57CE1F93"/>
    <w:rsid w:val="57CE4058"/>
    <w:rsid w:val="57D763BD"/>
    <w:rsid w:val="57D85BBE"/>
    <w:rsid w:val="57DD4F82"/>
    <w:rsid w:val="57E042E7"/>
    <w:rsid w:val="57E502DB"/>
    <w:rsid w:val="57EA3B43"/>
    <w:rsid w:val="57ED2457"/>
    <w:rsid w:val="57EF1159"/>
    <w:rsid w:val="57F059A3"/>
    <w:rsid w:val="57FE314A"/>
    <w:rsid w:val="580126AC"/>
    <w:rsid w:val="58047368"/>
    <w:rsid w:val="58066DD0"/>
    <w:rsid w:val="580751CE"/>
    <w:rsid w:val="581D5CC6"/>
    <w:rsid w:val="58242BB1"/>
    <w:rsid w:val="58317531"/>
    <w:rsid w:val="58331046"/>
    <w:rsid w:val="58346B6C"/>
    <w:rsid w:val="58365DDC"/>
    <w:rsid w:val="583A23D4"/>
    <w:rsid w:val="584065FF"/>
    <w:rsid w:val="584A63D7"/>
    <w:rsid w:val="584B45E2"/>
    <w:rsid w:val="584E40D2"/>
    <w:rsid w:val="58501BF8"/>
    <w:rsid w:val="5853236B"/>
    <w:rsid w:val="5855720E"/>
    <w:rsid w:val="58656F62"/>
    <w:rsid w:val="586E4F44"/>
    <w:rsid w:val="586E6522"/>
    <w:rsid w:val="587358E6"/>
    <w:rsid w:val="587622F2"/>
    <w:rsid w:val="588673C8"/>
    <w:rsid w:val="588743D1"/>
    <w:rsid w:val="5887701A"/>
    <w:rsid w:val="588875E4"/>
    <w:rsid w:val="589046EA"/>
    <w:rsid w:val="58913FBE"/>
    <w:rsid w:val="58931AE5"/>
    <w:rsid w:val="58951193"/>
    <w:rsid w:val="589917F1"/>
    <w:rsid w:val="589C4E3D"/>
    <w:rsid w:val="58A65CBC"/>
    <w:rsid w:val="58A75590"/>
    <w:rsid w:val="58A957AC"/>
    <w:rsid w:val="58AD2046"/>
    <w:rsid w:val="58B02697"/>
    <w:rsid w:val="58B73A25"/>
    <w:rsid w:val="58B7693E"/>
    <w:rsid w:val="58C85C32"/>
    <w:rsid w:val="58D00F8B"/>
    <w:rsid w:val="58D42829"/>
    <w:rsid w:val="58D97C1B"/>
    <w:rsid w:val="58DC76E0"/>
    <w:rsid w:val="58DD0FB2"/>
    <w:rsid w:val="58DE3B27"/>
    <w:rsid w:val="58E81E30"/>
    <w:rsid w:val="58EA1DFA"/>
    <w:rsid w:val="58EA5152"/>
    <w:rsid w:val="58EB1921"/>
    <w:rsid w:val="58EF357D"/>
    <w:rsid w:val="58EF6186"/>
    <w:rsid w:val="58EF7663"/>
    <w:rsid w:val="58F16A65"/>
    <w:rsid w:val="58F20F01"/>
    <w:rsid w:val="58F5279F"/>
    <w:rsid w:val="58F83695"/>
    <w:rsid w:val="58FC22D1"/>
    <w:rsid w:val="59080725"/>
    <w:rsid w:val="590824D3"/>
    <w:rsid w:val="590D1E3A"/>
    <w:rsid w:val="591B0458"/>
    <w:rsid w:val="591C5F7E"/>
    <w:rsid w:val="591E4E03"/>
    <w:rsid w:val="59232E69"/>
    <w:rsid w:val="59254E33"/>
    <w:rsid w:val="59376914"/>
    <w:rsid w:val="593E7CA2"/>
    <w:rsid w:val="594B23BF"/>
    <w:rsid w:val="59516B12"/>
    <w:rsid w:val="59570D64"/>
    <w:rsid w:val="59590F80"/>
    <w:rsid w:val="595B0854"/>
    <w:rsid w:val="596D4A2C"/>
    <w:rsid w:val="596F2552"/>
    <w:rsid w:val="596F471E"/>
    <w:rsid w:val="59730C5B"/>
    <w:rsid w:val="59745DBA"/>
    <w:rsid w:val="59787300"/>
    <w:rsid w:val="597B0EF6"/>
    <w:rsid w:val="597C07CB"/>
    <w:rsid w:val="597C48D7"/>
    <w:rsid w:val="597D27A7"/>
    <w:rsid w:val="597E09E7"/>
    <w:rsid w:val="598002BB"/>
    <w:rsid w:val="59871325"/>
    <w:rsid w:val="599124C8"/>
    <w:rsid w:val="59927FEE"/>
    <w:rsid w:val="59934492"/>
    <w:rsid w:val="59967ADE"/>
    <w:rsid w:val="599E6993"/>
    <w:rsid w:val="59A246D5"/>
    <w:rsid w:val="59A57D21"/>
    <w:rsid w:val="59B14918"/>
    <w:rsid w:val="59B77A55"/>
    <w:rsid w:val="59BA3C87"/>
    <w:rsid w:val="59BB5797"/>
    <w:rsid w:val="59C0439F"/>
    <w:rsid w:val="59C3464B"/>
    <w:rsid w:val="59C363FA"/>
    <w:rsid w:val="59D85E49"/>
    <w:rsid w:val="59D86349"/>
    <w:rsid w:val="59D93E6F"/>
    <w:rsid w:val="59E12E69"/>
    <w:rsid w:val="59E6711F"/>
    <w:rsid w:val="59ED3294"/>
    <w:rsid w:val="59EE16C8"/>
    <w:rsid w:val="59F34D37"/>
    <w:rsid w:val="59FB3CBB"/>
    <w:rsid w:val="5A040ED8"/>
    <w:rsid w:val="5A0A227A"/>
    <w:rsid w:val="5A153DF6"/>
    <w:rsid w:val="5A166E71"/>
    <w:rsid w:val="5A184997"/>
    <w:rsid w:val="5A1924BD"/>
    <w:rsid w:val="5A1960C7"/>
    <w:rsid w:val="5A1B4488"/>
    <w:rsid w:val="5A1D3D5C"/>
    <w:rsid w:val="5A265768"/>
    <w:rsid w:val="5A307F33"/>
    <w:rsid w:val="5A317807"/>
    <w:rsid w:val="5A3317D1"/>
    <w:rsid w:val="5A3540CC"/>
    <w:rsid w:val="5A39766B"/>
    <w:rsid w:val="5A3D61AC"/>
    <w:rsid w:val="5A433F5D"/>
    <w:rsid w:val="5A4E660B"/>
    <w:rsid w:val="5A551748"/>
    <w:rsid w:val="5A61633E"/>
    <w:rsid w:val="5A660E81"/>
    <w:rsid w:val="5A693B71"/>
    <w:rsid w:val="5A6C4CE3"/>
    <w:rsid w:val="5A6E0A5B"/>
    <w:rsid w:val="5A7140A7"/>
    <w:rsid w:val="5A736072"/>
    <w:rsid w:val="5A7616BE"/>
    <w:rsid w:val="5A7D2A4C"/>
    <w:rsid w:val="5A7D47FA"/>
    <w:rsid w:val="5A820063"/>
    <w:rsid w:val="5A845B89"/>
    <w:rsid w:val="5A865DA5"/>
    <w:rsid w:val="5A8A5C64"/>
    <w:rsid w:val="5A8C3C9B"/>
    <w:rsid w:val="5A8F5DA1"/>
    <w:rsid w:val="5A9009D2"/>
    <w:rsid w:val="5A971D60"/>
    <w:rsid w:val="5A987435"/>
    <w:rsid w:val="5A9A2519"/>
    <w:rsid w:val="5A9F6E67"/>
    <w:rsid w:val="5AA8066B"/>
    <w:rsid w:val="5AAA410D"/>
    <w:rsid w:val="5AAC50E5"/>
    <w:rsid w:val="5AAE0E58"/>
    <w:rsid w:val="5AB67D0C"/>
    <w:rsid w:val="5AB87F28"/>
    <w:rsid w:val="5ABE2233"/>
    <w:rsid w:val="5AC73CC7"/>
    <w:rsid w:val="5AC8016B"/>
    <w:rsid w:val="5ACE32A8"/>
    <w:rsid w:val="5AD05272"/>
    <w:rsid w:val="5AD14B46"/>
    <w:rsid w:val="5AD410EE"/>
    <w:rsid w:val="5AD703AE"/>
    <w:rsid w:val="5AD92379"/>
    <w:rsid w:val="5ADA0C8B"/>
    <w:rsid w:val="5ADA7746"/>
    <w:rsid w:val="5ADC3C17"/>
    <w:rsid w:val="5ADD34EB"/>
    <w:rsid w:val="5AE90C2D"/>
    <w:rsid w:val="5AF2343A"/>
    <w:rsid w:val="5AFC6067"/>
    <w:rsid w:val="5AFD547C"/>
    <w:rsid w:val="5AFF3954"/>
    <w:rsid w:val="5B046A09"/>
    <w:rsid w:val="5B053FB5"/>
    <w:rsid w:val="5B060C94"/>
    <w:rsid w:val="5B196559"/>
    <w:rsid w:val="5B1C4013"/>
    <w:rsid w:val="5B1E607B"/>
    <w:rsid w:val="5B1F58B2"/>
    <w:rsid w:val="5B215ACE"/>
    <w:rsid w:val="5B264E92"/>
    <w:rsid w:val="5B286E5C"/>
    <w:rsid w:val="5B3255E5"/>
    <w:rsid w:val="5B353327"/>
    <w:rsid w:val="5B36159F"/>
    <w:rsid w:val="5B394BC5"/>
    <w:rsid w:val="5B4800FC"/>
    <w:rsid w:val="5B483B08"/>
    <w:rsid w:val="5B4A41CF"/>
    <w:rsid w:val="5B597015"/>
    <w:rsid w:val="5B5A2D8E"/>
    <w:rsid w:val="5B5C4D58"/>
    <w:rsid w:val="5B6339F0"/>
    <w:rsid w:val="5B654ABC"/>
    <w:rsid w:val="5B661732"/>
    <w:rsid w:val="5B6B064F"/>
    <w:rsid w:val="5B6B4F9B"/>
    <w:rsid w:val="5B7025B1"/>
    <w:rsid w:val="5B726329"/>
    <w:rsid w:val="5B7756EE"/>
    <w:rsid w:val="5B7A6F8C"/>
    <w:rsid w:val="5B7B3430"/>
    <w:rsid w:val="5B7F45A2"/>
    <w:rsid w:val="5B8368AC"/>
    <w:rsid w:val="5B871DD5"/>
    <w:rsid w:val="5B881C9F"/>
    <w:rsid w:val="5B8B1199"/>
    <w:rsid w:val="5B8B2348"/>
    <w:rsid w:val="5B8D4F11"/>
    <w:rsid w:val="5B8F11E5"/>
    <w:rsid w:val="5B922527"/>
    <w:rsid w:val="5B953DC6"/>
    <w:rsid w:val="5B995664"/>
    <w:rsid w:val="5B9C33A6"/>
    <w:rsid w:val="5B9C7BD4"/>
    <w:rsid w:val="5BA147BE"/>
    <w:rsid w:val="5BAA161F"/>
    <w:rsid w:val="5BB0278B"/>
    <w:rsid w:val="5BC12D0D"/>
    <w:rsid w:val="5BC36B85"/>
    <w:rsid w:val="5BCA4C47"/>
    <w:rsid w:val="5BCF552A"/>
    <w:rsid w:val="5BD00E9F"/>
    <w:rsid w:val="5BD112A2"/>
    <w:rsid w:val="5BD448EE"/>
    <w:rsid w:val="5BD668B8"/>
    <w:rsid w:val="5BDF5D95"/>
    <w:rsid w:val="5BE2427A"/>
    <w:rsid w:val="5BE30FD5"/>
    <w:rsid w:val="5BEA5EBF"/>
    <w:rsid w:val="5BEC21C5"/>
    <w:rsid w:val="5BF84A80"/>
    <w:rsid w:val="5BFB00CD"/>
    <w:rsid w:val="5BFB0BA2"/>
    <w:rsid w:val="5BFB57B2"/>
    <w:rsid w:val="5BFB7CFF"/>
    <w:rsid w:val="5BFE7528"/>
    <w:rsid w:val="5C0661DE"/>
    <w:rsid w:val="5C07081F"/>
    <w:rsid w:val="5C0A427E"/>
    <w:rsid w:val="5C0F5926"/>
    <w:rsid w:val="5C133668"/>
    <w:rsid w:val="5C192324"/>
    <w:rsid w:val="5C245875"/>
    <w:rsid w:val="5C2C0286"/>
    <w:rsid w:val="5C2C0E00"/>
    <w:rsid w:val="5C310256"/>
    <w:rsid w:val="5C3830CF"/>
    <w:rsid w:val="5C3C676F"/>
    <w:rsid w:val="5C3E620B"/>
    <w:rsid w:val="5C4001D5"/>
    <w:rsid w:val="5C423F4D"/>
    <w:rsid w:val="5C471564"/>
    <w:rsid w:val="5C49708A"/>
    <w:rsid w:val="5C4C0928"/>
    <w:rsid w:val="5C4F21C6"/>
    <w:rsid w:val="5C5030D5"/>
    <w:rsid w:val="5C5832C6"/>
    <w:rsid w:val="5C58551F"/>
    <w:rsid w:val="5C5D25F9"/>
    <w:rsid w:val="5C5D48E3"/>
    <w:rsid w:val="5C6075F6"/>
    <w:rsid w:val="5C613521"/>
    <w:rsid w:val="5C614A50"/>
    <w:rsid w:val="5C62639E"/>
    <w:rsid w:val="5C643EC4"/>
    <w:rsid w:val="5C655535"/>
    <w:rsid w:val="5C657C3C"/>
    <w:rsid w:val="5C6927EC"/>
    <w:rsid w:val="5C6B30FB"/>
    <w:rsid w:val="5C7B2FBB"/>
    <w:rsid w:val="5C844566"/>
    <w:rsid w:val="5C855BE8"/>
    <w:rsid w:val="5C9B19C2"/>
    <w:rsid w:val="5C9D2F32"/>
    <w:rsid w:val="5C9D79FC"/>
    <w:rsid w:val="5CA02167"/>
    <w:rsid w:val="5CA40764"/>
    <w:rsid w:val="5CA442C0"/>
    <w:rsid w:val="5CA644DC"/>
    <w:rsid w:val="5CAC7619"/>
    <w:rsid w:val="5CAE513F"/>
    <w:rsid w:val="5CB07109"/>
    <w:rsid w:val="5CB15736"/>
    <w:rsid w:val="5CB309A7"/>
    <w:rsid w:val="5CB32755"/>
    <w:rsid w:val="5CBA3AE4"/>
    <w:rsid w:val="5CC2508E"/>
    <w:rsid w:val="5CCD7CBB"/>
    <w:rsid w:val="5CCF0BE2"/>
    <w:rsid w:val="5CD1707F"/>
    <w:rsid w:val="5CD64696"/>
    <w:rsid w:val="5CD66444"/>
    <w:rsid w:val="5CDA1B8C"/>
    <w:rsid w:val="5CDA23D8"/>
    <w:rsid w:val="5CDA5F34"/>
    <w:rsid w:val="5CDD6B6F"/>
    <w:rsid w:val="5CE902C5"/>
    <w:rsid w:val="5CEC5C67"/>
    <w:rsid w:val="5CED3A76"/>
    <w:rsid w:val="5CF039A9"/>
    <w:rsid w:val="5CF07506"/>
    <w:rsid w:val="5CF25CA0"/>
    <w:rsid w:val="5CF27722"/>
    <w:rsid w:val="5CF3349A"/>
    <w:rsid w:val="5CF53766"/>
    <w:rsid w:val="5CF60894"/>
    <w:rsid w:val="5CF76AE6"/>
    <w:rsid w:val="5CFB713E"/>
    <w:rsid w:val="5CFD7E74"/>
    <w:rsid w:val="5CFF1E3E"/>
    <w:rsid w:val="5D015BB7"/>
    <w:rsid w:val="5D041A8B"/>
    <w:rsid w:val="5D047455"/>
    <w:rsid w:val="5D0700EF"/>
    <w:rsid w:val="5D0905C7"/>
    <w:rsid w:val="5D0C4966"/>
    <w:rsid w:val="5D0D455B"/>
    <w:rsid w:val="5D105DFA"/>
    <w:rsid w:val="5D107BA8"/>
    <w:rsid w:val="5D1268DC"/>
    <w:rsid w:val="5D177188"/>
    <w:rsid w:val="5D177EAA"/>
    <w:rsid w:val="5D186A5C"/>
    <w:rsid w:val="5D1C479E"/>
    <w:rsid w:val="5D1C654D"/>
    <w:rsid w:val="5D1E23F9"/>
    <w:rsid w:val="5D235B2D"/>
    <w:rsid w:val="5D250D53"/>
    <w:rsid w:val="5D261179"/>
    <w:rsid w:val="5D296EBB"/>
    <w:rsid w:val="5D2B0C05"/>
    <w:rsid w:val="5D2D69AC"/>
    <w:rsid w:val="5D2E6280"/>
    <w:rsid w:val="5D30024A"/>
    <w:rsid w:val="5D335644"/>
    <w:rsid w:val="5D433089"/>
    <w:rsid w:val="5D443C29"/>
    <w:rsid w:val="5D465377"/>
    <w:rsid w:val="5D491416"/>
    <w:rsid w:val="5D50269A"/>
    <w:rsid w:val="5D5201C0"/>
    <w:rsid w:val="5D573A29"/>
    <w:rsid w:val="5D5850AB"/>
    <w:rsid w:val="5D5C2DED"/>
    <w:rsid w:val="5D5F6439"/>
    <w:rsid w:val="5D6D4FFA"/>
    <w:rsid w:val="5D6D6DA8"/>
    <w:rsid w:val="5D6F0D72"/>
    <w:rsid w:val="5D7008F2"/>
    <w:rsid w:val="5D7204AB"/>
    <w:rsid w:val="5D731EE5"/>
    <w:rsid w:val="5D756864"/>
    <w:rsid w:val="5D816B43"/>
    <w:rsid w:val="5D8517A9"/>
    <w:rsid w:val="5D8660BC"/>
    <w:rsid w:val="5D874A8A"/>
    <w:rsid w:val="5D9205BD"/>
    <w:rsid w:val="5D942956"/>
    <w:rsid w:val="5D962573"/>
    <w:rsid w:val="5D99194B"/>
    <w:rsid w:val="5DA12EF6"/>
    <w:rsid w:val="5DA24FF7"/>
    <w:rsid w:val="5DA327CA"/>
    <w:rsid w:val="5DA32F33"/>
    <w:rsid w:val="5DA50AD8"/>
    <w:rsid w:val="5DAB5B22"/>
    <w:rsid w:val="5DAD2C33"/>
    <w:rsid w:val="5DB20C5F"/>
    <w:rsid w:val="5DB310D0"/>
    <w:rsid w:val="5DB730C3"/>
    <w:rsid w:val="5DBA7AE6"/>
    <w:rsid w:val="5DBB3FB7"/>
    <w:rsid w:val="5DC33F3E"/>
    <w:rsid w:val="5DC84229"/>
    <w:rsid w:val="5DCB3ACF"/>
    <w:rsid w:val="5DCD04CC"/>
    <w:rsid w:val="5DD90F43"/>
    <w:rsid w:val="5DDB1F64"/>
    <w:rsid w:val="5DDC42EF"/>
    <w:rsid w:val="5DDF5B1F"/>
    <w:rsid w:val="5DE577B3"/>
    <w:rsid w:val="5DE80B25"/>
    <w:rsid w:val="5DE82C2E"/>
    <w:rsid w:val="5DE922AB"/>
    <w:rsid w:val="5DEE4C12"/>
    <w:rsid w:val="5DF03535"/>
    <w:rsid w:val="5DF43025"/>
    <w:rsid w:val="5DF64FF0"/>
    <w:rsid w:val="5E086AD1"/>
    <w:rsid w:val="5E0B78D6"/>
    <w:rsid w:val="5E0D40E7"/>
    <w:rsid w:val="5E0F60B1"/>
    <w:rsid w:val="5E110BFB"/>
    <w:rsid w:val="5E135BA1"/>
    <w:rsid w:val="5E162F9C"/>
    <w:rsid w:val="5E18686B"/>
    <w:rsid w:val="5E1E62F4"/>
    <w:rsid w:val="5E227B93"/>
    <w:rsid w:val="5E2467F1"/>
    <w:rsid w:val="5E287173"/>
    <w:rsid w:val="5E2F22B0"/>
    <w:rsid w:val="5E371164"/>
    <w:rsid w:val="5E3B180A"/>
    <w:rsid w:val="5E3B2A02"/>
    <w:rsid w:val="5E420235"/>
    <w:rsid w:val="5E420397"/>
    <w:rsid w:val="5E444D26"/>
    <w:rsid w:val="5E467C1D"/>
    <w:rsid w:val="5E47584B"/>
    <w:rsid w:val="5E483371"/>
    <w:rsid w:val="5E48511F"/>
    <w:rsid w:val="5E4A533B"/>
    <w:rsid w:val="5E4D1842"/>
    <w:rsid w:val="5E4F4700"/>
    <w:rsid w:val="5E581949"/>
    <w:rsid w:val="5E5D46BC"/>
    <w:rsid w:val="5E6E2DD8"/>
    <w:rsid w:val="5E727476"/>
    <w:rsid w:val="5E734892"/>
    <w:rsid w:val="5E781EA8"/>
    <w:rsid w:val="5E7B5CCE"/>
    <w:rsid w:val="5E801EED"/>
    <w:rsid w:val="5E802B0B"/>
    <w:rsid w:val="5E823BA7"/>
    <w:rsid w:val="5E82439A"/>
    <w:rsid w:val="5E8947D7"/>
    <w:rsid w:val="5E897FBF"/>
    <w:rsid w:val="5E8A5738"/>
    <w:rsid w:val="5E8C325E"/>
    <w:rsid w:val="5E8E6FD6"/>
    <w:rsid w:val="5E92188F"/>
    <w:rsid w:val="5E92531F"/>
    <w:rsid w:val="5E940365"/>
    <w:rsid w:val="5E9640DD"/>
    <w:rsid w:val="5EAB402C"/>
    <w:rsid w:val="5EB033F0"/>
    <w:rsid w:val="5EB27B39"/>
    <w:rsid w:val="5EB34C8F"/>
    <w:rsid w:val="5EB84053"/>
    <w:rsid w:val="5EBB1D95"/>
    <w:rsid w:val="5EC05E70"/>
    <w:rsid w:val="5EC450EE"/>
    <w:rsid w:val="5EC549C2"/>
    <w:rsid w:val="5EC64CD9"/>
    <w:rsid w:val="5EC7698C"/>
    <w:rsid w:val="5EC83E0F"/>
    <w:rsid w:val="5ECB647C"/>
    <w:rsid w:val="5ECC7AFE"/>
    <w:rsid w:val="5ED6097D"/>
    <w:rsid w:val="5ED74E21"/>
    <w:rsid w:val="5EDF5A84"/>
    <w:rsid w:val="5EE008DF"/>
    <w:rsid w:val="5EE017FC"/>
    <w:rsid w:val="5EE14995"/>
    <w:rsid w:val="5EE17A4E"/>
    <w:rsid w:val="5EE4309A"/>
    <w:rsid w:val="5EE94B54"/>
    <w:rsid w:val="5EF22E5F"/>
    <w:rsid w:val="5EFA466C"/>
    <w:rsid w:val="5F0458F0"/>
    <w:rsid w:val="5F077291"/>
    <w:rsid w:val="5F155949"/>
    <w:rsid w:val="5F1576F7"/>
    <w:rsid w:val="5F177C37"/>
    <w:rsid w:val="5F180F96"/>
    <w:rsid w:val="5F1A2B43"/>
    <w:rsid w:val="5F1A4318"/>
    <w:rsid w:val="5F202248"/>
    <w:rsid w:val="5F221E14"/>
    <w:rsid w:val="5F25643F"/>
    <w:rsid w:val="5F261904"/>
    <w:rsid w:val="5F2E07B9"/>
    <w:rsid w:val="5F2F48BE"/>
    <w:rsid w:val="5F30008D"/>
    <w:rsid w:val="5F3153BA"/>
    <w:rsid w:val="5F3202A9"/>
    <w:rsid w:val="5F3758C0"/>
    <w:rsid w:val="5F3C1128"/>
    <w:rsid w:val="5F41673E"/>
    <w:rsid w:val="5F434264"/>
    <w:rsid w:val="5F4E49B7"/>
    <w:rsid w:val="5F4F0E5B"/>
    <w:rsid w:val="5F526256"/>
    <w:rsid w:val="5F596643"/>
    <w:rsid w:val="5F5C70D4"/>
    <w:rsid w:val="5F5F6BC4"/>
    <w:rsid w:val="5F622211"/>
    <w:rsid w:val="5F667F53"/>
    <w:rsid w:val="5F767093"/>
    <w:rsid w:val="5F7A755A"/>
    <w:rsid w:val="5F7C7776"/>
    <w:rsid w:val="5F7F7267"/>
    <w:rsid w:val="5F812FDF"/>
    <w:rsid w:val="5F8623A3"/>
    <w:rsid w:val="5F877DC8"/>
    <w:rsid w:val="5F897F38"/>
    <w:rsid w:val="5F8B1768"/>
    <w:rsid w:val="5F8B79B9"/>
    <w:rsid w:val="5F8E3006"/>
    <w:rsid w:val="5F8F74AA"/>
    <w:rsid w:val="5F93481E"/>
    <w:rsid w:val="5F93686E"/>
    <w:rsid w:val="5F954394"/>
    <w:rsid w:val="5F990328"/>
    <w:rsid w:val="5F9D7A1F"/>
    <w:rsid w:val="5FA054B6"/>
    <w:rsid w:val="5FA42829"/>
    <w:rsid w:val="5FAB3BB8"/>
    <w:rsid w:val="5FAC1019"/>
    <w:rsid w:val="5FB82DF5"/>
    <w:rsid w:val="5FB837BB"/>
    <w:rsid w:val="5FC03B07"/>
    <w:rsid w:val="5FC30F01"/>
    <w:rsid w:val="5FC609F2"/>
    <w:rsid w:val="5FC86518"/>
    <w:rsid w:val="5FD17AC2"/>
    <w:rsid w:val="5FD44EBD"/>
    <w:rsid w:val="5FDB26EF"/>
    <w:rsid w:val="5FE01AB3"/>
    <w:rsid w:val="5FE82DAB"/>
    <w:rsid w:val="5FE97DAA"/>
    <w:rsid w:val="5FF11F12"/>
    <w:rsid w:val="5FF16EB2"/>
    <w:rsid w:val="5FF36489"/>
    <w:rsid w:val="5FF94530"/>
    <w:rsid w:val="6005151A"/>
    <w:rsid w:val="600532C8"/>
    <w:rsid w:val="600B4656"/>
    <w:rsid w:val="60123C37"/>
    <w:rsid w:val="6014175D"/>
    <w:rsid w:val="60163978"/>
    <w:rsid w:val="6017749F"/>
    <w:rsid w:val="601975C1"/>
    <w:rsid w:val="601C6864"/>
    <w:rsid w:val="60235D74"/>
    <w:rsid w:val="60235E44"/>
    <w:rsid w:val="60285208"/>
    <w:rsid w:val="602C675B"/>
    <w:rsid w:val="6031230F"/>
    <w:rsid w:val="60315CC2"/>
    <w:rsid w:val="603D03A5"/>
    <w:rsid w:val="603D6F06"/>
    <w:rsid w:val="60464B4E"/>
    <w:rsid w:val="60471B32"/>
    <w:rsid w:val="604A66F4"/>
    <w:rsid w:val="604F09E7"/>
    <w:rsid w:val="6051578A"/>
    <w:rsid w:val="605B55DE"/>
    <w:rsid w:val="605F6E50"/>
    <w:rsid w:val="6065645C"/>
    <w:rsid w:val="60673F83"/>
    <w:rsid w:val="606A3A73"/>
    <w:rsid w:val="606E57EA"/>
    <w:rsid w:val="60732927"/>
    <w:rsid w:val="60787F3E"/>
    <w:rsid w:val="607B706E"/>
    <w:rsid w:val="607E1153"/>
    <w:rsid w:val="607E307A"/>
    <w:rsid w:val="60826908"/>
    <w:rsid w:val="6082700E"/>
    <w:rsid w:val="608368E3"/>
    <w:rsid w:val="60847A10"/>
    <w:rsid w:val="60851A6F"/>
    <w:rsid w:val="608E7761"/>
    <w:rsid w:val="60912DAE"/>
    <w:rsid w:val="6098238E"/>
    <w:rsid w:val="60A01243"/>
    <w:rsid w:val="60A24FBB"/>
    <w:rsid w:val="60A46F85"/>
    <w:rsid w:val="60A54AAB"/>
    <w:rsid w:val="60AC170F"/>
    <w:rsid w:val="60AC7BE7"/>
    <w:rsid w:val="60AF76D8"/>
    <w:rsid w:val="60B45563"/>
    <w:rsid w:val="60BA233B"/>
    <w:rsid w:val="60BE791B"/>
    <w:rsid w:val="60C07B37"/>
    <w:rsid w:val="60C2740B"/>
    <w:rsid w:val="60C70EC5"/>
    <w:rsid w:val="60C863F4"/>
    <w:rsid w:val="60CA4B22"/>
    <w:rsid w:val="60CC2038"/>
    <w:rsid w:val="60CC405A"/>
    <w:rsid w:val="60CF50E2"/>
    <w:rsid w:val="60D61108"/>
    <w:rsid w:val="60D86C2E"/>
    <w:rsid w:val="60DB227B"/>
    <w:rsid w:val="60DD6F94"/>
    <w:rsid w:val="60E92BEA"/>
    <w:rsid w:val="60E94998"/>
    <w:rsid w:val="60EA0710"/>
    <w:rsid w:val="60EE1FAE"/>
    <w:rsid w:val="60EE7EEF"/>
    <w:rsid w:val="60F03F78"/>
    <w:rsid w:val="60F15F42"/>
    <w:rsid w:val="60F375C4"/>
    <w:rsid w:val="60F947A8"/>
    <w:rsid w:val="60FA4DF7"/>
    <w:rsid w:val="60FA6BA5"/>
    <w:rsid w:val="60FD0443"/>
    <w:rsid w:val="60FF41BB"/>
    <w:rsid w:val="61055422"/>
    <w:rsid w:val="610C0686"/>
    <w:rsid w:val="61121FE3"/>
    <w:rsid w:val="61135EB8"/>
    <w:rsid w:val="61151C31"/>
    <w:rsid w:val="611F660B"/>
    <w:rsid w:val="61204131"/>
    <w:rsid w:val="612805C8"/>
    <w:rsid w:val="612B3202"/>
    <w:rsid w:val="612C28EB"/>
    <w:rsid w:val="612E2CF2"/>
    <w:rsid w:val="61300818"/>
    <w:rsid w:val="613227E3"/>
    <w:rsid w:val="61357BDD"/>
    <w:rsid w:val="61384047"/>
    <w:rsid w:val="613A1697"/>
    <w:rsid w:val="613A3445"/>
    <w:rsid w:val="61410FBC"/>
    <w:rsid w:val="61424EF8"/>
    <w:rsid w:val="614339CA"/>
    <w:rsid w:val="61442516"/>
    <w:rsid w:val="61461DEA"/>
    <w:rsid w:val="615362B5"/>
    <w:rsid w:val="615F10FE"/>
    <w:rsid w:val="615F4C5A"/>
    <w:rsid w:val="61605FE0"/>
    <w:rsid w:val="6166248C"/>
    <w:rsid w:val="616C21E8"/>
    <w:rsid w:val="616E30EF"/>
    <w:rsid w:val="6170330B"/>
    <w:rsid w:val="61722BDF"/>
    <w:rsid w:val="617355B9"/>
    <w:rsid w:val="617D3332"/>
    <w:rsid w:val="61811074"/>
    <w:rsid w:val="6198016C"/>
    <w:rsid w:val="619C4100"/>
    <w:rsid w:val="619C5EAE"/>
    <w:rsid w:val="619E1C26"/>
    <w:rsid w:val="61A146AD"/>
    <w:rsid w:val="61A30FEA"/>
    <w:rsid w:val="61A82AA5"/>
    <w:rsid w:val="61B50D1E"/>
    <w:rsid w:val="61B52ACC"/>
    <w:rsid w:val="61BB4DBF"/>
    <w:rsid w:val="61BC0D8B"/>
    <w:rsid w:val="61BC3E5A"/>
    <w:rsid w:val="61C251E9"/>
    <w:rsid w:val="61C31708"/>
    <w:rsid w:val="61C34AD7"/>
    <w:rsid w:val="61C40F61"/>
    <w:rsid w:val="61C827FF"/>
    <w:rsid w:val="61C97B27"/>
    <w:rsid w:val="61CF5DEF"/>
    <w:rsid w:val="61D76EE6"/>
    <w:rsid w:val="61D87DE4"/>
    <w:rsid w:val="61D9058B"/>
    <w:rsid w:val="61DB4C28"/>
    <w:rsid w:val="61DE7D52"/>
    <w:rsid w:val="61DF5D9B"/>
    <w:rsid w:val="61E215D8"/>
    <w:rsid w:val="61E22A47"/>
    <w:rsid w:val="61E71F79"/>
    <w:rsid w:val="61F07C7B"/>
    <w:rsid w:val="61F2326A"/>
    <w:rsid w:val="61F41846"/>
    <w:rsid w:val="61F5736C"/>
    <w:rsid w:val="62006995"/>
    <w:rsid w:val="62015D11"/>
    <w:rsid w:val="62024D09"/>
    <w:rsid w:val="62027368"/>
    <w:rsid w:val="62065A1D"/>
    <w:rsid w:val="620F6680"/>
    <w:rsid w:val="62157A0E"/>
    <w:rsid w:val="621728D0"/>
    <w:rsid w:val="62172AE3"/>
    <w:rsid w:val="621B3775"/>
    <w:rsid w:val="621B6074"/>
    <w:rsid w:val="6223364F"/>
    <w:rsid w:val="622540F5"/>
    <w:rsid w:val="62314848"/>
    <w:rsid w:val="623255EE"/>
    <w:rsid w:val="62364782"/>
    <w:rsid w:val="62381851"/>
    <w:rsid w:val="623936FD"/>
    <w:rsid w:val="623A0D90"/>
    <w:rsid w:val="623C4653"/>
    <w:rsid w:val="624327CD"/>
    <w:rsid w:val="62466D94"/>
    <w:rsid w:val="624B5C2B"/>
    <w:rsid w:val="624D0F56"/>
    <w:rsid w:val="62514EEA"/>
    <w:rsid w:val="625422E5"/>
    <w:rsid w:val="625C563D"/>
    <w:rsid w:val="625F1488"/>
    <w:rsid w:val="62606EDB"/>
    <w:rsid w:val="62607E24"/>
    <w:rsid w:val="62612C54"/>
    <w:rsid w:val="6262458F"/>
    <w:rsid w:val="626544F2"/>
    <w:rsid w:val="626562A0"/>
    <w:rsid w:val="626C5880"/>
    <w:rsid w:val="627001AB"/>
    <w:rsid w:val="6270221C"/>
    <w:rsid w:val="62703D50"/>
    <w:rsid w:val="62797F9D"/>
    <w:rsid w:val="627E3805"/>
    <w:rsid w:val="628250A4"/>
    <w:rsid w:val="62894684"/>
    <w:rsid w:val="628A21AA"/>
    <w:rsid w:val="628E28E5"/>
    <w:rsid w:val="62931007"/>
    <w:rsid w:val="62943029"/>
    <w:rsid w:val="62960B4F"/>
    <w:rsid w:val="6297367D"/>
    <w:rsid w:val="629C684F"/>
    <w:rsid w:val="62A0377C"/>
    <w:rsid w:val="62AB15EC"/>
    <w:rsid w:val="62AF0B06"/>
    <w:rsid w:val="62C11EAB"/>
    <w:rsid w:val="62C330C7"/>
    <w:rsid w:val="62C51434"/>
    <w:rsid w:val="62C73E71"/>
    <w:rsid w:val="62C76F5B"/>
    <w:rsid w:val="62C92CD3"/>
    <w:rsid w:val="62D4714A"/>
    <w:rsid w:val="62D61678"/>
    <w:rsid w:val="62D97550"/>
    <w:rsid w:val="62DF24F6"/>
    <w:rsid w:val="62E718BE"/>
    <w:rsid w:val="62EB1054"/>
    <w:rsid w:val="62FF66F4"/>
    <w:rsid w:val="63060A6C"/>
    <w:rsid w:val="630737FB"/>
    <w:rsid w:val="630A523D"/>
    <w:rsid w:val="630F6D0E"/>
    <w:rsid w:val="63103954"/>
    <w:rsid w:val="63133F4E"/>
    <w:rsid w:val="63161C90"/>
    <w:rsid w:val="631657EC"/>
    <w:rsid w:val="63175C71"/>
    <w:rsid w:val="631D7160"/>
    <w:rsid w:val="631F0B45"/>
    <w:rsid w:val="632B3978"/>
    <w:rsid w:val="632C14B3"/>
    <w:rsid w:val="632C5010"/>
    <w:rsid w:val="633345F0"/>
    <w:rsid w:val="63365E8E"/>
    <w:rsid w:val="63367C3C"/>
    <w:rsid w:val="633B16F7"/>
    <w:rsid w:val="63514A76"/>
    <w:rsid w:val="63526C88"/>
    <w:rsid w:val="63576530"/>
    <w:rsid w:val="635B76A3"/>
    <w:rsid w:val="63620A31"/>
    <w:rsid w:val="63626C83"/>
    <w:rsid w:val="636475F0"/>
    <w:rsid w:val="63691DC0"/>
    <w:rsid w:val="636B3D8A"/>
    <w:rsid w:val="636D5D54"/>
    <w:rsid w:val="63717D21"/>
    <w:rsid w:val="6372336A"/>
    <w:rsid w:val="637F7835"/>
    <w:rsid w:val="638766EA"/>
    <w:rsid w:val="6394356A"/>
    <w:rsid w:val="63962ADB"/>
    <w:rsid w:val="63977D34"/>
    <w:rsid w:val="639A01CB"/>
    <w:rsid w:val="639C2195"/>
    <w:rsid w:val="63A948B2"/>
    <w:rsid w:val="63B00321"/>
    <w:rsid w:val="63BD210C"/>
    <w:rsid w:val="63C327DF"/>
    <w:rsid w:val="63C35974"/>
    <w:rsid w:val="63C61B2C"/>
    <w:rsid w:val="63C74D38"/>
    <w:rsid w:val="63C811DC"/>
    <w:rsid w:val="63C926D2"/>
    <w:rsid w:val="63CC234F"/>
    <w:rsid w:val="63D27965"/>
    <w:rsid w:val="63D40BE9"/>
    <w:rsid w:val="63D61CF9"/>
    <w:rsid w:val="63D74F7B"/>
    <w:rsid w:val="63D86F45"/>
    <w:rsid w:val="63DB52BA"/>
    <w:rsid w:val="63DE1DCF"/>
    <w:rsid w:val="63E1404C"/>
    <w:rsid w:val="63E23AAC"/>
    <w:rsid w:val="63E853DA"/>
    <w:rsid w:val="63E87188"/>
    <w:rsid w:val="63EB4ECB"/>
    <w:rsid w:val="63ED1591"/>
    <w:rsid w:val="63F73C5A"/>
    <w:rsid w:val="64095351"/>
    <w:rsid w:val="640A35A3"/>
    <w:rsid w:val="640B0CE6"/>
    <w:rsid w:val="640D6BEF"/>
    <w:rsid w:val="64102431"/>
    <w:rsid w:val="64153CF6"/>
    <w:rsid w:val="6416019A"/>
    <w:rsid w:val="642105BA"/>
    <w:rsid w:val="642108EC"/>
    <w:rsid w:val="642B176B"/>
    <w:rsid w:val="642B52C7"/>
    <w:rsid w:val="642E6597"/>
    <w:rsid w:val="643723B1"/>
    <w:rsid w:val="643C4F68"/>
    <w:rsid w:val="643E149E"/>
    <w:rsid w:val="643F0D73"/>
    <w:rsid w:val="64412D3D"/>
    <w:rsid w:val="6445282D"/>
    <w:rsid w:val="644969C6"/>
    <w:rsid w:val="644B7717"/>
    <w:rsid w:val="644D16E1"/>
    <w:rsid w:val="64505292"/>
    <w:rsid w:val="64553D6F"/>
    <w:rsid w:val="64573C5A"/>
    <w:rsid w:val="64597FC7"/>
    <w:rsid w:val="645A5DA2"/>
    <w:rsid w:val="645B798F"/>
    <w:rsid w:val="645C7B76"/>
    <w:rsid w:val="645E4C41"/>
    <w:rsid w:val="64602E07"/>
    <w:rsid w:val="64610CE9"/>
    <w:rsid w:val="64642D68"/>
    <w:rsid w:val="646B1B68"/>
    <w:rsid w:val="646B7DB9"/>
    <w:rsid w:val="646F1658"/>
    <w:rsid w:val="6472270C"/>
    <w:rsid w:val="647351A7"/>
    <w:rsid w:val="6477050C"/>
    <w:rsid w:val="647E5D3F"/>
    <w:rsid w:val="64894FD1"/>
    <w:rsid w:val="648F1375"/>
    <w:rsid w:val="64915A72"/>
    <w:rsid w:val="64917820"/>
    <w:rsid w:val="64925F0D"/>
    <w:rsid w:val="64942E6C"/>
    <w:rsid w:val="64947D74"/>
    <w:rsid w:val="6497295D"/>
    <w:rsid w:val="649D4417"/>
    <w:rsid w:val="649E1F3D"/>
    <w:rsid w:val="64A01811"/>
    <w:rsid w:val="64A07A63"/>
    <w:rsid w:val="64A5243A"/>
    <w:rsid w:val="64A64B94"/>
    <w:rsid w:val="64A82DBC"/>
    <w:rsid w:val="64B4350F"/>
    <w:rsid w:val="64B63658"/>
    <w:rsid w:val="64B645FA"/>
    <w:rsid w:val="64BE346E"/>
    <w:rsid w:val="64C86FBA"/>
    <w:rsid w:val="64CA0F84"/>
    <w:rsid w:val="64CA1C60"/>
    <w:rsid w:val="64CE2822"/>
    <w:rsid w:val="64DB4F3F"/>
    <w:rsid w:val="64E312BD"/>
    <w:rsid w:val="64E35BA2"/>
    <w:rsid w:val="64E536C8"/>
    <w:rsid w:val="64E83DE8"/>
    <w:rsid w:val="64EC2CA8"/>
    <w:rsid w:val="64EF09EB"/>
    <w:rsid w:val="64EF406B"/>
    <w:rsid w:val="64F531DE"/>
    <w:rsid w:val="64F7435F"/>
    <w:rsid w:val="64F8164D"/>
    <w:rsid w:val="64FE564E"/>
    <w:rsid w:val="65037FF2"/>
    <w:rsid w:val="650727B6"/>
    <w:rsid w:val="650A5824"/>
    <w:rsid w:val="65102E3B"/>
    <w:rsid w:val="6511679B"/>
    <w:rsid w:val="65197815"/>
    <w:rsid w:val="651D2E62"/>
    <w:rsid w:val="651E4C38"/>
    <w:rsid w:val="651E4E2C"/>
    <w:rsid w:val="6526613A"/>
    <w:rsid w:val="65292A10"/>
    <w:rsid w:val="65297A59"/>
    <w:rsid w:val="652A37D1"/>
    <w:rsid w:val="653308D7"/>
    <w:rsid w:val="65371491"/>
    <w:rsid w:val="65373578"/>
    <w:rsid w:val="65393A14"/>
    <w:rsid w:val="653F727C"/>
    <w:rsid w:val="654900FB"/>
    <w:rsid w:val="6549634D"/>
    <w:rsid w:val="654F3237"/>
    <w:rsid w:val="65535DDA"/>
    <w:rsid w:val="65541D3C"/>
    <w:rsid w:val="655D5954"/>
    <w:rsid w:val="656316A6"/>
    <w:rsid w:val="65632D05"/>
    <w:rsid w:val="65644F35"/>
    <w:rsid w:val="656C5B97"/>
    <w:rsid w:val="657A2BFD"/>
    <w:rsid w:val="657B402C"/>
    <w:rsid w:val="657C227E"/>
    <w:rsid w:val="657D2B36"/>
    <w:rsid w:val="657D7DA4"/>
    <w:rsid w:val="65827169"/>
    <w:rsid w:val="658E3D60"/>
    <w:rsid w:val="659550EE"/>
    <w:rsid w:val="65955B0A"/>
    <w:rsid w:val="65960E66"/>
    <w:rsid w:val="659C46CE"/>
    <w:rsid w:val="65A04CA8"/>
    <w:rsid w:val="65AE61B0"/>
    <w:rsid w:val="65AE7F5E"/>
    <w:rsid w:val="65B03CD6"/>
    <w:rsid w:val="65B23EF2"/>
    <w:rsid w:val="65B418F2"/>
    <w:rsid w:val="65B63AC4"/>
    <w:rsid w:val="65B732B6"/>
    <w:rsid w:val="65B80DDC"/>
    <w:rsid w:val="65B82FFE"/>
    <w:rsid w:val="65BA0381"/>
    <w:rsid w:val="65C14135"/>
    <w:rsid w:val="65C454F9"/>
    <w:rsid w:val="65C87949"/>
    <w:rsid w:val="65CF6CDB"/>
    <w:rsid w:val="65D06126"/>
    <w:rsid w:val="65D8147F"/>
    <w:rsid w:val="65DA35E7"/>
    <w:rsid w:val="65DD14E3"/>
    <w:rsid w:val="65DD6A95"/>
    <w:rsid w:val="65E6427A"/>
    <w:rsid w:val="65E86D4C"/>
    <w:rsid w:val="65EB4E13"/>
    <w:rsid w:val="65ED43EF"/>
    <w:rsid w:val="65EE542B"/>
    <w:rsid w:val="65F20792"/>
    <w:rsid w:val="65F30067"/>
    <w:rsid w:val="65F8567D"/>
    <w:rsid w:val="65FA7647"/>
    <w:rsid w:val="65FF07B9"/>
    <w:rsid w:val="660068AA"/>
    <w:rsid w:val="660364FC"/>
    <w:rsid w:val="66195D1F"/>
    <w:rsid w:val="661B7AB4"/>
    <w:rsid w:val="661F2C0A"/>
    <w:rsid w:val="66286A3B"/>
    <w:rsid w:val="66293A88"/>
    <w:rsid w:val="662F026C"/>
    <w:rsid w:val="663012BB"/>
    <w:rsid w:val="6635242D"/>
    <w:rsid w:val="66357949"/>
    <w:rsid w:val="6639016F"/>
    <w:rsid w:val="663E5786"/>
    <w:rsid w:val="663F4FF0"/>
    <w:rsid w:val="66412043"/>
    <w:rsid w:val="66415276"/>
    <w:rsid w:val="664173EA"/>
    <w:rsid w:val="66430FEE"/>
    <w:rsid w:val="664408C2"/>
    <w:rsid w:val="6646463A"/>
    <w:rsid w:val="664802A3"/>
    <w:rsid w:val="664D23F2"/>
    <w:rsid w:val="664D3C1B"/>
    <w:rsid w:val="66501015"/>
    <w:rsid w:val="665723A3"/>
    <w:rsid w:val="665C67D2"/>
    <w:rsid w:val="665F4966"/>
    <w:rsid w:val="66630D48"/>
    <w:rsid w:val="66644AC0"/>
    <w:rsid w:val="666511CC"/>
    <w:rsid w:val="66707909"/>
    <w:rsid w:val="66721F2D"/>
    <w:rsid w:val="6672542F"/>
    <w:rsid w:val="667271DD"/>
    <w:rsid w:val="667411A7"/>
    <w:rsid w:val="667623BB"/>
    <w:rsid w:val="667747F4"/>
    <w:rsid w:val="667804C9"/>
    <w:rsid w:val="667E3DD4"/>
    <w:rsid w:val="66805D9E"/>
    <w:rsid w:val="66830909"/>
    <w:rsid w:val="668A09CB"/>
    <w:rsid w:val="668B19E8"/>
    <w:rsid w:val="668F4233"/>
    <w:rsid w:val="66903B07"/>
    <w:rsid w:val="6691080B"/>
    <w:rsid w:val="66911CA0"/>
    <w:rsid w:val="6692787F"/>
    <w:rsid w:val="66967370"/>
    <w:rsid w:val="66976D92"/>
    <w:rsid w:val="669B2BD8"/>
    <w:rsid w:val="669C0604"/>
    <w:rsid w:val="669C6703"/>
    <w:rsid w:val="669E29CA"/>
    <w:rsid w:val="669E6B0A"/>
    <w:rsid w:val="66A7157D"/>
    <w:rsid w:val="66A82BFF"/>
    <w:rsid w:val="66AD290B"/>
    <w:rsid w:val="66B07D06"/>
    <w:rsid w:val="66BA5239"/>
    <w:rsid w:val="66BA6E4A"/>
    <w:rsid w:val="66CA7019"/>
    <w:rsid w:val="66D02156"/>
    <w:rsid w:val="66D103A8"/>
    <w:rsid w:val="66D37AB3"/>
    <w:rsid w:val="66D734E4"/>
    <w:rsid w:val="66DC6D4D"/>
    <w:rsid w:val="66DE2AC5"/>
    <w:rsid w:val="66E31E89"/>
    <w:rsid w:val="66EC130E"/>
    <w:rsid w:val="66F127F8"/>
    <w:rsid w:val="66F45E44"/>
    <w:rsid w:val="66F67E0E"/>
    <w:rsid w:val="66F8075E"/>
    <w:rsid w:val="66F916AD"/>
    <w:rsid w:val="66FD73EF"/>
    <w:rsid w:val="67034441"/>
    <w:rsid w:val="67057CD6"/>
    <w:rsid w:val="6707201B"/>
    <w:rsid w:val="670A38BA"/>
    <w:rsid w:val="670D5158"/>
    <w:rsid w:val="67144738"/>
    <w:rsid w:val="671F124A"/>
    <w:rsid w:val="67206C39"/>
    <w:rsid w:val="67256946"/>
    <w:rsid w:val="672B6D3E"/>
    <w:rsid w:val="673138E2"/>
    <w:rsid w:val="67317098"/>
    <w:rsid w:val="67380427"/>
    <w:rsid w:val="67421633"/>
    <w:rsid w:val="67446DCC"/>
    <w:rsid w:val="67486190"/>
    <w:rsid w:val="674E19F8"/>
    <w:rsid w:val="675229FD"/>
    <w:rsid w:val="67527731"/>
    <w:rsid w:val="675608AD"/>
    <w:rsid w:val="6759039D"/>
    <w:rsid w:val="675A65EF"/>
    <w:rsid w:val="675B5EC3"/>
    <w:rsid w:val="675C6D88"/>
    <w:rsid w:val="675E0250"/>
    <w:rsid w:val="6760797E"/>
    <w:rsid w:val="676236F6"/>
    <w:rsid w:val="676360F6"/>
    <w:rsid w:val="676A0AB1"/>
    <w:rsid w:val="676A4358"/>
    <w:rsid w:val="67753429"/>
    <w:rsid w:val="67762CFD"/>
    <w:rsid w:val="6779459B"/>
    <w:rsid w:val="677A33C6"/>
    <w:rsid w:val="677D408C"/>
    <w:rsid w:val="67840CA7"/>
    <w:rsid w:val="678418BE"/>
    <w:rsid w:val="6786200C"/>
    <w:rsid w:val="67896ED4"/>
    <w:rsid w:val="678D7B57"/>
    <w:rsid w:val="6796339F"/>
    <w:rsid w:val="679A2E90"/>
    <w:rsid w:val="679F34C1"/>
    <w:rsid w:val="67A104E8"/>
    <w:rsid w:val="67A81D26"/>
    <w:rsid w:val="67A97C05"/>
    <w:rsid w:val="67AA4AF5"/>
    <w:rsid w:val="67AC671F"/>
    <w:rsid w:val="67AE693B"/>
    <w:rsid w:val="67B21438"/>
    <w:rsid w:val="67B24FE9"/>
    <w:rsid w:val="67B53825"/>
    <w:rsid w:val="67B6134C"/>
    <w:rsid w:val="67BC609B"/>
    <w:rsid w:val="67BD092C"/>
    <w:rsid w:val="67C1041C"/>
    <w:rsid w:val="67D31EFE"/>
    <w:rsid w:val="67DD4B2A"/>
    <w:rsid w:val="67E26789"/>
    <w:rsid w:val="67E752B6"/>
    <w:rsid w:val="67F649E8"/>
    <w:rsid w:val="67F85E08"/>
    <w:rsid w:val="67FB3202"/>
    <w:rsid w:val="67FF35A1"/>
    <w:rsid w:val="68024591"/>
    <w:rsid w:val="6804655B"/>
    <w:rsid w:val="6808604B"/>
    <w:rsid w:val="680A309F"/>
    <w:rsid w:val="680D3662"/>
    <w:rsid w:val="68126ECA"/>
    <w:rsid w:val="68141D25"/>
    <w:rsid w:val="681A3FD0"/>
    <w:rsid w:val="681C5653"/>
    <w:rsid w:val="681E586F"/>
    <w:rsid w:val="681F5143"/>
    <w:rsid w:val="681F6961"/>
    <w:rsid w:val="6823019F"/>
    <w:rsid w:val="682321FF"/>
    <w:rsid w:val="68295FC1"/>
    <w:rsid w:val="682F48DA"/>
    <w:rsid w:val="68322FE4"/>
    <w:rsid w:val="683230C8"/>
    <w:rsid w:val="68356714"/>
    <w:rsid w:val="6837248C"/>
    <w:rsid w:val="68394457"/>
    <w:rsid w:val="683E167C"/>
    <w:rsid w:val="68476221"/>
    <w:rsid w:val="684D7013"/>
    <w:rsid w:val="68506694"/>
    <w:rsid w:val="685355FA"/>
    <w:rsid w:val="68590208"/>
    <w:rsid w:val="685A261F"/>
    <w:rsid w:val="685B2997"/>
    <w:rsid w:val="68610A2F"/>
    <w:rsid w:val="68636555"/>
    <w:rsid w:val="686A72C8"/>
    <w:rsid w:val="68720705"/>
    <w:rsid w:val="68752FB5"/>
    <w:rsid w:val="68773733"/>
    <w:rsid w:val="68775A4C"/>
    <w:rsid w:val="687A26CC"/>
    <w:rsid w:val="68805514"/>
    <w:rsid w:val="688356D2"/>
    <w:rsid w:val="68896A60"/>
    <w:rsid w:val="688D6550"/>
    <w:rsid w:val="688F051A"/>
    <w:rsid w:val="6894168D"/>
    <w:rsid w:val="68945B31"/>
    <w:rsid w:val="689A2A1B"/>
    <w:rsid w:val="689C341B"/>
    <w:rsid w:val="689D42D2"/>
    <w:rsid w:val="689F65CD"/>
    <w:rsid w:val="68AA0EB0"/>
    <w:rsid w:val="68AF4719"/>
    <w:rsid w:val="68B25FB7"/>
    <w:rsid w:val="68B97345"/>
    <w:rsid w:val="68BC6E36"/>
    <w:rsid w:val="68C1444C"/>
    <w:rsid w:val="68C5761A"/>
    <w:rsid w:val="68CB0E27"/>
    <w:rsid w:val="68CD4B9F"/>
    <w:rsid w:val="68D128E1"/>
    <w:rsid w:val="68D221B5"/>
    <w:rsid w:val="68D423D1"/>
    <w:rsid w:val="68D51CA5"/>
    <w:rsid w:val="68D91796"/>
    <w:rsid w:val="68D953DF"/>
    <w:rsid w:val="68D979E8"/>
    <w:rsid w:val="68F05645"/>
    <w:rsid w:val="68F24605"/>
    <w:rsid w:val="690031C6"/>
    <w:rsid w:val="69146C72"/>
    <w:rsid w:val="6914700F"/>
    <w:rsid w:val="691722BE"/>
    <w:rsid w:val="6917406C"/>
    <w:rsid w:val="691B0000"/>
    <w:rsid w:val="691C1682"/>
    <w:rsid w:val="69222494"/>
    <w:rsid w:val="69246A11"/>
    <w:rsid w:val="69270753"/>
    <w:rsid w:val="69316E2F"/>
    <w:rsid w:val="693966D8"/>
    <w:rsid w:val="694C01BA"/>
    <w:rsid w:val="694E2071"/>
    <w:rsid w:val="695232F6"/>
    <w:rsid w:val="69564B94"/>
    <w:rsid w:val="69586B5E"/>
    <w:rsid w:val="695A0B28"/>
    <w:rsid w:val="6974326C"/>
    <w:rsid w:val="69747666"/>
    <w:rsid w:val="69766163"/>
    <w:rsid w:val="69796AD5"/>
    <w:rsid w:val="697A3B33"/>
    <w:rsid w:val="697D0373"/>
    <w:rsid w:val="69806DE2"/>
    <w:rsid w:val="69851CC1"/>
    <w:rsid w:val="6986397E"/>
    <w:rsid w:val="69992CD3"/>
    <w:rsid w:val="699F653B"/>
    <w:rsid w:val="69A27DD9"/>
    <w:rsid w:val="69A43B52"/>
    <w:rsid w:val="69AB379E"/>
    <w:rsid w:val="69B144C0"/>
    <w:rsid w:val="69B67D29"/>
    <w:rsid w:val="69B813AB"/>
    <w:rsid w:val="69B875FD"/>
    <w:rsid w:val="69B95123"/>
    <w:rsid w:val="69BA3375"/>
    <w:rsid w:val="69C11ED6"/>
    <w:rsid w:val="69C52D24"/>
    <w:rsid w:val="69CA189A"/>
    <w:rsid w:val="69CB5582"/>
    <w:rsid w:val="69CF4947"/>
    <w:rsid w:val="69D33B54"/>
    <w:rsid w:val="69D44760"/>
    <w:rsid w:val="69D501AF"/>
    <w:rsid w:val="69D63F27"/>
    <w:rsid w:val="69D81A4D"/>
    <w:rsid w:val="69DF102E"/>
    <w:rsid w:val="69E403F2"/>
    <w:rsid w:val="69E90E02"/>
    <w:rsid w:val="69E95A08"/>
    <w:rsid w:val="69EA19CF"/>
    <w:rsid w:val="69EC2A6F"/>
    <w:rsid w:val="69F34AD9"/>
    <w:rsid w:val="69F85762"/>
    <w:rsid w:val="69FA7B21"/>
    <w:rsid w:val="69FF347E"/>
    <w:rsid w:val="6A0E1913"/>
    <w:rsid w:val="6A14250A"/>
    <w:rsid w:val="6A160BE0"/>
    <w:rsid w:val="6A162576"/>
    <w:rsid w:val="6A1D1B56"/>
    <w:rsid w:val="6A2151A2"/>
    <w:rsid w:val="6A220F1A"/>
    <w:rsid w:val="6A262C10"/>
    <w:rsid w:val="6A262E52"/>
    <w:rsid w:val="6A274783"/>
    <w:rsid w:val="6A280388"/>
    <w:rsid w:val="6A2C3B47"/>
    <w:rsid w:val="6A2F7F7F"/>
    <w:rsid w:val="6A345D2B"/>
    <w:rsid w:val="6A386990"/>
    <w:rsid w:val="6A451009"/>
    <w:rsid w:val="6A484E25"/>
    <w:rsid w:val="6A520EC7"/>
    <w:rsid w:val="6A54159A"/>
    <w:rsid w:val="6A554E4C"/>
    <w:rsid w:val="6A5601F1"/>
    <w:rsid w:val="6A5D01A4"/>
    <w:rsid w:val="6A6257BB"/>
    <w:rsid w:val="6A6E4160"/>
    <w:rsid w:val="6A75300F"/>
    <w:rsid w:val="6A7752BD"/>
    <w:rsid w:val="6A793230"/>
    <w:rsid w:val="6A7D43A3"/>
    <w:rsid w:val="6A813F55"/>
    <w:rsid w:val="6A843983"/>
    <w:rsid w:val="6A845731"/>
    <w:rsid w:val="6A882502"/>
    <w:rsid w:val="6A8A71EB"/>
    <w:rsid w:val="6A8D0A8A"/>
    <w:rsid w:val="6A8D6CDC"/>
    <w:rsid w:val="6A8E65B0"/>
    <w:rsid w:val="6A8F4802"/>
    <w:rsid w:val="6A9242F2"/>
    <w:rsid w:val="6A95793E"/>
    <w:rsid w:val="6A975464"/>
    <w:rsid w:val="6A9E58E6"/>
    <w:rsid w:val="6A9F07BD"/>
    <w:rsid w:val="6AA33E09"/>
    <w:rsid w:val="6AAD2EDA"/>
    <w:rsid w:val="6AB04609"/>
    <w:rsid w:val="6AB35F6B"/>
    <w:rsid w:val="6ABB2856"/>
    <w:rsid w:val="6ABC311F"/>
    <w:rsid w:val="6ABC4B66"/>
    <w:rsid w:val="6AC36259"/>
    <w:rsid w:val="6AC50223"/>
    <w:rsid w:val="6AC65D4A"/>
    <w:rsid w:val="6ACA583A"/>
    <w:rsid w:val="6ACD532A"/>
    <w:rsid w:val="6AD246EE"/>
    <w:rsid w:val="6AD40467"/>
    <w:rsid w:val="6AD9782B"/>
    <w:rsid w:val="6ADE3093"/>
    <w:rsid w:val="6AE306AA"/>
    <w:rsid w:val="6AE53247"/>
    <w:rsid w:val="6AE82164"/>
    <w:rsid w:val="6AEA1A38"/>
    <w:rsid w:val="6AEE254E"/>
    <w:rsid w:val="6AEE5812"/>
    <w:rsid w:val="6AEF34F2"/>
    <w:rsid w:val="6AF136B5"/>
    <w:rsid w:val="6AF21B10"/>
    <w:rsid w:val="6AF64881"/>
    <w:rsid w:val="6AF87E20"/>
    <w:rsid w:val="6B042D47"/>
    <w:rsid w:val="6B0B7C00"/>
    <w:rsid w:val="6B0F3403"/>
    <w:rsid w:val="6B0F76F1"/>
    <w:rsid w:val="6B1E1B90"/>
    <w:rsid w:val="6B1E33D8"/>
    <w:rsid w:val="6B2667E8"/>
    <w:rsid w:val="6B2B3DFF"/>
    <w:rsid w:val="6B2C2051"/>
    <w:rsid w:val="6B3037F7"/>
    <w:rsid w:val="6B322639"/>
    <w:rsid w:val="6B362ECF"/>
    <w:rsid w:val="6B3727A3"/>
    <w:rsid w:val="6B39476E"/>
    <w:rsid w:val="6B3B2294"/>
    <w:rsid w:val="6B3C7DBA"/>
    <w:rsid w:val="6B454EC0"/>
    <w:rsid w:val="6B4849B1"/>
    <w:rsid w:val="6B4D0219"/>
    <w:rsid w:val="6B517D09"/>
    <w:rsid w:val="6B550839"/>
    <w:rsid w:val="6B5B2936"/>
    <w:rsid w:val="6B67322B"/>
    <w:rsid w:val="6B685053"/>
    <w:rsid w:val="6B6A4927"/>
    <w:rsid w:val="6B6D4417"/>
    <w:rsid w:val="6B721A2E"/>
    <w:rsid w:val="6B7457A6"/>
    <w:rsid w:val="6B7D28AC"/>
    <w:rsid w:val="6B826114"/>
    <w:rsid w:val="6B8359E9"/>
    <w:rsid w:val="6B87057B"/>
    <w:rsid w:val="6B8F0831"/>
    <w:rsid w:val="6B910F2F"/>
    <w:rsid w:val="6B985938"/>
    <w:rsid w:val="6B9C6E7E"/>
    <w:rsid w:val="6B9E2FAD"/>
    <w:rsid w:val="6BA22313"/>
    <w:rsid w:val="6BAE6F0A"/>
    <w:rsid w:val="6BAF67DE"/>
    <w:rsid w:val="6BB34520"/>
    <w:rsid w:val="6BB40298"/>
    <w:rsid w:val="6BB9765C"/>
    <w:rsid w:val="6BC129E5"/>
    <w:rsid w:val="6BC15FEB"/>
    <w:rsid w:val="6BC62339"/>
    <w:rsid w:val="6BC726E9"/>
    <w:rsid w:val="6BCC3834"/>
    <w:rsid w:val="6BCC7390"/>
    <w:rsid w:val="6BD24BEE"/>
    <w:rsid w:val="6BD91AAD"/>
    <w:rsid w:val="6BDD159D"/>
    <w:rsid w:val="6BDD232A"/>
    <w:rsid w:val="6BDD77EF"/>
    <w:rsid w:val="6BDF70C3"/>
    <w:rsid w:val="6BE4744A"/>
    <w:rsid w:val="6BE648F5"/>
    <w:rsid w:val="6BE707AB"/>
    <w:rsid w:val="6BE741CA"/>
    <w:rsid w:val="6BEC7A32"/>
    <w:rsid w:val="6BF064A9"/>
    <w:rsid w:val="6BF12D0E"/>
    <w:rsid w:val="6BF37C86"/>
    <w:rsid w:val="6BF54B38"/>
    <w:rsid w:val="6BF95CAB"/>
    <w:rsid w:val="6C027255"/>
    <w:rsid w:val="6C042FCD"/>
    <w:rsid w:val="6C093CA3"/>
    <w:rsid w:val="6C094140"/>
    <w:rsid w:val="6C0B435C"/>
    <w:rsid w:val="6C0E79A8"/>
    <w:rsid w:val="6C1301B2"/>
    <w:rsid w:val="6C136D6D"/>
    <w:rsid w:val="6C140BE8"/>
    <w:rsid w:val="6C1A459F"/>
    <w:rsid w:val="6C1C27D3"/>
    <w:rsid w:val="6C1F1BB5"/>
    <w:rsid w:val="6C21592D"/>
    <w:rsid w:val="6C2620D6"/>
    <w:rsid w:val="6C271563"/>
    <w:rsid w:val="6C296590"/>
    <w:rsid w:val="6C314B19"/>
    <w:rsid w:val="6C332ECB"/>
    <w:rsid w:val="6C35284A"/>
    <w:rsid w:val="6C397AD4"/>
    <w:rsid w:val="6C3A78FF"/>
    <w:rsid w:val="6C44161C"/>
    <w:rsid w:val="6C47110C"/>
    <w:rsid w:val="6C474C68"/>
    <w:rsid w:val="6C477139"/>
    <w:rsid w:val="6C4C227F"/>
    <w:rsid w:val="6C501D6F"/>
    <w:rsid w:val="6C5B1634"/>
    <w:rsid w:val="6C621AA2"/>
    <w:rsid w:val="6C635F46"/>
    <w:rsid w:val="6C636C38"/>
    <w:rsid w:val="6C656875"/>
    <w:rsid w:val="6C67530A"/>
    <w:rsid w:val="6C69177E"/>
    <w:rsid w:val="6C6E0279"/>
    <w:rsid w:val="6C6F3E6A"/>
    <w:rsid w:val="6C731F01"/>
    <w:rsid w:val="6C733992"/>
    <w:rsid w:val="6C733CAF"/>
    <w:rsid w:val="6C77379F"/>
    <w:rsid w:val="6C81017A"/>
    <w:rsid w:val="6C81461E"/>
    <w:rsid w:val="6C8464FF"/>
    <w:rsid w:val="6C88775B"/>
    <w:rsid w:val="6C891725"/>
    <w:rsid w:val="6C8B0FF9"/>
    <w:rsid w:val="6C8C247E"/>
    <w:rsid w:val="6C90660F"/>
    <w:rsid w:val="6C912BF5"/>
    <w:rsid w:val="6C944351"/>
    <w:rsid w:val="6C954476"/>
    <w:rsid w:val="6C9A2A2B"/>
    <w:rsid w:val="6CA16CF9"/>
    <w:rsid w:val="6CA9321C"/>
    <w:rsid w:val="6CAD71C1"/>
    <w:rsid w:val="6CB56076"/>
    <w:rsid w:val="6CB71DEE"/>
    <w:rsid w:val="6CBC2D4B"/>
    <w:rsid w:val="6CBD4B15"/>
    <w:rsid w:val="6CBE4CBD"/>
    <w:rsid w:val="6CC4275D"/>
    <w:rsid w:val="6CC462B9"/>
    <w:rsid w:val="6CD137EF"/>
    <w:rsid w:val="6CD24580"/>
    <w:rsid w:val="6CDF0A95"/>
    <w:rsid w:val="6CE1330F"/>
    <w:rsid w:val="6CEE0A37"/>
    <w:rsid w:val="6CEF1588"/>
    <w:rsid w:val="6CEF77DA"/>
    <w:rsid w:val="6CF44DF0"/>
    <w:rsid w:val="6CF7043C"/>
    <w:rsid w:val="6CF7668E"/>
    <w:rsid w:val="6CF941B4"/>
    <w:rsid w:val="6D056FFD"/>
    <w:rsid w:val="6D0D1A0E"/>
    <w:rsid w:val="6D140FEE"/>
    <w:rsid w:val="6D1A2A2E"/>
    <w:rsid w:val="6D1C7EA3"/>
    <w:rsid w:val="6D1E3C1B"/>
    <w:rsid w:val="6D203E37"/>
    <w:rsid w:val="6D260D22"/>
    <w:rsid w:val="6D2B458A"/>
    <w:rsid w:val="6D394EF9"/>
    <w:rsid w:val="6D3C0545"/>
    <w:rsid w:val="6D3F4D5E"/>
    <w:rsid w:val="6D486EEA"/>
    <w:rsid w:val="6D505D9E"/>
    <w:rsid w:val="6D527D69"/>
    <w:rsid w:val="6D592EA5"/>
    <w:rsid w:val="6D5C10A0"/>
    <w:rsid w:val="6D6C0E2A"/>
    <w:rsid w:val="6D6D6950"/>
    <w:rsid w:val="6D741A8D"/>
    <w:rsid w:val="6D77332B"/>
    <w:rsid w:val="6D7B5B74"/>
    <w:rsid w:val="6D7D4FF5"/>
    <w:rsid w:val="6D800432"/>
    <w:rsid w:val="6D813B74"/>
    <w:rsid w:val="6D8A305E"/>
    <w:rsid w:val="6D8B6DD7"/>
    <w:rsid w:val="6D8E6FF3"/>
    <w:rsid w:val="6D8F0250"/>
    <w:rsid w:val="6D8F2D6B"/>
    <w:rsid w:val="6D921B15"/>
    <w:rsid w:val="6D977010"/>
    <w:rsid w:val="6DAC33FE"/>
    <w:rsid w:val="6DAC7479"/>
    <w:rsid w:val="6DB14A8F"/>
    <w:rsid w:val="6DB34098"/>
    <w:rsid w:val="6DB427D1"/>
    <w:rsid w:val="6DB545B6"/>
    <w:rsid w:val="6DB77BCC"/>
    <w:rsid w:val="6DB93944"/>
    <w:rsid w:val="6DB97C1C"/>
    <w:rsid w:val="6DBB590E"/>
    <w:rsid w:val="6DC20A4A"/>
    <w:rsid w:val="6DC6690E"/>
    <w:rsid w:val="6DCA3DA3"/>
    <w:rsid w:val="6DCC7B1B"/>
    <w:rsid w:val="6DCE3893"/>
    <w:rsid w:val="6DCF13B9"/>
    <w:rsid w:val="6DCF760B"/>
    <w:rsid w:val="6DD30EA9"/>
    <w:rsid w:val="6DD32C57"/>
    <w:rsid w:val="6DD864C0"/>
    <w:rsid w:val="6DDC19CE"/>
    <w:rsid w:val="6DDE15FC"/>
    <w:rsid w:val="6DE02FB4"/>
    <w:rsid w:val="6DE63302"/>
    <w:rsid w:val="6DE85FD7"/>
    <w:rsid w:val="6DE94229"/>
    <w:rsid w:val="6DEA5DF4"/>
    <w:rsid w:val="6DEA61F3"/>
    <w:rsid w:val="6DF10206"/>
    <w:rsid w:val="6DF350A8"/>
    <w:rsid w:val="6DF606F4"/>
    <w:rsid w:val="6DFB1C41"/>
    <w:rsid w:val="6DFB21AE"/>
    <w:rsid w:val="6DFF3A4C"/>
    <w:rsid w:val="6E0B442C"/>
    <w:rsid w:val="6E0C59DE"/>
    <w:rsid w:val="6E14501E"/>
    <w:rsid w:val="6E1C4F72"/>
    <w:rsid w:val="6E201C15"/>
    <w:rsid w:val="6E277B0B"/>
    <w:rsid w:val="6E2C05BA"/>
    <w:rsid w:val="6E2E4332"/>
    <w:rsid w:val="6E2F768A"/>
    <w:rsid w:val="6E34121C"/>
    <w:rsid w:val="6E36237B"/>
    <w:rsid w:val="6E3851B0"/>
    <w:rsid w:val="6E3B2A00"/>
    <w:rsid w:val="6E405E13"/>
    <w:rsid w:val="6E445903"/>
    <w:rsid w:val="6E4F136D"/>
    <w:rsid w:val="6E514CED"/>
    <w:rsid w:val="6E540DCA"/>
    <w:rsid w:val="6E657628"/>
    <w:rsid w:val="6E663ACB"/>
    <w:rsid w:val="6E6A700D"/>
    <w:rsid w:val="6E6E472E"/>
    <w:rsid w:val="6E70494A"/>
    <w:rsid w:val="6E755ABD"/>
    <w:rsid w:val="6E7A1325"/>
    <w:rsid w:val="6E7D0E15"/>
    <w:rsid w:val="6E8201DA"/>
    <w:rsid w:val="6E865123"/>
    <w:rsid w:val="6E8A108B"/>
    <w:rsid w:val="6E8C2E06"/>
    <w:rsid w:val="6E8D3A60"/>
    <w:rsid w:val="6E8E3022"/>
    <w:rsid w:val="6E906D9A"/>
    <w:rsid w:val="6E934195"/>
    <w:rsid w:val="6E957F0D"/>
    <w:rsid w:val="6E9C0F62"/>
    <w:rsid w:val="6EA2262A"/>
    <w:rsid w:val="6EA36ACE"/>
    <w:rsid w:val="6EA77C40"/>
    <w:rsid w:val="6EAB3BD4"/>
    <w:rsid w:val="6EAC5256"/>
    <w:rsid w:val="6EB563D5"/>
    <w:rsid w:val="6EB56801"/>
    <w:rsid w:val="6EB760D5"/>
    <w:rsid w:val="6EBD7464"/>
    <w:rsid w:val="6EBF142E"/>
    <w:rsid w:val="6EBF31DC"/>
    <w:rsid w:val="6EC3650B"/>
    <w:rsid w:val="6ECB7CF4"/>
    <w:rsid w:val="6ECD55A7"/>
    <w:rsid w:val="6ED442EF"/>
    <w:rsid w:val="6ED57F01"/>
    <w:rsid w:val="6ED77DCF"/>
    <w:rsid w:val="6ED8604B"/>
    <w:rsid w:val="6ED924EF"/>
    <w:rsid w:val="6ED92677"/>
    <w:rsid w:val="6EDC5B3C"/>
    <w:rsid w:val="6EE13152"/>
    <w:rsid w:val="6EE17187"/>
    <w:rsid w:val="6EE175F6"/>
    <w:rsid w:val="6EE42BD4"/>
    <w:rsid w:val="6EE7443A"/>
    <w:rsid w:val="6EE964AB"/>
    <w:rsid w:val="6EED1AF7"/>
    <w:rsid w:val="6EED7D49"/>
    <w:rsid w:val="6EEE586F"/>
    <w:rsid w:val="6EF03BAE"/>
    <w:rsid w:val="6EF3427B"/>
    <w:rsid w:val="6EFB3425"/>
    <w:rsid w:val="6EFC1D3A"/>
    <w:rsid w:val="6EFC61DE"/>
    <w:rsid w:val="6EFD5AB2"/>
    <w:rsid w:val="6F094457"/>
    <w:rsid w:val="6F103A37"/>
    <w:rsid w:val="6F156FA6"/>
    <w:rsid w:val="6F184E3C"/>
    <w:rsid w:val="6F1928EC"/>
    <w:rsid w:val="6F1A48B6"/>
    <w:rsid w:val="6F1C6FE8"/>
    <w:rsid w:val="6F225983"/>
    <w:rsid w:val="6F241291"/>
    <w:rsid w:val="6F2474E3"/>
    <w:rsid w:val="6F2677F5"/>
    <w:rsid w:val="6F2D45E9"/>
    <w:rsid w:val="6F376153"/>
    <w:rsid w:val="6F3E67F6"/>
    <w:rsid w:val="6F4162E7"/>
    <w:rsid w:val="6F4316AD"/>
    <w:rsid w:val="6F451933"/>
    <w:rsid w:val="6F5304E9"/>
    <w:rsid w:val="6F592433"/>
    <w:rsid w:val="6F5B1156"/>
    <w:rsid w:val="6F5B5AA7"/>
    <w:rsid w:val="6F60676D"/>
    <w:rsid w:val="6F6618A9"/>
    <w:rsid w:val="6F6B7127"/>
    <w:rsid w:val="6F6D49E6"/>
    <w:rsid w:val="6F7246F2"/>
    <w:rsid w:val="6F7940D6"/>
    <w:rsid w:val="6F7A7103"/>
    <w:rsid w:val="6F7A7BBB"/>
    <w:rsid w:val="6F7D4F8D"/>
    <w:rsid w:val="6F80296B"/>
    <w:rsid w:val="6F8A1A3C"/>
    <w:rsid w:val="6F8C57B4"/>
    <w:rsid w:val="6F8C7562"/>
    <w:rsid w:val="6F9401C4"/>
    <w:rsid w:val="6F984159"/>
    <w:rsid w:val="6FA04DBB"/>
    <w:rsid w:val="6FA26D85"/>
    <w:rsid w:val="6FA56875"/>
    <w:rsid w:val="6FA80114"/>
    <w:rsid w:val="6FA81EC2"/>
    <w:rsid w:val="6FAA79E8"/>
    <w:rsid w:val="6FAC3760"/>
    <w:rsid w:val="6FAE6C2F"/>
    <w:rsid w:val="6FB8625F"/>
    <w:rsid w:val="6FB97C2B"/>
    <w:rsid w:val="6FBF6E3C"/>
    <w:rsid w:val="6FC33FD3"/>
    <w:rsid w:val="6FC74C33"/>
    <w:rsid w:val="6FCC3E02"/>
    <w:rsid w:val="6FCF38F2"/>
    <w:rsid w:val="6FD153C2"/>
    <w:rsid w:val="6FD40F09"/>
    <w:rsid w:val="6FDE58E3"/>
    <w:rsid w:val="6FE0165C"/>
    <w:rsid w:val="6FE54EC4"/>
    <w:rsid w:val="6FEA08BF"/>
    <w:rsid w:val="6FEA4288"/>
    <w:rsid w:val="6FEF189F"/>
    <w:rsid w:val="6FEF5D43"/>
    <w:rsid w:val="6FF375E1"/>
    <w:rsid w:val="6FF45233"/>
    <w:rsid w:val="6FF944CB"/>
    <w:rsid w:val="6FFC5590"/>
    <w:rsid w:val="6FFD3FBC"/>
    <w:rsid w:val="6FFE6025"/>
    <w:rsid w:val="6FFF0872"/>
    <w:rsid w:val="70101181"/>
    <w:rsid w:val="70147557"/>
    <w:rsid w:val="70291255"/>
    <w:rsid w:val="70296157"/>
    <w:rsid w:val="702C48A1"/>
    <w:rsid w:val="702F4391"/>
    <w:rsid w:val="70311EB7"/>
    <w:rsid w:val="703674CE"/>
    <w:rsid w:val="703B08C2"/>
    <w:rsid w:val="703E6382"/>
    <w:rsid w:val="703F45D4"/>
    <w:rsid w:val="7040034C"/>
    <w:rsid w:val="70494859"/>
    <w:rsid w:val="70552A5F"/>
    <w:rsid w:val="70555002"/>
    <w:rsid w:val="705838E8"/>
    <w:rsid w:val="70596269"/>
    <w:rsid w:val="705A5B5B"/>
    <w:rsid w:val="705F15EC"/>
    <w:rsid w:val="7064403B"/>
    <w:rsid w:val="70657DB3"/>
    <w:rsid w:val="70667727"/>
    <w:rsid w:val="70691651"/>
    <w:rsid w:val="706C211F"/>
    <w:rsid w:val="706D1DD0"/>
    <w:rsid w:val="70700C31"/>
    <w:rsid w:val="70741DA4"/>
    <w:rsid w:val="70761FC0"/>
    <w:rsid w:val="707678C2"/>
    <w:rsid w:val="707A385E"/>
    <w:rsid w:val="70822713"/>
    <w:rsid w:val="70827D2B"/>
    <w:rsid w:val="7084648B"/>
    <w:rsid w:val="70856B87"/>
    <w:rsid w:val="708E10B8"/>
    <w:rsid w:val="708F70C0"/>
    <w:rsid w:val="709366CE"/>
    <w:rsid w:val="709B37D5"/>
    <w:rsid w:val="709F32C5"/>
    <w:rsid w:val="70A00DEB"/>
    <w:rsid w:val="70A9450D"/>
    <w:rsid w:val="70B12FF8"/>
    <w:rsid w:val="70B13A95"/>
    <w:rsid w:val="70B31C73"/>
    <w:rsid w:val="70B36D70"/>
    <w:rsid w:val="70B62A8A"/>
    <w:rsid w:val="70B91071"/>
    <w:rsid w:val="70C20D61"/>
    <w:rsid w:val="70C745CA"/>
    <w:rsid w:val="70CB3DDE"/>
    <w:rsid w:val="70CE5958"/>
    <w:rsid w:val="70D0347E"/>
    <w:rsid w:val="70D311C0"/>
    <w:rsid w:val="70D527EE"/>
    <w:rsid w:val="70DA60AB"/>
    <w:rsid w:val="70DA799C"/>
    <w:rsid w:val="70DD3DED"/>
    <w:rsid w:val="70E231B1"/>
    <w:rsid w:val="70E64A50"/>
    <w:rsid w:val="70E84C6C"/>
    <w:rsid w:val="70EB475C"/>
    <w:rsid w:val="70EE5FFA"/>
    <w:rsid w:val="70F16E84"/>
    <w:rsid w:val="70F76C5D"/>
    <w:rsid w:val="70FD7FEB"/>
    <w:rsid w:val="71025602"/>
    <w:rsid w:val="710D3179"/>
    <w:rsid w:val="71110AFE"/>
    <w:rsid w:val="71121CE9"/>
    <w:rsid w:val="711229B8"/>
    <w:rsid w:val="711A0B9D"/>
    <w:rsid w:val="711A294B"/>
    <w:rsid w:val="71237A52"/>
    <w:rsid w:val="71245578"/>
    <w:rsid w:val="712612F0"/>
    <w:rsid w:val="713C4FB8"/>
    <w:rsid w:val="713E488C"/>
    <w:rsid w:val="713F0604"/>
    <w:rsid w:val="714479C8"/>
    <w:rsid w:val="71483955"/>
    <w:rsid w:val="714A1482"/>
    <w:rsid w:val="714D0F73"/>
    <w:rsid w:val="71597917"/>
    <w:rsid w:val="715B5300"/>
    <w:rsid w:val="715C7408"/>
    <w:rsid w:val="715E4F2E"/>
    <w:rsid w:val="7161057A"/>
    <w:rsid w:val="71614A1E"/>
    <w:rsid w:val="71630796"/>
    <w:rsid w:val="716345F2"/>
    <w:rsid w:val="71642EB2"/>
    <w:rsid w:val="717209D9"/>
    <w:rsid w:val="71724535"/>
    <w:rsid w:val="71760A1F"/>
    <w:rsid w:val="71775FF0"/>
    <w:rsid w:val="71780C2C"/>
    <w:rsid w:val="717B5AE0"/>
    <w:rsid w:val="717E2164"/>
    <w:rsid w:val="717F5D87"/>
    <w:rsid w:val="71816E6E"/>
    <w:rsid w:val="718524BB"/>
    <w:rsid w:val="7189187F"/>
    <w:rsid w:val="718B2B7A"/>
    <w:rsid w:val="71902C0D"/>
    <w:rsid w:val="719053E2"/>
    <w:rsid w:val="71946BA2"/>
    <w:rsid w:val="71960BAE"/>
    <w:rsid w:val="7197095D"/>
    <w:rsid w:val="71995F66"/>
    <w:rsid w:val="719C5A56"/>
    <w:rsid w:val="719E12D9"/>
    <w:rsid w:val="719E17CE"/>
    <w:rsid w:val="71A010A2"/>
    <w:rsid w:val="71A1198F"/>
    <w:rsid w:val="71AD26E3"/>
    <w:rsid w:val="71AD6875"/>
    <w:rsid w:val="71BB412E"/>
    <w:rsid w:val="71C02DE0"/>
    <w:rsid w:val="71C51D1A"/>
    <w:rsid w:val="71CF1988"/>
    <w:rsid w:val="71D20D5E"/>
    <w:rsid w:val="71D27F8A"/>
    <w:rsid w:val="71D376CA"/>
    <w:rsid w:val="71E03B95"/>
    <w:rsid w:val="71E573FD"/>
    <w:rsid w:val="71ED1FB1"/>
    <w:rsid w:val="71ED53C5"/>
    <w:rsid w:val="71F14076"/>
    <w:rsid w:val="71F254CD"/>
    <w:rsid w:val="71F25676"/>
    <w:rsid w:val="71F31B1A"/>
    <w:rsid w:val="71F907B3"/>
    <w:rsid w:val="71FA44D1"/>
    <w:rsid w:val="71FC02A3"/>
    <w:rsid w:val="71FC7F37"/>
    <w:rsid w:val="71FE04BF"/>
    <w:rsid w:val="71FE0F0D"/>
    <w:rsid w:val="71FE226D"/>
    <w:rsid w:val="71FE401B"/>
    <w:rsid w:val="720535FB"/>
    <w:rsid w:val="72062ED0"/>
    <w:rsid w:val="720A29C0"/>
    <w:rsid w:val="72133C2C"/>
    <w:rsid w:val="72133F6A"/>
    <w:rsid w:val="7218332F"/>
    <w:rsid w:val="72190E55"/>
    <w:rsid w:val="72195DA4"/>
    <w:rsid w:val="721B46C7"/>
    <w:rsid w:val="721B5464"/>
    <w:rsid w:val="72275320"/>
    <w:rsid w:val="72281098"/>
    <w:rsid w:val="7229478E"/>
    <w:rsid w:val="72295D41"/>
    <w:rsid w:val="722A4E10"/>
    <w:rsid w:val="722C0B88"/>
    <w:rsid w:val="722C7ACB"/>
    <w:rsid w:val="72325889"/>
    <w:rsid w:val="72331F17"/>
    <w:rsid w:val="72347A3D"/>
    <w:rsid w:val="723A368C"/>
    <w:rsid w:val="723A3D9F"/>
    <w:rsid w:val="723B701D"/>
    <w:rsid w:val="723B7A2C"/>
    <w:rsid w:val="7242215A"/>
    <w:rsid w:val="72494D2D"/>
    <w:rsid w:val="72553024"/>
    <w:rsid w:val="72563E57"/>
    <w:rsid w:val="72600832"/>
    <w:rsid w:val="72604CD6"/>
    <w:rsid w:val="726227FC"/>
    <w:rsid w:val="726245AA"/>
    <w:rsid w:val="72640322"/>
    <w:rsid w:val="7268496A"/>
    <w:rsid w:val="726A7902"/>
    <w:rsid w:val="726F0358"/>
    <w:rsid w:val="727147ED"/>
    <w:rsid w:val="727442DD"/>
    <w:rsid w:val="72783DCD"/>
    <w:rsid w:val="727918F3"/>
    <w:rsid w:val="727D7636"/>
    <w:rsid w:val="72801FD9"/>
    <w:rsid w:val="72802C82"/>
    <w:rsid w:val="72807126"/>
    <w:rsid w:val="7284105E"/>
    <w:rsid w:val="72895D82"/>
    <w:rsid w:val="728A58AF"/>
    <w:rsid w:val="728C1627"/>
    <w:rsid w:val="728C3CD4"/>
    <w:rsid w:val="728C42F8"/>
    <w:rsid w:val="728C7879"/>
    <w:rsid w:val="729329B5"/>
    <w:rsid w:val="7293478B"/>
    <w:rsid w:val="729504FF"/>
    <w:rsid w:val="72962BB3"/>
    <w:rsid w:val="729B7ABC"/>
    <w:rsid w:val="729D4E7D"/>
    <w:rsid w:val="72A76461"/>
    <w:rsid w:val="72A921D9"/>
    <w:rsid w:val="72A9667D"/>
    <w:rsid w:val="72AC3A77"/>
    <w:rsid w:val="72B03567"/>
    <w:rsid w:val="72B1108D"/>
    <w:rsid w:val="72B312A9"/>
    <w:rsid w:val="72B62B48"/>
    <w:rsid w:val="72B648F6"/>
    <w:rsid w:val="72B70CFA"/>
    <w:rsid w:val="72B8281F"/>
    <w:rsid w:val="72B8655B"/>
    <w:rsid w:val="72BC63B0"/>
    <w:rsid w:val="72C34BED"/>
    <w:rsid w:val="72C5505B"/>
    <w:rsid w:val="72CB03A1"/>
    <w:rsid w:val="72CC4119"/>
    <w:rsid w:val="72CE60E3"/>
    <w:rsid w:val="72D04591"/>
    <w:rsid w:val="72D66D46"/>
    <w:rsid w:val="72D860FE"/>
    <w:rsid w:val="72DD4E02"/>
    <w:rsid w:val="72E01973"/>
    <w:rsid w:val="72E871A5"/>
    <w:rsid w:val="72EB0A43"/>
    <w:rsid w:val="72EC0317"/>
    <w:rsid w:val="72ED47BB"/>
    <w:rsid w:val="72F13B80"/>
    <w:rsid w:val="72F35B4A"/>
    <w:rsid w:val="72F86CBC"/>
    <w:rsid w:val="72FC67AC"/>
    <w:rsid w:val="72FE79C1"/>
    <w:rsid w:val="72FF629D"/>
    <w:rsid w:val="730833A3"/>
    <w:rsid w:val="730B4709"/>
    <w:rsid w:val="73104006"/>
    <w:rsid w:val="73122968"/>
    <w:rsid w:val="7318110C"/>
    <w:rsid w:val="731A6C33"/>
    <w:rsid w:val="731C29AB"/>
    <w:rsid w:val="731F5D5E"/>
    <w:rsid w:val="73221F8B"/>
    <w:rsid w:val="73261A7B"/>
    <w:rsid w:val="732A748F"/>
    <w:rsid w:val="732C6966"/>
    <w:rsid w:val="732D339C"/>
    <w:rsid w:val="733207B2"/>
    <w:rsid w:val="73333E57"/>
    <w:rsid w:val="73337CF4"/>
    <w:rsid w:val="73357976"/>
    <w:rsid w:val="73440153"/>
    <w:rsid w:val="7346211D"/>
    <w:rsid w:val="73467A28"/>
    <w:rsid w:val="7349576A"/>
    <w:rsid w:val="7352461E"/>
    <w:rsid w:val="73552361"/>
    <w:rsid w:val="73593BFF"/>
    <w:rsid w:val="735C36EF"/>
    <w:rsid w:val="735E1215"/>
    <w:rsid w:val="736507F6"/>
    <w:rsid w:val="73690029"/>
    <w:rsid w:val="736D3206"/>
    <w:rsid w:val="736E6F7E"/>
    <w:rsid w:val="73790403"/>
    <w:rsid w:val="737A34D9"/>
    <w:rsid w:val="737C169B"/>
    <w:rsid w:val="737C78ED"/>
    <w:rsid w:val="73814F04"/>
    <w:rsid w:val="73816CB2"/>
    <w:rsid w:val="7386251A"/>
    <w:rsid w:val="73903399"/>
    <w:rsid w:val="73905147"/>
    <w:rsid w:val="73905731"/>
    <w:rsid w:val="73912024"/>
    <w:rsid w:val="73993FFB"/>
    <w:rsid w:val="739C3AEB"/>
    <w:rsid w:val="73A34E7A"/>
    <w:rsid w:val="73A815B4"/>
    <w:rsid w:val="73AB01D2"/>
    <w:rsid w:val="73AB3D2F"/>
    <w:rsid w:val="73B057E9"/>
    <w:rsid w:val="73B726D3"/>
    <w:rsid w:val="73B9469D"/>
    <w:rsid w:val="73BE3A62"/>
    <w:rsid w:val="73C31078"/>
    <w:rsid w:val="73C51294"/>
    <w:rsid w:val="73C51AD5"/>
    <w:rsid w:val="73CB241D"/>
    <w:rsid w:val="73CD0149"/>
    <w:rsid w:val="73CF2113"/>
    <w:rsid w:val="73D03795"/>
    <w:rsid w:val="73D2750D"/>
    <w:rsid w:val="73D72709"/>
    <w:rsid w:val="73D9513E"/>
    <w:rsid w:val="73DC213A"/>
    <w:rsid w:val="73E01C2A"/>
    <w:rsid w:val="73E07E7C"/>
    <w:rsid w:val="73E764CF"/>
    <w:rsid w:val="73EB05CF"/>
    <w:rsid w:val="73ED2599"/>
    <w:rsid w:val="73EE1ECA"/>
    <w:rsid w:val="73F32C1B"/>
    <w:rsid w:val="73F36D32"/>
    <w:rsid w:val="73FA61A1"/>
    <w:rsid w:val="73FC458A"/>
    <w:rsid w:val="73FF7999"/>
    <w:rsid w:val="740000AB"/>
    <w:rsid w:val="74026044"/>
    <w:rsid w:val="7407079A"/>
    <w:rsid w:val="740F0761"/>
    <w:rsid w:val="74122000"/>
    <w:rsid w:val="74145D78"/>
    <w:rsid w:val="74162C5C"/>
    <w:rsid w:val="741872F3"/>
    <w:rsid w:val="741C69DA"/>
    <w:rsid w:val="741D2E7E"/>
    <w:rsid w:val="741E793C"/>
    <w:rsid w:val="741F6613"/>
    <w:rsid w:val="742762AB"/>
    <w:rsid w:val="742A7349"/>
    <w:rsid w:val="742F670E"/>
    <w:rsid w:val="74312486"/>
    <w:rsid w:val="743149F3"/>
    <w:rsid w:val="74341F76"/>
    <w:rsid w:val="743E1047"/>
    <w:rsid w:val="74512B28"/>
    <w:rsid w:val="74526697"/>
    <w:rsid w:val="745368A0"/>
    <w:rsid w:val="7459338C"/>
    <w:rsid w:val="74594E11"/>
    <w:rsid w:val="745E3944"/>
    <w:rsid w:val="74602D6B"/>
    <w:rsid w:val="746277DE"/>
    <w:rsid w:val="746C4659"/>
    <w:rsid w:val="746C6120"/>
    <w:rsid w:val="746D5F66"/>
    <w:rsid w:val="746F2FAE"/>
    <w:rsid w:val="746F7452"/>
    <w:rsid w:val="74730CF0"/>
    <w:rsid w:val="74746816"/>
    <w:rsid w:val="747B5818"/>
    <w:rsid w:val="747E5649"/>
    <w:rsid w:val="747F7695"/>
    <w:rsid w:val="74831634"/>
    <w:rsid w:val="74832312"/>
    <w:rsid w:val="748E3FCA"/>
    <w:rsid w:val="749018A2"/>
    <w:rsid w:val="749431B7"/>
    <w:rsid w:val="74976006"/>
    <w:rsid w:val="749C49FB"/>
    <w:rsid w:val="74A47C1E"/>
    <w:rsid w:val="74A92964"/>
    <w:rsid w:val="74AC30C7"/>
    <w:rsid w:val="74AE7F7A"/>
    <w:rsid w:val="74BA691F"/>
    <w:rsid w:val="74BB4445"/>
    <w:rsid w:val="74C50E20"/>
    <w:rsid w:val="74C74B98"/>
    <w:rsid w:val="74CA112A"/>
    <w:rsid w:val="74CA4688"/>
    <w:rsid w:val="74CE2190"/>
    <w:rsid w:val="74D009B4"/>
    <w:rsid w:val="74D15A17"/>
    <w:rsid w:val="74D84FF7"/>
    <w:rsid w:val="74D86DA5"/>
    <w:rsid w:val="74DA48CB"/>
    <w:rsid w:val="74E120FE"/>
    <w:rsid w:val="74E25E76"/>
    <w:rsid w:val="74E27C24"/>
    <w:rsid w:val="74E474F8"/>
    <w:rsid w:val="74E536B9"/>
    <w:rsid w:val="74E97204"/>
    <w:rsid w:val="74F160B9"/>
    <w:rsid w:val="74F17E67"/>
    <w:rsid w:val="74F464A1"/>
    <w:rsid w:val="750D2173"/>
    <w:rsid w:val="75126F39"/>
    <w:rsid w:val="75153B55"/>
    <w:rsid w:val="751A5CD0"/>
    <w:rsid w:val="75243D99"/>
    <w:rsid w:val="75263FB5"/>
    <w:rsid w:val="752843D2"/>
    <w:rsid w:val="752912F5"/>
    <w:rsid w:val="752C0824"/>
    <w:rsid w:val="752C70F1"/>
    <w:rsid w:val="752E10BB"/>
    <w:rsid w:val="752E2E69"/>
    <w:rsid w:val="75324707"/>
    <w:rsid w:val="7535244A"/>
    <w:rsid w:val="75371D1E"/>
    <w:rsid w:val="75383CE8"/>
    <w:rsid w:val="753C37D8"/>
    <w:rsid w:val="753D485A"/>
    <w:rsid w:val="75422471"/>
    <w:rsid w:val="754461E9"/>
    <w:rsid w:val="754800C4"/>
    <w:rsid w:val="754E350B"/>
    <w:rsid w:val="75570426"/>
    <w:rsid w:val="75572A21"/>
    <w:rsid w:val="755C1784"/>
    <w:rsid w:val="75612D13"/>
    <w:rsid w:val="75647DDF"/>
    <w:rsid w:val="75671ED7"/>
    <w:rsid w:val="756D3991"/>
    <w:rsid w:val="756D573F"/>
    <w:rsid w:val="75705230"/>
    <w:rsid w:val="75717BEA"/>
    <w:rsid w:val="75780272"/>
    <w:rsid w:val="757E0A55"/>
    <w:rsid w:val="757E1DE7"/>
    <w:rsid w:val="75897D86"/>
    <w:rsid w:val="758D193E"/>
    <w:rsid w:val="75956A44"/>
    <w:rsid w:val="759E3B4B"/>
    <w:rsid w:val="759F5B15"/>
    <w:rsid w:val="75A1363B"/>
    <w:rsid w:val="75A153E9"/>
    <w:rsid w:val="75A31161"/>
    <w:rsid w:val="75A44ED9"/>
    <w:rsid w:val="75B570E6"/>
    <w:rsid w:val="75B710B1"/>
    <w:rsid w:val="75B82733"/>
    <w:rsid w:val="75BA294F"/>
    <w:rsid w:val="75BA7AA0"/>
    <w:rsid w:val="75BB05D7"/>
    <w:rsid w:val="75BC2223"/>
    <w:rsid w:val="75C0018D"/>
    <w:rsid w:val="75C55947"/>
    <w:rsid w:val="75C639BC"/>
    <w:rsid w:val="75C814F0"/>
    <w:rsid w:val="75CB06B8"/>
    <w:rsid w:val="75D73501"/>
    <w:rsid w:val="75D91BB6"/>
    <w:rsid w:val="75DB4A50"/>
    <w:rsid w:val="75DC28C5"/>
    <w:rsid w:val="75DE488F"/>
    <w:rsid w:val="75DF4163"/>
    <w:rsid w:val="75E1612D"/>
    <w:rsid w:val="75E31EA6"/>
    <w:rsid w:val="75E654F2"/>
    <w:rsid w:val="75EA4FE2"/>
    <w:rsid w:val="75EF43A6"/>
    <w:rsid w:val="75F21DD6"/>
    <w:rsid w:val="75F424E7"/>
    <w:rsid w:val="75F61BD9"/>
    <w:rsid w:val="75FC2F67"/>
    <w:rsid w:val="760065B4"/>
    <w:rsid w:val="7602665F"/>
    <w:rsid w:val="76030621"/>
    <w:rsid w:val="760C11BB"/>
    <w:rsid w:val="760F67F7"/>
    <w:rsid w:val="761B33ED"/>
    <w:rsid w:val="761D53B8"/>
    <w:rsid w:val="76215EAA"/>
    <w:rsid w:val="76224E84"/>
    <w:rsid w:val="76277FE4"/>
    <w:rsid w:val="762B1157"/>
    <w:rsid w:val="762D3121"/>
    <w:rsid w:val="7635099D"/>
    <w:rsid w:val="7638286F"/>
    <w:rsid w:val="76382EF1"/>
    <w:rsid w:val="76452218"/>
    <w:rsid w:val="764C63FC"/>
    <w:rsid w:val="765A0362"/>
    <w:rsid w:val="76634D94"/>
    <w:rsid w:val="76636B42"/>
    <w:rsid w:val="766D79C1"/>
    <w:rsid w:val="76704EB1"/>
    <w:rsid w:val="7671041E"/>
    <w:rsid w:val="7671300D"/>
    <w:rsid w:val="76740D50"/>
    <w:rsid w:val="76764AC8"/>
    <w:rsid w:val="76767446"/>
    <w:rsid w:val="767C63A1"/>
    <w:rsid w:val="768014A2"/>
    <w:rsid w:val="76876CD5"/>
    <w:rsid w:val="768C6099"/>
    <w:rsid w:val="768E0063"/>
    <w:rsid w:val="769211D6"/>
    <w:rsid w:val="76966F18"/>
    <w:rsid w:val="769A5857"/>
    <w:rsid w:val="76AE4262"/>
    <w:rsid w:val="76AF1D88"/>
    <w:rsid w:val="76B17F38"/>
    <w:rsid w:val="76B63116"/>
    <w:rsid w:val="76B92232"/>
    <w:rsid w:val="76B92C06"/>
    <w:rsid w:val="76BC4B17"/>
    <w:rsid w:val="76BD5245"/>
    <w:rsid w:val="76C9109B"/>
    <w:rsid w:val="76CA6BC2"/>
    <w:rsid w:val="76CF5F86"/>
    <w:rsid w:val="76D33CC8"/>
    <w:rsid w:val="76D714E9"/>
    <w:rsid w:val="76D90BB3"/>
    <w:rsid w:val="76DA2B62"/>
    <w:rsid w:val="76DD0B62"/>
    <w:rsid w:val="76DD4B47"/>
    <w:rsid w:val="76DF266D"/>
    <w:rsid w:val="76E00627"/>
    <w:rsid w:val="76E2215D"/>
    <w:rsid w:val="76E25CB9"/>
    <w:rsid w:val="76E47C83"/>
    <w:rsid w:val="76E60D1D"/>
    <w:rsid w:val="76E71638"/>
    <w:rsid w:val="76F8372F"/>
    <w:rsid w:val="76FA6102"/>
    <w:rsid w:val="76FC681D"/>
    <w:rsid w:val="76FD3722"/>
    <w:rsid w:val="77092B46"/>
    <w:rsid w:val="770E4D00"/>
    <w:rsid w:val="77163BB5"/>
    <w:rsid w:val="77185B7F"/>
    <w:rsid w:val="771D4CCD"/>
    <w:rsid w:val="771D4F43"/>
    <w:rsid w:val="771F2A69"/>
    <w:rsid w:val="77242776"/>
    <w:rsid w:val="77253DF8"/>
    <w:rsid w:val="772E0EFE"/>
    <w:rsid w:val="772E53A2"/>
    <w:rsid w:val="77302EC9"/>
    <w:rsid w:val="773057B7"/>
    <w:rsid w:val="77356731"/>
    <w:rsid w:val="7738583F"/>
    <w:rsid w:val="773C186D"/>
    <w:rsid w:val="773F310C"/>
    <w:rsid w:val="77413963"/>
    <w:rsid w:val="774626EC"/>
    <w:rsid w:val="775070C7"/>
    <w:rsid w:val="7755292F"/>
    <w:rsid w:val="775F555C"/>
    <w:rsid w:val="7768259E"/>
    <w:rsid w:val="776E579F"/>
    <w:rsid w:val="777208E7"/>
    <w:rsid w:val="77737FAD"/>
    <w:rsid w:val="77762421"/>
    <w:rsid w:val="77764653"/>
    <w:rsid w:val="777C7EBC"/>
    <w:rsid w:val="777D59E2"/>
    <w:rsid w:val="777F557A"/>
    <w:rsid w:val="777F79AC"/>
    <w:rsid w:val="778154D2"/>
    <w:rsid w:val="77862AE9"/>
    <w:rsid w:val="77910D23"/>
    <w:rsid w:val="77925931"/>
    <w:rsid w:val="77933457"/>
    <w:rsid w:val="779571D0"/>
    <w:rsid w:val="77A47413"/>
    <w:rsid w:val="77A6318B"/>
    <w:rsid w:val="77A76544"/>
    <w:rsid w:val="77B05DB7"/>
    <w:rsid w:val="77B56B1F"/>
    <w:rsid w:val="77B77146"/>
    <w:rsid w:val="77BF5FFA"/>
    <w:rsid w:val="77C41863"/>
    <w:rsid w:val="77C902F7"/>
    <w:rsid w:val="77C96E79"/>
    <w:rsid w:val="77CD0717"/>
    <w:rsid w:val="77CD4BBB"/>
    <w:rsid w:val="77CD6969"/>
    <w:rsid w:val="77D221D2"/>
    <w:rsid w:val="77D726AA"/>
    <w:rsid w:val="77DA2E34"/>
    <w:rsid w:val="77DF044B"/>
    <w:rsid w:val="77E048EF"/>
    <w:rsid w:val="77ED2B68"/>
    <w:rsid w:val="77ED700C"/>
    <w:rsid w:val="77F008AA"/>
    <w:rsid w:val="77F42148"/>
    <w:rsid w:val="77F9775E"/>
    <w:rsid w:val="78000AED"/>
    <w:rsid w:val="78050FF1"/>
    <w:rsid w:val="780649BD"/>
    <w:rsid w:val="780A196C"/>
    <w:rsid w:val="780C068C"/>
    <w:rsid w:val="780D6D66"/>
    <w:rsid w:val="780E5940"/>
    <w:rsid w:val="780F09F4"/>
    <w:rsid w:val="78167E1F"/>
    <w:rsid w:val="781D3088"/>
    <w:rsid w:val="78204835"/>
    <w:rsid w:val="782B3690"/>
    <w:rsid w:val="782F4F2E"/>
    <w:rsid w:val="78340796"/>
    <w:rsid w:val="783764D9"/>
    <w:rsid w:val="783F015E"/>
    <w:rsid w:val="78450BF6"/>
    <w:rsid w:val="784529A4"/>
    <w:rsid w:val="784B7B6B"/>
    <w:rsid w:val="784C03BE"/>
    <w:rsid w:val="784C3D32"/>
    <w:rsid w:val="784D1858"/>
    <w:rsid w:val="785C7CED"/>
    <w:rsid w:val="785E75C1"/>
    <w:rsid w:val="7860158C"/>
    <w:rsid w:val="786B1CDE"/>
    <w:rsid w:val="787212BF"/>
    <w:rsid w:val="78755213"/>
    <w:rsid w:val="78760DAF"/>
    <w:rsid w:val="78762B5D"/>
    <w:rsid w:val="78811502"/>
    <w:rsid w:val="78850FF2"/>
    <w:rsid w:val="788C6E30"/>
    <w:rsid w:val="788D60F9"/>
    <w:rsid w:val="78915BE9"/>
    <w:rsid w:val="789E20B4"/>
    <w:rsid w:val="78A82F32"/>
    <w:rsid w:val="78A90480"/>
    <w:rsid w:val="78AB4862"/>
    <w:rsid w:val="78B43685"/>
    <w:rsid w:val="78BB2C66"/>
    <w:rsid w:val="78C064CE"/>
    <w:rsid w:val="78C23FF4"/>
    <w:rsid w:val="78C57641"/>
    <w:rsid w:val="78C87131"/>
    <w:rsid w:val="78C935D5"/>
    <w:rsid w:val="78CC09CF"/>
    <w:rsid w:val="78D11B3B"/>
    <w:rsid w:val="78D17470"/>
    <w:rsid w:val="78D75BCD"/>
    <w:rsid w:val="78D83818"/>
    <w:rsid w:val="78DF4BA6"/>
    <w:rsid w:val="78E10112"/>
    <w:rsid w:val="78E451E5"/>
    <w:rsid w:val="78E51A91"/>
    <w:rsid w:val="78E75809"/>
    <w:rsid w:val="78EF46BD"/>
    <w:rsid w:val="78F817C4"/>
    <w:rsid w:val="78FB12B4"/>
    <w:rsid w:val="78FB3062"/>
    <w:rsid w:val="78FB7506"/>
    <w:rsid w:val="78FF06C3"/>
    <w:rsid w:val="78FF6FF6"/>
    <w:rsid w:val="79072D7D"/>
    <w:rsid w:val="791030B5"/>
    <w:rsid w:val="79146C05"/>
    <w:rsid w:val="79167E9C"/>
    <w:rsid w:val="791D747D"/>
    <w:rsid w:val="79202AC9"/>
    <w:rsid w:val="792627D5"/>
    <w:rsid w:val="792C66D0"/>
    <w:rsid w:val="793213BE"/>
    <w:rsid w:val="793574F8"/>
    <w:rsid w:val="79393B8B"/>
    <w:rsid w:val="793B3DA7"/>
    <w:rsid w:val="793D18CD"/>
    <w:rsid w:val="793D7B1F"/>
    <w:rsid w:val="794070CC"/>
    <w:rsid w:val="7942728A"/>
    <w:rsid w:val="794964C4"/>
    <w:rsid w:val="794C554F"/>
    <w:rsid w:val="794E3ADA"/>
    <w:rsid w:val="795135CA"/>
    <w:rsid w:val="795409C4"/>
    <w:rsid w:val="79584959"/>
    <w:rsid w:val="795B1D53"/>
    <w:rsid w:val="79667075"/>
    <w:rsid w:val="796B643A"/>
    <w:rsid w:val="796C3F60"/>
    <w:rsid w:val="796E5F2A"/>
    <w:rsid w:val="79703A50"/>
    <w:rsid w:val="79752E15"/>
    <w:rsid w:val="79782905"/>
    <w:rsid w:val="797B776E"/>
    <w:rsid w:val="798017B9"/>
    <w:rsid w:val="79803BF1"/>
    <w:rsid w:val="798219D5"/>
    <w:rsid w:val="798448D3"/>
    <w:rsid w:val="798C7E33"/>
    <w:rsid w:val="79905EA0"/>
    <w:rsid w:val="79915775"/>
    <w:rsid w:val="79960FDD"/>
    <w:rsid w:val="79984D55"/>
    <w:rsid w:val="799920F5"/>
    <w:rsid w:val="799A0ACD"/>
    <w:rsid w:val="79A4194C"/>
    <w:rsid w:val="79A436FA"/>
    <w:rsid w:val="79A656C4"/>
    <w:rsid w:val="79A71AC5"/>
    <w:rsid w:val="79A96F62"/>
    <w:rsid w:val="79B0209F"/>
    <w:rsid w:val="79B207FB"/>
    <w:rsid w:val="79B31B8F"/>
    <w:rsid w:val="79B67B89"/>
    <w:rsid w:val="79B7167F"/>
    <w:rsid w:val="79CC49FF"/>
    <w:rsid w:val="79E969C7"/>
    <w:rsid w:val="79EA058B"/>
    <w:rsid w:val="79F226B7"/>
    <w:rsid w:val="79F24465"/>
    <w:rsid w:val="79F3642F"/>
    <w:rsid w:val="79F93A46"/>
    <w:rsid w:val="79FC2949"/>
    <w:rsid w:val="7A04063C"/>
    <w:rsid w:val="7A0423EA"/>
    <w:rsid w:val="7A047108"/>
    <w:rsid w:val="7A067F11"/>
    <w:rsid w:val="7A0D2A14"/>
    <w:rsid w:val="7A0E0E14"/>
    <w:rsid w:val="7A0F5C0A"/>
    <w:rsid w:val="7A102AD6"/>
    <w:rsid w:val="7A131682"/>
    <w:rsid w:val="7A140880"/>
    <w:rsid w:val="7A1545F8"/>
    <w:rsid w:val="7A2400E4"/>
    <w:rsid w:val="7A293BFF"/>
    <w:rsid w:val="7A2B5BC9"/>
    <w:rsid w:val="7A2F7467"/>
    <w:rsid w:val="7A3031E0"/>
    <w:rsid w:val="7A35468C"/>
    <w:rsid w:val="7A364017"/>
    <w:rsid w:val="7A392094"/>
    <w:rsid w:val="7A3E3B4E"/>
    <w:rsid w:val="7A3E76AA"/>
    <w:rsid w:val="7A401722"/>
    <w:rsid w:val="7A440A39"/>
    <w:rsid w:val="7A4D7BEC"/>
    <w:rsid w:val="7A4F18B8"/>
    <w:rsid w:val="7A513882"/>
    <w:rsid w:val="7A560E98"/>
    <w:rsid w:val="7A57076C"/>
    <w:rsid w:val="7A5C1B2E"/>
    <w:rsid w:val="7A5E5F9F"/>
    <w:rsid w:val="7A603AC5"/>
    <w:rsid w:val="7A620D5B"/>
    <w:rsid w:val="7A682979"/>
    <w:rsid w:val="7A6A66F1"/>
    <w:rsid w:val="7A6D4434"/>
    <w:rsid w:val="7A6F3D08"/>
    <w:rsid w:val="7A70182E"/>
    <w:rsid w:val="7A756757"/>
    <w:rsid w:val="7A796935"/>
    <w:rsid w:val="7A7BC388"/>
    <w:rsid w:val="7A802D36"/>
    <w:rsid w:val="7A8265E1"/>
    <w:rsid w:val="7A831561"/>
    <w:rsid w:val="7A861051"/>
    <w:rsid w:val="7A884DCA"/>
    <w:rsid w:val="7A8F6158"/>
    <w:rsid w:val="7A923E9A"/>
    <w:rsid w:val="7A965738"/>
    <w:rsid w:val="7A9C0875"/>
    <w:rsid w:val="7A9F63DB"/>
    <w:rsid w:val="7AAB2866"/>
    <w:rsid w:val="7AAD4830"/>
    <w:rsid w:val="7AB23BF5"/>
    <w:rsid w:val="7AB55309"/>
    <w:rsid w:val="7AB91427"/>
    <w:rsid w:val="7AB97C43"/>
    <w:rsid w:val="7ABB519F"/>
    <w:rsid w:val="7ABE6A3D"/>
    <w:rsid w:val="7AC064D7"/>
    <w:rsid w:val="7AC32AFD"/>
    <w:rsid w:val="7AC41290"/>
    <w:rsid w:val="7ACA7190"/>
    <w:rsid w:val="7ACF0C4A"/>
    <w:rsid w:val="7AD46261"/>
    <w:rsid w:val="7ADD4E85"/>
    <w:rsid w:val="7AE00762"/>
    <w:rsid w:val="7AE2097E"/>
    <w:rsid w:val="7AE446F6"/>
    <w:rsid w:val="7AE50A54"/>
    <w:rsid w:val="7AE71AF0"/>
    <w:rsid w:val="7AE80371"/>
    <w:rsid w:val="7AED0900"/>
    <w:rsid w:val="7AED2E7F"/>
    <w:rsid w:val="7AEE3247"/>
    <w:rsid w:val="7AF1471D"/>
    <w:rsid w:val="7AF619D9"/>
    <w:rsid w:val="7AFD57B8"/>
    <w:rsid w:val="7B0271A1"/>
    <w:rsid w:val="7B0326A2"/>
    <w:rsid w:val="7B0A57DF"/>
    <w:rsid w:val="7B0D5121"/>
    <w:rsid w:val="7B1228E5"/>
    <w:rsid w:val="7B133AD1"/>
    <w:rsid w:val="7B242D44"/>
    <w:rsid w:val="7B256ABC"/>
    <w:rsid w:val="7B2965AD"/>
    <w:rsid w:val="7B2C31E8"/>
    <w:rsid w:val="7B2E0F79"/>
    <w:rsid w:val="7B2E5971"/>
    <w:rsid w:val="7B33037F"/>
    <w:rsid w:val="7B332F87"/>
    <w:rsid w:val="7B354F51"/>
    <w:rsid w:val="7B38059E"/>
    <w:rsid w:val="7B393932"/>
    <w:rsid w:val="7B3A2568"/>
    <w:rsid w:val="7B407452"/>
    <w:rsid w:val="7B436BB5"/>
    <w:rsid w:val="7B4927AB"/>
    <w:rsid w:val="7B4E0D73"/>
    <w:rsid w:val="7B4F7368"/>
    <w:rsid w:val="7B5573A2"/>
    <w:rsid w:val="7B565D97"/>
    <w:rsid w:val="7B686D42"/>
    <w:rsid w:val="7B6960F7"/>
    <w:rsid w:val="7B6A4D4E"/>
    <w:rsid w:val="7B6C46EB"/>
    <w:rsid w:val="7B6F1AE6"/>
    <w:rsid w:val="7B7B3252"/>
    <w:rsid w:val="7B7E2A90"/>
    <w:rsid w:val="7B841746"/>
    <w:rsid w:val="7B8437E3"/>
    <w:rsid w:val="7B876E2F"/>
    <w:rsid w:val="7B892BA7"/>
    <w:rsid w:val="7B8C08E9"/>
    <w:rsid w:val="7B8E4662"/>
    <w:rsid w:val="7B902188"/>
    <w:rsid w:val="7B911033"/>
    <w:rsid w:val="7B95779E"/>
    <w:rsid w:val="7B9754A8"/>
    <w:rsid w:val="7B9A0B28"/>
    <w:rsid w:val="7B9A4DB4"/>
    <w:rsid w:val="7B9D6653"/>
    <w:rsid w:val="7B9E4147"/>
    <w:rsid w:val="7BA63759"/>
    <w:rsid w:val="7BA93249"/>
    <w:rsid w:val="7BAD26A1"/>
    <w:rsid w:val="7BAE0860"/>
    <w:rsid w:val="7BB019E1"/>
    <w:rsid w:val="7BB120FE"/>
    <w:rsid w:val="7BC260B9"/>
    <w:rsid w:val="7BC568B0"/>
    <w:rsid w:val="7BC97448"/>
    <w:rsid w:val="7BCC0CE6"/>
    <w:rsid w:val="7BCC6F38"/>
    <w:rsid w:val="7BCE4A5E"/>
    <w:rsid w:val="7BCE59F5"/>
    <w:rsid w:val="7BD007D6"/>
    <w:rsid w:val="7BD61B65"/>
    <w:rsid w:val="7BD77DB7"/>
    <w:rsid w:val="7BDB557C"/>
    <w:rsid w:val="7BDC384D"/>
    <w:rsid w:val="7BDF310F"/>
    <w:rsid w:val="7BDF6C6B"/>
    <w:rsid w:val="7BE129E3"/>
    <w:rsid w:val="7BE3090B"/>
    <w:rsid w:val="7BE6624C"/>
    <w:rsid w:val="7BEE3352"/>
    <w:rsid w:val="7BEE3B11"/>
    <w:rsid w:val="7BF02C26"/>
    <w:rsid w:val="7BF5023D"/>
    <w:rsid w:val="7C06244A"/>
    <w:rsid w:val="7C077F70"/>
    <w:rsid w:val="7C093CE8"/>
    <w:rsid w:val="7C0B7A60"/>
    <w:rsid w:val="7C136915"/>
    <w:rsid w:val="7C164ACD"/>
    <w:rsid w:val="7C1E3C37"/>
    <w:rsid w:val="7C1F4BEF"/>
    <w:rsid w:val="7C2154D6"/>
    <w:rsid w:val="7C224DAA"/>
    <w:rsid w:val="7C240FE0"/>
    <w:rsid w:val="7C2823C0"/>
    <w:rsid w:val="7C2D0C2C"/>
    <w:rsid w:val="7C2D3E7B"/>
    <w:rsid w:val="7C2D5C29"/>
    <w:rsid w:val="7C305719"/>
    <w:rsid w:val="7C32323F"/>
    <w:rsid w:val="7C324FED"/>
    <w:rsid w:val="7C397E67"/>
    <w:rsid w:val="7C413482"/>
    <w:rsid w:val="7C4411C4"/>
    <w:rsid w:val="7C4C480C"/>
    <w:rsid w:val="7C5261B1"/>
    <w:rsid w:val="7C547659"/>
    <w:rsid w:val="7C5807CC"/>
    <w:rsid w:val="7C5A4544"/>
    <w:rsid w:val="7C5C7250"/>
    <w:rsid w:val="7C6158D2"/>
    <w:rsid w:val="7C6630AC"/>
    <w:rsid w:val="7C686C61"/>
    <w:rsid w:val="7C6B6751"/>
    <w:rsid w:val="7C6C5AC7"/>
    <w:rsid w:val="7C6C6178"/>
    <w:rsid w:val="7C6D4277"/>
    <w:rsid w:val="7C727ADF"/>
    <w:rsid w:val="7C75312C"/>
    <w:rsid w:val="7C7B2E38"/>
    <w:rsid w:val="7C7E469A"/>
    <w:rsid w:val="7C827506"/>
    <w:rsid w:val="7C831CEC"/>
    <w:rsid w:val="7C855A65"/>
    <w:rsid w:val="7C863207"/>
    <w:rsid w:val="7C8B6DF3"/>
    <w:rsid w:val="7C8F243F"/>
    <w:rsid w:val="7C935348"/>
    <w:rsid w:val="7C9A00E3"/>
    <w:rsid w:val="7C9E6B26"/>
    <w:rsid w:val="7CA67789"/>
    <w:rsid w:val="7CA81753"/>
    <w:rsid w:val="7CAD4FBB"/>
    <w:rsid w:val="7CBA4FE2"/>
    <w:rsid w:val="7CBB3234"/>
    <w:rsid w:val="7CBD476D"/>
    <w:rsid w:val="7CC06A9D"/>
    <w:rsid w:val="7CC6544B"/>
    <w:rsid w:val="7CCA57E3"/>
    <w:rsid w:val="7CDB38D7"/>
    <w:rsid w:val="7CDC2CEC"/>
    <w:rsid w:val="7CE309DD"/>
    <w:rsid w:val="7CE30EA6"/>
    <w:rsid w:val="7CE7227B"/>
    <w:rsid w:val="7CEA1D6C"/>
    <w:rsid w:val="7CF76237"/>
    <w:rsid w:val="7CF93D5D"/>
    <w:rsid w:val="7CFB7AD5"/>
    <w:rsid w:val="7CFE5817"/>
    <w:rsid w:val="7D00736A"/>
    <w:rsid w:val="7D0239FF"/>
    <w:rsid w:val="7D056BA5"/>
    <w:rsid w:val="7D0746CC"/>
    <w:rsid w:val="7D0F5623"/>
    <w:rsid w:val="7D104A16"/>
    <w:rsid w:val="7D252DA4"/>
    <w:rsid w:val="7D254B52"/>
    <w:rsid w:val="7D2708CA"/>
    <w:rsid w:val="7D303C46"/>
    <w:rsid w:val="7D315300"/>
    <w:rsid w:val="7D344D95"/>
    <w:rsid w:val="7D3923AB"/>
    <w:rsid w:val="7D3F48B7"/>
    <w:rsid w:val="7D40198C"/>
    <w:rsid w:val="7D456A8A"/>
    <w:rsid w:val="7D4613AE"/>
    <w:rsid w:val="7D480840"/>
    <w:rsid w:val="7D4C3528"/>
    <w:rsid w:val="7D4D399C"/>
    <w:rsid w:val="7D516AD8"/>
    <w:rsid w:val="7D584F27"/>
    <w:rsid w:val="7D59469C"/>
    <w:rsid w:val="7D5E0064"/>
    <w:rsid w:val="7D5E40CD"/>
    <w:rsid w:val="7D5F62B6"/>
    <w:rsid w:val="7D605B8A"/>
    <w:rsid w:val="7D6513F2"/>
    <w:rsid w:val="7D6869EF"/>
    <w:rsid w:val="7D6F7954"/>
    <w:rsid w:val="7D7D498E"/>
    <w:rsid w:val="7D7F24B4"/>
    <w:rsid w:val="7D822BC0"/>
    <w:rsid w:val="7D847CD1"/>
    <w:rsid w:val="7D856921"/>
    <w:rsid w:val="7D891584"/>
    <w:rsid w:val="7D8C6BBD"/>
    <w:rsid w:val="7D8D6379"/>
    <w:rsid w:val="7D913F95"/>
    <w:rsid w:val="7D965A4F"/>
    <w:rsid w:val="7D9677FD"/>
    <w:rsid w:val="7D9C12B8"/>
    <w:rsid w:val="7D9F66B2"/>
    <w:rsid w:val="7DA97531"/>
    <w:rsid w:val="7DAA5057"/>
    <w:rsid w:val="7DAE3F2A"/>
    <w:rsid w:val="7DAF0AC7"/>
    <w:rsid w:val="7DB12889"/>
    <w:rsid w:val="7DC66335"/>
    <w:rsid w:val="7DCC321F"/>
    <w:rsid w:val="7DCD56F2"/>
    <w:rsid w:val="7DD07709"/>
    <w:rsid w:val="7DD32800"/>
    <w:rsid w:val="7DD56578"/>
    <w:rsid w:val="7DD86068"/>
    <w:rsid w:val="7DDE5A58"/>
    <w:rsid w:val="7DE14F1D"/>
    <w:rsid w:val="7DE66538"/>
    <w:rsid w:val="7DE948D5"/>
    <w:rsid w:val="7DEA358E"/>
    <w:rsid w:val="7DEB5D9B"/>
    <w:rsid w:val="7DEC38C1"/>
    <w:rsid w:val="7DF509C8"/>
    <w:rsid w:val="7DFE6714"/>
    <w:rsid w:val="7E024E93"/>
    <w:rsid w:val="7E0724A9"/>
    <w:rsid w:val="7E0B68D2"/>
    <w:rsid w:val="7E0D5D12"/>
    <w:rsid w:val="7E123328"/>
    <w:rsid w:val="7E1478C1"/>
    <w:rsid w:val="7E1D1CCD"/>
    <w:rsid w:val="7E1E3E5A"/>
    <w:rsid w:val="7E2117BD"/>
    <w:rsid w:val="7E2446DE"/>
    <w:rsid w:val="7E2718F2"/>
    <w:rsid w:val="7E322852"/>
    <w:rsid w:val="7E327526"/>
    <w:rsid w:val="7E355268"/>
    <w:rsid w:val="7E357016"/>
    <w:rsid w:val="7E3A462D"/>
    <w:rsid w:val="7E3C2153"/>
    <w:rsid w:val="7E417769"/>
    <w:rsid w:val="7E447259"/>
    <w:rsid w:val="7E492AC2"/>
    <w:rsid w:val="7E4C7B7E"/>
    <w:rsid w:val="7E525E1A"/>
    <w:rsid w:val="7E5356EF"/>
    <w:rsid w:val="7E551467"/>
    <w:rsid w:val="7E5574CE"/>
    <w:rsid w:val="7E573431"/>
    <w:rsid w:val="7E576F8D"/>
    <w:rsid w:val="7E580951"/>
    <w:rsid w:val="7E6416AA"/>
    <w:rsid w:val="7E642830"/>
    <w:rsid w:val="7E6B2A38"/>
    <w:rsid w:val="7E723DC7"/>
    <w:rsid w:val="7E751B09"/>
    <w:rsid w:val="7E786F67"/>
    <w:rsid w:val="7E796EF5"/>
    <w:rsid w:val="7E7B3027"/>
    <w:rsid w:val="7E7C6441"/>
    <w:rsid w:val="7E837D82"/>
    <w:rsid w:val="7E851D4C"/>
    <w:rsid w:val="7E871B78"/>
    <w:rsid w:val="7E923C19"/>
    <w:rsid w:val="7E9973EA"/>
    <w:rsid w:val="7E9975A5"/>
    <w:rsid w:val="7E9E607A"/>
    <w:rsid w:val="7E9F0087"/>
    <w:rsid w:val="7EA17F98"/>
    <w:rsid w:val="7EAD12A3"/>
    <w:rsid w:val="7EB02B41"/>
    <w:rsid w:val="7EBC3294"/>
    <w:rsid w:val="7EBE700C"/>
    <w:rsid w:val="7EC00FD6"/>
    <w:rsid w:val="7ECD54A1"/>
    <w:rsid w:val="7ECF1219"/>
    <w:rsid w:val="7ED12B4C"/>
    <w:rsid w:val="7ED22AB7"/>
    <w:rsid w:val="7ED405DD"/>
    <w:rsid w:val="7ED94F26"/>
    <w:rsid w:val="7EDC1B88"/>
    <w:rsid w:val="7EE84089"/>
    <w:rsid w:val="7EF26CB5"/>
    <w:rsid w:val="7EF96296"/>
    <w:rsid w:val="7EFD1016"/>
    <w:rsid w:val="7EFE1AFE"/>
    <w:rsid w:val="7F001CE7"/>
    <w:rsid w:val="7F01339C"/>
    <w:rsid w:val="7F0A2251"/>
    <w:rsid w:val="7F0C5FC9"/>
    <w:rsid w:val="7F1175C2"/>
    <w:rsid w:val="7F121106"/>
    <w:rsid w:val="7F144E7E"/>
    <w:rsid w:val="7F160BF6"/>
    <w:rsid w:val="7F167764"/>
    <w:rsid w:val="7F195F49"/>
    <w:rsid w:val="7F201A75"/>
    <w:rsid w:val="7F203823"/>
    <w:rsid w:val="7F231565"/>
    <w:rsid w:val="7F2C666B"/>
    <w:rsid w:val="7F384193"/>
    <w:rsid w:val="7F3D4789"/>
    <w:rsid w:val="7F3E639F"/>
    <w:rsid w:val="7F477001"/>
    <w:rsid w:val="7F48063B"/>
    <w:rsid w:val="7F4E65E2"/>
    <w:rsid w:val="7F517E80"/>
    <w:rsid w:val="7F556DFE"/>
    <w:rsid w:val="7F572FBC"/>
    <w:rsid w:val="7F587460"/>
    <w:rsid w:val="7F593CA8"/>
    <w:rsid w:val="7F5C73B6"/>
    <w:rsid w:val="7F617217"/>
    <w:rsid w:val="7F637BB3"/>
    <w:rsid w:val="7F6776A3"/>
    <w:rsid w:val="7F69341C"/>
    <w:rsid w:val="7F6F6558"/>
    <w:rsid w:val="7F74591C"/>
    <w:rsid w:val="7F770242"/>
    <w:rsid w:val="7F78540D"/>
    <w:rsid w:val="7F820039"/>
    <w:rsid w:val="7F8813C8"/>
    <w:rsid w:val="7F8A631A"/>
    <w:rsid w:val="7F8C0EB8"/>
    <w:rsid w:val="7F8F6BFA"/>
    <w:rsid w:val="7F932247"/>
    <w:rsid w:val="7F963AE5"/>
    <w:rsid w:val="7F9972FD"/>
    <w:rsid w:val="7F9E2999"/>
    <w:rsid w:val="7FA6636D"/>
    <w:rsid w:val="7FA97CBC"/>
    <w:rsid w:val="7FAD516F"/>
    <w:rsid w:val="7FB0104A"/>
    <w:rsid w:val="7FB64187"/>
    <w:rsid w:val="7FC44AF6"/>
    <w:rsid w:val="7FC5261C"/>
    <w:rsid w:val="7FC65992"/>
    <w:rsid w:val="7FC71EF0"/>
    <w:rsid w:val="7FD0762A"/>
    <w:rsid w:val="7FD85EAB"/>
    <w:rsid w:val="7FD879C8"/>
    <w:rsid w:val="7FDD34C2"/>
    <w:rsid w:val="7FDF548C"/>
    <w:rsid w:val="7FDF723A"/>
    <w:rsid w:val="7FE231CE"/>
    <w:rsid w:val="7FE47E50"/>
    <w:rsid w:val="7FE505C8"/>
    <w:rsid w:val="7FEF3663"/>
    <w:rsid w:val="7FF058EB"/>
    <w:rsid w:val="7FF32CE5"/>
    <w:rsid w:val="7FF37378"/>
    <w:rsid w:val="7FF76C79"/>
    <w:rsid w:val="7FFA4074"/>
    <w:rsid w:val="7FFB7DEC"/>
    <w:rsid w:val="7FFC4290"/>
    <w:rsid w:val="CFFF87D6"/>
    <w:rsid w:val="FFFA986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0" w:semiHidden="0" w:name="heading 2" w:locked="1"/>
    <w:lsdException w:qFormat="1" w:unhideWhenUsed="0" w:uiPriority="0" w:semiHidden="0" w:name="heading 3" w:locked="1"/>
    <w:lsdException w:qFormat="1" w:uiPriority="0" w:semiHidden="0" w:name="heading 4" w:locked="1"/>
    <w:lsdException w:qFormat="1"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qFormat="1"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99"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qFormat="1"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qFormat="1"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99" w:semiHidden="0" w:name="Block Text" w:locked="1"/>
    <w:lsdException w:qFormat="1" w:unhideWhenUsed="0" w:uiPriority="0" w:semiHidden="0" w:name="Hyperlink" w:locked="1"/>
    <w:lsdException w:qFormat="1" w:unhideWhenUsed="0" w:uiPriority="0" w:semiHidden="0" w:name="FollowedHyperlink" w:locked="1"/>
    <w:lsdException w:qFormat="1" w:unhideWhenUsed="0" w:uiPriority="22"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semiHidden="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qFormat="1"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99" w:semiHidden="0" w:name="Balloon Text"/>
    <w:lsdException w:qFormat="1" w:unhideWhenUsed="0" w:uiPriority="0" w:semiHidden="0" w:name="Table Grid"/>
    <w:lsdException w:qFormat="1"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utoSpaceDE w:val="0"/>
      <w:autoSpaceDN w:val="0"/>
      <w:adjustRightInd w:val="0"/>
      <w:snapToGrid w:val="0"/>
      <w:spacing w:line="360" w:lineRule="auto"/>
      <w:ind w:firstLine="1040" w:firstLineChars="200"/>
      <w:jc w:val="both"/>
    </w:pPr>
    <w:rPr>
      <w:rFonts w:ascii="Times New Roman" w:hAnsi="Times New Roman" w:eastAsia="宋体" w:cs="Times New Roman"/>
      <w:kern w:val="2"/>
      <w:sz w:val="24"/>
      <w:szCs w:val="24"/>
      <w:lang w:val="en-US" w:eastAsia="zh-CN" w:bidi="ar-SA"/>
    </w:rPr>
  </w:style>
  <w:style w:type="paragraph" w:styleId="4">
    <w:name w:val="heading 1"/>
    <w:basedOn w:val="1"/>
    <w:next w:val="1"/>
    <w:link w:val="43"/>
    <w:qFormat/>
    <w:locked/>
    <w:uiPriority w:val="0"/>
    <w:pPr>
      <w:keepNext/>
      <w:overflowPunct w:val="0"/>
      <w:snapToGrid w:val="0"/>
      <w:spacing w:before="100" w:beforeLines="100" w:after="100" w:afterLines="100" w:line="480" w:lineRule="exact"/>
      <w:ind w:left="0" w:firstLine="0" w:firstLineChars="0"/>
      <w:jc w:val="center"/>
      <w:outlineLvl w:val="0"/>
    </w:pPr>
    <w:rPr>
      <w:rFonts w:eastAsia="黑体"/>
      <w:b/>
      <w:bCs/>
      <w:color w:val="000000"/>
      <w:kern w:val="44"/>
      <w:sz w:val="30"/>
      <w:szCs w:val="30"/>
    </w:rPr>
  </w:style>
  <w:style w:type="paragraph" w:styleId="5">
    <w:name w:val="heading 2"/>
    <w:basedOn w:val="1"/>
    <w:next w:val="1"/>
    <w:link w:val="44"/>
    <w:qFormat/>
    <w:locked/>
    <w:uiPriority w:val="0"/>
    <w:pPr>
      <w:keepNext/>
      <w:keepLines/>
      <w:spacing w:line="360" w:lineRule="auto"/>
      <w:outlineLvl w:val="1"/>
    </w:pPr>
    <w:rPr>
      <w:b/>
      <w:bCs/>
      <w:szCs w:val="32"/>
    </w:rPr>
  </w:style>
  <w:style w:type="paragraph" w:styleId="6">
    <w:name w:val="heading 3"/>
    <w:basedOn w:val="1"/>
    <w:next w:val="7"/>
    <w:link w:val="45"/>
    <w:qFormat/>
    <w:locked/>
    <w:uiPriority w:val="0"/>
    <w:pPr>
      <w:keepNext/>
      <w:keepLines/>
      <w:adjustRightInd w:val="0"/>
      <w:spacing w:before="160" w:line="360" w:lineRule="auto"/>
      <w:jc w:val="left"/>
      <w:textAlignment w:val="baseline"/>
      <w:outlineLvl w:val="2"/>
    </w:pPr>
    <w:rPr>
      <w:rFonts w:eastAsia="黑体"/>
      <w:b/>
      <w:sz w:val="24"/>
      <w:szCs w:val="20"/>
    </w:rPr>
  </w:style>
  <w:style w:type="paragraph" w:styleId="8">
    <w:name w:val="heading 4"/>
    <w:basedOn w:val="1"/>
    <w:next w:val="1"/>
    <w:unhideWhenUsed/>
    <w:qFormat/>
    <w:locked/>
    <w:uiPriority w:val="0"/>
    <w:pPr>
      <w:spacing w:before="100" w:beforeAutospacing="1" w:after="100" w:afterAutospacing="1"/>
      <w:jc w:val="left"/>
      <w:outlineLvl w:val="3"/>
    </w:pPr>
    <w:rPr>
      <w:rFonts w:hint="eastAsia" w:ascii="宋体" w:hAnsi="宋体" w:eastAsia="宋体" w:cs="宋体"/>
      <w:b/>
      <w:bCs/>
      <w:kern w:val="0"/>
      <w:sz w:val="24"/>
      <w:szCs w:val="24"/>
      <w:lang w:val="en-US" w:eastAsia="zh-CN" w:bidi="ar"/>
    </w:rPr>
  </w:style>
  <w:style w:type="paragraph" w:styleId="9">
    <w:name w:val="heading 5"/>
    <w:basedOn w:val="1"/>
    <w:next w:val="1"/>
    <w:link w:val="47"/>
    <w:unhideWhenUsed/>
    <w:qFormat/>
    <w:locked/>
    <w:uiPriority w:val="0"/>
    <w:pPr>
      <w:keepNext/>
      <w:keepLines/>
      <w:spacing w:line="240" w:lineRule="auto"/>
      <w:ind w:firstLine="0" w:firstLineChars="0"/>
      <w:jc w:val="center"/>
      <w:outlineLvl w:val="4"/>
    </w:pPr>
    <w:rPr>
      <w:b/>
      <w:bCs/>
      <w:sz w:val="21"/>
      <w:szCs w:val="28"/>
    </w:rPr>
  </w:style>
  <w:style w:type="character" w:default="1" w:styleId="36">
    <w:name w:val="Default Paragraph Font"/>
    <w:semiHidden/>
    <w:qFormat/>
    <w:uiPriority w:val="0"/>
  </w:style>
  <w:style w:type="table" w:default="1" w:styleId="34">
    <w:name w:val="Normal Table"/>
    <w:semiHidden/>
    <w:qFormat/>
    <w:uiPriority w:val="0"/>
    <w:pPr>
      <w:keepNext w:val="0"/>
      <w:keepLines w:val="0"/>
      <w:widowControl/>
      <w:suppressLineNumbers w:val="0"/>
      <w:spacing w:before="0" w:beforeAutospacing="0" w:after="0" w:afterAutospacing="0"/>
      <w:ind w:left="0" w:right="0"/>
    </w:pPr>
    <w:rPr>
      <w:rFonts w:ascii="Calibri" w:hAnsi="Calibri" w:eastAsia="宋体" w:cs="Times New Roman"/>
      <w:kern w:val="2"/>
      <w:sz w:val="21"/>
      <w:szCs w:val="22"/>
    </w:rPr>
    <w:tblPr>
      <w:tblCellMar>
        <w:top w:w="0" w:type="dxa"/>
        <w:left w:w="108" w:type="dxa"/>
        <w:bottom w:w="0" w:type="dxa"/>
        <w:right w:w="108" w:type="dxa"/>
      </w:tblCellMar>
    </w:tblPr>
  </w:style>
  <w:style w:type="paragraph" w:styleId="2">
    <w:name w:val="footer"/>
    <w:basedOn w:val="1"/>
    <w:next w:val="3"/>
    <w:link w:val="58"/>
    <w:qFormat/>
    <w:uiPriority w:val="99"/>
    <w:pPr>
      <w:tabs>
        <w:tab w:val="center" w:pos="4153"/>
        <w:tab w:val="right" w:pos="8306"/>
      </w:tabs>
      <w:snapToGrid w:val="0"/>
      <w:ind w:right="360" w:firstLine="360"/>
      <w:jc w:val="center"/>
    </w:pPr>
    <w:rPr>
      <w:kern w:val="0"/>
      <w:sz w:val="18"/>
      <w:szCs w:val="20"/>
    </w:rPr>
  </w:style>
  <w:style w:type="paragraph" w:styleId="3">
    <w:name w:val="index 5"/>
    <w:basedOn w:val="1"/>
    <w:next w:val="1"/>
    <w:qFormat/>
    <w:locked/>
    <w:uiPriority w:val="0"/>
    <w:pPr>
      <w:ind w:left="1680"/>
    </w:pPr>
  </w:style>
  <w:style w:type="paragraph" w:styleId="7">
    <w:name w:val="Normal Indent"/>
    <w:basedOn w:val="1"/>
    <w:next w:val="8"/>
    <w:link w:val="46"/>
    <w:qFormat/>
    <w:locked/>
    <w:uiPriority w:val="0"/>
    <w:pPr>
      <w:keepNext w:val="0"/>
      <w:keepLines w:val="0"/>
      <w:widowControl w:val="0"/>
      <w:suppressLineNumbers w:val="0"/>
      <w:spacing w:before="0" w:beforeAutospacing="0" w:after="0" w:afterAutospacing="0"/>
      <w:ind w:left="0" w:right="0" w:firstLine="420" w:firstLineChars="200"/>
      <w:jc w:val="both"/>
    </w:pPr>
    <w:rPr>
      <w:rFonts w:hint="default" w:ascii="Times New Roman" w:hAnsi="Times New Roman" w:eastAsia="宋体" w:cs="Times New Roman"/>
      <w:kern w:val="2"/>
      <w:sz w:val="21"/>
      <w:szCs w:val="24"/>
      <w:lang w:val="en-US" w:eastAsia="zh-CN" w:bidi="ar"/>
    </w:rPr>
  </w:style>
  <w:style w:type="paragraph" w:styleId="10">
    <w:name w:val="Note Heading"/>
    <w:basedOn w:val="1"/>
    <w:next w:val="1"/>
    <w:unhideWhenUsed/>
    <w:qFormat/>
    <w:locked/>
    <w:uiPriority w:val="0"/>
    <w:pPr>
      <w:widowControl w:val="0"/>
      <w:autoSpaceDE/>
      <w:autoSpaceDN/>
      <w:spacing w:beforeLines="0" w:afterLines="0"/>
      <w:jc w:val="center"/>
    </w:pPr>
    <w:rPr>
      <w:rFonts w:hint="eastAsia" w:ascii="Times New Roman" w:eastAsia="Times New Roman"/>
      <w:sz w:val="21"/>
      <w:szCs w:val="21"/>
    </w:rPr>
  </w:style>
  <w:style w:type="paragraph" w:styleId="11">
    <w:name w:val="caption"/>
    <w:basedOn w:val="1"/>
    <w:next w:val="1"/>
    <w:qFormat/>
    <w:locked/>
    <w:uiPriority w:val="99"/>
    <w:pPr>
      <w:spacing w:before="160" w:after="160" w:line="288" w:lineRule="auto"/>
      <w:ind w:firstLine="510"/>
      <w:jc w:val="center"/>
    </w:pPr>
    <w:rPr>
      <w:rFonts w:ascii="Arial" w:hAnsi="Arial" w:eastAsia="黑体"/>
      <w:sz w:val="24"/>
      <w:szCs w:val="20"/>
    </w:rPr>
  </w:style>
  <w:style w:type="paragraph" w:styleId="12">
    <w:name w:val="Document Map"/>
    <w:basedOn w:val="1"/>
    <w:link w:val="48"/>
    <w:qFormat/>
    <w:locked/>
    <w:uiPriority w:val="0"/>
    <w:pPr>
      <w:shd w:val="clear" w:color="auto" w:fill="000080"/>
    </w:pPr>
  </w:style>
  <w:style w:type="paragraph" w:styleId="13">
    <w:name w:val="annotation text"/>
    <w:basedOn w:val="1"/>
    <w:link w:val="49"/>
    <w:qFormat/>
    <w:uiPriority w:val="0"/>
    <w:pPr>
      <w:jc w:val="left"/>
    </w:pPr>
    <w:rPr>
      <w:kern w:val="0"/>
      <w:sz w:val="24"/>
      <w:szCs w:val="20"/>
    </w:rPr>
  </w:style>
  <w:style w:type="paragraph" w:styleId="14">
    <w:name w:val="Salutation"/>
    <w:basedOn w:val="1"/>
    <w:next w:val="1"/>
    <w:link w:val="50"/>
    <w:qFormat/>
    <w:locked/>
    <w:uiPriority w:val="0"/>
    <w:rPr>
      <w:sz w:val="28"/>
      <w:szCs w:val="28"/>
    </w:rPr>
  </w:style>
  <w:style w:type="paragraph" w:styleId="15">
    <w:name w:val="Body Text"/>
    <w:basedOn w:val="1"/>
    <w:next w:val="16"/>
    <w:link w:val="51"/>
    <w:qFormat/>
    <w:uiPriority w:val="0"/>
    <w:pPr>
      <w:widowControl/>
      <w:snapToGrid w:val="0"/>
      <w:spacing w:before="60" w:after="160" w:line="259" w:lineRule="auto"/>
      <w:ind w:right="113"/>
    </w:pPr>
    <w:rPr>
      <w:kern w:val="0"/>
      <w:sz w:val="18"/>
      <w:szCs w:val="20"/>
    </w:rPr>
  </w:style>
  <w:style w:type="paragraph" w:styleId="16">
    <w:name w:val="List Bullet 5"/>
    <w:basedOn w:val="1"/>
    <w:qFormat/>
    <w:locked/>
    <w:uiPriority w:val="0"/>
    <w:pPr>
      <w:numPr>
        <w:ilvl w:val="0"/>
        <w:numId w:val="1"/>
      </w:numPr>
    </w:pPr>
  </w:style>
  <w:style w:type="paragraph" w:styleId="17">
    <w:name w:val="Body Text Indent"/>
    <w:basedOn w:val="1"/>
    <w:next w:val="1"/>
    <w:link w:val="53"/>
    <w:qFormat/>
    <w:uiPriority w:val="0"/>
    <w:pPr>
      <w:spacing w:after="120"/>
      <w:ind w:left="420" w:leftChars="200"/>
    </w:pPr>
    <w:rPr>
      <w:kern w:val="0"/>
      <w:sz w:val="24"/>
      <w:szCs w:val="20"/>
    </w:rPr>
  </w:style>
  <w:style w:type="paragraph" w:styleId="18">
    <w:name w:val="Block Text"/>
    <w:basedOn w:val="1"/>
    <w:next w:val="1"/>
    <w:qFormat/>
    <w:locked/>
    <w:uiPriority w:val="99"/>
    <w:pPr>
      <w:widowControl w:val="0"/>
      <w:ind w:left="420" w:right="-147" w:rightChars="-70" w:hanging="420" w:hangingChars="200"/>
    </w:pPr>
    <w:rPr>
      <w:szCs w:val="24"/>
    </w:rPr>
  </w:style>
  <w:style w:type="paragraph" w:styleId="19">
    <w:name w:val="Plain Text"/>
    <w:basedOn w:val="1"/>
    <w:next w:val="1"/>
    <w:link w:val="54"/>
    <w:qFormat/>
    <w:locked/>
    <w:uiPriority w:val="0"/>
    <w:pPr>
      <w:keepNext w:val="0"/>
      <w:keepLines w:val="0"/>
      <w:widowControl w:val="0"/>
      <w:suppressLineNumbers w:val="0"/>
      <w:adjustRightInd w:val="0"/>
      <w:spacing w:before="0" w:beforeAutospacing="0" w:after="0" w:afterAutospacing="0" w:line="312" w:lineRule="atLeast"/>
      <w:ind w:left="0" w:right="0"/>
      <w:jc w:val="both"/>
    </w:pPr>
    <w:rPr>
      <w:rFonts w:hint="eastAsia" w:ascii="宋体" w:hAnsi="Courier New" w:eastAsia="宋体" w:cs="Times New Roman"/>
      <w:kern w:val="0"/>
      <w:sz w:val="21"/>
      <w:szCs w:val="20"/>
      <w:lang w:val="en-US" w:eastAsia="zh-CN" w:bidi="ar"/>
    </w:rPr>
  </w:style>
  <w:style w:type="paragraph" w:styleId="20">
    <w:name w:val="Date"/>
    <w:basedOn w:val="1"/>
    <w:next w:val="1"/>
    <w:link w:val="55"/>
    <w:qFormat/>
    <w:uiPriority w:val="0"/>
    <w:pPr>
      <w:ind w:left="100" w:leftChars="2500"/>
    </w:pPr>
    <w:rPr>
      <w:kern w:val="0"/>
      <w:sz w:val="24"/>
      <w:szCs w:val="20"/>
    </w:rPr>
  </w:style>
  <w:style w:type="paragraph" w:styleId="21">
    <w:name w:val="Body Text Indent 2"/>
    <w:basedOn w:val="1"/>
    <w:link w:val="56"/>
    <w:qFormat/>
    <w:locked/>
    <w:uiPriority w:val="0"/>
    <w:pPr>
      <w:spacing w:after="120" w:line="480" w:lineRule="auto"/>
      <w:ind w:left="420" w:leftChars="200"/>
    </w:pPr>
  </w:style>
  <w:style w:type="paragraph" w:styleId="22">
    <w:name w:val="Balloon Text"/>
    <w:basedOn w:val="1"/>
    <w:link w:val="57"/>
    <w:qFormat/>
    <w:uiPriority w:val="99"/>
    <w:rPr>
      <w:kern w:val="0"/>
      <w:sz w:val="18"/>
      <w:szCs w:val="20"/>
    </w:rPr>
  </w:style>
  <w:style w:type="paragraph" w:styleId="23">
    <w:name w:val="header"/>
    <w:basedOn w:val="1"/>
    <w:next w:val="1"/>
    <w:link w:val="59"/>
    <w:qFormat/>
    <w:uiPriority w:val="0"/>
    <w:pPr>
      <w:pBdr>
        <w:bottom w:val="single" w:color="auto" w:sz="6" w:space="1"/>
      </w:pBdr>
      <w:tabs>
        <w:tab w:val="center" w:pos="4153"/>
        <w:tab w:val="right" w:pos="8306"/>
      </w:tabs>
      <w:snapToGrid w:val="0"/>
      <w:jc w:val="center"/>
    </w:pPr>
    <w:rPr>
      <w:kern w:val="0"/>
      <w:sz w:val="18"/>
      <w:szCs w:val="20"/>
    </w:rPr>
  </w:style>
  <w:style w:type="paragraph" w:styleId="24">
    <w:name w:val="toc 1"/>
    <w:basedOn w:val="1"/>
    <w:next w:val="1"/>
    <w:qFormat/>
    <w:locked/>
    <w:uiPriority w:val="0"/>
    <w:pPr>
      <w:tabs>
        <w:tab w:val="right" w:leader="dot" w:pos="8296"/>
      </w:tabs>
      <w:spacing w:line="480" w:lineRule="exact"/>
    </w:pPr>
    <w:rPr>
      <w:b/>
      <w:bCs/>
      <w:kern w:val="44"/>
      <w:sz w:val="24"/>
    </w:rPr>
  </w:style>
  <w:style w:type="paragraph" w:styleId="25">
    <w:name w:val="List"/>
    <w:basedOn w:val="1"/>
    <w:qFormat/>
    <w:locked/>
    <w:uiPriority w:val="0"/>
    <w:pPr>
      <w:ind w:left="200" w:hanging="200" w:hangingChars="200"/>
      <w:contextualSpacing/>
    </w:pPr>
  </w:style>
  <w:style w:type="paragraph" w:styleId="26">
    <w:name w:val="Body Text Indent 3"/>
    <w:basedOn w:val="1"/>
    <w:link w:val="60"/>
    <w:qFormat/>
    <w:locked/>
    <w:uiPriority w:val="0"/>
    <w:pPr>
      <w:spacing w:line="300" w:lineRule="auto"/>
      <w:ind w:firstLine="480" w:firstLineChars="200"/>
    </w:pPr>
    <w:rPr>
      <w:sz w:val="24"/>
    </w:rPr>
  </w:style>
  <w:style w:type="paragraph" w:styleId="27">
    <w:name w:val="Body Text 2"/>
    <w:basedOn w:val="1"/>
    <w:link w:val="52"/>
    <w:qFormat/>
    <w:locked/>
    <w:uiPriority w:val="0"/>
    <w:pPr>
      <w:spacing w:after="120" w:line="480" w:lineRule="auto"/>
    </w:pPr>
  </w:style>
  <w:style w:type="paragraph" w:styleId="28">
    <w:name w:val="HTML Preformatted"/>
    <w:basedOn w:val="1"/>
    <w:link w:val="61"/>
    <w:qFormat/>
    <w:locked/>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29">
    <w:name w:val="Normal (Web)"/>
    <w:basedOn w:val="1"/>
    <w:link w:val="62"/>
    <w:qFormat/>
    <w:uiPriority w:val="0"/>
    <w:pPr>
      <w:widowControl/>
      <w:spacing w:before="100" w:beforeAutospacing="1" w:after="100" w:afterAutospacing="1"/>
      <w:jc w:val="left"/>
    </w:pPr>
    <w:rPr>
      <w:rFonts w:ascii="宋体" w:hAnsi="宋体"/>
      <w:kern w:val="0"/>
      <w:sz w:val="24"/>
      <w:szCs w:val="20"/>
    </w:rPr>
  </w:style>
  <w:style w:type="paragraph" w:styleId="30">
    <w:name w:val="index 1"/>
    <w:basedOn w:val="1"/>
    <w:next w:val="1"/>
    <w:unhideWhenUsed/>
    <w:qFormat/>
    <w:locked/>
    <w:uiPriority w:val="0"/>
    <w:pPr>
      <w:spacing w:line="300" w:lineRule="exact"/>
    </w:pPr>
    <w:rPr>
      <w:rFonts w:ascii="宋体" w:hAnsi="宋体"/>
      <w:spacing w:val="10"/>
    </w:rPr>
  </w:style>
  <w:style w:type="paragraph" w:styleId="31">
    <w:name w:val="annotation subject"/>
    <w:basedOn w:val="13"/>
    <w:next w:val="13"/>
    <w:link w:val="63"/>
    <w:qFormat/>
    <w:uiPriority w:val="0"/>
    <w:rPr>
      <w:b/>
      <w:kern w:val="2"/>
    </w:rPr>
  </w:style>
  <w:style w:type="paragraph" w:styleId="32">
    <w:name w:val="Body Text First Indent"/>
    <w:basedOn w:val="15"/>
    <w:next w:val="1"/>
    <w:link w:val="64"/>
    <w:qFormat/>
    <w:locked/>
    <w:uiPriority w:val="0"/>
    <w:pPr>
      <w:widowControl w:val="0"/>
      <w:snapToGrid/>
      <w:spacing w:before="0" w:after="120" w:line="240" w:lineRule="auto"/>
      <w:ind w:right="0" w:firstLine="420" w:firstLineChars="100"/>
    </w:pPr>
    <w:rPr>
      <w:rFonts w:ascii="方正楷体_GB2312" w:hAnsi="方正楷体_GB2312" w:cs="方正楷体_GB2312"/>
      <w:kern w:val="2"/>
      <w:sz w:val="21"/>
      <w:szCs w:val="24"/>
    </w:rPr>
  </w:style>
  <w:style w:type="paragraph" w:styleId="33">
    <w:name w:val="Body Text First Indent 2"/>
    <w:basedOn w:val="17"/>
    <w:next w:val="1"/>
    <w:link w:val="65"/>
    <w:qFormat/>
    <w:locked/>
    <w:uiPriority w:val="0"/>
    <w:pPr>
      <w:ind w:firstLine="420" w:firstLineChars="200"/>
    </w:pPr>
    <w:rPr>
      <w:kern w:val="2"/>
      <w:sz w:val="21"/>
      <w:szCs w:val="24"/>
    </w:rPr>
  </w:style>
  <w:style w:type="table" w:styleId="35">
    <w:name w:val="Table Grid"/>
    <w:basedOn w:val="34"/>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7">
    <w:name w:val="Strong"/>
    <w:basedOn w:val="36"/>
    <w:qFormat/>
    <w:locked/>
    <w:uiPriority w:val="22"/>
    <w:rPr>
      <w:b/>
      <w:bCs/>
    </w:rPr>
  </w:style>
  <w:style w:type="character" w:styleId="38">
    <w:name w:val="page number"/>
    <w:basedOn w:val="36"/>
    <w:qFormat/>
    <w:locked/>
    <w:uiPriority w:val="0"/>
  </w:style>
  <w:style w:type="character" w:styleId="39">
    <w:name w:val="FollowedHyperlink"/>
    <w:basedOn w:val="36"/>
    <w:qFormat/>
    <w:locked/>
    <w:uiPriority w:val="0"/>
    <w:rPr>
      <w:color w:val="800080"/>
      <w:u w:val="none"/>
    </w:rPr>
  </w:style>
  <w:style w:type="character" w:styleId="40">
    <w:name w:val="Emphasis"/>
    <w:basedOn w:val="36"/>
    <w:qFormat/>
    <w:locked/>
    <w:uiPriority w:val="0"/>
  </w:style>
  <w:style w:type="character" w:styleId="41">
    <w:name w:val="Hyperlink"/>
    <w:basedOn w:val="36"/>
    <w:qFormat/>
    <w:locked/>
    <w:uiPriority w:val="0"/>
    <w:rPr>
      <w:color w:val="3366CC"/>
      <w:u w:val="single"/>
    </w:rPr>
  </w:style>
  <w:style w:type="character" w:styleId="42">
    <w:name w:val="annotation reference"/>
    <w:basedOn w:val="36"/>
    <w:qFormat/>
    <w:uiPriority w:val="0"/>
    <w:rPr>
      <w:sz w:val="21"/>
    </w:rPr>
  </w:style>
  <w:style w:type="character" w:customStyle="1" w:styleId="43">
    <w:name w:val="标题 1 Char"/>
    <w:link w:val="4"/>
    <w:qFormat/>
    <w:uiPriority w:val="0"/>
    <w:rPr>
      <w:rFonts w:eastAsia="黑体"/>
      <w:b/>
      <w:bCs/>
      <w:color w:val="000000"/>
      <w:kern w:val="44"/>
      <w:sz w:val="30"/>
      <w:szCs w:val="30"/>
    </w:rPr>
  </w:style>
  <w:style w:type="character" w:customStyle="1" w:styleId="44">
    <w:name w:val="标题 2 Char"/>
    <w:basedOn w:val="36"/>
    <w:link w:val="5"/>
    <w:qFormat/>
    <w:uiPriority w:val="0"/>
    <w:rPr>
      <w:rFonts w:ascii="Times New Roman" w:hAnsi="Times New Roman" w:eastAsia="宋体"/>
      <w:b/>
      <w:bCs/>
      <w:kern w:val="2"/>
      <w:sz w:val="24"/>
      <w:szCs w:val="32"/>
    </w:rPr>
  </w:style>
  <w:style w:type="character" w:customStyle="1" w:styleId="45">
    <w:name w:val="标题 3 Char"/>
    <w:basedOn w:val="36"/>
    <w:link w:val="6"/>
    <w:qFormat/>
    <w:uiPriority w:val="0"/>
    <w:rPr>
      <w:rFonts w:eastAsia="黑体"/>
      <w:b/>
      <w:kern w:val="2"/>
      <w:sz w:val="24"/>
    </w:rPr>
  </w:style>
  <w:style w:type="character" w:customStyle="1" w:styleId="46">
    <w:name w:val="正文缩进 Char"/>
    <w:basedOn w:val="36"/>
    <w:link w:val="7"/>
    <w:qFormat/>
    <w:uiPriority w:val="0"/>
    <w:rPr>
      <w:kern w:val="2"/>
      <w:sz w:val="21"/>
      <w:szCs w:val="24"/>
    </w:rPr>
  </w:style>
  <w:style w:type="character" w:customStyle="1" w:styleId="47">
    <w:name w:val="标题 5 Char"/>
    <w:basedOn w:val="36"/>
    <w:link w:val="9"/>
    <w:semiHidden/>
    <w:qFormat/>
    <w:uiPriority w:val="0"/>
    <w:rPr>
      <w:rFonts w:eastAsia="宋体"/>
      <w:b/>
      <w:bCs/>
      <w:kern w:val="2"/>
      <w:sz w:val="21"/>
      <w:szCs w:val="28"/>
    </w:rPr>
  </w:style>
  <w:style w:type="character" w:customStyle="1" w:styleId="48">
    <w:name w:val="文档结构图 Char"/>
    <w:basedOn w:val="36"/>
    <w:link w:val="12"/>
    <w:qFormat/>
    <w:uiPriority w:val="0"/>
    <w:rPr>
      <w:kern w:val="2"/>
      <w:sz w:val="21"/>
      <w:szCs w:val="24"/>
      <w:shd w:val="clear" w:color="auto" w:fill="000080"/>
    </w:rPr>
  </w:style>
  <w:style w:type="character" w:customStyle="1" w:styleId="49">
    <w:name w:val="批注文字 Char"/>
    <w:link w:val="13"/>
    <w:qFormat/>
    <w:locked/>
    <w:uiPriority w:val="0"/>
    <w:rPr>
      <w:rFonts w:ascii="Times New Roman" w:hAnsi="Times New Roman" w:eastAsia="宋体"/>
      <w:sz w:val="24"/>
    </w:rPr>
  </w:style>
  <w:style w:type="character" w:customStyle="1" w:styleId="50">
    <w:name w:val="称呼 Char"/>
    <w:basedOn w:val="36"/>
    <w:link w:val="14"/>
    <w:qFormat/>
    <w:uiPriority w:val="0"/>
    <w:rPr>
      <w:kern w:val="2"/>
      <w:sz w:val="28"/>
      <w:szCs w:val="28"/>
    </w:rPr>
  </w:style>
  <w:style w:type="character" w:customStyle="1" w:styleId="51">
    <w:name w:val="正文文本 Char"/>
    <w:link w:val="15"/>
    <w:qFormat/>
    <w:locked/>
    <w:uiPriority w:val="0"/>
    <w:rPr>
      <w:sz w:val="18"/>
    </w:rPr>
  </w:style>
  <w:style w:type="character" w:customStyle="1" w:styleId="52">
    <w:name w:val="正文文本 2 Char"/>
    <w:basedOn w:val="36"/>
    <w:link w:val="27"/>
    <w:qFormat/>
    <w:uiPriority w:val="0"/>
    <w:rPr>
      <w:kern w:val="2"/>
      <w:sz w:val="21"/>
      <w:szCs w:val="24"/>
    </w:rPr>
  </w:style>
  <w:style w:type="character" w:customStyle="1" w:styleId="53">
    <w:name w:val="正文文本缩进 Char"/>
    <w:link w:val="17"/>
    <w:semiHidden/>
    <w:qFormat/>
    <w:locked/>
    <w:uiPriority w:val="0"/>
    <w:rPr>
      <w:rFonts w:ascii="Times New Roman" w:hAnsi="Times New Roman" w:eastAsia="宋体"/>
      <w:sz w:val="24"/>
    </w:rPr>
  </w:style>
  <w:style w:type="character" w:customStyle="1" w:styleId="54">
    <w:name w:val="纯文本 Char"/>
    <w:basedOn w:val="36"/>
    <w:link w:val="19"/>
    <w:qFormat/>
    <w:uiPriority w:val="0"/>
    <w:rPr>
      <w:rFonts w:hint="eastAsia" w:ascii="宋体" w:hAnsi="Courier New" w:eastAsia="宋体" w:cs="宋体"/>
      <w:sz w:val="21"/>
    </w:rPr>
  </w:style>
  <w:style w:type="character" w:customStyle="1" w:styleId="55">
    <w:name w:val="日期 Char"/>
    <w:link w:val="20"/>
    <w:qFormat/>
    <w:locked/>
    <w:uiPriority w:val="0"/>
    <w:rPr>
      <w:rFonts w:ascii="Times New Roman" w:hAnsi="Times New Roman" w:eastAsia="宋体"/>
      <w:sz w:val="24"/>
    </w:rPr>
  </w:style>
  <w:style w:type="character" w:customStyle="1" w:styleId="56">
    <w:name w:val="正文文本缩进 2 Char"/>
    <w:basedOn w:val="36"/>
    <w:link w:val="21"/>
    <w:qFormat/>
    <w:uiPriority w:val="0"/>
    <w:rPr>
      <w:kern w:val="2"/>
      <w:sz w:val="21"/>
      <w:szCs w:val="24"/>
    </w:rPr>
  </w:style>
  <w:style w:type="character" w:customStyle="1" w:styleId="57">
    <w:name w:val="批注框文本 Char"/>
    <w:link w:val="22"/>
    <w:qFormat/>
    <w:locked/>
    <w:uiPriority w:val="99"/>
    <w:rPr>
      <w:rFonts w:ascii="Times New Roman" w:hAnsi="Times New Roman" w:eastAsia="宋体"/>
      <w:sz w:val="18"/>
    </w:rPr>
  </w:style>
  <w:style w:type="character" w:customStyle="1" w:styleId="58">
    <w:name w:val="页脚 Char"/>
    <w:link w:val="2"/>
    <w:qFormat/>
    <w:locked/>
    <w:uiPriority w:val="99"/>
    <w:rPr>
      <w:sz w:val="18"/>
    </w:rPr>
  </w:style>
  <w:style w:type="character" w:customStyle="1" w:styleId="59">
    <w:name w:val="页眉 Char"/>
    <w:link w:val="23"/>
    <w:qFormat/>
    <w:locked/>
    <w:uiPriority w:val="0"/>
    <w:rPr>
      <w:sz w:val="18"/>
    </w:rPr>
  </w:style>
  <w:style w:type="character" w:customStyle="1" w:styleId="60">
    <w:name w:val="正文文本缩进 3 Char"/>
    <w:basedOn w:val="36"/>
    <w:link w:val="26"/>
    <w:qFormat/>
    <w:uiPriority w:val="0"/>
    <w:rPr>
      <w:kern w:val="2"/>
      <w:sz w:val="24"/>
      <w:szCs w:val="24"/>
    </w:rPr>
  </w:style>
  <w:style w:type="character" w:customStyle="1" w:styleId="61">
    <w:name w:val="HTML 预设格式 Char"/>
    <w:basedOn w:val="36"/>
    <w:link w:val="28"/>
    <w:qFormat/>
    <w:uiPriority w:val="0"/>
    <w:rPr>
      <w:rFonts w:ascii="Arial" w:hAnsi="Arial" w:cs="Arial"/>
      <w:sz w:val="21"/>
      <w:szCs w:val="21"/>
    </w:rPr>
  </w:style>
  <w:style w:type="character" w:customStyle="1" w:styleId="62">
    <w:name w:val="普通(网站) Char"/>
    <w:link w:val="29"/>
    <w:qFormat/>
    <w:locked/>
    <w:uiPriority w:val="0"/>
    <w:rPr>
      <w:rFonts w:ascii="宋体" w:hAnsi="宋体" w:eastAsia="宋体"/>
      <w:sz w:val="24"/>
    </w:rPr>
  </w:style>
  <w:style w:type="character" w:customStyle="1" w:styleId="63">
    <w:name w:val="批注主题 Char"/>
    <w:link w:val="31"/>
    <w:semiHidden/>
    <w:qFormat/>
    <w:locked/>
    <w:uiPriority w:val="0"/>
    <w:rPr>
      <w:rFonts w:ascii="Times New Roman" w:hAnsi="Times New Roman" w:eastAsia="宋体"/>
      <w:b/>
      <w:kern w:val="2"/>
      <w:sz w:val="24"/>
    </w:rPr>
  </w:style>
  <w:style w:type="character" w:customStyle="1" w:styleId="64">
    <w:name w:val="正文首行缩进 Char"/>
    <w:basedOn w:val="51"/>
    <w:link w:val="32"/>
    <w:qFormat/>
    <w:uiPriority w:val="0"/>
    <w:rPr>
      <w:rFonts w:ascii="方正楷体_GB2312" w:hAnsi="方正楷体_GB2312" w:cs="方正楷体_GB2312"/>
      <w:kern w:val="2"/>
      <w:sz w:val="21"/>
      <w:szCs w:val="24"/>
    </w:rPr>
  </w:style>
  <w:style w:type="character" w:customStyle="1" w:styleId="65">
    <w:name w:val="正文首行缩进 2 Char"/>
    <w:basedOn w:val="53"/>
    <w:link w:val="33"/>
    <w:qFormat/>
    <w:uiPriority w:val="0"/>
    <w:rPr>
      <w:kern w:val="2"/>
      <w:sz w:val="21"/>
      <w:szCs w:val="24"/>
    </w:rPr>
  </w:style>
  <w:style w:type="paragraph" w:customStyle="1" w:styleId="66">
    <w:name w:val="Default"/>
    <w:basedOn w:val="67"/>
    <w:next w:val="19"/>
    <w:qFormat/>
    <w:uiPriority w:val="99"/>
    <w:pPr>
      <w:widowControl w:val="0"/>
      <w:autoSpaceDE w:val="0"/>
      <w:autoSpaceDN w:val="0"/>
      <w:adjustRightInd w:val="0"/>
    </w:pPr>
    <w:rPr>
      <w:rFonts w:ascii="宋体" w:cs="宋体"/>
      <w:color w:val="000000"/>
      <w:sz w:val="24"/>
      <w:szCs w:val="24"/>
      <w:lang w:val="en-US" w:eastAsia="zh-CN" w:bidi="ar-SA"/>
    </w:rPr>
  </w:style>
  <w:style w:type="paragraph" w:customStyle="1" w:styleId="67">
    <w:name w:val="a四级标题"/>
    <w:basedOn w:val="1"/>
    <w:qFormat/>
    <w:uiPriority w:val="0"/>
    <w:pPr>
      <w:spacing w:line="360" w:lineRule="auto"/>
    </w:pPr>
    <w:rPr>
      <w:rFonts w:ascii="Times New Roman" w:hAnsi="Times New Roman" w:eastAsia="宋体" w:cs="Times New Roman"/>
      <w:b/>
    </w:rPr>
  </w:style>
  <w:style w:type="paragraph" w:customStyle="1" w:styleId="68">
    <w:name w:val="高-正文"/>
    <w:basedOn w:val="1"/>
    <w:qFormat/>
    <w:uiPriority w:val="0"/>
    <w:pPr>
      <w:topLinePunct/>
      <w:adjustRightInd w:val="0"/>
      <w:snapToGrid w:val="0"/>
      <w:spacing w:line="480" w:lineRule="exact"/>
      <w:ind w:firstLine="600" w:firstLineChars="200"/>
    </w:pPr>
    <w:rPr>
      <w:kern w:val="0"/>
      <w:sz w:val="24"/>
    </w:rPr>
  </w:style>
  <w:style w:type="character" w:customStyle="1" w:styleId="69">
    <w:name w:val="style35"/>
    <w:basedOn w:val="36"/>
    <w:qFormat/>
    <w:uiPriority w:val="0"/>
    <w:rPr>
      <w:color w:val="000000"/>
    </w:rPr>
  </w:style>
  <w:style w:type="character" w:customStyle="1" w:styleId="70">
    <w:name w:val="font01"/>
    <w:basedOn w:val="36"/>
    <w:qFormat/>
    <w:uiPriority w:val="0"/>
    <w:rPr>
      <w:rFonts w:hint="eastAsia" w:ascii="宋体" w:hAnsi="宋体" w:eastAsia="宋体" w:cs="宋体"/>
      <w:sz w:val="20"/>
      <w:szCs w:val="20"/>
      <w:u w:val="none"/>
    </w:rPr>
  </w:style>
  <w:style w:type="character" w:customStyle="1" w:styleId="71">
    <w:name w:val="页脚 字符"/>
    <w:basedOn w:val="36"/>
    <w:qFormat/>
    <w:uiPriority w:val="99"/>
  </w:style>
  <w:style w:type="character" w:customStyle="1" w:styleId="72">
    <w:name w:val="表格文字 Char"/>
    <w:basedOn w:val="36"/>
    <w:link w:val="73"/>
    <w:qFormat/>
    <w:uiPriority w:val="0"/>
    <w:rPr>
      <w:kern w:val="2"/>
      <w:sz w:val="21"/>
      <w:szCs w:val="21"/>
    </w:rPr>
  </w:style>
  <w:style w:type="paragraph" w:customStyle="1" w:styleId="73">
    <w:name w:val="表格文字"/>
    <w:basedOn w:val="1"/>
    <w:link w:val="72"/>
    <w:qFormat/>
    <w:uiPriority w:val="0"/>
    <w:pPr>
      <w:adjustRightInd w:val="0"/>
      <w:jc w:val="center"/>
      <w:textAlignment w:val="baseline"/>
    </w:pPr>
    <w:rPr>
      <w:szCs w:val="21"/>
    </w:rPr>
  </w:style>
  <w:style w:type="character" w:customStyle="1" w:styleId="74">
    <w:name w:val="文章正文 Char Char"/>
    <w:link w:val="75"/>
    <w:qFormat/>
    <w:uiPriority w:val="0"/>
    <w:rPr>
      <w:sz w:val="24"/>
    </w:rPr>
  </w:style>
  <w:style w:type="paragraph" w:customStyle="1" w:styleId="75">
    <w:name w:val="文章正文"/>
    <w:basedOn w:val="1"/>
    <w:link w:val="74"/>
    <w:qFormat/>
    <w:uiPriority w:val="0"/>
    <w:pPr>
      <w:spacing w:line="440" w:lineRule="exact"/>
      <w:ind w:firstLine="600" w:firstLineChars="200"/>
    </w:pPr>
    <w:rPr>
      <w:kern w:val="0"/>
      <w:sz w:val="24"/>
      <w:szCs w:val="20"/>
    </w:rPr>
  </w:style>
  <w:style w:type="character" w:customStyle="1" w:styleId="76">
    <w:name w:val="【正文】 Char"/>
    <w:link w:val="77"/>
    <w:qFormat/>
    <w:uiPriority w:val="0"/>
    <w:rPr>
      <w:rFonts w:cs="宋体"/>
      <w:kern w:val="2"/>
      <w:sz w:val="24"/>
    </w:rPr>
  </w:style>
  <w:style w:type="paragraph" w:customStyle="1" w:styleId="77">
    <w:name w:val="【正文】"/>
    <w:basedOn w:val="1"/>
    <w:link w:val="76"/>
    <w:qFormat/>
    <w:uiPriority w:val="0"/>
    <w:pPr>
      <w:spacing w:line="500" w:lineRule="exact"/>
      <w:ind w:firstLine="200" w:firstLineChars="200"/>
    </w:pPr>
    <w:rPr>
      <w:sz w:val="24"/>
      <w:szCs w:val="20"/>
    </w:rPr>
  </w:style>
  <w:style w:type="character" w:customStyle="1" w:styleId="78">
    <w:name w:val="段落 Char"/>
    <w:basedOn w:val="36"/>
    <w:link w:val="79"/>
    <w:qFormat/>
    <w:uiPriority w:val="0"/>
    <w:rPr>
      <w:spacing w:val="10"/>
      <w:kern w:val="2"/>
      <w:sz w:val="28"/>
    </w:rPr>
  </w:style>
  <w:style w:type="paragraph" w:customStyle="1" w:styleId="79">
    <w:name w:val="段落"/>
    <w:basedOn w:val="1"/>
    <w:link w:val="78"/>
    <w:qFormat/>
    <w:uiPriority w:val="0"/>
    <w:pPr>
      <w:spacing w:line="500" w:lineRule="exact"/>
      <w:ind w:firstLine="200" w:firstLineChars="200"/>
    </w:pPr>
    <w:rPr>
      <w:spacing w:val="10"/>
      <w:sz w:val="28"/>
      <w:szCs w:val="20"/>
    </w:rPr>
  </w:style>
  <w:style w:type="character" w:customStyle="1" w:styleId="80">
    <w:name w:val="表格内容5号 Char"/>
    <w:link w:val="81"/>
    <w:qFormat/>
    <w:uiPriority w:val="0"/>
    <w:rPr>
      <w:rFonts w:ascii="方正楷体_GB2312" w:hAnsi="方正楷体_GB2312" w:eastAsia="Times New Roman"/>
      <w:kern w:val="2"/>
      <w:sz w:val="21"/>
      <w:szCs w:val="24"/>
      <w:lang w:val="en-US" w:eastAsia="zh-CN" w:bidi="ar-SA"/>
    </w:rPr>
  </w:style>
  <w:style w:type="paragraph" w:customStyle="1" w:styleId="81">
    <w:name w:val="表格内容5号"/>
    <w:link w:val="80"/>
    <w:qFormat/>
    <w:uiPriority w:val="0"/>
    <w:pPr>
      <w:widowControl w:val="0"/>
      <w:adjustRightInd w:val="0"/>
      <w:snapToGrid w:val="0"/>
      <w:spacing w:line="240" w:lineRule="atLeast"/>
      <w:jc w:val="center"/>
    </w:pPr>
    <w:rPr>
      <w:rFonts w:ascii="方正楷体_GB2312" w:hAnsi="方正楷体_GB2312" w:eastAsia="Times New Roman" w:cs="Times New Roman"/>
      <w:kern w:val="2"/>
      <w:sz w:val="21"/>
      <w:szCs w:val="24"/>
      <w:lang w:val="en-US" w:eastAsia="zh-CN" w:bidi="ar-SA"/>
    </w:rPr>
  </w:style>
  <w:style w:type="character" w:customStyle="1" w:styleId="82">
    <w:name w:val="样式9 Char"/>
    <w:basedOn w:val="36"/>
    <w:link w:val="83"/>
    <w:qFormat/>
    <w:uiPriority w:val="0"/>
    <w:rPr>
      <w:kern w:val="2"/>
      <w:sz w:val="24"/>
      <w:szCs w:val="24"/>
    </w:rPr>
  </w:style>
  <w:style w:type="paragraph" w:customStyle="1" w:styleId="83">
    <w:name w:val="样式9"/>
    <w:basedOn w:val="1"/>
    <w:link w:val="82"/>
    <w:qFormat/>
    <w:uiPriority w:val="0"/>
    <w:pPr>
      <w:spacing w:line="500" w:lineRule="exact"/>
      <w:ind w:firstLine="480" w:firstLineChars="200"/>
    </w:pPr>
    <w:rPr>
      <w:sz w:val="24"/>
    </w:rPr>
  </w:style>
  <w:style w:type="character" w:customStyle="1" w:styleId="84">
    <w:name w:val="表样式 Char"/>
    <w:link w:val="85"/>
    <w:qFormat/>
    <w:uiPriority w:val="0"/>
    <w:rPr>
      <w:rFonts w:ascii="方正仿宋_GB2312" w:eastAsia="黑体"/>
      <w:kern w:val="2"/>
      <w:sz w:val="21"/>
      <w:szCs w:val="24"/>
    </w:rPr>
  </w:style>
  <w:style w:type="paragraph" w:customStyle="1" w:styleId="85">
    <w:name w:val="表样式"/>
    <w:basedOn w:val="1"/>
    <w:link w:val="84"/>
    <w:qFormat/>
    <w:uiPriority w:val="0"/>
    <w:pPr>
      <w:jc w:val="center"/>
    </w:pPr>
    <w:rPr>
      <w:rFonts w:ascii="方正仿宋_GB2312" w:eastAsia="黑体"/>
    </w:rPr>
  </w:style>
  <w:style w:type="character" w:customStyle="1" w:styleId="86">
    <w:name w:val="Char Char"/>
    <w:basedOn w:val="36"/>
    <w:qFormat/>
    <w:locked/>
    <w:uiPriority w:val="0"/>
    <w:rPr>
      <w:rFonts w:ascii="宋体" w:hAnsi="Courier New" w:eastAsia="宋体"/>
      <w:sz w:val="21"/>
      <w:lang w:val="en-US" w:eastAsia="zh-CN" w:bidi="ar-SA"/>
    </w:rPr>
  </w:style>
  <w:style w:type="character" w:customStyle="1" w:styleId="87">
    <w:name w:val="正文我的 Char"/>
    <w:link w:val="88"/>
    <w:qFormat/>
    <w:uiPriority w:val="0"/>
    <w:rPr>
      <w:rFonts w:ascii="楷体" w:hAnsi="楷体" w:eastAsia="方正楷体_GB2312"/>
      <w:kern w:val="2"/>
      <w:sz w:val="30"/>
      <w:szCs w:val="36"/>
    </w:rPr>
  </w:style>
  <w:style w:type="paragraph" w:customStyle="1" w:styleId="88">
    <w:name w:val="正文我的"/>
    <w:basedOn w:val="24"/>
    <w:link w:val="87"/>
    <w:qFormat/>
    <w:uiPriority w:val="0"/>
    <w:pPr>
      <w:tabs>
        <w:tab w:val="right" w:leader="dot" w:pos="8306"/>
        <w:tab w:val="clear" w:pos="8296"/>
      </w:tabs>
      <w:spacing w:line="360" w:lineRule="auto"/>
      <w:ind w:firstLine="200" w:firstLineChars="200"/>
    </w:pPr>
    <w:rPr>
      <w:rFonts w:ascii="楷体" w:hAnsi="楷体" w:eastAsia="方正楷体_GB2312"/>
      <w:b w:val="0"/>
      <w:bCs w:val="0"/>
      <w:kern w:val="2"/>
      <w:sz w:val="30"/>
      <w:szCs w:val="36"/>
    </w:rPr>
  </w:style>
  <w:style w:type="character" w:customStyle="1" w:styleId="89">
    <w:name w:val="批注文字 字符1"/>
    <w:semiHidden/>
    <w:qFormat/>
    <w:uiPriority w:val="0"/>
    <w:rPr>
      <w:rFonts w:ascii="Times New Roman" w:hAnsi="Times New Roman" w:eastAsia="宋体"/>
      <w:sz w:val="24"/>
    </w:rPr>
  </w:style>
  <w:style w:type="character" w:customStyle="1" w:styleId="90">
    <w:name w:val="表格 Char"/>
    <w:link w:val="91"/>
    <w:qFormat/>
    <w:locked/>
    <w:uiPriority w:val="0"/>
    <w:rPr>
      <w:rFonts w:ascii="宋体"/>
      <w:sz w:val="21"/>
    </w:rPr>
  </w:style>
  <w:style w:type="paragraph" w:customStyle="1" w:styleId="91">
    <w:name w:val="表格"/>
    <w:basedOn w:val="1"/>
    <w:next w:val="1"/>
    <w:link w:val="90"/>
    <w:qFormat/>
    <w:uiPriority w:val="0"/>
    <w:pPr>
      <w:adjustRightInd w:val="0"/>
      <w:snapToGrid w:val="0"/>
      <w:spacing w:beforeLines="10" w:afterLines="10" w:line="259" w:lineRule="auto"/>
      <w:jc w:val="center"/>
    </w:pPr>
    <w:rPr>
      <w:rFonts w:ascii="宋体"/>
      <w:kern w:val="0"/>
      <w:szCs w:val="20"/>
    </w:rPr>
  </w:style>
  <w:style w:type="character" w:customStyle="1" w:styleId="92">
    <w:name w:val="样式 左侧:  0.99 厘米 Char"/>
    <w:basedOn w:val="36"/>
    <w:link w:val="93"/>
    <w:qFormat/>
    <w:uiPriority w:val="99"/>
    <w:rPr>
      <w:rFonts w:ascii="宋体" w:cs="宋体"/>
      <w:kern w:val="2"/>
      <w:sz w:val="28"/>
    </w:rPr>
  </w:style>
  <w:style w:type="paragraph" w:customStyle="1" w:styleId="93">
    <w:name w:val="样式 左侧:  0.99 厘米"/>
    <w:basedOn w:val="1"/>
    <w:link w:val="92"/>
    <w:qFormat/>
    <w:uiPriority w:val="99"/>
    <w:pPr>
      <w:adjustRightInd w:val="0"/>
      <w:spacing w:line="360" w:lineRule="auto"/>
      <w:jc w:val="left"/>
      <w:textAlignment w:val="baseline"/>
    </w:pPr>
    <w:rPr>
      <w:rFonts w:ascii="宋体" w:cs="宋体"/>
      <w:sz w:val="28"/>
      <w:szCs w:val="20"/>
    </w:rPr>
  </w:style>
  <w:style w:type="character" w:customStyle="1" w:styleId="94">
    <w:name w:val="font11"/>
    <w:basedOn w:val="36"/>
    <w:qFormat/>
    <w:uiPriority w:val="0"/>
    <w:rPr>
      <w:rFonts w:hint="eastAsia" w:ascii="宋体" w:hAnsi="宋体" w:eastAsia="宋体" w:cs="宋体"/>
      <w:sz w:val="20"/>
      <w:szCs w:val="20"/>
      <w:u w:val="none"/>
    </w:rPr>
  </w:style>
  <w:style w:type="character" w:customStyle="1" w:styleId="95">
    <w:name w:val="表头 Char Char"/>
    <w:basedOn w:val="36"/>
    <w:qFormat/>
    <w:uiPriority w:val="0"/>
    <w:rPr>
      <w:rFonts w:ascii="Times New Roman" w:eastAsia="黑体"/>
      <w:spacing w:val="10"/>
      <w:w w:val="100"/>
      <w:kern w:val="2"/>
      <w:sz w:val="28"/>
      <w:u w:val="none"/>
      <w:vertAlign w:val="baseline"/>
      <w:lang w:val="en-US" w:eastAsia="zh-CN" w:bidi="ar-SA"/>
    </w:rPr>
  </w:style>
  <w:style w:type="character" w:customStyle="1" w:styleId="96">
    <w:name w:val="样式 正文 行距: 固定值 25 磅 Char"/>
    <w:link w:val="97"/>
    <w:qFormat/>
    <w:uiPriority w:val="0"/>
    <w:rPr>
      <w:rFonts w:cs="宋体"/>
      <w:kern w:val="2"/>
      <w:sz w:val="24"/>
      <w:szCs w:val="24"/>
    </w:rPr>
  </w:style>
  <w:style w:type="paragraph" w:customStyle="1" w:styleId="97">
    <w:name w:val="样式 正文 行距: 固定值 25 磅"/>
    <w:basedOn w:val="1"/>
    <w:link w:val="96"/>
    <w:qFormat/>
    <w:uiPriority w:val="0"/>
    <w:pPr>
      <w:adjustRightInd w:val="0"/>
      <w:spacing w:line="500" w:lineRule="exact"/>
      <w:ind w:firstLine="200" w:firstLineChars="200"/>
    </w:pPr>
    <w:rPr>
      <w:sz w:val="24"/>
    </w:rPr>
  </w:style>
  <w:style w:type="character" w:customStyle="1" w:styleId="98">
    <w:name w:val="正文文本缩进 3 Char Char"/>
    <w:basedOn w:val="36"/>
    <w:qFormat/>
    <w:uiPriority w:val="0"/>
    <w:rPr>
      <w:rFonts w:ascii="宋体" w:hAnsi="宋体" w:eastAsia="宋体"/>
      <w:b/>
      <w:bCs/>
      <w:kern w:val="2"/>
      <w:sz w:val="24"/>
      <w:lang w:val="en-US" w:eastAsia="zh-CN" w:bidi="ar-SA"/>
    </w:rPr>
  </w:style>
  <w:style w:type="character" w:customStyle="1" w:styleId="99">
    <w:name w:val="正文缩进 Char1"/>
    <w:basedOn w:val="36"/>
    <w:qFormat/>
    <w:uiPriority w:val="0"/>
    <w:rPr>
      <w:rFonts w:eastAsia="宋体"/>
      <w:kern w:val="2"/>
      <w:sz w:val="21"/>
      <w:szCs w:val="24"/>
      <w:lang w:val="en-US" w:eastAsia="zh-CN" w:bidi="ar-SA"/>
    </w:rPr>
  </w:style>
  <w:style w:type="character" w:customStyle="1" w:styleId="100">
    <w:name w:val="font61"/>
    <w:basedOn w:val="36"/>
    <w:qFormat/>
    <w:uiPriority w:val="0"/>
    <w:rPr>
      <w:rFonts w:ascii="Times New Roman" w:hAnsi="Times New Roman" w:cs="Times New Roman"/>
      <w:sz w:val="18"/>
      <w:szCs w:val="18"/>
      <w:u w:val="none"/>
    </w:rPr>
  </w:style>
  <w:style w:type="character" w:customStyle="1" w:styleId="101">
    <w:name w:val="表头 Char"/>
    <w:basedOn w:val="36"/>
    <w:link w:val="102"/>
    <w:qFormat/>
    <w:uiPriority w:val="0"/>
    <w:rPr>
      <w:rFonts w:eastAsia="黑体"/>
      <w:spacing w:val="10"/>
      <w:kern w:val="2"/>
      <w:sz w:val="28"/>
    </w:rPr>
  </w:style>
  <w:style w:type="paragraph" w:customStyle="1" w:styleId="102">
    <w:name w:val="表头"/>
    <w:basedOn w:val="1"/>
    <w:next w:val="1"/>
    <w:link w:val="101"/>
    <w:qFormat/>
    <w:uiPriority w:val="0"/>
    <w:pPr>
      <w:spacing w:beforeLines="50" w:afterLines="50" w:line="500" w:lineRule="exact"/>
      <w:jc w:val="center"/>
    </w:pPr>
    <w:rPr>
      <w:rFonts w:eastAsia="黑体"/>
      <w:spacing w:val="10"/>
      <w:sz w:val="28"/>
      <w:szCs w:val="20"/>
    </w:rPr>
  </w:style>
  <w:style w:type="character" w:customStyle="1" w:styleId="103">
    <w:name w:val="中文报告书样式 Char"/>
    <w:basedOn w:val="36"/>
    <w:link w:val="104"/>
    <w:qFormat/>
    <w:uiPriority w:val="0"/>
    <w:rPr>
      <w:kern w:val="24"/>
      <w:sz w:val="24"/>
    </w:rPr>
  </w:style>
  <w:style w:type="paragraph" w:customStyle="1" w:styleId="104">
    <w:name w:val="中文报告书样式"/>
    <w:basedOn w:val="1"/>
    <w:link w:val="103"/>
    <w:qFormat/>
    <w:uiPriority w:val="0"/>
    <w:pPr>
      <w:adjustRightInd w:val="0"/>
      <w:spacing w:line="480" w:lineRule="atLeast"/>
      <w:ind w:firstLine="482"/>
      <w:textAlignment w:val="baseline"/>
    </w:pPr>
    <w:rPr>
      <w:kern w:val="24"/>
      <w:sz w:val="24"/>
      <w:szCs w:val="20"/>
    </w:rPr>
  </w:style>
  <w:style w:type="character" w:customStyle="1" w:styleId="105">
    <w:name w:val="文章1 Char"/>
    <w:link w:val="106"/>
    <w:qFormat/>
    <w:uiPriority w:val="0"/>
    <w:rPr>
      <w:rFonts w:cs="宋体"/>
      <w:kern w:val="2"/>
      <w:sz w:val="28"/>
    </w:rPr>
  </w:style>
  <w:style w:type="paragraph" w:customStyle="1" w:styleId="106">
    <w:name w:val="文章1"/>
    <w:basedOn w:val="1"/>
    <w:link w:val="105"/>
    <w:qFormat/>
    <w:uiPriority w:val="0"/>
    <w:pPr>
      <w:ind w:firstLine="560" w:firstLineChars="200"/>
    </w:pPr>
    <w:rPr>
      <w:sz w:val="28"/>
      <w:szCs w:val="20"/>
    </w:rPr>
  </w:style>
  <w:style w:type="character" w:customStyle="1" w:styleId="107">
    <w:name w:val="Char Char1"/>
    <w:basedOn w:val="36"/>
    <w:qFormat/>
    <w:uiPriority w:val="0"/>
    <w:rPr>
      <w:rFonts w:eastAsia="黑体"/>
      <w:b/>
      <w:kern w:val="2"/>
      <w:sz w:val="24"/>
      <w:lang w:val="en-US" w:eastAsia="zh-CN" w:bidi="ar-SA"/>
    </w:rPr>
  </w:style>
  <w:style w:type="character" w:customStyle="1" w:styleId="108">
    <w:name w:val="正文文本 字符1"/>
    <w:semiHidden/>
    <w:qFormat/>
    <w:uiPriority w:val="0"/>
    <w:rPr>
      <w:rFonts w:ascii="Times New Roman" w:hAnsi="Times New Roman" w:eastAsia="宋体"/>
      <w:sz w:val="24"/>
    </w:rPr>
  </w:style>
  <w:style w:type="character" w:customStyle="1" w:styleId="109">
    <w:name w:val="正文（首行缩进两字） Char Char2"/>
    <w:basedOn w:val="36"/>
    <w:qFormat/>
    <w:uiPriority w:val="0"/>
    <w:rPr>
      <w:rFonts w:eastAsia="宋体"/>
      <w:kern w:val="2"/>
      <w:sz w:val="21"/>
      <w:szCs w:val="24"/>
      <w:lang w:val="en-US" w:eastAsia="zh-CN" w:bidi="ar-SA"/>
    </w:rPr>
  </w:style>
  <w:style w:type="character" w:customStyle="1" w:styleId="110">
    <w:name w:val="付正文 Char Char"/>
    <w:link w:val="111"/>
    <w:qFormat/>
    <w:uiPriority w:val="0"/>
    <w:rPr>
      <w:rFonts w:ascii="宋体"/>
      <w:color w:val="000000"/>
      <w:kern w:val="2"/>
      <w:sz w:val="24"/>
      <w:szCs w:val="21"/>
    </w:rPr>
  </w:style>
  <w:style w:type="paragraph" w:customStyle="1" w:styleId="111">
    <w:name w:val="付正文"/>
    <w:basedOn w:val="1"/>
    <w:link w:val="110"/>
    <w:qFormat/>
    <w:uiPriority w:val="0"/>
    <w:pPr>
      <w:spacing w:line="360" w:lineRule="auto"/>
      <w:ind w:firstLine="200" w:firstLineChars="200"/>
    </w:pPr>
    <w:rPr>
      <w:rFonts w:ascii="宋体"/>
      <w:color w:val="000000"/>
      <w:sz w:val="24"/>
      <w:szCs w:val="21"/>
    </w:rPr>
  </w:style>
  <w:style w:type="character" w:customStyle="1" w:styleId="112">
    <w:name w:val="样式5 Char2"/>
    <w:link w:val="113"/>
    <w:qFormat/>
    <w:uiPriority w:val="0"/>
    <w:rPr>
      <w:kern w:val="2"/>
      <w:sz w:val="24"/>
      <w:szCs w:val="24"/>
    </w:rPr>
  </w:style>
  <w:style w:type="paragraph" w:customStyle="1" w:styleId="113">
    <w:name w:val="样式5"/>
    <w:basedOn w:val="1"/>
    <w:link w:val="112"/>
    <w:qFormat/>
    <w:uiPriority w:val="0"/>
    <w:pPr>
      <w:snapToGrid w:val="0"/>
      <w:spacing w:line="360" w:lineRule="auto"/>
      <w:ind w:firstLine="510"/>
    </w:pPr>
    <w:rPr>
      <w:sz w:val="24"/>
    </w:rPr>
  </w:style>
  <w:style w:type="character" w:customStyle="1" w:styleId="114">
    <w:name w:val="15"/>
    <w:basedOn w:val="36"/>
    <w:qFormat/>
    <w:uiPriority w:val="0"/>
    <w:rPr>
      <w:rFonts w:hint="eastAsia" w:ascii="宋体" w:hAnsi="宋体" w:eastAsia="宋体"/>
      <w:b/>
      <w:bCs/>
      <w:kern w:val="24"/>
      <w:sz w:val="24"/>
      <w:szCs w:val="24"/>
    </w:rPr>
  </w:style>
  <w:style w:type="character" w:customStyle="1" w:styleId="115">
    <w:name w:val="表格15 Char Char"/>
    <w:link w:val="116"/>
    <w:qFormat/>
    <w:uiPriority w:val="0"/>
    <w:rPr>
      <w:rFonts w:ascii="宋体"/>
      <w:color w:val="000000"/>
      <w:kern w:val="2"/>
      <w:sz w:val="21"/>
      <w:szCs w:val="24"/>
    </w:rPr>
  </w:style>
  <w:style w:type="paragraph" w:customStyle="1" w:styleId="116">
    <w:name w:val="表格15"/>
    <w:basedOn w:val="1"/>
    <w:link w:val="115"/>
    <w:qFormat/>
    <w:uiPriority w:val="0"/>
    <w:pPr>
      <w:widowControl/>
      <w:spacing w:line="300" w:lineRule="exact"/>
      <w:jc w:val="center"/>
    </w:pPr>
    <w:rPr>
      <w:rFonts w:ascii="宋体"/>
      <w:color w:val="000000"/>
    </w:rPr>
  </w:style>
  <w:style w:type="character" w:customStyle="1" w:styleId="117">
    <w:name w:val="样式 样式 样式 样式 小四 行距: 1.5 倍行距 + 首行缩进:  2 字符 + 宋体 + 首行缩进:  2 字符 Char"/>
    <w:basedOn w:val="36"/>
    <w:link w:val="118"/>
    <w:qFormat/>
    <w:uiPriority w:val="0"/>
    <w:rPr>
      <w:rFonts w:hAnsi="宋体"/>
      <w:color w:val="0000FF"/>
      <w:kern w:val="2"/>
      <w:sz w:val="24"/>
    </w:rPr>
  </w:style>
  <w:style w:type="paragraph" w:customStyle="1" w:styleId="118">
    <w:name w:val="样式 样式 样式 样式 小四 行距: 1.5 倍行距 + 首行缩进:  2 字符 + 宋体 + 首行缩进:  2 字符"/>
    <w:basedOn w:val="1"/>
    <w:link w:val="117"/>
    <w:qFormat/>
    <w:uiPriority w:val="0"/>
    <w:pPr>
      <w:spacing w:line="360" w:lineRule="auto"/>
      <w:ind w:firstLine="480" w:firstLineChars="200"/>
    </w:pPr>
    <w:rPr>
      <w:rFonts w:hAnsi="宋体"/>
      <w:color w:val="0000FF"/>
      <w:sz w:val="24"/>
      <w:szCs w:val="20"/>
    </w:rPr>
  </w:style>
  <w:style w:type="character" w:customStyle="1" w:styleId="119">
    <w:name w:val="报告正文 Char Char"/>
    <w:link w:val="120"/>
    <w:qFormat/>
    <w:uiPriority w:val="0"/>
    <w:rPr>
      <w:kern w:val="2"/>
      <w:sz w:val="24"/>
      <w:szCs w:val="24"/>
    </w:rPr>
  </w:style>
  <w:style w:type="paragraph" w:customStyle="1" w:styleId="120">
    <w:name w:val="报告正文"/>
    <w:basedOn w:val="1"/>
    <w:next w:val="1"/>
    <w:link w:val="119"/>
    <w:qFormat/>
    <w:uiPriority w:val="0"/>
    <w:pPr>
      <w:spacing w:line="360" w:lineRule="auto"/>
      <w:ind w:firstLine="200" w:firstLineChars="200"/>
      <w:jc w:val="left"/>
    </w:pPr>
    <w:rPr>
      <w:sz w:val="24"/>
    </w:rPr>
  </w:style>
  <w:style w:type="character" w:customStyle="1" w:styleId="121">
    <w:name w:val="表格内容 Char"/>
    <w:link w:val="122"/>
    <w:qFormat/>
    <w:uiPriority w:val="0"/>
    <w:rPr>
      <w:kern w:val="2"/>
      <w:sz w:val="21"/>
    </w:rPr>
  </w:style>
  <w:style w:type="paragraph" w:customStyle="1" w:styleId="122">
    <w:name w:val="表格内容"/>
    <w:basedOn w:val="7"/>
    <w:link w:val="121"/>
    <w:qFormat/>
    <w:uiPriority w:val="0"/>
    <w:pPr>
      <w:spacing w:line="312" w:lineRule="auto"/>
      <w:ind w:firstLine="0" w:firstLineChars="0"/>
      <w:jc w:val="center"/>
    </w:pPr>
    <w:rPr>
      <w:szCs w:val="20"/>
    </w:rPr>
  </w:style>
  <w:style w:type="character" w:customStyle="1" w:styleId="123">
    <w:name w:val="日期 字符"/>
    <w:semiHidden/>
    <w:qFormat/>
    <w:uiPriority w:val="0"/>
    <w:rPr>
      <w:rFonts w:ascii="Times New Roman" w:hAnsi="Times New Roman" w:eastAsia="宋体"/>
      <w:sz w:val="24"/>
    </w:rPr>
  </w:style>
  <w:style w:type="character" w:customStyle="1" w:styleId="124">
    <w:name w:val="headline-content2"/>
    <w:basedOn w:val="36"/>
    <w:qFormat/>
    <w:uiPriority w:val="0"/>
  </w:style>
  <w:style w:type="paragraph" w:customStyle="1" w:styleId="125">
    <w:name w:val="Body text|2"/>
    <w:basedOn w:val="1"/>
    <w:link w:val="126"/>
    <w:qFormat/>
    <w:uiPriority w:val="0"/>
    <w:pPr>
      <w:spacing w:after="120"/>
      <w:jc w:val="center"/>
    </w:pPr>
    <w:rPr>
      <w:rFonts w:ascii="宋体" w:hAnsi="宋体" w:cs="宋体"/>
      <w:b/>
      <w:bCs/>
      <w:color w:val="000000"/>
      <w:kern w:val="0"/>
      <w:sz w:val="20"/>
      <w:szCs w:val="20"/>
    </w:rPr>
  </w:style>
  <w:style w:type="character" w:customStyle="1" w:styleId="126">
    <w:name w:val="Body text|2_"/>
    <w:basedOn w:val="36"/>
    <w:link w:val="125"/>
    <w:qFormat/>
    <w:uiPriority w:val="0"/>
    <w:rPr>
      <w:rFonts w:ascii="宋体" w:hAnsi="宋体" w:cs="宋体"/>
      <w:b/>
      <w:bCs/>
      <w:color w:val="000000"/>
      <w:kern w:val="0"/>
      <w:sz w:val="20"/>
      <w:szCs w:val="20"/>
    </w:rPr>
  </w:style>
  <w:style w:type="paragraph" w:customStyle="1" w:styleId="127">
    <w:name w:val="样式 标题 2标题2Se节标题 1.11.1标题2条标题h2l22nd levelTitre22Heade..."/>
    <w:basedOn w:val="5"/>
    <w:qFormat/>
    <w:uiPriority w:val="0"/>
    <w:pPr>
      <w:spacing w:before="240" w:after="120"/>
    </w:pPr>
    <w:rPr>
      <w:rFonts w:ascii="黑体" w:hAnsi="宋体"/>
      <w:b w:val="0"/>
      <w:color w:val="FF6600"/>
      <w:sz w:val="28"/>
      <w:szCs w:val="28"/>
    </w:rPr>
  </w:style>
  <w:style w:type="paragraph" w:customStyle="1" w:styleId="128">
    <w:name w:val="Char Char Char Char"/>
    <w:basedOn w:val="1"/>
    <w:qFormat/>
    <w:uiPriority w:val="0"/>
    <w:pPr>
      <w:snapToGrid w:val="0"/>
      <w:spacing w:line="360" w:lineRule="auto"/>
      <w:ind w:firstLine="529" w:firstLineChars="200"/>
    </w:pPr>
    <w:rPr>
      <w:rFonts w:ascii="宋体" w:hAnsi="宋体"/>
      <w:b/>
    </w:rPr>
  </w:style>
  <w:style w:type="paragraph" w:customStyle="1" w:styleId="129">
    <w:name w:val="_Style 2"/>
    <w:basedOn w:val="1"/>
    <w:qFormat/>
    <w:uiPriority w:val="34"/>
    <w:pPr>
      <w:ind w:firstLine="420" w:firstLineChars="200"/>
    </w:pPr>
    <w:rPr>
      <w:szCs w:val="20"/>
    </w:rPr>
  </w:style>
  <w:style w:type="paragraph" w:customStyle="1" w:styleId="130">
    <w:name w:val="正文3"/>
    <w:qFormat/>
    <w:uiPriority w:val="0"/>
    <w:pPr>
      <w:jc w:val="both"/>
    </w:pPr>
    <w:rPr>
      <w:rFonts w:ascii="Times New Roman" w:hAnsi="Times New Roman" w:eastAsia="宋体" w:cs="Times New Roman"/>
      <w:kern w:val="2"/>
      <w:sz w:val="21"/>
      <w:szCs w:val="21"/>
      <w:lang w:val="en-US" w:eastAsia="zh-CN" w:bidi="ar-SA"/>
    </w:rPr>
  </w:style>
  <w:style w:type="paragraph" w:styleId="131">
    <w:name w:val="List Paragraph"/>
    <w:basedOn w:val="1"/>
    <w:qFormat/>
    <w:uiPriority w:val="34"/>
    <w:pPr>
      <w:ind w:firstLine="420" w:firstLineChars="200"/>
    </w:pPr>
    <w:rPr>
      <w:szCs w:val="20"/>
    </w:rPr>
  </w:style>
  <w:style w:type="paragraph" w:customStyle="1" w:styleId="132">
    <w:name w:val="正文5"/>
    <w:qFormat/>
    <w:uiPriority w:val="0"/>
    <w:pPr>
      <w:jc w:val="both"/>
    </w:pPr>
    <w:rPr>
      <w:rFonts w:ascii="Calibri" w:hAnsi="Calibri" w:eastAsia="宋体" w:cs="Calibri"/>
      <w:kern w:val="2"/>
      <w:sz w:val="21"/>
      <w:szCs w:val="21"/>
      <w:lang w:val="en-US" w:eastAsia="zh-CN" w:bidi="ar-SA"/>
    </w:rPr>
  </w:style>
  <w:style w:type="paragraph" w:customStyle="1" w:styleId="133">
    <w:name w:val="Char1 Char Char Char"/>
    <w:basedOn w:val="1"/>
    <w:qFormat/>
    <w:uiPriority w:val="0"/>
    <w:pPr>
      <w:snapToGrid w:val="0"/>
      <w:ind w:left="-3" w:leftChars="-1" w:firstLine="3" w:firstLineChars="1"/>
    </w:pPr>
    <w:rPr>
      <w:rFonts w:ascii="Tahoma" w:hAnsi="Tahoma"/>
      <w:sz w:val="24"/>
      <w:szCs w:val="20"/>
    </w:rPr>
  </w:style>
  <w:style w:type="paragraph" w:customStyle="1" w:styleId="134">
    <w:name w:val="Char1"/>
    <w:basedOn w:val="1"/>
    <w:qFormat/>
    <w:uiPriority w:val="0"/>
    <w:pPr>
      <w:snapToGrid w:val="0"/>
      <w:spacing w:line="360" w:lineRule="auto"/>
      <w:ind w:firstLine="529" w:firstLineChars="200"/>
    </w:pPr>
    <w:rPr>
      <w:rFonts w:ascii="宋体" w:hAnsi="宋体"/>
      <w:b/>
    </w:rPr>
  </w:style>
  <w:style w:type="paragraph" w:customStyle="1" w:styleId="135">
    <w:name w:val="样式3"/>
    <w:basedOn w:val="1"/>
    <w:qFormat/>
    <w:uiPriority w:val="0"/>
    <w:rPr>
      <w:szCs w:val="20"/>
    </w:rPr>
  </w:style>
  <w:style w:type="paragraph" w:customStyle="1" w:styleId="136">
    <w:name w:val="黄旗正文"/>
    <w:basedOn w:val="1"/>
    <w:qFormat/>
    <w:uiPriority w:val="0"/>
    <w:pPr>
      <w:spacing w:line="440" w:lineRule="exact"/>
      <w:ind w:firstLine="480" w:firstLineChars="200"/>
    </w:pPr>
    <w:rPr>
      <w:rFonts w:ascii="宋体" w:hAnsi="宋体" w:cs="宋体"/>
      <w:sz w:val="24"/>
    </w:rPr>
  </w:style>
  <w:style w:type="paragraph" w:customStyle="1" w:styleId="137">
    <w:name w:val="正文8"/>
    <w:qFormat/>
    <w:uiPriority w:val="0"/>
    <w:pPr>
      <w:jc w:val="both"/>
    </w:pPr>
    <w:rPr>
      <w:rFonts w:ascii="Calibri" w:hAnsi="Calibri" w:eastAsia="宋体" w:cs="Calibri"/>
      <w:kern w:val="2"/>
      <w:sz w:val="21"/>
      <w:szCs w:val="21"/>
      <w:lang w:val="en-US" w:eastAsia="zh-CN" w:bidi="ar-SA"/>
    </w:rPr>
  </w:style>
  <w:style w:type="paragraph" w:customStyle="1" w:styleId="138">
    <w:name w:val="正文4"/>
    <w:qFormat/>
    <w:uiPriority w:val="0"/>
    <w:pPr>
      <w:jc w:val="both"/>
    </w:pPr>
    <w:rPr>
      <w:rFonts w:ascii="Calibri" w:hAnsi="Calibri" w:eastAsia="宋体" w:cs="Calibri"/>
      <w:kern w:val="2"/>
      <w:sz w:val="21"/>
      <w:szCs w:val="21"/>
      <w:lang w:val="en-US" w:eastAsia="zh-CN" w:bidi="ar-SA"/>
    </w:rPr>
  </w:style>
  <w:style w:type="paragraph" w:customStyle="1" w:styleId="139">
    <w:name w:val="正文11"/>
    <w:basedOn w:val="1"/>
    <w:qFormat/>
    <w:uiPriority w:val="0"/>
    <w:pPr>
      <w:adjustRightInd w:val="0"/>
      <w:snapToGrid w:val="0"/>
      <w:spacing w:line="480" w:lineRule="exact"/>
      <w:ind w:firstLine="200" w:firstLineChars="200"/>
    </w:pPr>
    <w:rPr>
      <w:snapToGrid w:val="0"/>
      <w:sz w:val="24"/>
      <w:szCs w:val="20"/>
    </w:rPr>
  </w:style>
  <w:style w:type="paragraph" w:customStyle="1" w:styleId="140">
    <w:name w:val="单元格"/>
    <w:basedOn w:val="1"/>
    <w:qFormat/>
    <w:uiPriority w:val="0"/>
    <w:pPr>
      <w:jc w:val="center"/>
    </w:pPr>
    <w:rPr>
      <w:rFonts w:ascii="方正楷体_GB2312" w:eastAsia="方正楷体_GB2312"/>
      <w:szCs w:val="20"/>
    </w:rPr>
  </w:style>
  <w:style w:type="paragraph" w:customStyle="1" w:styleId="141">
    <w:name w:val="font6"/>
    <w:basedOn w:val="1"/>
    <w:qFormat/>
    <w:uiPriority w:val="0"/>
    <w:pPr>
      <w:widowControl/>
      <w:spacing w:before="100" w:beforeAutospacing="1" w:after="100" w:afterAutospacing="1"/>
      <w:jc w:val="left"/>
    </w:pPr>
    <w:rPr>
      <w:rFonts w:eastAsia="Arial Unicode MS"/>
      <w:kern w:val="0"/>
      <w:sz w:val="24"/>
      <w:szCs w:val="20"/>
    </w:rPr>
  </w:style>
  <w:style w:type="paragraph" w:customStyle="1" w:styleId="142">
    <w:name w:val="Char"/>
    <w:basedOn w:val="1"/>
    <w:qFormat/>
    <w:uiPriority w:val="0"/>
    <w:pPr>
      <w:spacing w:line="360" w:lineRule="auto"/>
      <w:ind w:firstLine="200" w:firstLineChars="200"/>
    </w:pPr>
    <w:rPr>
      <w:rFonts w:ascii="宋体" w:hAnsi="宋体" w:cs="宋体"/>
      <w:sz w:val="24"/>
    </w:rPr>
  </w:style>
  <w:style w:type="paragraph" w:customStyle="1" w:styleId="143">
    <w:name w:val="样式 小四 首行缩进:  1.01 厘米 行距: 1.5 倍行距"/>
    <w:basedOn w:val="1"/>
    <w:qFormat/>
    <w:uiPriority w:val="0"/>
    <w:pPr>
      <w:adjustRightInd w:val="0"/>
      <w:snapToGrid w:val="0"/>
      <w:spacing w:line="360" w:lineRule="auto"/>
      <w:ind w:firstLine="200" w:firstLineChars="200"/>
    </w:pPr>
    <w:rPr>
      <w:snapToGrid w:val="0"/>
      <w:kern w:val="24"/>
      <w:sz w:val="24"/>
      <w:szCs w:val="20"/>
    </w:rPr>
  </w:style>
  <w:style w:type="paragraph" w:customStyle="1" w:styleId="144">
    <w:name w:val="Body text|1"/>
    <w:basedOn w:val="1"/>
    <w:qFormat/>
    <w:uiPriority w:val="0"/>
    <w:pPr>
      <w:spacing w:line="384" w:lineRule="auto"/>
      <w:ind w:firstLine="400"/>
      <w:jc w:val="left"/>
    </w:pPr>
    <w:rPr>
      <w:rFonts w:ascii="宋体" w:hAnsi="宋体" w:cs="宋体"/>
      <w:color w:val="000000"/>
      <w:kern w:val="0"/>
      <w:sz w:val="24"/>
    </w:rPr>
  </w:style>
  <w:style w:type="paragraph" w:customStyle="1" w:styleId="145">
    <w:name w:val="标准"/>
    <w:basedOn w:val="1"/>
    <w:qFormat/>
    <w:uiPriority w:val="99"/>
    <w:pPr>
      <w:snapToGrid w:val="0"/>
      <w:spacing w:line="240" w:lineRule="atLeast"/>
    </w:pPr>
    <w:rPr>
      <w:kern w:val="22"/>
      <w:szCs w:val="20"/>
    </w:rPr>
  </w:style>
  <w:style w:type="paragraph" w:customStyle="1" w:styleId="146">
    <w:name w:val="_Style 19"/>
    <w:basedOn w:val="1"/>
    <w:next w:val="1"/>
    <w:qFormat/>
    <w:uiPriority w:val="0"/>
    <w:pPr>
      <w:spacing w:line="360" w:lineRule="auto"/>
      <w:ind w:firstLine="200" w:firstLineChars="200"/>
    </w:pPr>
    <w:rPr>
      <w:rFonts w:ascii="方正楷体_GB2312" w:hAnsi="方正楷体_GB2312" w:cs="方正楷体_GB2312"/>
      <w:color w:val="000000"/>
      <w:kern w:val="0"/>
      <w:szCs w:val="20"/>
      <w:u w:val="none" w:color="000000"/>
    </w:rPr>
  </w:style>
  <w:style w:type="paragraph" w:customStyle="1" w:styleId="147">
    <w:name w:val="标题1"/>
    <w:basedOn w:val="1"/>
    <w:qFormat/>
    <w:uiPriority w:val="0"/>
    <w:pPr>
      <w:spacing w:line="500" w:lineRule="exact"/>
    </w:pPr>
    <w:rPr>
      <w:rFonts w:eastAsia="方正楷体_GB2312"/>
      <w:b/>
      <w:color w:val="000000"/>
      <w:spacing w:val="10"/>
      <w:sz w:val="28"/>
    </w:rPr>
  </w:style>
  <w:style w:type="paragraph" w:customStyle="1" w:styleId="148">
    <w:name w:val="正文样式"/>
    <w:basedOn w:val="1"/>
    <w:qFormat/>
    <w:uiPriority w:val="0"/>
    <w:pPr>
      <w:spacing w:line="360" w:lineRule="auto"/>
      <w:ind w:firstLine="480" w:firstLineChars="200"/>
    </w:pPr>
    <w:rPr>
      <w:rFonts w:ascii="宋体" w:hAnsi="宋体"/>
      <w:sz w:val="24"/>
    </w:rPr>
  </w:style>
  <w:style w:type="paragraph" w:customStyle="1" w:styleId="149">
    <w:name w:val="正文缩进2字符 Char"/>
    <w:basedOn w:val="1"/>
    <w:qFormat/>
    <w:uiPriority w:val="0"/>
    <w:pPr>
      <w:spacing w:line="360" w:lineRule="auto"/>
      <w:ind w:firstLine="560" w:firstLineChars="200"/>
    </w:pPr>
    <w:rPr>
      <w:rFonts w:ascii="宋体" w:cs="宋体"/>
      <w:sz w:val="28"/>
      <w:szCs w:val="28"/>
    </w:rPr>
  </w:style>
  <w:style w:type="paragraph" w:customStyle="1" w:styleId="150">
    <w:name w:val="Other|1"/>
    <w:basedOn w:val="1"/>
    <w:qFormat/>
    <w:uiPriority w:val="0"/>
    <w:pPr>
      <w:jc w:val="center"/>
    </w:pPr>
    <w:rPr>
      <w:color w:val="000000"/>
      <w:kern w:val="0"/>
      <w:sz w:val="20"/>
      <w:szCs w:val="20"/>
    </w:rPr>
  </w:style>
  <w:style w:type="paragraph" w:customStyle="1" w:styleId="151">
    <w:name w:val="正文1 Char1"/>
    <w:basedOn w:val="1"/>
    <w:qFormat/>
    <w:uiPriority w:val="0"/>
    <w:pPr>
      <w:adjustRightInd w:val="0"/>
      <w:ind w:firstLine="480" w:firstLineChars="200"/>
      <w:textAlignment w:val="baseline"/>
    </w:pPr>
    <w:rPr>
      <w:rFonts w:ascii="宋体" w:hAnsi="宋体"/>
      <w:color w:val="auto"/>
      <w:kern w:val="21"/>
      <w:sz w:val="24"/>
      <w:szCs w:val="20"/>
    </w:rPr>
  </w:style>
  <w:style w:type="paragraph" w:customStyle="1" w:styleId="152">
    <w:name w:val="p0"/>
    <w:basedOn w:val="1"/>
    <w:qFormat/>
    <w:uiPriority w:val="0"/>
    <w:pPr>
      <w:widowControl/>
    </w:pPr>
    <w:rPr>
      <w:kern w:val="0"/>
      <w:szCs w:val="21"/>
    </w:rPr>
  </w:style>
  <w:style w:type="paragraph" w:customStyle="1" w:styleId="153">
    <w:name w:val="表头名称"/>
    <w:basedOn w:val="7"/>
    <w:qFormat/>
    <w:uiPriority w:val="0"/>
    <w:pPr>
      <w:autoSpaceDE w:val="0"/>
      <w:autoSpaceDN w:val="0"/>
      <w:adjustRightInd w:val="0"/>
      <w:spacing w:beforeLines="25" w:line="360" w:lineRule="auto"/>
      <w:ind w:firstLine="0" w:firstLineChars="0"/>
      <w:jc w:val="center"/>
    </w:pPr>
    <w:rPr>
      <w:b/>
      <w:kern w:val="0"/>
      <w:sz w:val="24"/>
      <w:szCs w:val="20"/>
    </w:rPr>
  </w:style>
  <w:style w:type="paragraph" w:customStyle="1" w:styleId="154">
    <w:name w:val="2"/>
    <w:basedOn w:val="1"/>
    <w:qFormat/>
    <w:uiPriority w:val="0"/>
    <w:rPr>
      <w:color w:val="000000"/>
      <w:kern w:val="0"/>
      <w:szCs w:val="20"/>
      <w:u w:val="none" w:color="000000"/>
    </w:rPr>
  </w:style>
  <w:style w:type="paragraph" w:customStyle="1" w:styleId="155">
    <w:name w:val="Char8"/>
    <w:basedOn w:val="1"/>
    <w:qFormat/>
    <w:uiPriority w:val="0"/>
    <w:pPr>
      <w:adjustRightInd w:val="0"/>
      <w:spacing w:line="360" w:lineRule="auto"/>
      <w:ind w:firstLine="560" w:firstLineChars="200"/>
      <w:jc w:val="left"/>
    </w:pPr>
    <w:rPr>
      <w:rFonts w:ascii="宋体"/>
      <w:sz w:val="28"/>
      <w:szCs w:val="20"/>
    </w:rPr>
  </w:style>
  <w:style w:type="paragraph" w:customStyle="1" w:styleId="156">
    <w:name w:val="Char Char Char Char Char Char"/>
    <w:basedOn w:val="1"/>
    <w:qFormat/>
    <w:uiPriority w:val="0"/>
    <w:pPr>
      <w:spacing w:line="360" w:lineRule="auto"/>
      <w:jc w:val="left"/>
    </w:pPr>
    <w:rPr>
      <w:rFonts w:ascii="宋体" w:hAnsi="宋体" w:cs="宋体"/>
      <w:sz w:val="24"/>
    </w:rPr>
  </w:style>
  <w:style w:type="paragraph" w:customStyle="1" w:styleId="157">
    <w:name w:val="Char Char5"/>
    <w:basedOn w:val="1"/>
    <w:qFormat/>
    <w:uiPriority w:val="0"/>
    <w:pPr>
      <w:widowControl/>
      <w:spacing w:after="160" w:line="240" w:lineRule="exact"/>
      <w:jc w:val="left"/>
    </w:pPr>
    <w:rPr>
      <w:szCs w:val="20"/>
    </w:rPr>
  </w:style>
  <w:style w:type="paragraph" w:customStyle="1" w:styleId="158">
    <w:name w:val="地理段落"/>
    <w:basedOn w:val="1"/>
    <w:qFormat/>
    <w:uiPriority w:val="0"/>
    <w:pPr>
      <w:adjustRightInd w:val="0"/>
      <w:snapToGrid w:val="0"/>
      <w:spacing w:line="360" w:lineRule="auto"/>
      <w:ind w:firstLine="200" w:firstLineChars="200"/>
    </w:pPr>
    <w:rPr>
      <w:rFonts w:ascii="方正仿宋_GB2312" w:eastAsia="方正仿宋_GB2312"/>
      <w:sz w:val="28"/>
      <w:szCs w:val="28"/>
    </w:rPr>
  </w:style>
  <w:style w:type="paragraph" w:customStyle="1" w:styleId="159">
    <w:name w:val="默认段落字体 Para Char"/>
    <w:basedOn w:val="1"/>
    <w:qFormat/>
    <w:uiPriority w:val="0"/>
    <w:pPr>
      <w:spacing w:line="360" w:lineRule="auto"/>
      <w:ind w:firstLine="200" w:firstLineChars="200"/>
    </w:pPr>
    <w:rPr>
      <w:rFonts w:ascii="宋体" w:hAnsi="宋体" w:cs="宋体"/>
      <w:sz w:val="24"/>
    </w:rPr>
  </w:style>
  <w:style w:type="paragraph" w:customStyle="1" w:styleId="160">
    <w:name w:val="_Style 54"/>
    <w:basedOn w:val="1"/>
    <w:qFormat/>
    <w:uiPriority w:val="0"/>
    <w:rPr>
      <w:rFonts w:eastAsia="Times New Roman"/>
      <w:color w:val="000000"/>
      <w:kern w:val="0"/>
      <w:sz w:val="20"/>
      <w:szCs w:val="20"/>
      <w:u w:val="none" w:color="000000"/>
    </w:rPr>
  </w:style>
  <w:style w:type="paragraph" w:customStyle="1" w:styleId="161">
    <w:name w:val="表格式"/>
    <w:basedOn w:val="25"/>
    <w:qFormat/>
    <w:uiPriority w:val="0"/>
    <w:pPr>
      <w:spacing w:line="400" w:lineRule="exact"/>
      <w:ind w:left="0" w:firstLine="0" w:firstLineChars="0"/>
      <w:jc w:val="center"/>
    </w:pPr>
    <w:rPr>
      <w:rFonts w:ascii="宋体"/>
      <w:szCs w:val="20"/>
    </w:rPr>
  </w:style>
  <w:style w:type="paragraph" w:customStyle="1" w:styleId="162">
    <w:name w:val="正文1"/>
    <w:qFormat/>
    <w:uiPriority w:val="0"/>
    <w:pPr>
      <w:jc w:val="both"/>
    </w:pPr>
    <w:rPr>
      <w:rFonts w:ascii="Times New Roman" w:hAnsi="Times New Roman" w:eastAsia="宋体" w:cs="Times New Roman"/>
      <w:kern w:val="2"/>
      <w:sz w:val="21"/>
      <w:szCs w:val="21"/>
      <w:lang w:val="en-US" w:eastAsia="zh-CN" w:bidi="ar-SA"/>
    </w:rPr>
  </w:style>
  <w:style w:type="paragraph" w:customStyle="1" w:styleId="163">
    <w:name w:val="样式 首行缩进:  2 字符1"/>
    <w:basedOn w:val="1"/>
    <w:qFormat/>
    <w:uiPriority w:val="0"/>
    <w:pPr>
      <w:adjustRightInd w:val="0"/>
      <w:snapToGrid w:val="0"/>
      <w:spacing w:line="360" w:lineRule="auto"/>
      <w:ind w:firstLine="200" w:firstLineChars="200"/>
    </w:pPr>
    <w:rPr>
      <w:rFonts w:ascii="宋体" w:cs="宋体"/>
      <w:sz w:val="24"/>
    </w:rPr>
  </w:style>
  <w:style w:type="paragraph" w:customStyle="1" w:styleId="164">
    <w:name w:val="1"/>
    <w:basedOn w:val="1"/>
    <w:next w:val="17"/>
    <w:qFormat/>
    <w:uiPriority w:val="0"/>
    <w:pPr>
      <w:spacing w:line="360" w:lineRule="auto"/>
      <w:ind w:firstLine="480" w:firstLineChars="200"/>
    </w:pPr>
    <w:rPr>
      <w:rFonts w:ascii="方正仿宋_GB2312" w:eastAsia="方正仿宋_GB2312"/>
      <w:sz w:val="24"/>
      <w:szCs w:val="20"/>
    </w:rPr>
  </w:style>
  <w:style w:type="paragraph" w:customStyle="1" w:styleId="165">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166">
    <w:name w:val="Char Char Char1 Char"/>
    <w:basedOn w:val="1"/>
    <w:next w:val="1"/>
    <w:qFormat/>
    <w:uiPriority w:val="0"/>
    <w:pPr>
      <w:spacing w:line="360" w:lineRule="auto"/>
      <w:ind w:firstLine="200" w:firstLineChars="200"/>
    </w:pPr>
    <w:rPr>
      <w:rFonts w:ascii="宋体" w:hAnsi="宋体" w:cs="宋体"/>
      <w:sz w:val="24"/>
    </w:rPr>
  </w:style>
  <w:style w:type="paragraph" w:customStyle="1" w:styleId="167">
    <w:name w:val="表格001"/>
    <w:basedOn w:val="1"/>
    <w:qFormat/>
    <w:uiPriority w:val="0"/>
    <w:pPr>
      <w:jc w:val="center"/>
    </w:pPr>
    <w:rPr>
      <w:szCs w:val="20"/>
    </w:rPr>
  </w:style>
  <w:style w:type="paragraph" w:customStyle="1" w:styleId="168">
    <w:name w:val="中文报告书"/>
    <w:basedOn w:val="1"/>
    <w:qFormat/>
    <w:uiPriority w:val="99"/>
    <w:pPr>
      <w:adjustRightInd w:val="0"/>
      <w:spacing w:after="80" w:line="420" w:lineRule="atLeast"/>
      <w:jc w:val="left"/>
      <w:textAlignment w:val="baseline"/>
    </w:pPr>
    <w:rPr>
      <w:kern w:val="0"/>
      <w:sz w:val="24"/>
      <w:szCs w:val="20"/>
    </w:rPr>
  </w:style>
  <w:style w:type="paragraph" w:customStyle="1" w:styleId="169">
    <w:name w:val="正文(首行缩进)"/>
    <w:basedOn w:val="1"/>
    <w:qFormat/>
    <w:uiPriority w:val="0"/>
    <w:pPr>
      <w:adjustRightInd w:val="0"/>
      <w:snapToGrid w:val="0"/>
      <w:spacing w:line="360" w:lineRule="auto"/>
      <w:ind w:firstLine="200" w:firstLineChars="200"/>
    </w:pPr>
    <w:rPr>
      <w:snapToGrid w:val="0"/>
      <w:kern w:val="0"/>
      <w:sz w:val="24"/>
    </w:rPr>
  </w:style>
  <w:style w:type="paragraph" w:customStyle="1" w:styleId="170">
    <w:name w:val="1正文"/>
    <w:basedOn w:val="1"/>
    <w:qFormat/>
    <w:uiPriority w:val="0"/>
    <w:pPr>
      <w:spacing w:line="360" w:lineRule="auto"/>
      <w:ind w:firstLine="198" w:firstLineChars="200"/>
    </w:pPr>
    <w:rPr>
      <w:sz w:val="24"/>
    </w:rPr>
  </w:style>
  <w:style w:type="paragraph" w:customStyle="1" w:styleId="171">
    <w:name w:val="Char Char1 Char Char Char Char Char Char Char Char Char Char Char Char Char Char Char Char Char Char Char Char1 Char"/>
    <w:basedOn w:val="1"/>
    <w:qFormat/>
    <w:uiPriority w:val="0"/>
    <w:pPr>
      <w:spacing w:line="360" w:lineRule="auto"/>
      <w:ind w:firstLine="200" w:firstLineChars="200"/>
    </w:pPr>
    <w:rPr>
      <w:rFonts w:ascii="宋体" w:hAnsi="宋体" w:cs="宋体"/>
      <w:sz w:val="24"/>
    </w:rPr>
  </w:style>
  <w:style w:type="paragraph" w:customStyle="1" w:styleId="172">
    <w:name w:val="xl2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kern w:val="0"/>
      <w:sz w:val="24"/>
    </w:rPr>
  </w:style>
  <w:style w:type="paragraph" w:customStyle="1" w:styleId="173">
    <w:name w:val="_Style 29"/>
    <w:basedOn w:val="12"/>
    <w:qFormat/>
    <w:uiPriority w:val="0"/>
    <w:pPr>
      <w:adjustRightInd w:val="0"/>
      <w:spacing w:line="436" w:lineRule="exact"/>
      <w:ind w:left="357"/>
      <w:jc w:val="left"/>
      <w:outlineLvl w:val="3"/>
    </w:pPr>
  </w:style>
  <w:style w:type="paragraph" w:customStyle="1" w:styleId="174">
    <w:name w:val="报告书表格"/>
    <w:basedOn w:val="1"/>
    <w:qFormat/>
    <w:uiPriority w:val="0"/>
    <w:pPr>
      <w:adjustRightInd w:val="0"/>
      <w:spacing w:before="60" w:after="60" w:line="240" w:lineRule="atLeast"/>
      <w:jc w:val="center"/>
      <w:textAlignment w:val="baseline"/>
    </w:pPr>
    <w:rPr>
      <w:kern w:val="0"/>
      <w:szCs w:val="20"/>
    </w:rPr>
  </w:style>
  <w:style w:type="paragraph" w:customStyle="1" w:styleId="175">
    <w:name w:val="表体"/>
    <w:basedOn w:val="1"/>
    <w:qFormat/>
    <w:uiPriority w:val="0"/>
    <w:pPr>
      <w:spacing w:before="40" w:after="40" w:line="360" w:lineRule="auto"/>
      <w:ind w:firstLine="200" w:firstLineChars="200"/>
      <w:jc w:val="center"/>
    </w:pPr>
    <w:rPr>
      <w:rFonts w:hAnsi="宋体"/>
      <w:color w:val="000080"/>
      <w:sz w:val="24"/>
    </w:rPr>
  </w:style>
  <w:style w:type="paragraph" w:customStyle="1" w:styleId="176">
    <w:name w:val="M正文"/>
    <w:basedOn w:val="1"/>
    <w:qFormat/>
    <w:uiPriority w:val="0"/>
    <w:pPr>
      <w:spacing w:line="360" w:lineRule="auto"/>
      <w:ind w:firstLine="200" w:firstLineChars="200"/>
    </w:pPr>
    <w:rPr>
      <w:rFonts w:ascii="方正楷体_GB2312" w:hAnsi="方正楷体_GB2312" w:cs="方正楷体_GB2312"/>
      <w:sz w:val="24"/>
      <w:szCs w:val="21"/>
    </w:rPr>
  </w:style>
  <w:style w:type="paragraph" w:customStyle="1" w:styleId="177">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78">
    <w:name w:val="我的表格"/>
    <w:basedOn w:val="1"/>
    <w:qFormat/>
    <w:uiPriority w:val="0"/>
    <w:pPr>
      <w:autoSpaceDE w:val="0"/>
      <w:autoSpaceDN w:val="0"/>
      <w:adjustRightInd w:val="0"/>
      <w:spacing w:line="288" w:lineRule="auto"/>
      <w:jc w:val="center"/>
    </w:pPr>
    <w:rPr>
      <w:kern w:val="0"/>
      <w:szCs w:val="21"/>
    </w:rPr>
  </w:style>
  <w:style w:type="paragraph" w:customStyle="1" w:styleId="179">
    <w:name w:val="正文2"/>
    <w:qFormat/>
    <w:uiPriority w:val="0"/>
    <w:pPr>
      <w:jc w:val="both"/>
    </w:pPr>
    <w:rPr>
      <w:rFonts w:ascii="Times New Roman" w:hAnsi="Times New Roman" w:eastAsia="宋体" w:cs="Times New Roman"/>
      <w:kern w:val="2"/>
      <w:sz w:val="21"/>
      <w:szCs w:val="21"/>
      <w:lang w:val="en-US" w:eastAsia="zh-CN" w:bidi="ar-SA"/>
    </w:rPr>
  </w:style>
  <w:style w:type="paragraph" w:customStyle="1" w:styleId="180">
    <w:name w:val="zhang正文"/>
    <w:basedOn w:val="17"/>
    <w:qFormat/>
    <w:uiPriority w:val="0"/>
    <w:pPr>
      <w:autoSpaceDE w:val="0"/>
      <w:autoSpaceDN w:val="0"/>
      <w:adjustRightInd w:val="0"/>
      <w:snapToGrid w:val="0"/>
      <w:spacing w:after="0" w:line="500" w:lineRule="exact"/>
      <w:ind w:left="0" w:leftChars="0" w:firstLine="539"/>
      <w:textAlignment w:val="baseline"/>
    </w:pPr>
    <w:rPr>
      <w:rFonts w:eastAsia="方正楷体_GB2312"/>
      <w:sz w:val="28"/>
    </w:rPr>
  </w:style>
  <w:style w:type="paragraph" w:customStyle="1" w:styleId="181">
    <w:name w:val="表格标题"/>
    <w:basedOn w:val="1"/>
    <w:qFormat/>
    <w:uiPriority w:val="0"/>
    <w:pPr>
      <w:spacing w:before="120"/>
      <w:jc w:val="center"/>
    </w:pPr>
    <w:rPr>
      <w:rFonts w:ascii="Calibri" w:hAnsi="Calibri"/>
      <w:sz w:val="24"/>
      <w:szCs w:val="20"/>
    </w:rPr>
  </w:style>
  <w:style w:type="paragraph" w:customStyle="1" w:styleId="182">
    <w:name w:val="p17"/>
    <w:basedOn w:val="1"/>
    <w:qFormat/>
    <w:uiPriority w:val="0"/>
    <w:pPr>
      <w:widowControl/>
      <w:spacing w:before="156" w:after="156" w:line="360" w:lineRule="auto"/>
    </w:pPr>
    <w:rPr>
      <w:kern w:val="0"/>
      <w:sz w:val="28"/>
      <w:szCs w:val="28"/>
    </w:rPr>
  </w:style>
  <w:style w:type="paragraph" w:customStyle="1" w:styleId="183">
    <w:name w:val="无间隔1"/>
    <w:basedOn w:val="1"/>
    <w:qFormat/>
    <w:uiPriority w:val="1"/>
    <w:pPr>
      <w:widowControl/>
      <w:jc w:val="left"/>
    </w:pPr>
    <w:rPr>
      <w:rFonts w:ascii="Cambria" w:hAnsi="Cambria"/>
      <w:kern w:val="0"/>
      <w:sz w:val="22"/>
    </w:rPr>
  </w:style>
  <w:style w:type="paragraph" w:customStyle="1" w:styleId="184">
    <w:name w:val="陈光的正文"/>
    <w:qFormat/>
    <w:uiPriority w:val="99"/>
    <w:pPr>
      <w:adjustRightInd w:val="0"/>
      <w:snapToGrid w:val="0"/>
      <w:spacing w:beforeLines="10" w:afterLines="10" w:line="360" w:lineRule="auto"/>
      <w:ind w:firstLine="560" w:firstLineChars="200"/>
    </w:pPr>
    <w:rPr>
      <w:rFonts w:ascii="Times New Roman" w:hAnsi="Times New Roman" w:eastAsia="宋体" w:cs="Times New Roman"/>
      <w:sz w:val="28"/>
      <w:lang w:val="en-US" w:eastAsia="zh-CN" w:bidi="ar-SA"/>
    </w:rPr>
  </w:style>
  <w:style w:type="paragraph" w:customStyle="1" w:styleId="185">
    <w:name w:val="表文"/>
    <w:basedOn w:val="1"/>
    <w:qFormat/>
    <w:uiPriority w:val="0"/>
    <w:pPr>
      <w:tabs>
        <w:tab w:val="left" w:pos="1021"/>
      </w:tabs>
      <w:spacing w:line="300" w:lineRule="auto"/>
      <w:jc w:val="center"/>
    </w:pPr>
    <w:rPr>
      <w:kern w:val="0"/>
      <w:position w:val="-24"/>
      <w:sz w:val="24"/>
      <w:szCs w:val="21"/>
    </w:rPr>
  </w:style>
  <w:style w:type="paragraph" w:customStyle="1" w:styleId="186">
    <w:name w:val="样式 样式 标题 2 + (西文) Times New Roman (中文) 宋体 小四 黑色 首行缩进:  0.85 厘米....."/>
    <w:basedOn w:val="1"/>
    <w:qFormat/>
    <w:uiPriority w:val="0"/>
    <w:pPr>
      <w:keepNext/>
      <w:keepLines/>
      <w:widowControl/>
      <w:adjustRightInd w:val="0"/>
      <w:spacing w:beforeLines="50" w:afterLines="50" w:line="360" w:lineRule="auto"/>
      <w:jc w:val="left"/>
      <w:outlineLvl w:val="1"/>
    </w:pPr>
    <w:rPr>
      <w:rFonts w:eastAsia="黑体" w:cs="宋体"/>
      <w:color w:val="000000"/>
      <w:sz w:val="32"/>
      <w:szCs w:val="32"/>
    </w:rPr>
  </w:style>
  <w:style w:type="paragraph" w:customStyle="1" w:styleId="187">
    <w:name w:val="表名"/>
    <w:basedOn w:val="1"/>
    <w:qFormat/>
    <w:uiPriority w:val="0"/>
    <w:pPr>
      <w:overflowPunct w:val="0"/>
      <w:spacing w:before="120" w:line="360" w:lineRule="auto"/>
      <w:jc w:val="center"/>
      <w:textAlignment w:val="baseline"/>
    </w:pPr>
    <w:rPr>
      <w:rFonts w:ascii="Arial" w:hAnsi="Arial" w:eastAsia="黑体"/>
      <w:sz w:val="24"/>
    </w:rPr>
  </w:style>
  <w:style w:type="paragraph" w:customStyle="1" w:styleId="188">
    <w:name w:val="Char Char Char Char Char Char Char Char Char Char"/>
    <w:basedOn w:val="1"/>
    <w:qFormat/>
    <w:uiPriority w:val="0"/>
    <w:pPr>
      <w:widowControl/>
      <w:spacing w:before="100" w:beforeAutospacing="1" w:after="100" w:afterAutospacing="1" w:line="360" w:lineRule="auto"/>
      <w:ind w:left="360" w:firstLine="624"/>
      <w:jc w:val="left"/>
    </w:pPr>
    <w:rPr>
      <w:szCs w:val="20"/>
    </w:rPr>
  </w:style>
  <w:style w:type="paragraph" w:customStyle="1" w:styleId="189">
    <w:name w:val="表内容"/>
    <w:basedOn w:val="1"/>
    <w:qFormat/>
    <w:uiPriority w:val="0"/>
    <w:pPr>
      <w:jc w:val="center"/>
    </w:pPr>
    <w:rPr>
      <w:szCs w:val="21"/>
    </w:rPr>
  </w:style>
  <w:style w:type="paragraph" w:customStyle="1" w:styleId="190">
    <w:name w:val="报告表正文"/>
    <w:basedOn w:val="1"/>
    <w:qFormat/>
    <w:uiPriority w:val="0"/>
    <w:pPr>
      <w:adjustRightInd w:val="0"/>
      <w:snapToGrid w:val="0"/>
      <w:spacing w:line="360" w:lineRule="auto"/>
      <w:ind w:firstLine="480" w:firstLineChars="200"/>
      <w:jc w:val="left"/>
    </w:pPr>
    <w:rPr>
      <w:sz w:val="24"/>
      <w:szCs w:val="20"/>
    </w:rPr>
  </w:style>
  <w:style w:type="paragraph" w:customStyle="1" w:styleId="191">
    <w:name w:val="Char Char4"/>
    <w:basedOn w:val="1"/>
    <w:next w:val="1"/>
    <w:qFormat/>
    <w:uiPriority w:val="0"/>
    <w:pPr>
      <w:spacing w:line="360" w:lineRule="auto"/>
      <w:ind w:firstLine="200" w:firstLineChars="200"/>
    </w:pPr>
    <w:rPr>
      <w:rFonts w:eastAsia="Times New Roman"/>
      <w:color w:val="000000"/>
      <w:kern w:val="0"/>
      <w:sz w:val="20"/>
      <w:szCs w:val="20"/>
      <w:u w:val="none" w:color="000000"/>
    </w:rPr>
  </w:style>
  <w:style w:type="paragraph" w:customStyle="1" w:styleId="192">
    <w:name w:val="Char Char1 Char"/>
    <w:basedOn w:val="1"/>
    <w:qFormat/>
    <w:uiPriority w:val="0"/>
  </w:style>
  <w:style w:type="paragraph" w:customStyle="1" w:styleId="193">
    <w:name w:val="段落1"/>
    <w:basedOn w:val="1"/>
    <w:qFormat/>
    <w:uiPriority w:val="0"/>
    <w:pPr>
      <w:spacing w:line="480" w:lineRule="exact"/>
      <w:ind w:firstLine="200" w:firstLineChars="200"/>
    </w:pPr>
    <w:rPr>
      <w:rFonts w:eastAsia="方正楷体_GB2312"/>
      <w:spacing w:val="6"/>
      <w:sz w:val="28"/>
    </w:rPr>
  </w:style>
  <w:style w:type="paragraph" w:customStyle="1" w:styleId="194">
    <w:name w:val="正文曹"/>
    <w:basedOn w:val="17"/>
    <w:qFormat/>
    <w:uiPriority w:val="0"/>
    <w:pPr>
      <w:spacing w:after="0" w:line="40" w:lineRule="exact"/>
      <w:ind w:left="0" w:leftChars="0"/>
    </w:pPr>
    <w:rPr>
      <w:rFonts w:hAnsi="宋体"/>
      <w:kern w:val="2"/>
      <w:szCs w:val="24"/>
    </w:rPr>
  </w:style>
  <w:style w:type="paragraph" w:customStyle="1" w:styleId="195">
    <w:name w:val="表"/>
    <w:basedOn w:val="1"/>
    <w:qFormat/>
    <w:uiPriority w:val="0"/>
    <w:pPr>
      <w:spacing w:line="360" w:lineRule="auto"/>
      <w:jc w:val="center"/>
    </w:pPr>
    <w:rPr>
      <w:rFonts w:ascii="宋体" w:hAnsi="Courier New"/>
      <w:szCs w:val="21"/>
    </w:rPr>
  </w:style>
  <w:style w:type="paragraph" w:customStyle="1" w:styleId="196">
    <w:name w:val="_Style 10"/>
    <w:basedOn w:val="1"/>
    <w:next w:val="1"/>
    <w:qFormat/>
    <w:uiPriority w:val="0"/>
    <w:pPr>
      <w:spacing w:line="360" w:lineRule="auto"/>
      <w:ind w:firstLine="200" w:firstLineChars="200"/>
    </w:pPr>
    <w:rPr>
      <w:color w:val="000000"/>
      <w:kern w:val="0"/>
      <w:szCs w:val="20"/>
      <w:u w:val="none" w:color="000000"/>
    </w:rPr>
  </w:style>
  <w:style w:type="paragraph" w:customStyle="1" w:styleId="197">
    <w:name w:val="书正文"/>
    <w:basedOn w:val="1"/>
    <w:qFormat/>
    <w:uiPriority w:val="0"/>
    <w:pPr>
      <w:spacing w:line="500" w:lineRule="exact"/>
      <w:ind w:firstLine="640" w:firstLineChars="200"/>
    </w:pPr>
    <w:rPr>
      <w:rFonts w:ascii="Calibri" w:hAnsi="Calibri"/>
      <w:szCs w:val="20"/>
    </w:rPr>
  </w:style>
  <w:style w:type="paragraph" w:customStyle="1" w:styleId="198">
    <w:name w:val="简单回函地址"/>
    <w:basedOn w:val="4"/>
    <w:next w:val="1"/>
    <w:qFormat/>
    <w:uiPriority w:val="0"/>
    <w:pPr>
      <w:keepNext w:val="0"/>
      <w:widowControl/>
      <w:overflowPunct/>
      <w:snapToGrid/>
      <w:spacing w:before="0" w:after="0" w:line="240" w:lineRule="auto"/>
      <w:ind w:left="0" w:right="240" w:firstLine="0"/>
      <w:jc w:val="left"/>
      <w:outlineLvl w:val="9"/>
    </w:pPr>
    <w:rPr>
      <w:rFonts w:ascii="宋体" w:hAnsi="宋体" w:eastAsia="宋体" w:cs="宋体"/>
      <w:b w:val="0"/>
      <w:bCs w:val="0"/>
      <w:color w:val="auto"/>
      <w:kern w:val="2"/>
      <w:sz w:val="21"/>
      <w:szCs w:val="24"/>
    </w:rPr>
  </w:style>
  <w:style w:type="paragraph" w:customStyle="1" w:styleId="199">
    <w:name w:val="样式 表文字 + 字符缩放: 90%"/>
    <w:basedOn w:val="1"/>
    <w:qFormat/>
    <w:uiPriority w:val="0"/>
    <w:pPr>
      <w:keepNext/>
      <w:adjustRightInd w:val="0"/>
      <w:spacing w:line="240" w:lineRule="exact"/>
      <w:ind w:left="-50" w:leftChars="-50" w:right="-50" w:rightChars="-50"/>
      <w:jc w:val="center"/>
      <w:textAlignment w:val="baseline"/>
    </w:pPr>
    <w:rPr>
      <w:rFonts w:cs="宋体"/>
      <w:kern w:val="0"/>
      <w:sz w:val="18"/>
      <w:szCs w:val="18"/>
    </w:rPr>
  </w:style>
  <w:style w:type="paragraph" w:customStyle="1" w:styleId="200">
    <w:name w:val="默认段落字体 Para Char Char Char Char"/>
    <w:basedOn w:val="1"/>
    <w:qFormat/>
    <w:uiPriority w:val="0"/>
    <w:pPr>
      <w:spacing w:line="360" w:lineRule="auto"/>
      <w:ind w:firstLine="200" w:firstLineChars="200"/>
    </w:pPr>
    <w:rPr>
      <w:rFonts w:ascii="宋体" w:hAnsi="宋体" w:cs="宋体"/>
      <w:sz w:val="24"/>
    </w:rPr>
  </w:style>
  <w:style w:type="paragraph" w:customStyle="1" w:styleId="201">
    <w:name w:val="正文样式100"/>
    <w:basedOn w:val="1"/>
    <w:qFormat/>
    <w:uiPriority w:val="0"/>
    <w:pPr>
      <w:spacing w:line="360" w:lineRule="auto"/>
      <w:ind w:firstLine="480" w:firstLineChars="200"/>
    </w:pPr>
    <w:rPr>
      <w:rFonts w:ascii="宋体" w:hAnsi="Courier New" w:cs="Courier New"/>
      <w:sz w:val="24"/>
      <w:szCs w:val="21"/>
    </w:rPr>
  </w:style>
  <w:style w:type="paragraph" w:customStyle="1" w:styleId="202">
    <w:name w:val="Char4"/>
    <w:basedOn w:val="1"/>
    <w:qFormat/>
    <w:uiPriority w:val="0"/>
    <w:rPr>
      <w:color w:val="000000"/>
      <w:u w:val="none" w:color="000000"/>
    </w:rPr>
  </w:style>
  <w:style w:type="paragraph" w:customStyle="1" w:styleId="203">
    <w:name w:val="Table Paragraph"/>
    <w:basedOn w:val="1"/>
    <w:qFormat/>
    <w:uiPriority w:val="0"/>
    <w:pPr>
      <w:keepNext w:val="0"/>
      <w:keepLines w:val="0"/>
      <w:widowControl w:val="0"/>
      <w:suppressLineNumbers w:val="0"/>
      <w:spacing w:before="0" w:beforeAutospacing="0" w:after="0" w:afterAutospacing="0"/>
      <w:ind w:left="0" w:right="0"/>
      <w:jc w:val="center"/>
    </w:pPr>
    <w:rPr>
      <w:rFonts w:hint="eastAsia" w:ascii="宋体" w:hAnsi="宋体" w:eastAsia="宋体" w:cs="宋体"/>
      <w:kern w:val="0"/>
      <w:sz w:val="22"/>
      <w:szCs w:val="22"/>
      <w:lang w:val="en-US" w:eastAsia="zh-CN" w:bidi="ar"/>
    </w:rPr>
  </w:style>
  <w:style w:type="paragraph" w:customStyle="1" w:styleId="204">
    <w:name w:val="表格文字1"/>
    <w:basedOn w:val="1"/>
    <w:qFormat/>
    <w:uiPriority w:val="0"/>
    <w:pPr>
      <w:autoSpaceDE w:val="0"/>
      <w:autoSpaceDN w:val="0"/>
      <w:adjustRightInd w:val="0"/>
      <w:jc w:val="center"/>
    </w:pPr>
    <w:rPr>
      <w:rFonts w:ascii="宋体" w:hAnsi="宋体"/>
      <w:snapToGrid w:val="0"/>
      <w:kern w:val="0"/>
      <w:szCs w:val="20"/>
    </w:rPr>
  </w:style>
  <w:style w:type="paragraph" w:customStyle="1" w:styleId="205">
    <w:name w:val="Table caption|1"/>
    <w:basedOn w:val="1"/>
    <w:qFormat/>
    <w:uiPriority w:val="0"/>
    <w:pPr>
      <w:spacing w:line="261" w:lineRule="auto"/>
      <w:jc w:val="center"/>
    </w:pPr>
    <w:rPr>
      <w:rFonts w:ascii="宋体" w:hAnsi="宋体" w:cs="宋体"/>
      <w:b/>
      <w:bCs/>
      <w:color w:val="000000"/>
      <w:kern w:val="0"/>
      <w:sz w:val="20"/>
      <w:szCs w:val="20"/>
    </w:rPr>
  </w:style>
  <w:style w:type="paragraph" w:customStyle="1" w:styleId="206">
    <w:name w:val="Normal"/>
    <w:qFormat/>
    <w:uiPriority w:val="0"/>
    <w:pPr>
      <w:jc w:val="both"/>
    </w:pPr>
    <w:rPr>
      <w:rFonts w:ascii="Calibri" w:hAnsi="Calibri" w:eastAsia="宋体" w:cs="Calibri"/>
      <w:kern w:val="2"/>
      <w:sz w:val="21"/>
      <w:szCs w:val="21"/>
      <w:lang w:val="en-US" w:eastAsia="zh-CN" w:bidi="ar-SA"/>
    </w:rPr>
  </w:style>
  <w:style w:type="paragraph" w:customStyle="1" w:styleId="207">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208">
    <w:name w:val="正文+2"/>
    <w:basedOn w:val="1"/>
    <w:qFormat/>
    <w:uiPriority w:val="0"/>
    <w:rPr>
      <w:szCs w:val="24"/>
    </w:rPr>
  </w:style>
  <w:style w:type="character" w:customStyle="1" w:styleId="209">
    <w:name w:val="NormalCharacter"/>
    <w:qFormat/>
    <w:uiPriority w:val="0"/>
  </w:style>
  <w:style w:type="paragraph" w:customStyle="1" w:styleId="210">
    <w:name w:val="Heading #1|1"/>
    <w:basedOn w:val="1"/>
    <w:qFormat/>
    <w:uiPriority w:val="0"/>
    <w:pPr>
      <w:widowControl w:val="0"/>
      <w:shd w:val="clear" w:color="auto" w:fill="auto"/>
      <w:spacing w:before="240" w:after="260"/>
      <w:outlineLvl w:val="0"/>
    </w:pPr>
    <w:rPr>
      <w:rFonts w:ascii="宋体" w:hAnsi="宋体" w:eastAsia="宋体" w:cs="宋体"/>
      <w:sz w:val="30"/>
      <w:szCs w:val="30"/>
      <w:u w:val="none"/>
      <w:shd w:val="clear" w:color="auto" w:fill="auto"/>
      <w:lang w:val="zh-TW" w:eastAsia="zh-TW" w:bidi="zh-TW"/>
    </w:rPr>
  </w:style>
  <w:style w:type="paragraph" w:customStyle="1" w:styleId="211">
    <w:name w:val="Header or footer|2"/>
    <w:basedOn w:val="1"/>
    <w:qFormat/>
    <w:uiPriority w:val="0"/>
    <w:pPr>
      <w:widowControl w:val="0"/>
      <w:shd w:val="clear" w:color="auto" w:fill="auto"/>
    </w:pPr>
    <w:rPr>
      <w:sz w:val="20"/>
      <w:szCs w:val="20"/>
      <w:u w:val="none"/>
      <w:shd w:val="clear" w:color="auto" w:fill="auto"/>
      <w:lang w:val="zh-TW" w:eastAsia="zh-TW" w:bidi="zh-TW"/>
    </w:rPr>
  </w:style>
  <w:style w:type="paragraph" w:customStyle="1" w:styleId="212">
    <w:name w:val="Heading #3|1"/>
    <w:basedOn w:val="1"/>
    <w:qFormat/>
    <w:uiPriority w:val="0"/>
    <w:pPr>
      <w:widowControl w:val="0"/>
      <w:shd w:val="clear" w:color="auto" w:fill="auto"/>
      <w:spacing w:line="472" w:lineRule="exact"/>
      <w:ind w:firstLine="500"/>
      <w:outlineLvl w:val="2"/>
    </w:pPr>
    <w:rPr>
      <w:rFonts w:ascii="宋体" w:hAnsi="宋体" w:eastAsia="宋体" w:cs="宋体"/>
      <w:sz w:val="22"/>
      <w:szCs w:val="22"/>
      <w:u w:val="none"/>
      <w:shd w:val="clear" w:color="auto" w:fill="auto"/>
      <w:lang w:val="zh-TW" w:eastAsia="zh-TW" w:bidi="zh-TW"/>
    </w:rPr>
  </w:style>
  <w:style w:type="table" w:customStyle="1" w:styleId="213">
    <w:name w:val="Table Normal"/>
    <w:unhideWhenUsed/>
    <w:qFormat/>
    <w:uiPriority w:val="0"/>
    <w:tblPr>
      <w:tblCellMar>
        <w:top w:w="0" w:type="dxa"/>
        <w:left w:w="0" w:type="dxa"/>
        <w:bottom w:w="0" w:type="dxa"/>
        <w:right w:w="0" w:type="dxa"/>
      </w:tblCellMar>
    </w:tblPr>
  </w:style>
  <w:style w:type="paragraph" w:customStyle="1" w:styleId="214">
    <w:name w:val="样式 宋体 小四 黑色 行距: 1.5 倍行距"/>
    <w:basedOn w:val="1"/>
    <w:qFormat/>
    <w:uiPriority w:val="0"/>
    <w:pPr>
      <w:spacing w:line="360" w:lineRule="auto"/>
      <w:ind w:firstLine="480" w:firstLineChars="200"/>
    </w:pPr>
    <w:rPr>
      <w:rFonts w:ascii="宋体" w:hAnsi="宋体"/>
      <w:color w:val="000000"/>
      <w:kern w:val="0"/>
      <w:sz w:val="24"/>
    </w:rPr>
  </w:style>
  <w:style w:type="character" w:customStyle="1" w:styleId="215">
    <w:name w:val="font21"/>
    <w:basedOn w:val="36"/>
    <w:qFormat/>
    <w:uiPriority w:val="0"/>
    <w:rPr>
      <w:rFonts w:hint="eastAsia" w:ascii="宋体" w:hAnsi="宋体" w:eastAsia="宋体" w:cs="宋体"/>
      <w:color w:val="000000"/>
      <w:sz w:val="22"/>
      <w:szCs w:val="22"/>
      <w:u w:val="none"/>
    </w:rPr>
  </w:style>
  <w:style w:type="paragraph" w:customStyle="1" w:styleId="216">
    <w:name w:val="表格内文字"/>
    <w:next w:val="1"/>
    <w:qFormat/>
    <w:uiPriority w:val="0"/>
    <w:pPr>
      <w:autoSpaceDE w:val="0"/>
      <w:autoSpaceDN w:val="0"/>
      <w:adjustRightInd w:val="0"/>
      <w:snapToGrid w:val="0"/>
      <w:spacing w:line="240" w:lineRule="auto"/>
      <w:jc w:val="center"/>
    </w:pPr>
    <w:rPr>
      <w:rFonts w:ascii="Times New Roman" w:hAnsi="Times New Roman" w:eastAsia="宋体" w:cs="Times New Roman"/>
      <w:sz w:val="21"/>
      <w:szCs w:val="21"/>
      <w:lang w:val="zh-CN" w:eastAsia="zh-CN" w:bidi="ar-SA"/>
    </w:rPr>
  </w:style>
  <w:style w:type="paragraph" w:customStyle="1" w:styleId="217">
    <w:name w:val="Heading #5|1"/>
    <w:basedOn w:val="1"/>
    <w:qFormat/>
    <w:uiPriority w:val="0"/>
    <w:pPr>
      <w:widowControl w:val="0"/>
      <w:shd w:val="clear" w:color="auto" w:fill="auto"/>
      <w:spacing w:line="319" w:lineRule="auto"/>
      <w:outlineLvl w:val="4"/>
    </w:pPr>
    <w:rPr>
      <w:rFonts w:ascii="宋体" w:hAnsi="宋体" w:eastAsia="宋体" w:cs="宋体"/>
      <w:sz w:val="22"/>
      <w:szCs w:val="22"/>
      <w:u w:val="none"/>
      <w:shd w:val="clear" w:color="auto" w:fill="auto"/>
      <w:lang w:val="zh-TW" w:eastAsia="zh-TW" w:bidi="zh-TW"/>
    </w:rPr>
  </w:style>
  <w:style w:type="character" w:customStyle="1" w:styleId="218">
    <w:name w:val="font31"/>
    <w:basedOn w:val="36"/>
    <w:qFormat/>
    <w:uiPriority w:val="0"/>
    <w:rPr>
      <w:rFonts w:hint="default" w:ascii="Times New Roman" w:hAnsi="Times New Roman" w:cs="Times New Roman"/>
      <w:color w:val="000000"/>
      <w:sz w:val="21"/>
      <w:szCs w:val="21"/>
      <w:u w:val="none"/>
    </w:rPr>
  </w:style>
  <w:style w:type="character" w:customStyle="1" w:styleId="219">
    <w:name w:val="font41"/>
    <w:basedOn w:val="36"/>
    <w:qFormat/>
    <w:uiPriority w:val="0"/>
    <w:rPr>
      <w:rFonts w:hint="eastAsia" w:ascii="宋体" w:hAnsi="宋体" w:eastAsia="宋体" w:cs="宋体"/>
      <w:color w:val="000000"/>
      <w:sz w:val="21"/>
      <w:szCs w:val="21"/>
      <w:u w:val="none"/>
    </w:rPr>
  </w:style>
  <w:style w:type="character" w:customStyle="1" w:styleId="220">
    <w:name w:val="font51"/>
    <w:basedOn w:val="36"/>
    <w:qFormat/>
    <w:uiPriority w:val="0"/>
    <w:rPr>
      <w:rFonts w:hint="default" w:ascii="Times New Roman" w:hAnsi="Times New Roman" w:cs="Times New Roman"/>
      <w:color w:val="000000"/>
      <w:sz w:val="21"/>
      <w:szCs w:val="21"/>
      <w:u w:val="none"/>
    </w:rPr>
  </w:style>
  <w:style w:type="character" w:customStyle="1" w:styleId="221">
    <w:name w:val="font71"/>
    <w:basedOn w:val="36"/>
    <w:qFormat/>
    <w:uiPriority w:val="0"/>
    <w:rPr>
      <w:rFonts w:hint="default" w:ascii="Times New Roman" w:hAnsi="Times New Roman" w:cs="Times New Roman"/>
      <w:color w:val="000000"/>
      <w:sz w:val="21"/>
      <w:szCs w:val="21"/>
      <w:u w:val="none"/>
      <w:vertAlign w:val="superscript"/>
    </w:rPr>
  </w:style>
  <w:style w:type="character" w:customStyle="1" w:styleId="222">
    <w:name w:val="font81"/>
    <w:basedOn w:val="36"/>
    <w:qFormat/>
    <w:uiPriority w:val="0"/>
    <w:rPr>
      <w:rFonts w:hint="default" w:ascii="Times New Roman" w:hAnsi="Times New Roman" w:cs="Times New Roman"/>
      <w:color w:val="000000"/>
      <w:sz w:val="21"/>
      <w:szCs w:val="21"/>
      <w:u w:val="none"/>
      <w:vertAlign w:val="subscript"/>
    </w:rPr>
  </w:style>
  <w:style w:type="character" w:customStyle="1" w:styleId="223">
    <w:name w:val="disabled"/>
    <w:basedOn w:val="36"/>
    <w:qFormat/>
    <w:uiPriority w:val="0"/>
    <w:rPr>
      <w:vanish/>
    </w:rPr>
  </w:style>
  <w:style w:type="character" w:customStyle="1" w:styleId="224">
    <w:name w:val="znspantitle"/>
    <w:basedOn w:val="36"/>
    <w:qFormat/>
    <w:uiPriority w:val="0"/>
    <w:rPr>
      <w:b/>
      <w:bCs/>
      <w:color w:val="333333"/>
    </w:rPr>
  </w:style>
  <w:style w:type="paragraph" w:customStyle="1" w:styleId="225">
    <w:name w:val="Table Text"/>
    <w:basedOn w:val="1"/>
    <w:semiHidden/>
    <w:qFormat/>
    <w:uiPriority w:val="0"/>
    <w:rPr>
      <w:rFonts w:ascii="宋体" w:hAnsi="宋体" w:eastAsia="宋体" w:cs="宋体"/>
      <w:sz w:val="20"/>
      <w:szCs w:val="20"/>
      <w:lang w:val="en-US" w:eastAsia="en-US" w:bidi="ar-SA"/>
    </w:rPr>
  </w:style>
  <w:style w:type="paragraph" w:customStyle="1" w:styleId="226">
    <w:name w:val="图标内容"/>
    <w:basedOn w:val="1"/>
    <w:qFormat/>
    <w:uiPriority w:val="0"/>
    <w:pPr>
      <w:adjustRightInd/>
      <w:snapToGrid/>
      <w:spacing w:line="240" w:lineRule="auto"/>
      <w:ind w:firstLine="0" w:firstLineChars="0"/>
      <w:jc w:val="center"/>
    </w:pPr>
    <w:rPr>
      <w:rFonts w:eastAsia="宋体" w:cs="Times New Roman"/>
      <w:color w:val="auto"/>
      <w:kern w:val="0"/>
      <w:sz w:val="21"/>
      <w:szCs w:val="24"/>
    </w:rPr>
  </w:style>
  <w:style w:type="paragraph" w:customStyle="1" w:styleId="227">
    <w:name w:val="样式 正文文本 + 首行缩进:  2 字符"/>
    <w:qFormat/>
    <w:uiPriority w:val="99"/>
    <w:pPr>
      <w:spacing w:after="200" w:line="480" w:lineRule="exact"/>
      <w:ind w:firstLine="480" w:firstLineChars="200"/>
    </w:pPr>
    <w:rPr>
      <w:rFonts w:ascii="Times New Roman" w:hAnsi="Times New Roman" w:eastAsia="微软雅黑" w:cs="Times New Roman"/>
      <w:sz w:val="24"/>
      <w:szCs w:val="22"/>
      <w:lang w:val="en-US" w:eastAsia="zh-CN" w:bidi="ar-SA"/>
    </w:rPr>
  </w:style>
  <w:style w:type="character" w:customStyle="1" w:styleId="228">
    <w:name w:val="font91"/>
    <w:basedOn w:val="36"/>
    <w:qFormat/>
    <w:uiPriority w:val="0"/>
    <w:rPr>
      <w:rFonts w:hint="eastAsia" w:ascii="宋体" w:hAnsi="宋体" w:eastAsia="宋体" w:cs="宋体"/>
      <w:color w:val="003899"/>
      <w:sz w:val="20"/>
      <w:szCs w:val="20"/>
      <w:u w:val="none"/>
    </w:rPr>
  </w:style>
  <w:style w:type="character" w:customStyle="1" w:styleId="229">
    <w:name w:val="font101"/>
    <w:basedOn w:val="36"/>
    <w:qFormat/>
    <w:uiPriority w:val="0"/>
    <w:rPr>
      <w:rFonts w:hint="eastAsia" w:ascii="宋体" w:hAnsi="宋体" w:eastAsia="宋体" w:cs="宋体"/>
      <w:color w:val="000000"/>
      <w:sz w:val="20"/>
      <w:szCs w:val="20"/>
      <w:u w:val="none"/>
    </w:rPr>
  </w:style>
  <w:style w:type="paragraph" w:customStyle="1" w:styleId="230">
    <w:name w:val="M表格"/>
    <w:qFormat/>
    <w:uiPriority w:val="0"/>
    <w:pPr>
      <w:widowControl w:val="0"/>
      <w:adjustRightInd w:val="0"/>
      <w:snapToGrid w:val="0"/>
      <w:spacing w:line="400" w:lineRule="atLeast"/>
      <w:jc w:val="center"/>
    </w:pPr>
    <w:rPr>
      <w:rFonts w:ascii="Times New Roman" w:hAnsi="Times New Roman" w:eastAsia="宋体" w:cs="Times New Roman"/>
      <w:color w:val="000000"/>
      <w:kern w:val="2"/>
      <w:sz w:val="21"/>
      <w:szCs w:val="21"/>
      <w:lang w:val="en-US" w:eastAsia="zh-CN" w:bidi="ar-SA"/>
    </w:rPr>
  </w:style>
  <w:style w:type="paragraph" w:customStyle="1" w:styleId="231">
    <w:name w:val="24磅加粗"/>
    <w:qFormat/>
    <w:uiPriority w:val="0"/>
    <w:pPr>
      <w:widowControl w:val="0"/>
      <w:adjustRightInd w:val="0"/>
      <w:snapToGrid w:val="0"/>
      <w:spacing w:line="480" w:lineRule="exact"/>
      <w:ind w:firstLine="720" w:firstLineChars="200"/>
      <w:jc w:val="both"/>
    </w:pPr>
    <w:rPr>
      <w:rFonts w:ascii="Times New Roman" w:hAnsi="Times New Roman" w:eastAsia="宋体" w:cs="Times New Roman"/>
      <w:b/>
      <w:bCs/>
      <w:kern w:val="2"/>
      <w:sz w:val="24"/>
      <w:szCs w:val="24"/>
      <w:lang w:val="en-US" w:eastAsia="zh-CN" w:bidi="ar-SA"/>
    </w:rPr>
  </w:style>
  <w:style w:type="paragraph" w:customStyle="1" w:styleId="232">
    <w:name w:val="24榜"/>
    <w:basedOn w:val="1"/>
    <w:qFormat/>
    <w:uiPriority w:val="0"/>
    <w:pPr>
      <w:adjustRightInd w:val="0"/>
      <w:snapToGrid w:val="0"/>
      <w:spacing w:line="480" w:lineRule="exact"/>
      <w:ind w:firstLine="720" w:firstLineChars="200"/>
      <w:jc w:val="both"/>
    </w:pPr>
    <w:rPr>
      <w:bCs/>
      <w:kern w:val="0"/>
      <w:sz w:val="24"/>
      <w:szCs w:val="20"/>
    </w:rPr>
  </w:style>
  <w:style w:type="paragraph" w:customStyle="1" w:styleId="233">
    <w:name w:val="Char5"/>
    <w:basedOn w:val="1"/>
    <w:qFormat/>
    <w:uiPriority w:val="0"/>
    <w:pPr>
      <w:spacing w:line="360" w:lineRule="auto"/>
    </w:pPr>
    <w:rPr>
      <w:rFonts w:ascii="宋体" w:hAnsi="宋体" w:cs="宋体"/>
    </w:rPr>
  </w:style>
  <w:style w:type="paragraph" w:customStyle="1" w:styleId="234">
    <w:name w:val="ljw正文"/>
    <w:basedOn w:val="1"/>
    <w:qFormat/>
    <w:uiPriority w:val="0"/>
    <w:pPr>
      <w:adjustRightInd w:val="0"/>
      <w:snapToGrid w:val="0"/>
      <w:spacing w:afterLines="50" w:line="300" w:lineRule="auto"/>
      <w:ind w:firstLine="480" w:firstLineChars="200"/>
    </w:pPr>
    <w:rPr>
      <w:rFonts w:hAnsi="宋体"/>
      <w:bCs/>
      <w:sz w:val="24"/>
      <w:szCs w:val="28"/>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6" Type="http://schemas.openxmlformats.org/officeDocument/2006/relationships/fontTable" Target="fontTable.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endnotes" Target="endnotes.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jpe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jpeg"/><Relationship Id="rId20" Type="http://schemas.openxmlformats.org/officeDocument/2006/relationships/image" Target="media/image10.w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home/inspur/C:\home\inspur\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67</Pages>
  <Words>13693</Words>
  <Characters>14435</Characters>
  <Lines>1</Lines>
  <Paragraphs>1</Paragraphs>
  <TotalTime>5</TotalTime>
  <ScaleCrop>false</ScaleCrop>
  <LinksUpToDate>false</LinksUpToDate>
  <CharactersWithSpaces>14486</CharactersWithSpaces>
  <Application>WPS Office_11.8.2.11653_F1E327BC-269C-435d-A152-05C5408002CA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2020-12-24T17:29:00Z</dcterms:created>
  <dc:creator>lhj</dc:creator>
  <cp:lastModifiedBy>inspur</cp:lastModifiedBy>
  <cp:lastPrinted>2025-03-08T03:09:00Z</cp:lastPrinted>
  <dcterms:modified xsi:type="dcterms:W3CDTF">2025-06-24T16:13:48Z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2052-11.8.2.11653</vt:lpwstr>
  </property>
  <property fmtid="{D5CDD505-2E9C-101B-9397-08002B2CF9AE}" pid="3" name="ICV">
    <vt:lpwstr>6E059290E79A4B188DBB84E9A2863633_13</vt:lpwstr>
  </property>
  <property fmtid="{D5CDD505-2E9C-101B-9397-08002B2CF9AE}" pid="4" name="commondata">
    <vt:lpwstr>eyJoZGlkIjoiNDViOTEzMWU0YTQ5NWFkZGMyMjAwNGRmYzNjMzg3NGIifQ==</vt:lpwstr>
  </property>
  <property fmtid="{D5CDD505-2E9C-101B-9397-08002B2CF9AE}" pid="5" name="KSOTemplateDocerSaveRecord">
    <vt:lpwstr>eyJoZGlkIjoiMGVlYWU3MTJiMDA5ZTgwM2JjODA5ZDQ3YjdmY2M3MDAiLCJ1c2VySWQiOiI0NjE3ODE1MjgifQ==</vt:lpwstr>
  </property>
</Properties>
</file>