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C6C70">
      <w:pPr>
        <w:adjustRightInd w:val="0"/>
        <w:snapToGrid w:val="0"/>
        <w:spacing w:line="360" w:lineRule="auto"/>
        <w:jc w:val="center"/>
        <w:rPr>
          <w:b/>
          <w:bCs/>
          <w:sz w:val="32"/>
          <w:szCs w:val="32"/>
        </w:rPr>
      </w:pPr>
      <w:bookmarkStart w:id="0" w:name="_Hlk124747957"/>
    </w:p>
    <w:p w14:paraId="6ED1168B">
      <w:pPr>
        <w:adjustRightInd w:val="0"/>
        <w:snapToGrid w:val="0"/>
        <w:spacing w:line="360" w:lineRule="auto"/>
        <w:jc w:val="center"/>
        <w:rPr>
          <w:b/>
          <w:bCs/>
          <w:sz w:val="32"/>
          <w:szCs w:val="32"/>
        </w:rPr>
      </w:pPr>
    </w:p>
    <w:p w14:paraId="7D5050B7">
      <w:pPr>
        <w:pStyle w:val="9"/>
        <w:ind w:left="420"/>
        <w:rPr>
          <w:b/>
          <w:bCs/>
          <w:sz w:val="32"/>
          <w:szCs w:val="32"/>
        </w:rPr>
      </w:pPr>
    </w:p>
    <w:p w14:paraId="3C53F326">
      <w:pPr>
        <w:rPr>
          <w:b/>
          <w:bCs/>
          <w:sz w:val="32"/>
          <w:szCs w:val="32"/>
        </w:rPr>
      </w:pPr>
    </w:p>
    <w:p w14:paraId="54C57361">
      <w:pPr>
        <w:pStyle w:val="9"/>
        <w:ind w:left="420"/>
        <w:rPr>
          <w:b/>
          <w:bCs/>
          <w:sz w:val="32"/>
          <w:szCs w:val="32"/>
        </w:rPr>
      </w:pPr>
    </w:p>
    <w:p w14:paraId="3A87A4D6">
      <w:pPr>
        <w:rPr>
          <w:b/>
          <w:bCs/>
          <w:sz w:val="32"/>
          <w:szCs w:val="32"/>
        </w:rPr>
      </w:pPr>
    </w:p>
    <w:p w14:paraId="726EDA97">
      <w:pPr>
        <w:pStyle w:val="9"/>
        <w:ind w:left="420"/>
        <w:rPr>
          <w:b/>
          <w:bCs/>
          <w:sz w:val="32"/>
          <w:szCs w:val="32"/>
        </w:rPr>
      </w:pPr>
    </w:p>
    <w:p w14:paraId="311E0715"/>
    <w:p w14:paraId="41381751">
      <w:pPr>
        <w:pStyle w:val="9"/>
        <w:ind w:left="420"/>
      </w:pPr>
    </w:p>
    <w:bookmarkEnd w:id="0"/>
    <w:p w14:paraId="78AA3263">
      <w:pPr>
        <w:spacing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号</w:t>
      </w:r>
    </w:p>
    <w:p w14:paraId="178BB95F">
      <w:pPr>
        <w:spacing w:line="598" w:lineRule="exact"/>
        <w:jc w:val="center"/>
        <w:rPr>
          <w:rFonts w:ascii="仿宋_GB2312" w:eastAsia="仿宋_GB2312" w:cs="仿宋_GB2312"/>
          <w:sz w:val="32"/>
          <w:szCs w:val="32"/>
        </w:rPr>
      </w:pPr>
    </w:p>
    <w:p w14:paraId="4837052D">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3BAD65E9">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内蒙古锡林郭勒盟西乌珠穆沁旗医共体巴彦花医疗次中心基础设施提升项目</w:t>
      </w:r>
      <w:r>
        <w:rPr>
          <w:rFonts w:hint="eastAsia" w:ascii="方正小标宋简体" w:hAnsi="方正小标宋简体" w:eastAsia="方正小标宋简体" w:cs="方正小标宋简体"/>
          <w:sz w:val="44"/>
          <w:szCs w:val="44"/>
        </w:rPr>
        <w:t>环境影响报告表的批复</w:t>
      </w:r>
    </w:p>
    <w:p w14:paraId="2E54128B">
      <w:pPr>
        <w:keepNext w:val="0"/>
        <w:keepLines w:val="0"/>
        <w:pageBreakBefore w:val="0"/>
        <w:widowControl w:val="0"/>
        <w:kinsoku/>
        <w:wordWrap/>
        <w:overflowPunct/>
        <w:topLinePunct w:val="0"/>
        <w:bidi w:val="0"/>
        <w:adjustRightInd w:val="0"/>
        <w:snapToGrid w:val="0"/>
        <w:spacing w:before="156" w:beforeLines="50" w:after="156" w:afterLines="50" w:line="600" w:lineRule="exact"/>
        <w:textAlignment w:val="auto"/>
        <w:rPr>
          <w:rFonts w:hint="eastAsia" w:ascii="仿宋_GB2312" w:hAnsi="仿宋_GB2312" w:eastAsia="仿宋_GB2312" w:cs="仿宋_GB2312"/>
          <w:color w:val="auto"/>
          <w:sz w:val="32"/>
          <w:szCs w:val="32"/>
          <w:lang w:val="en-US" w:eastAsia="zh-CN"/>
        </w:rPr>
      </w:pPr>
    </w:p>
    <w:p w14:paraId="19F60666">
      <w:pPr>
        <w:keepNext w:val="0"/>
        <w:keepLines w:val="0"/>
        <w:pageBreakBefore w:val="0"/>
        <w:widowControl w:val="0"/>
        <w:kinsoku/>
        <w:wordWrap/>
        <w:overflowPunct/>
        <w:topLinePunct w:val="0"/>
        <w:bidi w:val="0"/>
        <w:adjustRightInd w:val="0"/>
        <w:snapToGrid w:val="0"/>
        <w:spacing w:before="156" w:beforeLines="50" w:after="156" w:afterLines="5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西乌珠穆沁旗卫生健康委员会</w:t>
      </w:r>
      <w:r>
        <w:rPr>
          <w:rFonts w:hint="eastAsia" w:ascii="仿宋_GB2312" w:hAnsi="仿宋_GB2312" w:eastAsia="仿宋_GB2312" w:cs="仿宋_GB2312"/>
          <w:sz w:val="32"/>
          <w:szCs w:val="32"/>
        </w:rPr>
        <w:t>：</w:t>
      </w:r>
      <w:bookmarkStart w:id="1" w:name="_GoBack"/>
      <w:bookmarkEnd w:id="1"/>
    </w:p>
    <w:p w14:paraId="28E305ED">
      <w:pPr>
        <w:keepNext w:val="0"/>
        <w:keepLines w:val="0"/>
        <w:pageBreakBefore w:val="0"/>
        <w:widowControl w:val="0"/>
        <w:kinsoku/>
        <w:wordWrap/>
        <w:overflowPunct/>
        <w:topLinePunct w:val="0"/>
        <w:bidi w:val="0"/>
        <w:adjustRightInd w:val="0"/>
        <w:snapToGrid w:val="0"/>
        <w:spacing w:before="156" w:beforeLines="50" w:after="156" w:afterLines="5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你单位报送的《内蒙古锡林郭勒盟西乌珠穆沁旗医共体巴彦花医疗次中心基础设施提升项目环境影响报告表》</w:t>
      </w:r>
      <w:r>
        <w:rPr>
          <w:rFonts w:hint="eastAsia" w:ascii="仿宋_GB2312" w:hAnsi="仿宋_GB2312" w:eastAsia="仿宋_GB2312" w:cs="仿宋_GB2312"/>
          <w:sz w:val="32"/>
          <w:szCs w:val="32"/>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kern w:val="0"/>
          <w:sz w:val="32"/>
          <w:szCs w:val="32"/>
        </w:rPr>
        <w:t>锡环投评估表〔202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08</w:t>
      </w:r>
      <w:r>
        <w:rPr>
          <w:rFonts w:hint="eastAsia" w:ascii="仿宋_GB2312" w:hAnsi="仿宋_GB2312" w:eastAsia="仿宋_GB2312" w:cs="仿宋_GB2312"/>
          <w:kern w:val="0"/>
          <w:sz w:val="32"/>
          <w:szCs w:val="32"/>
        </w:rPr>
        <w:t>号</w:t>
      </w:r>
      <w:r>
        <w:rPr>
          <w:rFonts w:hint="eastAsia" w:ascii="仿宋_GB2312" w:hAnsi="仿宋_GB2312" w:eastAsia="仿宋_GB2312" w:cs="仿宋_GB2312"/>
          <w:sz w:val="32"/>
          <w:szCs w:val="32"/>
        </w:rPr>
        <w:t>）。经研究，现批复如下：</w:t>
      </w:r>
    </w:p>
    <w:p w14:paraId="59999B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sz w:val="32"/>
          <w:szCs w:val="32"/>
          <w:lang w:val="zh-CN" w:bidi="ar"/>
        </w:rPr>
      </w:pPr>
      <w:r>
        <w:rPr>
          <w:rFonts w:hint="eastAsia" w:ascii="仿宋_GB2312" w:hAnsi="仿宋_GB2312" w:eastAsia="仿宋_GB2312" w:cs="仿宋_GB2312"/>
          <w:snapToGrid/>
          <w:sz w:val="32"/>
          <w:szCs w:val="32"/>
          <w:lang w:val="zh-CN" w:bidi="ar"/>
        </w:rPr>
        <w:t>一、</w:t>
      </w:r>
      <w:r>
        <w:rPr>
          <w:rFonts w:hint="eastAsia" w:ascii="Times New Roman" w:hAnsi="Times New Roman" w:eastAsia="仿宋_GB2312" w:cs="Times New Roman"/>
          <w:sz w:val="32"/>
          <w:szCs w:val="32"/>
          <w:lang w:val="zh-CN" w:eastAsia="zh-CN"/>
        </w:rPr>
        <w:t>本项目</w:t>
      </w:r>
      <w:r>
        <w:rPr>
          <w:rFonts w:hint="default" w:ascii="Times New Roman" w:hAnsi="Times New Roman" w:eastAsia="仿宋_GB2312" w:cs="Times New Roman"/>
          <w:sz w:val="32"/>
          <w:szCs w:val="32"/>
          <w:lang w:val="en-US" w:eastAsia="zh-CN"/>
        </w:rPr>
        <w:t>位于西乌珠穆沁旗巴彦花镇东郊，建设综合医院一座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项目共设置床位32张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原2层业务用房及周转宿舍</w:t>
      </w:r>
      <w:r>
        <w:rPr>
          <w:rFonts w:hint="eastAsia" w:ascii="Times New Roman" w:hAnsi="Times New Roman" w:eastAsia="仿宋_GB2312" w:cs="Times New Roman"/>
          <w:sz w:val="32"/>
          <w:szCs w:val="32"/>
          <w:lang w:val="en-US" w:eastAsia="zh-CN"/>
        </w:rPr>
        <w:t>改造为宿舍楼，通过连廊与新建医疗次中心相连。主要建设内容包括，三层</w:t>
      </w:r>
      <w:r>
        <w:rPr>
          <w:rFonts w:hint="default" w:ascii="Times New Roman" w:hAnsi="Times New Roman" w:eastAsia="仿宋_GB2312" w:cs="Times New Roman"/>
          <w:sz w:val="32"/>
          <w:szCs w:val="32"/>
          <w:lang w:val="en-US" w:eastAsia="zh-CN"/>
        </w:rPr>
        <w:t>医疗次中心综合楼</w:t>
      </w:r>
      <w:r>
        <w:rPr>
          <w:rFonts w:hint="eastAsia" w:ascii="Times New Roman" w:hAnsi="Times New Roman" w:eastAsia="仿宋_GB2312" w:cs="Times New Roman"/>
          <w:sz w:val="32"/>
          <w:szCs w:val="32"/>
          <w:lang w:val="en-US" w:eastAsia="zh-CN"/>
        </w:rPr>
        <w:t>1座、</w:t>
      </w:r>
      <w:r>
        <w:rPr>
          <w:rFonts w:hint="default" w:ascii="Times New Roman" w:hAnsi="Times New Roman" w:eastAsia="仿宋_GB2312" w:cs="Times New Roman"/>
          <w:sz w:val="32"/>
          <w:szCs w:val="32"/>
          <w:lang w:val="en-US" w:eastAsia="zh-CN"/>
        </w:rPr>
        <w:t>45m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危险废物暂存间</w:t>
      </w:r>
      <w:r>
        <w:rPr>
          <w:rFonts w:hint="eastAsia" w:ascii="Times New Roman" w:hAnsi="Times New Roman" w:eastAsia="仿宋_GB2312" w:cs="Times New Roman"/>
          <w:sz w:val="32"/>
          <w:szCs w:val="32"/>
          <w:lang w:val="en-US" w:eastAsia="zh-CN"/>
        </w:rPr>
        <w:t>1座、</w:t>
      </w:r>
      <w:r>
        <w:rPr>
          <w:rFonts w:hint="default" w:ascii="Times New Roman" w:hAnsi="Times New Roman" w:eastAsia="仿宋_GB2312" w:cs="Times New Roman"/>
          <w:sz w:val="32"/>
          <w:szCs w:val="32"/>
          <w:lang w:val="en-US" w:eastAsia="zh-CN"/>
        </w:rPr>
        <w:t>处理</w:t>
      </w:r>
      <w:r>
        <w:rPr>
          <w:rFonts w:hint="eastAsia" w:ascii="Times New Roman" w:hAnsi="Times New Roman" w:eastAsia="仿宋_GB2312" w:cs="Times New Roman"/>
          <w:sz w:val="32"/>
          <w:szCs w:val="32"/>
          <w:lang w:val="en-US" w:eastAsia="zh-CN"/>
        </w:rPr>
        <w:t>能力</w:t>
      </w: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污水处理站1座，并配套建设</w:t>
      </w:r>
      <w:r>
        <w:rPr>
          <w:rFonts w:hint="default" w:ascii="Times New Roman" w:hAnsi="Times New Roman" w:eastAsia="仿宋_GB2312" w:cs="Times New Roman"/>
          <w:sz w:val="32"/>
          <w:szCs w:val="32"/>
          <w:lang w:val="en-US" w:eastAsia="zh-CN"/>
        </w:rPr>
        <w:t>100m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化粪池</w:t>
      </w:r>
      <w:r>
        <w:rPr>
          <w:rFonts w:hint="eastAsia" w:ascii="Times New Roman" w:hAnsi="Times New Roman" w:eastAsia="仿宋_GB2312" w:cs="Times New Roman"/>
          <w:sz w:val="32"/>
          <w:szCs w:val="32"/>
          <w:lang w:val="en-US" w:eastAsia="zh-CN"/>
        </w:rPr>
        <w:t>和50m</w:t>
      </w:r>
      <w:r>
        <w:rPr>
          <w:rFonts w:hint="eastAsia"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事故池</w:t>
      </w:r>
      <w:r>
        <w:rPr>
          <w:rFonts w:hint="eastAsia" w:ascii="Times New Roman" w:hAnsi="Times New Roman" w:eastAsia="仿宋_GB2312" w:cs="Times New Roman"/>
          <w:sz w:val="32"/>
          <w:szCs w:val="32"/>
          <w:lang w:val="en-US" w:eastAsia="zh-CN"/>
        </w:rPr>
        <w:t>各1座。项目</w:t>
      </w:r>
      <w:r>
        <w:rPr>
          <w:rFonts w:hint="default" w:ascii="Times New Roman" w:hAnsi="Times New Roman" w:eastAsia="仿宋_GB2312" w:cs="Times New Roman"/>
          <w:sz w:val="32"/>
          <w:szCs w:val="32"/>
          <w:lang w:val="en-US" w:eastAsia="zh-CN"/>
        </w:rPr>
        <w:t>劳动定员</w:t>
      </w:r>
      <w:r>
        <w:rPr>
          <w:rFonts w:hint="eastAsia" w:ascii="Times New Roman" w:hAnsi="Times New Roman" w:eastAsia="仿宋_GB2312" w:cs="Times New Roman"/>
          <w:sz w:val="32"/>
          <w:szCs w:val="32"/>
          <w:lang w:val="en-US" w:eastAsia="zh-CN"/>
        </w:rPr>
        <w:t>28人</w:t>
      </w:r>
      <w:r>
        <w:rPr>
          <w:rFonts w:hint="default" w:ascii="Times New Roman" w:hAnsi="Times New Roman" w:eastAsia="仿宋_GB2312" w:cs="Times New Roman"/>
          <w:sz w:val="32"/>
          <w:szCs w:val="32"/>
          <w:lang w:val="en-US" w:eastAsia="zh-CN"/>
        </w:rPr>
        <w:t>，施工工期为</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个月。项目总投资为2374万元，环保投资115万元，占总投资的4.84%。</w:t>
      </w:r>
    </w:p>
    <w:p w14:paraId="53FC828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《报告表》认为，对照《产业结构调整指导目录》(2024 年本)(中华人民共和国国家发展和改革委员会令第7号)中的相关规定，</w:t>
      </w:r>
      <w:r>
        <w:rPr>
          <w:rFonts w:hint="default" w:ascii="仿宋_GB2312" w:hAnsi="仿宋_GB2312" w:eastAsia="仿宋_GB2312" w:cs="仿宋_GB2312"/>
          <w:color w:val="auto"/>
          <w:kern w:val="2"/>
          <w:sz w:val="32"/>
          <w:szCs w:val="32"/>
          <w:lang w:val="en-US" w:eastAsia="zh-CN" w:bidi="ar-SA"/>
        </w:rPr>
        <w:t>本项目列入《产业结构调整指导目录（2024年本）》中鼓励类目录—三十七、卫生健康—1．医疗服务设施建设：预防保健、卫生应急、卫生监督服务设施建设，医疗卫生服务设施建设，传染病、儿童、精神卫生专科医院和康复医院（中心）、护理院（中心）、安宁疗护中心、全科医疗设施与服务，医养结合设施与服务，符合国家产业政策的要求。项目位于锡林郭勒盟西乌珠穆沁旗巴彦花镇东郊，环境管控单元名称为西乌珠穆沁旗城镇开发边界，管控单元编码为ZH15252620001，管控单元类别为“重点管控单元”，符合空间布局约束、污染物排放管控、环境风险防控以及资源利用效率要求。项目所在区域内无自然保护区、水源保护区、风景名胜区、文物古迹等需要特殊保护的环境敏感目标，项目区不在生态保护红线范围内。</w:t>
      </w:r>
    </w:p>
    <w:p w14:paraId="6976758A">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二、项目在设计、建设和运营过程中应做好以下工作。</w:t>
      </w:r>
    </w:p>
    <w:p w14:paraId="44596225">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pPr>
      <w:r>
        <w:rPr>
          <w:rFonts w:hint="eastAsia" w:ascii="仿宋_GB2312" w:hAnsi="仿宋_GB2312" w:eastAsia="仿宋_GB2312" w:cs="仿宋_GB2312"/>
          <w:sz w:val="32"/>
          <w:szCs w:val="32"/>
          <w:lang w:bidi="en-US"/>
        </w:rPr>
        <w:t>（一）严格落实各项</w:t>
      </w:r>
      <w:r>
        <w:rPr>
          <w:rFonts w:hint="eastAsia" w:ascii="仿宋_GB2312" w:hAnsi="仿宋_GB2312" w:eastAsia="仿宋_GB2312" w:cs="仿宋_GB2312"/>
          <w:sz w:val="32"/>
          <w:szCs w:val="32"/>
        </w:rPr>
        <w:t>大气污染防治措施。</w:t>
      </w:r>
      <w:r>
        <w:rPr>
          <w:rFonts w:hint="default" w:ascii="Times New Roman" w:hAnsi="Times New Roman" w:eastAsia="仿宋_GB2312" w:cs="Times New Roman"/>
          <w:sz w:val="32"/>
          <w:szCs w:val="32"/>
          <w:lang w:val="en-US" w:eastAsia="zh-CN"/>
        </w:rPr>
        <w:t>施工期主要为施工粉尘、运输车辆扬尘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施工运输车辆排放的废气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。施工单位</w:t>
      </w:r>
      <w:r>
        <w:rPr>
          <w:rFonts w:hint="eastAsia" w:ascii="Times New Roman" w:hAnsi="Times New Roman" w:eastAsia="仿宋_GB2312" w:cs="Times New Roman"/>
          <w:sz w:val="32"/>
          <w:szCs w:val="32"/>
          <w:lang w:val="en-US" w:eastAsia="zh-CN"/>
        </w:rPr>
        <w:t>应严格落实相关法律法规中关于交通运输污染和扬尘污染防治的相关规定</w:t>
      </w:r>
      <w:r>
        <w:rPr>
          <w:rFonts w:hint="eastAsia" w:ascii="Times New Roman" w:eastAsia="仿宋_GB2312" w:cs="Times New Roman"/>
          <w:sz w:val="32"/>
          <w:szCs w:val="32"/>
          <w:lang w:val="en-US" w:eastAsia="zh-CN"/>
        </w:rPr>
        <w:t>，</w:t>
      </w:r>
      <w:r>
        <w:rPr>
          <w:rFonts w:hint="eastAsia" w:ascii="仿宋_GB2312" w:hAnsi="仿宋_GB2312" w:eastAsia="仿宋_GB2312" w:cs="仿宋_GB2312"/>
          <w:color w:val="auto"/>
          <w:kern w:val="0"/>
          <w:sz w:val="32"/>
          <w:szCs w:val="32"/>
          <w:lang w:val="en-US" w:eastAsia="zh-CN" w:bidi="ar"/>
        </w:rPr>
        <w:t>对施工场地设定“6个百分百”要求，</w:t>
      </w:r>
      <w:r>
        <w:rPr>
          <w:rFonts w:hint="eastAsia" w:ascii="Times New Roman" w:hAnsi="Times New Roman" w:eastAsia="仿宋_GB2312" w:cs="Times New Roman"/>
          <w:sz w:val="32"/>
          <w:szCs w:val="32"/>
          <w:lang w:val="en-US" w:eastAsia="zh-CN"/>
        </w:rPr>
        <w:t>对易起尘物料实行库存或加盖苫布，运输车辆密闭运输；施工过程中使用水泥、石灰、砂石、涂料、铺装材料等易产生扬尘的建筑材料，</w:t>
      </w:r>
      <w:r>
        <w:rPr>
          <w:rFonts w:hint="eastAsia" w:ascii="Times New Roman" w:eastAsia="仿宋_GB2312" w:cs="Times New Roman"/>
          <w:sz w:val="32"/>
          <w:szCs w:val="32"/>
          <w:lang w:val="en-US" w:eastAsia="zh-CN"/>
        </w:rPr>
        <w:t>应严密</w:t>
      </w:r>
      <w:r>
        <w:rPr>
          <w:rFonts w:hint="eastAsia" w:ascii="Times New Roman" w:hAnsi="Times New Roman" w:eastAsia="仿宋_GB2312" w:cs="Times New Roman"/>
          <w:sz w:val="32"/>
          <w:szCs w:val="32"/>
          <w:lang w:val="en-US" w:eastAsia="zh-CN"/>
        </w:rPr>
        <w:t>遮盖；建立洒水清扫制度，指定专人负责洒水和清扫工作；建筑工地</w:t>
      </w:r>
      <w:r>
        <w:rPr>
          <w:rFonts w:hint="eastAsia" w:ascii="Times New Roman" w:eastAsia="仿宋_GB2312" w:cs="Times New Roman"/>
          <w:sz w:val="32"/>
          <w:szCs w:val="32"/>
          <w:lang w:val="en-US" w:eastAsia="zh-CN"/>
        </w:rPr>
        <w:t>四周应设置施工</w:t>
      </w:r>
      <w:r>
        <w:rPr>
          <w:rFonts w:hint="eastAsia" w:ascii="Times New Roman" w:hAnsi="Times New Roman" w:eastAsia="仿宋_GB2312" w:cs="Times New Roman"/>
          <w:sz w:val="32"/>
          <w:szCs w:val="32"/>
          <w:lang w:val="en-US" w:eastAsia="zh-CN"/>
        </w:rPr>
        <w:t>围挡，围挡高度不得低于</w:t>
      </w:r>
      <w:r>
        <w:rPr>
          <w:rFonts w:hint="eastAsia" w:ascii="Times New Roman" w:hAnsi="Times New Roman" w:eastAsia="仿宋_GB2312" w:cs="Times New Roman"/>
          <w:sz w:val="32"/>
          <w:szCs w:val="32"/>
          <w:lang w:val="en-US" w:eastAsia="zh-CN"/>
        </w:rPr>
        <w:t>2.5m。</w:t>
      </w:r>
      <w:r>
        <w:rPr>
          <w:rFonts w:hint="default" w:ascii="Times New Roman" w:hAnsi="Times New Roman" w:eastAsia="仿宋_GB2312" w:cs="Times New Roman"/>
          <w:sz w:val="32"/>
          <w:szCs w:val="32"/>
          <w:lang w:val="en-US" w:eastAsia="zh-CN"/>
        </w:rPr>
        <w:t>运营期</w:t>
      </w:r>
      <w:r>
        <w:rPr>
          <w:rFonts w:hint="eastAsia" w:ascii="Times New Roman" w:hAnsi="Times New Roman" w:eastAsia="仿宋_GB2312" w:cs="Times New Roman"/>
          <w:sz w:val="32"/>
          <w:szCs w:val="32"/>
          <w:lang w:val="en-US" w:eastAsia="zh-CN"/>
        </w:rPr>
        <w:t>主要为污水处理站产生的臭气和备用柴油发电机发电时产生的烟尘等。建设单位应对</w:t>
      </w:r>
      <w:r>
        <w:rPr>
          <w:rFonts w:hint="eastAsia" w:ascii="Times New Roman" w:hAnsi="Times New Roman" w:eastAsia="仿宋_GB2312" w:cs="Times New Roman"/>
          <w:color w:val="auto"/>
          <w:kern w:val="2"/>
          <w:sz w:val="32"/>
          <w:szCs w:val="32"/>
          <w:lang w:val="en-US" w:eastAsia="zh-CN" w:bidi="ar-SA"/>
        </w:rPr>
        <w:t>污水处理站</w:t>
      </w:r>
      <w:r>
        <w:rPr>
          <w:rFonts w:hint="eastAsia" w:ascii="Times New Roman" w:eastAsia="仿宋_GB2312" w:cs="Times New Roman"/>
          <w:color w:val="auto"/>
          <w:kern w:val="2"/>
          <w:sz w:val="32"/>
          <w:szCs w:val="32"/>
          <w:lang w:val="en-US" w:eastAsia="zh-CN" w:bidi="ar-SA"/>
        </w:rPr>
        <w:t>产生</w:t>
      </w:r>
      <w:r>
        <w:rPr>
          <w:rFonts w:hint="eastAsia" w:ascii="Times New Roman" w:hAnsi="Times New Roman" w:eastAsia="仿宋_GB2312" w:cs="Times New Roman"/>
          <w:color w:val="auto"/>
          <w:kern w:val="2"/>
          <w:sz w:val="32"/>
          <w:szCs w:val="32"/>
          <w:lang w:val="en-US" w:eastAsia="zh-CN" w:bidi="ar-SA"/>
        </w:rPr>
        <w:t>臭气的构筑物应</w:t>
      </w:r>
      <w:r>
        <w:rPr>
          <w:rFonts w:hint="eastAsia" w:ascii="Times New Roman" w:eastAsia="仿宋_GB2312" w:cs="Times New Roman"/>
          <w:color w:val="auto"/>
          <w:kern w:val="2"/>
          <w:sz w:val="32"/>
          <w:szCs w:val="32"/>
          <w:lang w:val="en-US" w:eastAsia="zh-CN" w:bidi="ar-SA"/>
        </w:rPr>
        <w:t>采取加盖</w:t>
      </w:r>
      <w:r>
        <w:rPr>
          <w:rFonts w:hint="eastAsia" w:ascii="Times New Roman" w:hAnsi="Times New Roman" w:eastAsia="仿宋_GB2312" w:cs="Times New Roman"/>
          <w:color w:val="auto"/>
          <w:kern w:val="2"/>
          <w:sz w:val="32"/>
          <w:szCs w:val="32"/>
          <w:lang w:val="en-US" w:eastAsia="zh-CN" w:bidi="ar-SA"/>
        </w:rPr>
        <w:t>密封</w:t>
      </w:r>
      <w:r>
        <w:rPr>
          <w:rFonts w:hint="eastAsia" w:ascii="Times New Roman" w:eastAsia="仿宋_GB2312" w:cs="Times New Roman"/>
          <w:color w:val="auto"/>
          <w:kern w:val="2"/>
          <w:sz w:val="32"/>
          <w:szCs w:val="32"/>
          <w:lang w:val="en-US" w:eastAsia="zh-CN" w:bidi="ar-SA"/>
        </w:rPr>
        <w:t>措施，并</w:t>
      </w:r>
      <w:r>
        <w:rPr>
          <w:rFonts w:hint="eastAsia" w:ascii="Times New Roman" w:hAnsi="Times New Roman" w:eastAsia="仿宋_GB2312" w:cs="Times New Roman"/>
          <w:color w:val="auto"/>
          <w:kern w:val="2"/>
          <w:sz w:val="32"/>
          <w:szCs w:val="32"/>
          <w:lang w:val="en-US" w:eastAsia="zh-CN" w:bidi="ar-SA"/>
        </w:rPr>
        <w:t>投洒除臭剂，有效地防止硫化氢等气体的产生</w:t>
      </w:r>
      <w:r>
        <w:rPr>
          <w:rFonts w:hint="eastAsia" w:asci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污水处理设施周围种植植被尽量覆盖所有裸露地面，尽量降低恶臭污染的影响程度。备用柴油发电机</w:t>
      </w:r>
      <w:r>
        <w:rPr>
          <w:rFonts w:hint="eastAsia" w:ascii="Times New Roman" w:eastAsia="仿宋_GB2312" w:cs="Times New Roman"/>
          <w:color w:val="auto"/>
          <w:kern w:val="2"/>
          <w:sz w:val="32"/>
          <w:szCs w:val="32"/>
          <w:lang w:val="en-US" w:eastAsia="zh-CN" w:bidi="ar-SA"/>
        </w:rPr>
        <w:t>应安装</w:t>
      </w:r>
      <w:r>
        <w:rPr>
          <w:rFonts w:hint="eastAsia" w:ascii="Times New Roman" w:hAnsi="Times New Roman" w:eastAsia="仿宋_GB2312" w:cs="Times New Roman"/>
          <w:color w:val="auto"/>
          <w:kern w:val="2"/>
          <w:sz w:val="32"/>
          <w:szCs w:val="32"/>
          <w:lang w:val="en-US" w:eastAsia="zh-CN" w:bidi="ar-SA"/>
        </w:rPr>
        <w:t>消烟除尘装置</w:t>
      </w:r>
      <w:r>
        <w:rPr>
          <w:rFonts w:hint="eastAsia" w:asci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处理后经抽排风系统收集，通过烟道引至房顶排放。</w:t>
      </w:r>
    </w:p>
    <w:p w14:paraId="406F53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eastAsia="仿宋_GB2312" w:cs="Times New Roman"/>
          <w:sz w:val="32"/>
          <w:szCs w:val="32"/>
          <w:lang w:val="en-US"/>
        </w:rPr>
      </w:pPr>
      <w:r>
        <w:rPr>
          <w:rFonts w:hint="eastAsia" w:ascii="仿宋_GB2312" w:hAnsi="仿宋_GB2312" w:eastAsia="仿宋_GB2312" w:cs="仿宋_GB2312"/>
          <w:sz w:val="32"/>
          <w:szCs w:val="32"/>
        </w:rPr>
        <w:t>（二）</w:t>
      </w:r>
      <w:r>
        <w:rPr>
          <w:rFonts w:hint="eastAsia" w:ascii="Times New Roman" w:eastAsia="仿宋_GB2312" w:cs="Times New Roman"/>
          <w:sz w:val="32"/>
          <w:szCs w:val="32"/>
        </w:rPr>
        <w:t>严格落实各项水污染防治措施。</w:t>
      </w:r>
      <w:r>
        <w:rPr>
          <w:rFonts w:hint="default" w:ascii="Times New Roman" w:hAnsi="Times New Roman" w:eastAsia="仿宋_GB2312" w:cs="Times New Roman"/>
          <w:sz w:val="32"/>
          <w:szCs w:val="32"/>
          <w:lang w:val="en-US" w:eastAsia="zh-CN"/>
        </w:rPr>
        <w:t>本项目施工废水主要为建筑工人日常的生活污水和施工废水</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施工车辆及施工机械维修委托巴彦花镇维修厂，禁止在施工场地内维修，防止含油污水的产生</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地表径流及作业区冲洗水、雨水冲刷废渣废水收集经沉淀后用于施工场地的洒水降尘。施工人员的生活污水</w:t>
      </w:r>
      <w:r>
        <w:rPr>
          <w:rFonts w:hint="eastAsia" w:ascii="Times New Roman" w:eastAsia="仿宋_GB2312" w:cs="Times New Roman"/>
          <w:color w:val="auto"/>
          <w:kern w:val="2"/>
          <w:sz w:val="32"/>
          <w:szCs w:val="32"/>
          <w:lang w:val="en-US" w:eastAsia="zh-CN" w:bidi="ar-SA"/>
        </w:rPr>
        <w:t>依托</w:t>
      </w:r>
      <w:r>
        <w:rPr>
          <w:rFonts w:hint="default" w:ascii="Times New Roman" w:hAnsi="Times New Roman" w:eastAsia="仿宋_GB2312" w:cs="Times New Roman"/>
          <w:color w:val="auto"/>
          <w:kern w:val="2"/>
          <w:sz w:val="32"/>
          <w:szCs w:val="32"/>
          <w:lang w:val="en-US" w:eastAsia="zh-CN" w:bidi="ar-SA"/>
        </w:rPr>
        <w:t>现有的厕所及处理设施进行收集、处理。</w:t>
      </w:r>
      <w:r>
        <w:rPr>
          <w:rFonts w:hint="eastAsia" w:ascii="Times New Roman" w:eastAsia="仿宋_GB2312" w:cs="Times New Roman"/>
          <w:color w:val="auto"/>
          <w:kern w:val="2"/>
          <w:sz w:val="32"/>
          <w:szCs w:val="32"/>
          <w:lang w:val="en-US" w:eastAsia="zh-CN" w:bidi="ar-SA"/>
        </w:rPr>
        <w:t>运营期产生的</w:t>
      </w:r>
      <w:r>
        <w:rPr>
          <w:rFonts w:hint="default" w:ascii="Times New Roman" w:hAnsi="Times New Roman" w:eastAsia="仿宋_GB2312" w:cs="Times New Roman"/>
          <w:sz w:val="32"/>
          <w:szCs w:val="32"/>
          <w:lang w:val="en-US" w:eastAsia="zh-CN"/>
        </w:rPr>
        <w:t>废水主要为生活污水</w:t>
      </w:r>
      <w:r>
        <w:rPr>
          <w:rFonts w:hint="eastAsia" w:ascii="Times New Roman" w:hAnsi="Times New Roman" w:eastAsia="仿宋_GB2312" w:cs="Times New Roman"/>
          <w:sz w:val="32"/>
          <w:szCs w:val="32"/>
          <w:lang w:val="en-US" w:eastAsia="zh-CN"/>
        </w:rPr>
        <w:t>及医疗废水</w:t>
      </w:r>
      <w:r>
        <w:rPr>
          <w:rFonts w:hint="eastAsia" w:asci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生活污水</w:t>
      </w:r>
      <w:r>
        <w:rPr>
          <w:rFonts w:hint="eastAsia" w:ascii="Times New Roman" w:hAnsi="Times New Roman" w:eastAsia="仿宋_GB2312" w:cs="Times New Roman"/>
          <w:sz w:val="32"/>
          <w:szCs w:val="32"/>
          <w:lang w:val="en-US" w:eastAsia="zh-CN"/>
        </w:rPr>
        <w:t>及医疗废水</w:t>
      </w:r>
      <w:r>
        <w:rPr>
          <w:rFonts w:hint="default" w:ascii="Times New Roman" w:hAnsi="Times New Roman" w:eastAsia="仿宋_GB2312" w:cs="Times New Roman"/>
          <w:sz w:val="32"/>
          <w:szCs w:val="32"/>
          <w:lang w:val="en-US" w:eastAsia="zh-CN"/>
        </w:rPr>
        <w:t>经化粪池预处理进入</w:t>
      </w:r>
      <w:r>
        <w:rPr>
          <w:rFonts w:hint="default" w:ascii="Times New Roman" w:hAnsi="Times New Roman" w:eastAsia="仿宋_GB2312" w:cs="Times New Roman"/>
          <w:sz w:val="32"/>
          <w:szCs w:val="32"/>
          <w:lang w:val="en-US" w:eastAsia="zh-CN"/>
        </w:rPr>
        <w:t>处理能力为30m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的“化粪池+调节池+絮凝沉淀+接触消毒”</w:t>
      </w:r>
      <w:r>
        <w:rPr>
          <w:rFonts w:hint="default" w:ascii="Times New Roman" w:hAnsi="Times New Roman" w:eastAsia="仿宋_GB2312" w:cs="Times New Roman"/>
          <w:sz w:val="32"/>
          <w:szCs w:val="32"/>
          <w:lang w:val="en-US" w:eastAsia="zh-CN"/>
        </w:rPr>
        <w:t>地埋式加药剂处理系统处理达标后抽送至沁华环保污水处理厂。</w:t>
      </w:r>
    </w:p>
    <w:p w14:paraId="791170D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bidi="en-US"/>
        </w:rPr>
        <w:t>严格落实</w:t>
      </w:r>
      <w:r>
        <w:rPr>
          <w:rFonts w:hint="eastAsia" w:ascii="仿宋_GB2312" w:hAnsi="仿宋_GB2312" w:eastAsia="仿宋_GB2312" w:cs="仿宋_GB2312"/>
          <w:sz w:val="32"/>
          <w:szCs w:val="32"/>
        </w:rPr>
        <w:t>固体废物处理措施。</w:t>
      </w:r>
      <w:r>
        <w:rPr>
          <w:rFonts w:hint="default" w:ascii="Times New Roman" w:hAnsi="Times New Roman" w:eastAsia="仿宋_GB2312" w:cs="Times New Roman"/>
          <w:color w:val="auto"/>
          <w:sz w:val="32"/>
          <w:szCs w:val="32"/>
          <w:lang w:val="en-US" w:eastAsia="zh-CN"/>
        </w:rPr>
        <w:t>项目施工期间产生的固体废弃物主要为建设过程中产生的建筑垃圾、土石方弃方及施工人员生活垃圾等。建筑垃圾收集后</w:t>
      </w:r>
      <w:r>
        <w:rPr>
          <w:rFonts w:hint="eastAsia" w:ascii="Times New Roman" w:hAnsi="Times New Roman" w:eastAsia="仿宋_GB2312" w:cs="Times New Roman"/>
          <w:color w:val="auto"/>
          <w:sz w:val="32"/>
          <w:szCs w:val="32"/>
          <w:lang w:val="en-US" w:eastAsia="zh-CN"/>
        </w:rPr>
        <w:t>统一</w:t>
      </w:r>
      <w:r>
        <w:rPr>
          <w:rFonts w:hint="default" w:ascii="Times New Roman" w:hAnsi="Times New Roman" w:eastAsia="仿宋_GB2312" w:cs="Times New Roman"/>
          <w:color w:val="auto"/>
          <w:sz w:val="32"/>
          <w:szCs w:val="32"/>
          <w:lang w:val="en-US" w:eastAsia="zh-CN"/>
        </w:rPr>
        <w:t>运至建筑垃圾指定地点进行</w:t>
      </w:r>
      <w:r>
        <w:rPr>
          <w:rFonts w:hint="eastAsia" w:ascii="Times New Roman" w:hAnsi="Times New Roman" w:eastAsia="仿宋_GB2312" w:cs="Times New Roman"/>
          <w:color w:val="auto"/>
          <w:sz w:val="32"/>
          <w:szCs w:val="32"/>
          <w:lang w:val="en-US" w:eastAsia="zh-CN"/>
        </w:rPr>
        <w:t>规范</w:t>
      </w:r>
      <w:r>
        <w:rPr>
          <w:rFonts w:hint="default" w:ascii="Times New Roman" w:hAnsi="Times New Roman" w:eastAsia="仿宋_GB2312" w:cs="Times New Roman"/>
          <w:color w:val="auto"/>
          <w:sz w:val="32"/>
          <w:szCs w:val="32"/>
          <w:lang w:val="en-US" w:eastAsia="zh-CN"/>
        </w:rPr>
        <w:t>处置；生活垃圾分类收集后送至附近垃圾收集点，由环卫部门统一清运处置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运营期产生的固体废物主要为污泥、医疗废物、废包装材料、生活垃圾</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化粪池及</w:t>
      </w:r>
      <w:r>
        <w:rPr>
          <w:rFonts w:hint="default" w:ascii="Times New Roman" w:hAnsi="Times New Roman" w:eastAsia="仿宋_GB2312" w:cs="Times New Roman"/>
          <w:color w:val="auto"/>
          <w:sz w:val="32"/>
          <w:szCs w:val="32"/>
          <w:highlight w:val="none"/>
          <w:lang w:val="en-US" w:eastAsia="zh-CN"/>
        </w:rPr>
        <w:t>污水处理装置污泥</w:t>
      </w:r>
      <w:r>
        <w:rPr>
          <w:rFonts w:hint="eastAsia" w:asci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eastAsia="zh-CN"/>
        </w:rPr>
        <w:t>根据《国家危险废物名录(202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年版)》，本项目污水处理站污泥属于“HW01医疗废物”中的</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841-001-01感染性废物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，污泥清理前应采用石灰进行消毒，消毒后的检测指标保证满足《医疗机构水污染物排放标准》(GB18466-2005)表4医疗机构污泥控制标准，委托有资质单位进行处置。</w:t>
      </w:r>
      <w:r>
        <w:rPr>
          <w:rFonts w:hint="eastAsia" w:ascii="Times New Roman" w:eastAsia="仿宋_GB2312" w:cs="Times New Roman"/>
          <w:color w:val="auto"/>
          <w:sz w:val="32"/>
          <w:szCs w:val="32"/>
          <w:highlight w:val="none"/>
          <w:lang w:val="en-US" w:eastAsia="zh-CN"/>
        </w:rPr>
        <w:t>建设单位</w:t>
      </w:r>
      <w:r>
        <w:rPr>
          <w:rFonts w:hint="default" w:ascii="Times New Roman" w:hAnsi="Times New Roman" w:eastAsia="仿宋_GB2312" w:cs="Times New Roman"/>
          <w:color w:val="auto"/>
          <w:sz w:val="32"/>
          <w:szCs w:val="32"/>
          <w:highlight w:val="none"/>
          <w:lang w:val="en-US" w:eastAsia="zh-CN"/>
        </w:rPr>
        <w:t>应当建立医疗废物的暂时贮存设施、设备，不得露天存放医疗废物；医疗废物暂时贮存的时间不得超过2天</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用黄绿黑等三种塑料袋分类收集并暂时贮存于项目</w:t>
      </w:r>
      <w:r>
        <w:rPr>
          <w:rFonts w:hint="eastAsia" w:ascii="Times New Roman" w:hAnsi="Times New Roman" w:eastAsia="仿宋_GB2312" w:cs="Times New Roman"/>
          <w:color w:val="auto"/>
          <w:sz w:val="32"/>
          <w:szCs w:val="32"/>
          <w:highlight w:val="none"/>
          <w:lang w:val="en-US" w:eastAsia="zh-CN"/>
        </w:rPr>
        <w:t>危废</w:t>
      </w:r>
      <w:r>
        <w:rPr>
          <w:rFonts w:hint="default" w:ascii="Times New Roman" w:hAnsi="Times New Roman" w:eastAsia="仿宋_GB2312" w:cs="Times New Roman"/>
          <w:color w:val="auto"/>
          <w:sz w:val="32"/>
          <w:szCs w:val="32"/>
          <w:highlight w:val="none"/>
          <w:lang w:val="en-US" w:eastAsia="zh-CN"/>
        </w:rPr>
        <w:t>暂存间，由塑料大桶盛装已用塑料袋分类收集好的医疗废物，定期由有资质单位进行清运。厂区内</w:t>
      </w:r>
      <w:r>
        <w:rPr>
          <w:rFonts w:hint="eastAsia" w:asci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eastAsia="zh-CN"/>
        </w:rPr>
        <w:t>设置垃圾箱，分类集中收集后清运至当地环卫部门指定地点。</w:t>
      </w:r>
    </w:p>
    <w:p w14:paraId="0379A0C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bidi="en-US"/>
        </w:rPr>
        <w:t>严格落实</w:t>
      </w:r>
      <w:r>
        <w:rPr>
          <w:rFonts w:hint="eastAsia" w:ascii="仿宋_GB2312" w:hAnsi="仿宋_GB2312" w:eastAsia="仿宋_GB2312" w:cs="仿宋_GB2312"/>
          <w:sz w:val="32"/>
          <w:szCs w:val="32"/>
        </w:rPr>
        <w:t>噪声防治措施。</w:t>
      </w:r>
      <w:r>
        <w:rPr>
          <w:rFonts w:hint="default" w:ascii="仿宋_GB2312" w:hAnsi="仿宋_GB2312" w:eastAsia="仿宋_GB2312" w:cs="仿宋_GB2312"/>
          <w:sz w:val="32"/>
          <w:szCs w:val="32"/>
          <w:lang w:val="en-US" w:eastAsia="zh-CN" w:bidi="en-US"/>
        </w:rPr>
        <w:t>施工期</w:t>
      </w:r>
      <w:r>
        <w:rPr>
          <w:rFonts w:hint="eastAsia" w:ascii="仿宋_GB2312" w:hAnsi="仿宋_GB2312" w:eastAsia="仿宋_GB2312" w:cs="仿宋_GB2312"/>
          <w:sz w:val="32"/>
          <w:szCs w:val="32"/>
          <w:lang w:val="en-US" w:eastAsia="zh-CN" w:bidi="en-US"/>
        </w:rPr>
        <w:t>噪声主要来自机械噪声、施工作业噪声和施工车辆噪声等。施工单位应</w:t>
      </w:r>
      <w:r>
        <w:rPr>
          <w:rFonts w:hint="default" w:ascii="Times New Roman" w:hAnsi="Times New Roman" w:eastAsia="仿宋_GB2312" w:cs="Times New Roman"/>
          <w:color w:val="auto"/>
          <w:kern w:val="2"/>
          <w:sz w:val="32"/>
          <w:szCs w:val="32"/>
          <w:lang w:val="en-US" w:eastAsia="zh-CN" w:bidi="ar-SA"/>
        </w:rPr>
        <w:t>选用低噪声设备，加强设备管理，定期保养，对建筑物外部采用围挡</w:t>
      </w:r>
      <w:r>
        <w:rPr>
          <w:rFonts w:hint="default" w:ascii="Times New Roman" w:hAnsi="Times New Roman" w:eastAsia="仿宋_GB2312" w:cs="Times New Roman"/>
          <w:color w:val="auto"/>
          <w:kern w:val="2"/>
          <w:sz w:val="32"/>
          <w:szCs w:val="32"/>
          <w:highlight w:val="none"/>
          <w:lang w:val="en-US" w:eastAsia="zh-CN" w:bidi="ar-SA"/>
        </w:rPr>
        <w:t>，加强工地的噪声管理等措施</w:t>
      </w:r>
      <w:r>
        <w:rPr>
          <w:rFonts w:hint="eastAsia" w:eastAsia="仿宋_GB2312" w:cs="Times New Roman"/>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bidi="en-US"/>
        </w:rPr>
        <w:t>有效控制对周边居民产生的影响</w:t>
      </w:r>
      <w:r>
        <w:rPr>
          <w:rFonts w:hint="default" w:ascii="仿宋_GB2312" w:hAnsi="仿宋_GB2312" w:eastAsia="仿宋_GB2312" w:cs="仿宋_GB2312"/>
          <w:sz w:val="32"/>
          <w:szCs w:val="32"/>
          <w:lang w:val="en-US" w:eastAsia="zh-CN" w:bidi="en-US"/>
        </w:rPr>
        <w:t>。</w:t>
      </w:r>
      <w:r>
        <w:rPr>
          <w:rFonts w:hint="default" w:ascii="Times New Roman" w:hAnsi="Times New Roman" w:eastAsia="仿宋_GB2312" w:cs="Times New Roman"/>
          <w:color w:val="auto"/>
          <w:kern w:val="2"/>
          <w:sz w:val="32"/>
          <w:szCs w:val="32"/>
          <w:lang w:val="en-US" w:eastAsia="zh-CN" w:bidi="ar-SA"/>
        </w:rPr>
        <w:t>运营期噪声主要来源于污水处理设施水泵、风机、社会生活噪声等</w:t>
      </w:r>
      <w:r>
        <w:rPr>
          <w:rFonts w:hint="eastAsia" w:ascii="Times New Roman" w:hAnsi="Times New Roman" w:eastAsia="仿宋_GB2312" w:cs="Times New Roman"/>
          <w:color w:val="auto"/>
          <w:kern w:val="2"/>
          <w:sz w:val="32"/>
          <w:szCs w:val="32"/>
          <w:lang w:val="en-US" w:eastAsia="zh-CN" w:bidi="ar-SA"/>
        </w:rPr>
        <w:t>。建设单位应</w:t>
      </w:r>
      <w:r>
        <w:rPr>
          <w:rFonts w:hint="eastAsia" w:ascii="Times New Roman" w:hAnsi="Times New Roman" w:eastAsia="仿宋_GB2312" w:cs="Times New Roman"/>
          <w:color w:val="auto"/>
          <w:kern w:val="2"/>
          <w:sz w:val="32"/>
          <w:szCs w:val="32"/>
          <w:highlight w:val="none"/>
          <w:lang w:val="en-US" w:eastAsia="zh-CN" w:bidi="ar-SA"/>
        </w:rPr>
        <w:t>选用精度高、装配质量好、噪声低的设备，</w:t>
      </w:r>
      <w:r>
        <w:rPr>
          <w:rFonts w:hint="eastAsia" w:eastAsia="仿宋_GB2312" w:cs="Times New Roman"/>
          <w:color w:val="auto"/>
          <w:kern w:val="2"/>
          <w:sz w:val="32"/>
          <w:szCs w:val="32"/>
          <w:highlight w:val="none"/>
          <w:lang w:val="en-US" w:eastAsia="zh-CN" w:bidi="ar-SA"/>
        </w:rPr>
        <w:t>并</w:t>
      </w:r>
      <w:r>
        <w:rPr>
          <w:rFonts w:hint="eastAsia" w:ascii="Times New Roman" w:hAnsi="Times New Roman" w:eastAsia="仿宋_GB2312" w:cs="Times New Roman"/>
          <w:color w:val="auto"/>
          <w:kern w:val="2"/>
          <w:sz w:val="32"/>
          <w:szCs w:val="32"/>
          <w:highlight w:val="none"/>
          <w:lang w:val="en-US" w:eastAsia="zh-CN" w:bidi="ar-SA"/>
        </w:rPr>
        <w:t>对设备基础进行减震</w:t>
      </w:r>
      <w:r>
        <w:rPr>
          <w:rFonts w:hint="eastAsia" w:ascii="Times New Roman" w:eastAsia="仿宋_GB2312" w:cs="Times New Roman"/>
          <w:color w:val="auto"/>
          <w:kern w:val="2"/>
          <w:sz w:val="32"/>
          <w:szCs w:val="32"/>
          <w:highlight w:val="none"/>
          <w:lang w:val="en-US" w:eastAsia="zh-CN" w:bidi="ar-SA"/>
        </w:rPr>
        <w:t>；应</w:t>
      </w:r>
      <w:r>
        <w:rPr>
          <w:rFonts w:hint="eastAsia" w:ascii="Times New Roman" w:hAnsi="Times New Roman" w:eastAsia="仿宋_GB2312" w:cs="Times New Roman"/>
          <w:color w:val="auto"/>
          <w:kern w:val="2"/>
          <w:sz w:val="32"/>
          <w:szCs w:val="32"/>
          <w:highlight w:val="none"/>
          <w:lang w:val="en-US" w:eastAsia="zh-CN" w:bidi="ar-SA"/>
        </w:rPr>
        <w:t>合理</w:t>
      </w:r>
      <w:r>
        <w:rPr>
          <w:rFonts w:hint="eastAsia" w:ascii="Times New Roman" w:hAnsi="Times New Roman" w:eastAsia="仿宋_GB2312" w:cs="Times New Roman"/>
          <w:color w:val="auto"/>
          <w:kern w:val="2"/>
          <w:sz w:val="32"/>
          <w:szCs w:val="32"/>
          <w:highlight w:val="none"/>
          <w:lang w:val="en-US" w:eastAsia="zh-CN" w:bidi="ar-SA"/>
        </w:rPr>
        <w:t>布局，污水处理站采用地埋式设计，利用建筑物来隔离声波的传播</w:t>
      </w:r>
      <w:r>
        <w:rPr>
          <w:rFonts w:hint="eastAsia" w:asci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风机、泵类</w:t>
      </w:r>
      <w:r>
        <w:rPr>
          <w:rFonts w:hint="eastAsia" w:ascii="Times New Roman" w:eastAsia="仿宋_GB2312" w:cs="Times New Roman"/>
          <w:color w:val="auto"/>
          <w:kern w:val="2"/>
          <w:sz w:val="32"/>
          <w:szCs w:val="32"/>
          <w:highlight w:val="none"/>
          <w:lang w:val="en-US" w:eastAsia="zh-CN" w:bidi="ar-SA"/>
        </w:rPr>
        <w:t>等</w:t>
      </w:r>
      <w:r>
        <w:rPr>
          <w:rFonts w:hint="eastAsia" w:ascii="Times New Roman" w:hAnsi="Times New Roman" w:eastAsia="仿宋_GB2312" w:cs="Times New Roman"/>
          <w:color w:val="auto"/>
          <w:kern w:val="2"/>
          <w:sz w:val="32"/>
          <w:szCs w:val="32"/>
          <w:highlight w:val="none"/>
          <w:lang w:val="en-US" w:eastAsia="zh-CN" w:bidi="ar-SA"/>
        </w:rPr>
        <w:t>设备</w:t>
      </w:r>
      <w:r>
        <w:rPr>
          <w:rFonts w:hint="eastAsia" w:ascii="Times New Roman" w:eastAsia="仿宋_GB2312" w:cs="Times New Roman"/>
          <w:color w:val="auto"/>
          <w:kern w:val="2"/>
          <w:sz w:val="32"/>
          <w:szCs w:val="32"/>
          <w:highlight w:val="none"/>
          <w:lang w:val="en-US" w:eastAsia="zh-CN" w:bidi="ar-SA"/>
        </w:rPr>
        <w:t>应</w:t>
      </w:r>
      <w:r>
        <w:rPr>
          <w:rFonts w:hint="eastAsia" w:ascii="Times New Roman" w:hAnsi="Times New Roman" w:eastAsia="仿宋_GB2312" w:cs="Times New Roman"/>
          <w:color w:val="auto"/>
          <w:kern w:val="2"/>
          <w:sz w:val="32"/>
          <w:szCs w:val="32"/>
          <w:highlight w:val="none"/>
          <w:lang w:val="en-US" w:eastAsia="zh-CN" w:bidi="ar-SA"/>
        </w:rPr>
        <w:t>置于封闭房间内，并设置减震基础，风机安装消声器降低噪声</w:t>
      </w:r>
      <w:r>
        <w:rPr>
          <w:rFonts w:hint="eastAsia" w:asci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加强风机及泵类等噪声设备的维护管理，使设备处于良好的运行状态</w:t>
      </w:r>
      <w:r>
        <w:rPr>
          <w:rFonts w:hint="eastAsia" w:asci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强化</w:t>
      </w:r>
      <w:r>
        <w:rPr>
          <w:rFonts w:hint="eastAsia" w:ascii="Times New Roman" w:hAnsi="Times New Roman" w:eastAsia="仿宋_GB2312" w:cs="Times New Roman"/>
          <w:color w:val="auto"/>
          <w:kern w:val="2"/>
          <w:sz w:val="32"/>
          <w:szCs w:val="32"/>
          <w:highlight w:val="none"/>
          <w:lang w:val="en-US" w:eastAsia="zh-CN" w:bidi="ar-SA"/>
        </w:rPr>
        <w:t>医院</w:t>
      </w:r>
      <w:r>
        <w:rPr>
          <w:rFonts w:hint="default" w:ascii="Times New Roman" w:hAnsi="Times New Roman" w:eastAsia="仿宋_GB2312" w:cs="Times New Roman"/>
          <w:color w:val="auto"/>
          <w:kern w:val="2"/>
          <w:sz w:val="32"/>
          <w:szCs w:val="32"/>
          <w:highlight w:val="none"/>
          <w:lang w:val="en-US" w:eastAsia="zh-CN" w:bidi="ar-SA"/>
        </w:rPr>
        <w:t>内的行车管理制度，严禁鸣号，进入</w:t>
      </w:r>
      <w:r>
        <w:rPr>
          <w:rFonts w:hint="eastAsia" w:ascii="Times New Roman" w:hAnsi="Times New Roman" w:eastAsia="仿宋_GB2312" w:cs="Times New Roman"/>
          <w:color w:val="auto"/>
          <w:kern w:val="2"/>
          <w:sz w:val="32"/>
          <w:szCs w:val="32"/>
          <w:highlight w:val="none"/>
          <w:lang w:val="en-US" w:eastAsia="zh-CN" w:bidi="ar-SA"/>
        </w:rPr>
        <w:t>医院</w:t>
      </w:r>
      <w:r>
        <w:rPr>
          <w:rFonts w:hint="default" w:ascii="Times New Roman" w:hAnsi="Times New Roman" w:eastAsia="仿宋_GB2312" w:cs="Times New Roman"/>
          <w:color w:val="auto"/>
          <w:kern w:val="2"/>
          <w:sz w:val="32"/>
          <w:szCs w:val="32"/>
          <w:highlight w:val="none"/>
          <w:lang w:val="en-US" w:eastAsia="zh-CN" w:bidi="ar-SA"/>
        </w:rPr>
        <w:t>低速行使，最大限度减少流动噪声源。通过落实上述噪声防治措施后，确保厂界噪声</w:t>
      </w:r>
      <w:r>
        <w:rPr>
          <w:rFonts w:hint="eastAsia" w:ascii="Times New Roman" w:eastAsia="仿宋_GB2312" w:cs="Times New Roman"/>
          <w:color w:val="auto"/>
          <w:kern w:val="2"/>
          <w:sz w:val="32"/>
          <w:szCs w:val="32"/>
          <w:highlight w:val="none"/>
          <w:lang w:val="en-US" w:eastAsia="zh-CN" w:bidi="ar-SA"/>
        </w:rPr>
        <w:t>达标，最大限度地降低对周边环境的影响</w:t>
      </w:r>
      <w:r>
        <w:rPr>
          <w:rFonts w:hint="default" w:ascii="Times New Roman" w:hAnsi="Times New Roman" w:eastAsia="仿宋_GB2312" w:cs="Times New Roman"/>
          <w:color w:val="auto"/>
          <w:kern w:val="2"/>
          <w:sz w:val="32"/>
          <w:szCs w:val="32"/>
          <w:highlight w:val="none"/>
          <w:lang w:val="en-US" w:eastAsia="zh-CN" w:bidi="ar-SA"/>
        </w:rPr>
        <w:t>。</w:t>
      </w:r>
    </w:p>
    <w:p w14:paraId="70A09E5D">
      <w:pPr>
        <w:pStyle w:val="15"/>
        <w:keepNext w:val="0"/>
        <w:keepLines w:val="0"/>
        <w:pageBreakBefore w:val="0"/>
        <w:widowControl w:val="0"/>
        <w:kinsoku/>
        <w:wordWrap/>
        <w:overflowPunct/>
        <w:topLinePunct w:val="0"/>
        <w:bidi w:val="0"/>
        <w:adjustRightInd w:val="0"/>
        <w:snapToGrid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三、项目建设必须严格执行环境保护设施与主体工程同时设计、同时施工、同时投入使用的环境保护“三同时”制度。</w:t>
      </w:r>
    </w:p>
    <w:p w14:paraId="6D763CB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（一）要将环境保护措施纳入初步设计报告并落实环保设施投资概算。</w:t>
      </w:r>
    </w:p>
    <w:p w14:paraId="5275661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（二）要将环境保护设施建设纳入施工合同，保证环境保护设施建设进度和资金。</w:t>
      </w:r>
    </w:p>
    <w:p w14:paraId="295194B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（三）项目竣工后须按规定程序实施竣工环境保护验收，验收合格后方可正式投运。</w:t>
      </w:r>
    </w:p>
    <w:p w14:paraId="06295F4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bidi="en-US"/>
        </w:rPr>
        <w:t>我局委托锡林郭勒盟生态环境局西乌旗分局对该项目各项污染防治措施落实情况进行监督检查和管理。</w:t>
      </w:r>
    </w:p>
    <w:p w14:paraId="36B9EFBA">
      <w:pPr>
        <w:spacing w:line="560" w:lineRule="exact"/>
        <w:ind w:firstLine="4800" w:firstLineChars="1500"/>
        <w:rPr>
          <w:rFonts w:hint="eastAsia" w:ascii="仿宋_GB2312" w:hAnsi="仿宋_GB2312" w:eastAsia="仿宋_GB2312" w:cs="仿宋_GB2312"/>
          <w:sz w:val="32"/>
          <w:szCs w:val="32"/>
          <w:lang w:bidi="en-US"/>
        </w:rPr>
      </w:pPr>
    </w:p>
    <w:p w14:paraId="24A569D0">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lang w:bidi="en-US"/>
        </w:rPr>
        <w:t>锡林郭勒盟生态环境局</w:t>
      </w:r>
    </w:p>
    <w:p w14:paraId="5E06487C">
      <w:pPr>
        <w:spacing w:line="560" w:lineRule="exact"/>
        <w:ind w:firstLine="5280" w:firstLineChars="1650"/>
        <w:rPr>
          <w:rFonts w:hint="eastAsia" w:ascii="仿宋_GB2312" w:hAnsi="仿宋_GB2312" w:eastAsia="仿宋_GB2312" w:cs="仿宋_GB2312"/>
          <w:spacing w:val="-2"/>
          <w:w w:val="9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0024817D">
      <w:pPr>
        <w:spacing w:line="560" w:lineRule="exact"/>
        <w:rPr>
          <w:rFonts w:hint="eastAsia" w:ascii="仿宋_GB2312" w:hAnsi="仿宋_GB2312" w:eastAsia="仿宋_GB2312" w:cs="仿宋_GB2312"/>
          <w:spacing w:val="-2"/>
          <w:w w:val="90"/>
          <w:sz w:val="32"/>
          <w:szCs w:val="32"/>
        </w:rPr>
      </w:pPr>
    </w:p>
    <w:p w14:paraId="04547F1D">
      <w:pPr>
        <w:spacing w:line="560" w:lineRule="exact"/>
        <w:rPr>
          <w:rFonts w:hint="eastAsia" w:ascii="仿宋_GB2312" w:hAnsi="仿宋_GB2312" w:eastAsia="仿宋_GB2312" w:cs="仿宋_GB2312"/>
          <w:spacing w:val="-2"/>
          <w:w w:val="90"/>
          <w:sz w:val="32"/>
          <w:szCs w:val="32"/>
        </w:rPr>
      </w:pPr>
    </w:p>
    <w:p w14:paraId="2AF69740">
      <w:pPr>
        <w:spacing w:line="560" w:lineRule="exact"/>
        <w:rPr>
          <w:rFonts w:hint="eastAsia" w:ascii="仿宋_GB2312" w:hAnsi="仿宋_GB2312" w:eastAsia="仿宋_GB2312" w:cs="仿宋_GB2312"/>
          <w:spacing w:val="-2"/>
          <w:w w:val="90"/>
          <w:sz w:val="32"/>
          <w:szCs w:val="32"/>
        </w:rPr>
      </w:pPr>
    </w:p>
    <w:p w14:paraId="4E9191F5">
      <w:pPr>
        <w:spacing w:line="560" w:lineRule="exact"/>
        <w:rPr>
          <w:rFonts w:hint="eastAsia" w:ascii="仿宋_GB2312" w:hAnsi="仿宋_GB2312" w:eastAsia="仿宋_GB2312" w:cs="仿宋_GB2312"/>
          <w:spacing w:val="-2"/>
          <w:w w:val="90"/>
          <w:sz w:val="32"/>
          <w:szCs w:val="32"/>
        </w:rPr>
      </w:pPr>
    </w:p>
    <w:p w14:paraId="11E01D4A">
      <w:pPr>
        <w:spacing w:line="560" w:lineRule="exact"/>
        <w:rPr>
          <w:rFonts w:hint="eastAsia" w:ascii="仿宋_GB2312" w:hAnsi="仿宋_GB2312" w:eastAsia="仿宋_GB2312" w:cs="仿宋_GB2312"/>
          <w:spacing w:val="-2"/>
          <w:w w:val="90"/>
          <w:sz w:val="32"/>
          <w:szCs w:val="32"/>
        </w:rPr>
      </w:pPr>
    </w:p>
    <w:p w14:paraId="11B822F3">
      <w:pPr>
        <w:spacing w:line="560" w:lineRule="exact"/>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5C041A9B">
      <w:pPr>
        <w:pBdr>
          <w:top w:val="single" w:color="auto" w:sz="4" w:space="1"/>
          <w:bottom w:val="single" w:color="auto" w:sz="4" w:space="1"/>
        </w:pBdr>
        <w:spacing w:line="560" w:lineRule="exact"/>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锡林郭勒盟生态环境局办公室          202</w:t>
      </w:r>
      <w:r>
        <w:rPr>
          <w:rFonts w:hint="eastAsia" w:ascii="仿宋_GB2312" w:hAnsi="仿宋_GB2312" w:eastAsia="仿宋_GB2312" w:cs="仿宋_GB2312"/>
          <w:spacing w:val="-2"/>
          <w:w w:val="90"/>
          <w:sz w:val="32"/>
          <w:szCs w:val="32"/>
          <w:lang w:val="en-US" w:eastAsia="zh-CN"/>
        </w:rPr>
        <w:t>5</w:t>
      </w:r>
      <w:r>
        <w:rPr>
          <w:rFonts w:hint="eastAsia" w:ascii="仿宋_GB2312" w:hAnsi="仿宋_GB2312" w:eastAsia="仿宋_GB2312" w:cs="仿宋_GB2312"/>
          <w:spacing w:val="-2"/>
          <w:w w:val="90"/>
          <w:sz w:val="32"/>
          <w:szCs w:val="32"/>
        </w:rPr>
        <w:t>年</w:t>
      </w:r>
      <w:r>
        <w:rPr>
          <w:rFonts w:hint="eastAsia" w:ascii="仿宋_GB2312" w:hAnsi="仿宋_GB2312" w:eastAsia="仿宋_GB2312" w:cs="仿宋_GB2312"/>
          <w:spacing w:val="-2"/>
          <w:w w:val="90"/>
          <w:sz w:val="32"/>
          <w:szCs w:val="32"/>
          <w:lang w:val="en-US" w:eastAsia="zh-CN"/>
        </w:rPr>
        <w:t>6</w:t>
      </w:r>
      <w:r>
        <w:rPr>
          <w:rFonts w:hint="eastAsia" w:ascii="仿宋_GB2312" w:hAnsi="仿宋_GB2312" w:eastAsia="仿宋_GB2312" w:cs="仿宋_GB2312"/>
          <w:spacing w:val="-2"/>
          <w:w w:val="90"/>
          <w:sz w:val="32"/>
          <w:szCs w:val="32"/>
        </w:rPr>
        <w:t>月</w:t>
      </w:r>
      <w:r>
        <w:rPr>
          <w:rFonts w:hint="eastAsia" w:ascii="仿宋_GB2312" w:hAnsi="仿宋_GB2312" w:eastAsia="仿宋_GB2312" w:cs="仿宋_GB2312"/>
          <w:spacing w:val="-2"/>
          <w:w w:val="90"/>
          <w:sz w:val="32"/>
          <w:szCs w:val="32"/>
          <w:lang w:val="en-US" w:eastAsia="zh-CN"/>
        </w:rPr>
        <w:t>26</w:t>
      </w:r>
      <w:r>
        <w:rPr>
          <w:rFonts w:hint="eastAsia" w:ascii="仿宋_GB2312" w:hAnsi="仿宋_GB2312" w:eastAsia="仿宋_GB2312" w:cs="仿宋_GB2312"/>
          <w:spacing w:val="-2"/>
          <w:w w:val="90"/>
          <w:sz w:val="32"/>
          <w:szCs w:val="32"/>
        </w:rPr>
        <w:t>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auto"/>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6FFFC"/>
    <w:multiLevelType w:val="singleLevel"/>
    <w:tmpl w:val="7436FFFC"/>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3ZmEwNDIzNjk0ZmFmNzQwYWZkZWY1MGM3N2JmMjMifQ=="/>
    <w:docVar w:name="KSO_WPS_MARK_KEY" w:val="09d15ec7-0bf2-44f8-8c61-ef6b5d062c09"/>
  </w:docVars>
  <w:rsids>
    <w:rsidRoot w:val="00BB6826"/>
    <w:rsid w:val="00211F59"/>
    <w:rsid w:val="003E6A2C"/>
    <w:rsid w:val="0041092A"/>
    <w:rsid w:val="004E73DC"/>
    <w:rsid w:val="00BB6826"/>
    <w:rsid w:val="00C24A33"/>
    <w:rsid w:val="094F4D5A"/>
    <w:rsid w:val="1D205B69"/>
    <w:rsid w:val="1DA45370"/>
    <w:rsid w:val="24EA60F0"/>
    <w:rsid w:val="272322F7"/>
    <w:rsid w:val="28C478E9"/>
    <w:rsid w:val="29A50308"/>
    <w:rsid w:val="2D8C7D02"/>
    <w:rsid w:val="33080511"/>
    <w:rsid w:val="3416496E"/>
    <w:rsid w:val="425E2867"/>
    <w:rsid w:val="453F38A4"/>
    <w:rsid w:val="475E26BE"/>
    <w:rsid w:val="48733940"/>
    <w:rsid w:val="48B43F61"/>
    <w:rsid w:val="4B8509C1"/>
    <w:rsid w:val="4BFC403B"/>
    <w:rsid w:val="4DA028C8"/>
    <w:rsid w:val="4F93316A"/>
    <w:rsid w:val="50B475C5"/>
    <w:rsid w:val="51AD2550"/>
    <w:rsid w:val="5AF96D93"/>
    <w:rsid w:val="5E9E35AD"/>
    <w:rsid w:val="61001FE0"/>
    <w:rsid w:val="64682077"/>
    <w:rsid w:val="66CB1EF3"/>
    <w:rsid w:val="6DF70C7A"/>
    <w:rsid w:val="78387840"/>
    <w:rsid w:val="7B1F5E6F"/>
    <w:rsid w:val="7BB57CD1"/>
    <w:rsid w:val="7D752A6D"/>
    <w:rsid w:val="7E5F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600"/>
    </w:pPr>
    <w:rPr>
      <w:rFonts w:ascii="Times New Roman" w:eastAsia="仿宋" w:cs="Times New Roman"/>
      <w:color w:val="000000"/>
      <w:sz w:val="30"/>
    </w:rPr>
  </w:style>
  <w:style w:type="paragraph" w:styleId="6">
    <w:name w:val="E-mail Signature"/>
    <w:basedOn w:val="1"/>
    <w:next w:val="7"/>
    <w:qFormat/>
    <w:uiPriority w:val="0"/>
    <w:pPr>
      <w:spacing w:line="460" w:lineRule="exact"/>
      <w:ind w:firstLine="200"/>
    </w:pPr>
    <w:rPr>
      <w:sz w:val="24"/>
    </w:rPr>
  </w:style>
  <w:style w:type="paragraph" w:customStyle="1" w:styleId="7">
    <w:name w:val="文章"/>
    <w:basedOn w:val="8"/>
    <w:next w:val="10"/>
    <w:qFormat/>
    <w:uiPriority w:val="0"/>
    <w:pPr>
      <w:widowControl/>
      <w:jc w:val="center"/>
    </w:pPr>
    <w:rPr>
      <w:sz w:val="26"/>
    </w:rPr>
  </w:style>
  <w:style w:type="paragraph" w:styleId="8">
    <w:name w:val="Body Text Indent"/>
    <w:basedOn w:val="1"/>
    <w:next w:val="9"/>
    <w:qFormat/>
    <w:uiPriority w:val="0"/>
    <w:pPr>
      <w:spacing w:after="120"/>
      <w:ind w:left="200" w:leftChars="200"/>
    </w:pPr>
    <w:rPr>
      <w:rFonts w:ascii="Times New Roman" w:eastAsia="宋体" w:cs="Times New Roman"/>
      <w:szCs w:val="24"/>
    </w:rPr>
  </w:style>
  <w:style w:type="paragraph" w:styleId="9">
    <w:name w:val="Body Text First Indent 2"/>
    <w:basedOn w:val="8"/>
    <w:next w:val="1"/>
    <w:qFormat/>
    <w:uiPriority w:val="0"/>
    <w:pPr>
      <w:adjustRightInd w:val="0"/>
      <w:ind w:firstLine="420"/>
      <w:textAlignment w:val="baseline"/>
    </w:pPr>
    <w:rPr>
      <w:rFonts w:ascii="宋体"/>
      <w:sz w:val="18"/>
      <w:szCs w:val="18"/>
    </w:rPr>
  </w:style>
  <w:style w:type="paragraph" w:styleId="10">
    <w:name w:val="List"/>
    <w:basedOn w:val="1"/>
    <w:next w:val="11"/>
    <w:qFormat/>
    <w:uiPriority w:val="0"/>
    <w:pPr>
      <w:jc w:val="center"/>
    </w:p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qFormat/>
    <w:uiPriority w:val="0"/>
    <w:pPr>
      <w:ind w:firstLine="420"/>
    </w:pPr>
    <w:rPr>
      <w:szCs w:val="20"/>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Normal Indent"/>
    <w:basedOn w:val="1"/>
    <w:qFormat/>
    <w:uiPriority w:val="0"/>
    <w:pPr>
      <w:ind w:firstLine="200" w:firstLineChars="200"/>
    </w:pPr>
    <w:rPr>
      <w:rFonts w:ascii="Times New Roman" w:eastAsia="宋体" w:cs="Times New Roman"/>
    </w:rPr>
  </w:style>
  <w:style w:type="paragraph" w:styleId="16">
    <w:name w:val="annotation text"/>
    <w:basedOn w:val="1"/>
    <w:qFormat/>
    <w:uiPriority w:val="0"/>
    <w:pPr>
      <w:jc w:val="left"/>
    </w:pPr>
  </w:style>
  <w:style w:type="paragraph" w:styleId="17">
    <w:name w:val="Body Text"/>
    <w:basedOn w:val="1"/>
    <w:next w:val="1"/>
    <w:qFormat/>
    <w:uiPriority w:val="0"/>
    <w:pPr>
      <w:spacing w:after="120"/>
    </w:pPr>
    <w:rPr>
      <w:rFonts w:ascii="Times New Roman" w:eastAsia="宋体"/>
      <w:szCs w:val="24"/>
    </w:rPr>
  </w:style>
  <w:style w:type="paragraph" w:styleId="18">
    <w:name w:val="footer"/>
    <w:basedOn w:val="1"/>
    <w:next w:val="1"/>
    <w:qFormat/>
    <w:uiPriority w:val="0"/>
    <w:pPr>
      <w:tabs>
        <w:tab w:val="center" w:pos="4153"/>
        <w:tab w:val="right" w:pos="8306"/>
      </w:tabs>
      <w:snapToGrid w:val="0"/>
      <w:jc w:val="left"/>
    </w:pPr>
    <w:rPr>
      <w:rFonts w:ascii="Times New Roman" w:eastAsia="宋体" w:cs="Times New Roman"/>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left" w:pos="284"/>
        <w:tab w:val="right" w:leader="dot" w:pos="8296"/>
      </w:tabs>
    </w:pPr>
  </w:style>
  <w:style w:type="paragraph" w:styleId="21">
    <w:name w:val="toc 2"/>
    <w:basedOn w:val="1"/>
    <w:next w:val="1"/>
    <w:qFormat/>
    <w:uiPriority w:val="0"/>
    <w:pPr>
      <w:ind w:left="200" w:leftChars="200"/>
    </w:pPr>
    <w:rPr>
      <w:rFonts w:ascii="Times New Roman" w:eastAsia="宋体" w:cs="Times New Roman"/>
    </w:rPr>
  </w:style>
  <w:style w:type="paragraph" w:styleId="22">
    <w:name w:val="Normal (Web)"/>
    <w:basedOn w:val="1"/>
    <w:qFormat/>
    <w:uiPriority w:val="0"/>
    <w:pPr>
      <w:spacing w:beforeAutospacing="1" w:afterAutospacing="1"/>
      <w:jc w:val="left"/>
    </w:pPr>
    <w:rPr>
      <w:rFonts w:ascii="Times New Roman" w:eastAsia="宋体" w:cs="Times New Roman"/>
      <w:kern w:val="0"/>
      <w:sz w:val="24"/>
    </w:rPr>
  </w:style>
  <w:style w:type="paragraph" w:styleId="23">
    <w:name w:val="Body Text First Indent"/>
    <w:basedOn w:val="17"/>
    <w:next w:val="1"/>
    <w:qFormat/>
    <w:uiPriority w:val="0"/>
    <w:pPr>
      <w:spacing w:before="120" w:after="240"/>
      <w:ind w:firstLine="100" w:firstLineChars="100"/>
    </w:pPr>
    <w:rPr>
      <w:rFonts w:ascii="宋体"/>
      <w:szCs w:val="28"/>
    </w:rPr>
  </w:style>
  <w:style w:type="character" w:styleId="26">
    <w:name w:val="Hyperlink"/>
    <w:basedOn w:val="25"/>
    <w:qFormat/>
    <w:uiPriority w:val="0"/>
    <w:rPr>
      <w:color w:val="0563C1"/>
      <w:u w:val="single"/>
    </w:rPr>
  </w:style>
  <w:style w:type="paragraph" w:customStyle="1" w:styleId="27">
    <w:name w:val="表格文字"/>
    <w:basedOn w:val="28"/>
    <w:next w:val="1"/>
    <w:qFormat/>
    <w:uiPriority w:val="0"/>
    <w:pPr>
      <w:jc w:val="center"/>
    </w:pPr>
    <w:rPr>
      <w:rFonts w:ascii="Times New Roman" w:eastAsia="楷体" w:cs="Times New Roman"/>
      <w:w w:val="95"/>
      <w:sz w:val="24"/>
    </w:rPr>
  </w:style>
  <w:style w:type="paragraph" w:customStyle="1" w:styleId="28">
    <w:name w:val="表格编号"/>
    <w:basedOn w:val="1"/>
    <w:next w:val="27"/>
    <w:qFormat/>
    <w:uiPriority w:val="0"/>
    <w:pPr>
      <w:snapToGrid w:val="0"/>
      <w:spacing w:line="20" w:lineRule="atLeast"/>
    </w:pPr>
  </w:style>
  <w:style w:type="paragraph" w:styleId="29">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0">
    <w:name w:val="xl27"/>
    <w:basedOn w:val="1"/>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31">
    <w:name w:val="未处理的提及1"/>
    <w:basedOn w:val="25"/>
    <w:qFormat/>
    <w:uiPriority w:val="0"/>
    <w:rPr>
      <w:color w:val="605E5C"/>
      <w:shd w:val="clear" w:color="auto" w:fill="E1DFDD"/>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
    <w:basedOn w:val="1"/>
    <w:qFormat/>
    <w:uiPriority w:val="0"/>
    <w:pPr>
      <w:spacing w:line="500" w:lineRule="exact"/>
      <w:ind w:firstLine="200" w:firstLineChars="200"/>
    </w:pPr>
    <w:rPr>
      <w:sz w:val="24"/>
      <w:szCs w:val="20"/>
    </w:rPr>
  </w:style>
  <w:style w:type="paragraph" w:customStyle="1" w:styleId="34">
    <w:name w:val="1正文"/>
    <w:basedOn w:val="1"/>
    <w:qFormat/>
    <w:uiPriority w:val="0"/>
    <w:pPr>
      <w:ind w:firstLine="200"/>
    </w:pPr>
    <w:rPr>
      <w:rFonts w:ascii="Calibri" w:hAnsi="Calibri"/>
    </w:rPr>
  </w:style>
  <w:style w:type="paragraph" w:customStyle="1" w:styleId="35">
    <w:name w:val="样式5"/>
    <w:basedOn w:val="1"/>
    <w:qFormat/>
    <w:uiPriority w:val="0"/>
    <w:pPr>
      <w:snapToGrid w:val="0"/>
      <w:spacing w:line="360" w:lineRule="auto"/>
      <w:ind w:firstLine="510"/>
    </w:pPr>
    <w:rPr>
      <w:rFonts w:cs="Times New Roman"/>
      <w:sz w:val="24"/>
      <w:szCs w:val="24"/>
    </w:rPr>
  </w:style>
  <w:style w:type="paragraph" w:customStyle="1" w:styleId="36">
    <w:name w:val="文章正文"/>
    <w:basedOn w:val="1"/>
    <w:qFormat/>
    <w:uiPriority w:val="0"/>
    <w:pPr>
      <w:spacing w:line="440" w:lineRule="exact"/>
      <w:ind w:firstLine="600" w:firstLineChars="200"/>
    </w:pPr>
    <w:rPr>
      <w:kern w:val="0"/>
      <w:sz w:val="24"/>
    </w:rPr>
  </w:style>
  <w:style w:type="paragraph" w:customStyle="1" w:styleId="37">
    <w:name w:val="高-正文"/>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sz w:val="24"/>
      <w:szCs w:val="22"/>
      <w:lang w:val="en-US" w:eastAsia="zh-CN" w:bidi="ar-SA"/>
    </w:rPr>
  </w:style>
  <w:style w:type="paragraph" w:customStyle="1" w:styleId="38">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styleId="39">
    <w:name w:val="List Paragraph"/>
    <w:basedOn w:val="1"/>
    <w:qFormat/>
    <w:uiPriority w:val="6"/>
    <w:pPr>
      <w:jc w:val="center"/>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3186</Words>
  <Characters>3362</Characters>
  <Lines>13</Lines>
  <Paragraphs>3</Paragraphs>
  <TotalTime>2</TotalTime>
  <ScaleCrop>false</ScaleCrop>
  <LinksUpToDate>false</LinksUpToDate>
  <CharactersWithSpaces>3374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WPS_1696990880</cp:lastModifiedBy>
  <dcterms:modified xsi:type="dcterms:W3CDTF">2025-06-24T08:45:32Z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B172F47863E245CC971C4F156010A0D8_13</vt:lpwstr>
  </property>
  <property fmtid="{D5CDD505-2E9C-101B-9397-08002B2CF9AE}" pid="4" name="KSOTemplateDocerSaveRecord">
    <vt:lpwstr>eyJoZGlkIjoiMjU3ZmEwNDIzNjk0ZmFmNzQwYWZkZWY1MGM3N2JmMjMiLCJ1c2VySWQiOiIxNTQ4NTk0MzkyIn0=</vt:lpwstr>
  </property>
</Properties>
</file>