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0E1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8D920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49B2D6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F67AC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3247C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9D84D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0DD50C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D62AB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7F5DFF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东环审表〔202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27</w:t>
      </w:r>
      <w:r>
        <w:rPr>
          <w:rFonts w:hint="eastAsia" w:ascii="仿宋_GB2312" w:hAnsi="仿宋_GB2312" w:eastAsia="仿宋_GB2312" w:cs="仿宋_GB2312"/>
          <w:sz w:val="32"/>
          <w:szCs w:val="32"/>
          <w:highlight w:val="none"/>
        </w:rPr>
        <w:t>号</w:t>
      </w:r>
    </w:p>
    <w:p w14:paraId="372A10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B1751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锡林郭勒盟生态环境局</w:t>
      </w:r>
    </w:p>
    <w:p w14:paraId="1FD599F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highlight w:val="none"/>
        </w:rPr>
      </w:pPr>
      <w:r>
        <w:rPr>
          <w:rFonts w:hint="eastAsia" w:ascii="方正小标宋简体" w:hAnsi="方正小标宋简体" w:eastAsia="方正小标宋简体" w:cs="方正小标宋简体"/>
          <w:sz w:val="44"/>
          <w:szCs w:val="44"/>
          <w:highlight w:val="none"/>
        </w:rPr>
        <w:t>关于</w:t>
      </w:r>
      <w:r>
        <w:rPr>
          <w:rFonts w:hint="eastAsia" w:ascii="方正小标宋简体" w:hAnsi="方正小标宋简体" w:eastAsia="方正小标宋简体" w:cs="方正小标宋简体"/>
          <w:sz w:val="44"/>
          <w:szCs w:val="44"/>
          <w:highlight w:val="none"/>
          <w:lang w:val="en-US" w:eastAsia="zh-CN"/>
        </w:rPr>
        <w:t>东乌珠穆沁旗广厦热电有限责任公司危险废物暂存间建设项目</w:t>
      </w:r>
      <w:r>
        <w:rPr>
          <w:rFonts w:hint="eastAsia" w:ascii="方正小标宋简体" w:hAnsi="方正小标宋简体" w:eastAsia="方正小标宋简体" w:cs="方正小标宋简体"/>
          <w:sz w:val="44"/>
          <w:szCs w:val="44"/>
          <w:highlight w:val="none"/>
        </w:rPr>
        <w:t>环境影响报告表的批复</w:t>
      </w:r>
    </w:p>
    <w:p w14:paraId="4559C8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7323A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东乌珠穆沁旗广厦热电有限责任公司:</w:t>
      </w:r>
    </w:p>
    <w:p w14:paraId="3EDB3F2A">
      <w:pPr>
        <w:keepNext w:val="0"/>
        <w:keepLines w:val="0"/>
        <w:pageBreakBefore w:val="0"/>
        <w:widowControl w:val="0"/>
        <w:kinsoku/>
        <w:wordWrap/>
        <w:overflowPunct/>
        <w:topLinePunct w:val="0"/>
        <w:autoSpaceDE w:val="0"/>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color w:val="auto"/>
          <w:sz w:val="32"/>
          <w:szCs w:val="32"/>
          <w:highlight w:val="none"/>
        </w:rPr>
        <w:t>你公司委托内蒙古</w:t>
      </w:r>
      <w:r>
        <w:rPr>
          <w:rFonts w:hint="eastAsia" w:ascii="仿宋_GB2312" w:hAnsi="仿宋_GB2312" w:eastAsia="仿宋_GB2312" w:cs="仿宋_GB2312"/>
          <w:bCs/>
          <w:color w:val="auto"/>
          <w:sz w:val="32"/>
          <w:szCs w:val="32"/>
          <w:highlight w:val="none"/>
          <w:lang w:val="en-US" w:eastAsia="zh-CN"/>
        </w:rPr>
        <w:t>筹</w:t>
      </w:r>
      <w:r>
        <w:rPr>
          <w:rFonts w:hint="eastAsia" w:ascii="仿宋_GB2312" w:hAnsi="仿宋_GB2312" w:eastAsia="仿宋_GB2312" w:cs="仿宋_GB2312"/>
          <w:bCs/>
          <w:color w:val="auto"/>
          <w:sz w:val="32"/>
          <w:szCs w:val="32"/>
          <w:highlight w:val="none"/>
        </w:rPr>
        <w:t>信环保科技有限公司编制的《</w:t>
      </w:r>
      <w:r>
        <w:rPr>
          <w:rFonts w:hint="eastAsia" w:ascii="仿宋_GB2312" w:hAnsi="仿宋_GB2312" w:eastAsia="仿宋_GB2312" w:cs="仿宋_GB2312"/>
          <w:bCs/>
          <w:color w:val="auto"/>
          <w:sz w:val="32"/>
          <w:szCs w:val="32"/>
          <w:highlight w:val="none"/>
          <w:lang w:val="en-US" w:eastAsia="zh-CN"/>
        </w:rPr>
        <w:t>东乌珠穆沁旗广厦热电有限责任公司危险废物暂存间建设项目</w:t>
      </w:r>
      <w:r>
        <w:rPr>
          <w:rFonts w:hint="eastAsia" w:ascii="仿宋_GB2312" w:hAnsi="仿宋_GB2312" w:eastAsia="仿宋_GB2312" w:cs="仿宋_GB2312"/>
          <w:bCs/>
          <w:color w:val="auto"/>
          <w:sz w:val="32"/>
          <w:szCs w:val="32"/>
          <w:highlight w:val="none"/>
        </w:rPr>
        <w:t>环境影响报告表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已</w:t>
      </w:r>
      <w:r>
        <w:rPr>
          <w:rFonts w:hint="eastAsia" w:ascii="仿宋_GB2312" w:hAnsi="仿宋_GB2312" w:eastAsia="仿宋_GB2312" w:cs="仿宋_GB2312"/>
          <w:color w:val="auto"/>
          <w:sz w:val="32"/>
          <w:szCs w:val="32"/>
          <w:highlight w:val="none"/>
        </w:rPr>
        <w:t>收悉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依据《锡林郭勒盟生态环境局关于委托实施行政许可事项的通知》（锡署环字〔2021〕41号），现批复如下</w:t>
      </w:r>
      <w:r>
        <w:rPr>
          <w:rFonts w:hint="eastAsia" w:ascii="仿宋_GB2312" w:hAnsi="仿宋_GB2312" w:eastAsia="仿宋_GB2312" w:cs="仿宋_GB2312"/>
          <w:sz w:val="32"/>
          <w:szCs w:val="32"/>
          <w:highlight w:val="none"/>
        </w:rPr>
        <w:t xml:space="preserve">：      </w:t>
      </w:r>
    </w:p>
    <w:p w14:paraId="76061A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一、建设项目基本情况</w:t>
      </w:r>
    </w:p>
    <w:p w14:paraId="0F8E80A7">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本项目位于内蒙古自治区锡林郭勒盟东乌珠穆沁旗乌里雅斯太镇南郊1km处，地理坐标为东经：116°59′8.875″北纬：45°30′5.977″，属于</w:t>
      </w:r>
      <w:r>
        <w:rPr>
          <w:rFonts w:hint="eastAsia" w:ascii="仿宋_GB2312" w:hAnsi="仿宋_GB2312" w:eastAsia="仿宋_GB2312" w:cs="仿宋_GB2312"/>
          <w:bCs/>
          <w:color w:val="auto"/>
          <w:sz w:val="32"/>
          <w:szCs w:val="32"/>
          <w:highlight w:val="none"/>
          <w:u w:val="none"/>
          <w:lang w:val="en-US" w:eastAsia="zh-CN"/>
        </w:rPr>
        <w:t>新建</w:t>
      </w:r>
      <w:r>
        <w:rPr>
          <w:rFonts w:hint="eastAsia" w:ascii="仿宋_GB2312" w:hAnsi="仿宋_GB2312" w:eastAsia="仿宋_GB2312" w:cs="仿宋_GB2312"/>
          <w:bCs/>
          <w:color w:val="auto"/>
          <w:sz w:val="32"/>
          <w:szCs w:val="32"/>
          <w:highlight w:val="none"/>
          <w:lang w:val="en-US" w:eastAsia="zh-CN"/>
        </w:rPr>
        <w:t>项目，总占地面积为15m</w:t>
      </w:r>
      <w:r>
        <w:rPr>
          <w:rFonts w:hint="eastAsia" w:ascii="仿宋_GB2312" w:hAnsi="仿宋_GB2312" w:eastAsia="仿宋_GB2312" w:cs="仿宋_GB2312"/>
          <w:bCs/>
          <w:color w:val="auto"/>
          <w:sz w:val="32"/>
          <w:szCs w:val="32"/>
          <w:highlight w:val="none"/>
          <w:vertAlign w:val="superscript"/>
          <w:lang w:val="en-US" w:eastAsia="zh-CN"/>
        </w:rPr>
        <w:t>2</w:t>
      </w:r>
      <w:r>
        <w:rPr>
          <w:rFonts w:hint="eastAsia" w:ascii="仿宋_GB2312" w:hAnsi="仿宋_GB2312" w:eastAsia="仿宋_GB2312" w:cs="仿宋_GB2312"/>
          <w:bCs/>
          <w:color w:val="auto"/>
          <w:sz w:val="32"/>
          <w:szCs w:val="32"/>
          <w:highlight w:val="none"/>
          <w:lang w:val="en-US" w:eastAsia="zh-CN"/>
        </w:rPr>
        <w:t>。主体工程为撬装式危险废物暂存间，用于废机油、废润滑油、废油桶等危险废物的暂存，贮存区设置导流槽（宽10cm、深10cm），设置收集池。采用玻镁板+防渗膜（2mm厚HDPE膜）+防滑地胶+环氧树脂漆进行防渗处理，渗透系数不大于10</w:t>
      </w:r>
      <w:r>
        <w:rPr>
          <w:rFonts w:hint="eastAsia" w:ascii="仿宋_GB2312" w:hAnsi="仿宋_GB2312" w:eastAsia="仿宋_GB2312" w:cs="仿宋_GB2312"/>
          <w:bCs/>
          <w:color w:val="auto"/>
          <w:sz w:val="32"/>
          <w:szCs w:val="32"/>
          <w:highlight w:val="none"/>
          <w:vertAlign w:val="superscript"/>
          <w:lang w:val="en-US" w:eastAsia="zh-CN"/>
        </w:rPr>
        <w:t>-10</w:t>
      </w:r>
      <w:r>
        <w:rPr>
          <w:rFonts w:hint="eastAsia" w:ascii="仿宋_GB2312" w:hAnsi="仿宋_GB2312" w:eastAsia="仿宋_GB2312" w:cs="仿宋_GB2312"/>
          <w:bCs/>
          <w:color w:val="auto"/>
          <w:sz w:val="32"/>
          <w:szCs w:val="32"/>
          <w:highlight w:val="none"/>
          <w:lang w:val="en-US" w:eastAsia="zh-CN"/>
        </w:rPr>
        <w:t>cm/s，四周设置0.5m高防渗裙角；公用工程为供电系统、消防系统。总投资5</w:t>
      </w:r>
      <w:r>
        <w:rPr>
          <w:rFonts w:hint="eastAsia" w:ascii="仿宋_GB2312" w:hAnsi="仿宋_GB2312" w:eastAsia="仿宋_GB2312" w:cs="仿宋_GB2312"/>
          <w:bCs/>
          <w:color w:val="auto"/>
          <w:sz w:val="32"/>
          <w:szCs w:val="32"/>
          <w:highlight w:val="none"/>
        </w:rPr>
        <w:t>万元，环保投资</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rPr>
        <w:t>万元</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占总投资的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Cs/>
          <w:color w:val="auto"/>
          <w:sz w:val="32"/>
          <w:szCs w:val="32"/>
          <w:highlight w:val="none"/>
        </w:rPr>
        <w:t>。</w:t>
      </w:r>
    </w:p>
    <w:p w14:paraId="665F9C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依据</w:t>
      </w:r>
      <w:r>
        <w:rPr>
          <w:rFonts w:hint="eastAsia" w:ascii="仿宋_GB2312" w:hAnsi="仿宋_GB2312" w:eastAsia="仿宋_GB2312" w:cs="仿宋_GB2312"/>
          <w:sz w:val="32"/>
          <w:szCs w:val="32"/>
          <w:highlight w:val="none"/>
          <w:lang w:eastAsia="zh-CN"/>
        </w:rPr>
        <w:t>《产业结构调整指导目录(2024年本)》</w:t>
      </w:r>
      <w:r>
        <w:rPr>
          <w:rFonts w:hint="eastAsia" w:ascii="仿宋_GB2312" w:hAnsi="仿宋_GB2312" w:eastAsia="仿宋_GB2312" w:cs="仿宋_GB2312"/>
          <w:sz w:val="32"/>
          <w:szCs w:val="32"/>
          <w:highlight w:val="none"/>
        </w:rPr>
        <w:t>，本项目不属于鼓励类、限制类和淘汰类项目，属于允许类建设项目，符合国家相关法律法规，符合国家产业政策要求及我盟“三线一单”管控要求。在全面落实《报告表》中提出的各项污染防治措施后，可使环境污染和生态破坏控制在允许范围内，从生态环境保护的角度分析，该项目建设可行。</w:t>
      </w:r>
    </w:p>
    <w:p w14:paraId="1AAB55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val="en-US" w:eastAsia="zh-CN"/>
        </w:rPr>
        <w:t>项目在设计、建设和运营过程中还应做好以下工作。</w:t>
      </w:r>
    </w:p>
    <w:p w14:paraId="2F1F59E6">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（一）废气方面</w:t>
      </w:r>
    </w:p>
    <w:p w14:paraId="58D22904">
      <w:pPr>
        <w:pStyle w:val="9"/>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color w:val="auto"/>
          <w:sz w:val="32"/>
          <w:szCs w:val="32"/>
          <w:highlight w:val="none"/>
          <w:shd w:val="clear" w:color="auto" w:fill="FFFFFF"/>
          <w:lang w:val="en-US" w:eastAsia="zh-CN"/>
        </w:rPr>
      </w:pPr>
      <w:r>
        <w:rPr>
          <w:rFonts w:hint="eastAsia" w:ascii="仿宋_GB2312" w:eastAsia="仿宋_GB2312"/>
          <w:color w:val="auto"/>
          <w:sz w:val="32"/>
          <w:szCs w:val="32"/>
          <w:highlight w:val="none"/>
          <w:shd w:val="clear" w:color="auto" w:fill="FFFFFF"/>
          <w:lang w:val="en-US" w:eastAsia="zh-CN"/>
        </w:rPr>
        <w:t>施工现场通过物料苫盖、洒水降尘、车辆减速慢行等措施，抑制施工扬尘污染。运营期确保危废暂存间的封闭性，危废废物容器必须完好无损，配备密封性能良好的盖子，防止挥发和泄漏。严格按照《大气污染物综合排放标准》（GB16297-1996）要求执行。</w:t>
      </w:r>
    </w:p>
    <w:p w14:paraId="6A196A56">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（二）废水方面</w:t>
      </w:r>
    </w:p>
    <w:p w14:paraId="7B4C27F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Calibri" w:eastAsia="仿宋_GB2312" w:cs="Arial"/>
          <w:color w:val="auto"/>
          <w:sz w:val="32"/>
          <w:szCs w:val="32"/>
          <w:highlight w:val="none"/>
          <w:lang w:eastAsia="zh-CN"/>
        </w:rPr>
      </w:pPr>
      <w:r>
        <w:rPr>
          <w:rFonts w:hint="eastAsia" w:ascii="仿宋_GB2312" w:hAnsi="Calibri" w:eastAsia="仿宋_GB2312" w:cs="Arial"/>
          <w:bCs/>
          <w:color w:val="auto"/>
          <w:sz w:val="32"/>
          <w:szCs w:val="32"/>
          <w:highlight w:val="none"/>
        </w:rPr>
        <w:t>生活污水集中收集后进行处理，严禁向外环境排放</w:t>
      </w:r>
      <w:r>
        <w:rPr>
          <w:rFonts w:hint="eastAsia" w:ascii="仿宋_GB2312" w:hAnsi="Calibri" w:eastAsia="仿宋_GB2312" w:cs="Arial"/>
          <w:bCs/>
          <w:color w:val="auto"/>
          <w:sz w:val="32"/>
          <w:szCs w:val="32"/>
          <w:highlight w:val="none"/>
          <w:lang w:eastAsia="zh-CN"/>
        </w:rPr>
        <w:t>；</w:t>
      </w:r>
      <w:r>
        <w:rPr>
          <w:rFonts w:hint="eastAsia" w:ascii="仿宋_GB2312" w:hAnsi="Calibri" w:eastAsia="仿宋_GB2312" w:cs="Arial"/>
          <w:bCs/>
          <w:color w:val="auto"/>
          <w:sz w:val="32"/>
          <w:szCs w:val="32"/>
          <w:highlight w:val="none"/>
          <w:lang w:val="en-US" w:eastAsia="zh-CN"/>
        </w:rPr>
        <w:t>危废暂存间地面、墙面及收集池要严格按照《危险废物贮存污染控制标准》（GB 18597—2023）中要求采取防渗措施。</w:t>
      </w:r>
    </w:p>
    <w:p w14:paraId="00F1E2E5">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楷体_GB2312" w:hAnsi="Calibri" w:eastAsia="楷体_GB2312" w:cs="Arial"/>
          <w:b/>
          <w:bCs/>
          <w:color w:val="auto"/>
          <w:kern w:val="0"/>
          <w:sz w:val="32"/>
          <w:szCs w:val="32"/>
          <w:highlight w:val="none"/>
          <w:lang w:eastAsia="zh-CN"/>
        </w:rPr>
      </w:pPr>
      <w:r>
        <w:rPr>
          <w:rFonts w:hint="eastAsia" w:ascii="楷体_GB2312" w:hAnsi="Calibri" w:eastAsia="楷体_GB2312" w:cs="Arial"/>
          <w:b/>
          <w:bCs/>
          <w:color w:val="auto"/>
          <w:kern w:val="0"/>
          <w:sz w:val="32"/>
          <w:szCs w:val="32"/>
          <w:highlight w:val="none"/>
        </w:rPr>
        <w:t>（三）噪声方面</w:t>
      </w:r>
    </w:p>
    <w:p w14:paraId="46AC652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hAnsi="Calibri" w:eastAsia="仿宋_GB2312" w:cs="Arial"/>
          <w:color w:val="auto"/>
          <w:sz w:val="32"/>
          <w:szCs w:val="32"/>
          <w:highlight w:val="none"/>
          <w:lang w:val="en-US" w:eastAsia="zh-CN"/>
        </w:rPr>
      </w:pPr>
      <w:r>
        <w:rPr>
          <w:rFonts w:hint="eastAsia" w:ascii="仿宋_GB2312" w:hAnsi="Calibri" w:eastAsia="仿宋_GB2312" w:cs="Arial"/>
          <w:color w:val="auto"/>
          <w:sz w:val="32"/>
          <w:szCs w:val="32"/>
          <w:highlight w:val="none"/>
          <w:lang w:val="en-US" w:eastAsia="zh-CN"/>
        </w:rPr>
        <w:t>加强建设期及运营期</w:t>
      </w:r>
      <w:r>
        <w:rPr>
          <w:rFonts w:hint="eastAsia" w:ascii="仿宋_GB2312" w:hAnsi="Calibri" w:eastAsia="仿宋_GB2312" w:cs="Arial"/>
          <w:color w:val="auto"/>
          <w:sz w:val="32"/>
          <w:szCs w:val="32"/>
          <w:highlight w:val="none"/>
        </w:rPr>
        <w:t>运输车辆</w:t>
      </w:r>
      <w:r>
        <w:rPr>
          <w:rFonts w:hint="eastAsia" w:ascii="仿宋_GB2312" w:hAnsi="Calibri" w:eastAsia="仿宋_GB2312" w:cs="Arial"/>
          <w:color w:val="auto"/>
          <w:sz w:val="32"/>
          <w:szCs w:val="32"/>
          <w:highlight w:val="none"/>
          <w:lang w:val="en-US" w:eastAsia="zh-CN"/>
        </w:rPr>
        <w:t>管理，采取减速慢行</w:t>
      </w:r>
      <w:r>
        <w:rPr>
          <w:rFonts w:hint="eastAsia" w:ascii="仿宋_GB2312" w:hAnsi="Calibri" w:eastAsia="仿宋_GB2312" w:cs="Arial"/>
          <w:color w:val="auto"/>
          <w:sz w:val="32"/>
          <w:szCs w:val="32"/>
          <w:highlight w:val="none"/>
        </w:rPr>
        <w:t>、禁止鸣笛等措施</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color w:val="auto"/>
          <w:sz w:val="32"/>
          <w:szCs w:val="32"/>
          <w:highlight w:val="none"/>
          <w:lang w:val="en-US" w:eastAsia="zh-CN"/>
        </w:rPr>
        <w:t>运营期危废运输车辆装卸时要熄火作业、轻搬轻放，遵守操作规程</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color w:val="auto"/>
          <w:sz w:val="32"/>
          <w:szCs w:val="32"/>
          <w:highlight w:val="none"/>
          <w:lang w:val="en-US" w:eastAsia="zh-CN"/>
        </w:rPr>
        <w:t>生产设备合理布局，</w:t>
      </w:r>
      <w:r>
        <w:rPr>
          <w:rFonts w:hint="eastAsia" w:ascii="仿宋_GB2312" w:hAnsi="Calibri" w:eastAsia="仿宋_GB2312" w:cs="Arial"/>
          <w:color w:val="auto"/>
          <w:sz w:val="32"/>
          <w:szCs w:val="32"/>
          <w:highlight w:val="none"/>
        </w:rPr>
        <w:t>采取减振、降噪</w:t>
      </w:r>
      <w:r>
        <w:rPr>
          <w:rFonts w:hint="eastAsia" w:ascii="仿宋_GB2312" w:hAnsi="Calibri" w:eastAsia="仿宋_GB2312" w:cs="Arial"/>
          <w:color w:val="auto"/>
          <w:sz w:val="32"/>
          <w:szCs w:val="32"/>
          <w:highlight w:val="none"/>
          <w:lang w:val="en-US" w:eastAsia="zh-CN"/>
        </w:rPr>
        <w:t>等先进技术</w:t>
      </w:r>
      <w:r>
        <w:rPr>
          <w:rFonts w:hint="eastAsia" w:ascii="仿宋_GB2312" w:hAnsi="Calibri" w:eastAsia="仿宋_GB2312" w:cs="Arial"/>
          <w:color w:val="auto"/>
          <w:sz w:val="32"/>
          <w:szCs w:val="32"/>
          <w:highlight w:val="none"/>
        </w:rPr>
        <w:t>措施，</w:t>
      </w:r>
      <w:r>
        <w:rPr>
          <w:rFonts w:hint="eastAsia" w:ascii="仿宋_GB2312" w:hAnsi="Calibri" w:eastAsia="仿宋_GB2312" w:cs="Arial"/>
          <w:color w:val="auto"/>
          <w:sz w:val="32"/>
          <w:szCs w:val="32"/>
          <w:highlight w:val="none"/>
          <w:lang w:val="en-US" w:eastAsia="zh-CN"/>
        </w:rPr>
        <w:t>降低噪声污染。施工期、运营期噪声执行《建筑施工场界环境噪声排放标准》（GB12523-2011），《工</w:t>
      </w:r>
      <w:bookmarkStart w:id="0" w:name="_GoBack"/>
      <w:bookmarkEnd w:id="0"/>
      <w:r>
        <w:rPr>
          <w:rFonts w:hint="eastAsia" w:ascii="仿宋_GB2312" w:hAnsi="Calibri" w:eastAsia="仿宋_GB2312" w:cs="Arial"/>
          <w:color w:val="auto"/>
          <w:sz w:val="32"/>
          <w:szCs w:val="32"/>
          <w:highlight w:val="none"/>
          <w:lang w:val="en-US" w:eastAsia="zh-CN"/>
        </w:rPr>
        <w:t>业企业厂界环境噪声排放标准》（GB12348-2008）。</w:t>
      </w:r>
    </w:p>
    <w:p w14:paraId="66872328">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（四）固废方面</w:t>
      </w:r>
    </w:p>
    <w:p w14:paraId="045A58B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Calibri" w:eastAsia="仿宋_GB2312" w:cs="Arial"/>
          <w:color w:val="auto"/>
          <w:sz w:val="32"/>
          <w:szCs w:val="32"/>
          <w:highlight w:val="none"/>
          <w:lang w:val="en-US" w:eastAsia="zh-CN"/>
        </w:rPr>
        <w:t>施工期</w:t>
      </w:r>
      <w:r>
        <w:rPr>
          <w:rFonts w:hint="eastAsia" w:ascii="仿宋_GB2312" w:hAnsi="Calibri" w:eastAsia="仿宋_GB2312" w:cs="Arial"/>
          <w:color w:val="auto"/>
          <w:sz w:val="32"/>
          <w:szCs w:val="32"/>
          <w:highlight w:val="none"/>
        </w:rPr>
        <w:t>产生的弃土、弃料</w:t>
      </w:r>
      <w:r>
        <w:rPr>
          <w:rFonts w:hint="eastAsia" w:ascii="仿宋_GB2312" w:hAnsi="Calibri" w:eastAsia="仿宋_GB2312" w:cs="Arial"/>
          <w:color w:val="auto"/>
          <w:sz w:val="32"/>
          <w:szCs w:val="32"/>
          <w:highlight w:val="none"/>
          <w:lang w:val="en-US" w:eastAsia="zh-CN"/>
        </w:rPr>
        <w:t>等随产随清</w:t>
      </w:r>
      <w:r>
        <w:rPr>
          <w:rFonts w:hint="eastAsia" w:ascii="仿宋_GB2312" w:hAnsi="Calibri" w:eastAsia="仿宋_GB2312" w:cs="Arial"/>
          <w:color w:val="auto"/>
          <w:sz w:val="32"/>
          <w:szCs w:val="32"/>
          <w:highlight w:val="none"/>
        </w:rPr>
        <w:t>，</w:t>
      </w:r>
      <w:r>
        <w:rPr>
          <w:rFonts w:hint="eastAsia" w:ascii="仿宋_GB2312" w:hAnsi="Calibri" w:eastAsia="仿宋_GB2312" w:cs="Arial"/>
          <w:color w:val="auto"/>
          <w:sz w:val="32"/>
          <w:szCs w:val="32"/>
          <w:highlight w:val="none"/>
          <w:lang w:eastAsia="zh-CN"/>
        </w:rPr>
        <w:t>及时回收综合利用</w:t>
      </w:r>
      <w:r>
        <w:rPr>
          <w:rFonts w:hint="eastAsia" w:ascii="仿宋_GB2312" w:hAnsi="Calibri" w:eastAsia="仿宋_GB2312" w:cs="Arial"/>
          <w:color w:val="auto"/>
          <w:sz w:val="32"/>
          <w:szCs w:val="32"/>
          <w:highlight w:val="none"/>
          <w:lang w:val="en-US" w:eastAsia="zh-CN"/>
        </w:rPr>
        <w:t>或</w:t>
      </w:r>
      <w:r>
        <w:rPr>
          <w:rFonts w:hint="eastAsia" w:ascii="仿宋_GB2312" w:hAnsi="Calibri" w:eastAsia="仿宋_GB2312" w:cs="Arial"/>
          <w:color w:val="auto"/>
          <w:sz w:val="32"/>
          <w:szCs w:val="32"/>
          <w:highlight w:val="none"/>
        </w:rPr>
        <w:t>及时清运至</w:t>
      </w:r>
      <w:r>
        <w:rPr>
          <w:rFonts w:hint="eastAsia" w:ascii="仿宋_GB2312" w:eastAsia="仿宋_GB2312" w:cs="Arial"/>
          <w:color w:val="auto"/>
          <w:sz w:val="32"/>
          <w:szCs w:val="32"/>
          <w:highlight w:val="none"/>
          <w:lang w:val="en-US" w:eastAsia="zh-CN"/>
        </w:rPr>
        <w:t>正规处置场所；</w:t>
      </w:r>
      <w:r>
        <w:rPr>
          <w:rFonts w:hint="eastAsia" w:ascii="仿宋_GB2312" w:hAnsi="Calibri" w:eastAsia="仿宋_GB2312" w:cs="Arial"/>
          <w:color w:val="auto"/>
          <w:sz w:val="32"/>
          <w:szCs w:val="32"/>
          <w:highlight w:val="none"/>
          <w:lang w:val="en-US" w:eastAsia="zh-CN"/>
        </w:rPr>
        <w:t>产生的</w:t>
      </w:r>
      <w:r>
        <w:rPr>
          <w:rFonts w:hint="eastAsia" w:ascii="仿宋_GB2312" w:hAnsi="Calibri" w:eastAsia="仿宋_GB2312" w:cs="Arial"/>
          <w:color w:val="auto"/>
          <w:sz w:val="32"/>
          <w:szCs w:val="32"/>
          <w:highlight w:val="none"/>
        </w:rPr>
        <w:t>生活垃圾集中收集后</w:t>
      </w:r>
      <w:r>
        <w:rPr>
          <w:rFonts w:hint="default" w:ascii="仿宋_GB2312" w:hAnsi="Calibri" w:eastAsia="仿宋_GB2312" w:cs="Arial"/>
          <w:color w:val="auto"/>
          <w:sz w:val="32"/>
          <w:szCs w:val="32"/>
          <w:highlight w:val="none"/>
          <w:lang w:eastAsia="zh-CN"/>
        </w:rPr>
        <w:t>规范处置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严格</w:t>
      </w:r>
      <w:r>
        <w:rPr>
          <w:rFonts w:hint="eastAsia" w:ascii="仿宋_GB2312" w:hAnsi="仿宋_GB2312" w:eastAsia="仿宋_GB2312" w:cs="仿宋_GB2312"/>
          <w:color w:val="auto"/>
          <w:sz w:val="32"/>
          <w:szCs w:val="32"/>
          <w:highlight w:val="none"/>
        </w:rPr>
        <w:t>执行《一般工业固体废物贮存和填埋污染控制标准》（GB18599-20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w:t>
      </w:r>
      <w:r>
        <w:rPr>
          <w:rFonts w:hint="eastAsia" w:ascii="仿宋_GB2312" w:eastAsia="仿宋_GB2312" w:cs="Arial"/>
          <w:color w:val="auto"/>
          <w:sz w:val="32"/>
          <w:szCs w:val="32"/>
          <w:highlight w:val="none"/>
          <w:lang w:val="en-US" w:eastAsia="zh-CN"/>
        </w:rPr>
        <w:t>。产生的废矿物油、废润滑油、废油桶等危险废物分类分区暂存，定期委托有资质的单位进行处置，严格执行《危险废物贮存污染控制标准》（GB18597-2023）、《危险废物转移联单制度》等相关法律法规及管理要求，张贴危险废物标识，建立危险废物台账，如实记载危险废物种类、数量、性质、产生环节、流向、贮存、利用处置等信息。新的危废暂存间投入使用后及时变更危废管理计划。</w:t>
      </w:r>
    </w:p>
    <w:p w14:paraId="4AA74BA2">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执行“三同时”制度</w:t>
      </w:r>
    </w:p>
    <w:p w14:paraId="1A3F4A4C">
      <w:pPr>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本项目建设必须严格执行生态环境保护设施与主体工程同时设计、同时施工、同时投产使用的生态环境保护“三同时”制度。</w:t>
      </w:r>
    </w:p>
    <w:p w14:paraId="5D0C9246">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（一）要将生态环境保护措施纳入初步设计报告并落实环保设施投资概算。</w:t>
      </w:r>
    </w:p>
    <w:p w14:paraId="59EB69CD">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（二）要将生态环境保护设施建设纳入施工合同，保证生态环境保护设施建设进度和资金。</w:t>
      </w:r>
    </w:p>
    <w:p w14:paraId="4E167FAF">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（三）项目竣工后须按规定程序实施竣工环境保护验收，验收合格后方可正式投运。</w:t>
      </w:r>
    </w:p>
    <w:p w14:paraId="52680C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四、其他要求</w:t>
      </w:r>
    </w:p>
    <w:p w14:paraId="08CE5E1E">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东乌珠穆沁旗生态环境综合行政执法大队对该项目建设期间及运行期间各项生态环境保护措施落实情况进行监督检查和管理。</w:t>
      </w:r>
    </w:p>
    <w:p w14:paraId="02F77BD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p>
    <w:p w14:paraId="003C2A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锡林郭勒盟生态环境局</w:t>
      </w:r>
    </w:p>
    <w:p w14:paraId="21F74A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日</w:t>
      </w:r>
    </w:p>
    <w:p w14:paraId="0AB7E1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332D72D2">
      <w:pPr>
        <w:rPr>
          <w:rFonts w:hint="eastAsia" w:ascii="仿宋_GB2312" w:hAnsi="仿宋_GB2312" w:eastAsia="仿宋_GB2312" w:cs="仿宋_GB2312"/>
          <w:sz w:val="32"/>
          <w:szCs w:val="32"/>
          <w:highlight w:val="none"/>
        </w:rPr>
      </w:pPr>
    </w:p>
    <w:p w14:paraId="46822DEF">
      <w:pPr>
        <w:pStyle w:val="5"/>
        <w:rPr>
          <w:rFonts w:hint="eastAsia" w:ascii="仿宋_GB2312" w:hAnsi="仿宋_GB2312" w:eastAsia="仿宋_GB2312" w:cs="仿宋_GB2312"/>
          <w:sz w:val="32"/>
          <w:szCs w:val="32"/>
          <w:highlight w:val="none"/>
        </w:rPr>
      </w:pPr>
    </w:p>
    <w:p w14:paraId="49F63F02">
      <w:pPr>
        <w:rPr>
          <w:rFonts w:hint="eastAsia"/>
        </w:rPr>
      </w:pPr>
    </w:p>
    <w:p w14:paraId="5DA650CF">
      <w:pPr>
        <w:rPr>
          <w:rFonts w:hint="eastAsia" w:ascii="仿宋_GB2312" w:hAnsi="仿宋_GB2312" w:eastAsia="仿宋_GB2312" w:cs="仿宋_GB2312"/>
          <w:sz w:val="32"/>
          <w:szCs w:val="32"/>
          <w:highlight w:val="none"/>
        </w:rPr>
      </w:pPr>
    </w:p>
    <w:p w14:paraId="16AAC42F">
      <w:pPr>
        <w:pStyle w:val="5"/>
        <w:rPr>
          <w:rFonts w:hint="eastAsia"/>
        </w:rPr>
      </w:pPr>
    </w:p>
    <w:p w14:paraId="16AEBAF0">
      <w:pPr>
        <w:pStyle w:val="3"/>
        <w:rPr>
          <w:rFonts w:hint="eastAsia"/>
          <w:highlight w:val="none"/>
        </w:rPr>
      </w:pPr>
    </w:p>
    <w:p w14:paraId="16EDF559">
      <w:pPr>
        <w:ind w:firstLine="280" w:firstLineChars="10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57785</wp:posOffset>
                </wp:positionV>
                <wp:extent cx="5579745" cy="10795"/>
                <wp:effectExtent l="0" t="4445" r="1905" b="13335"/>
                <wp:wrapNone/>
                <wp:docPr id="12" name="直接箭头连接符 12"/>
                <wp:cNvGraphicFramePr/>
                <a:graphic xmlns:a="http://schemas.openxmlformats.org/drawingml/2006/main">
                  <a:graphicData uri="http://schemas.microsoft.com/office/word/2010/wordprocessingShape">
                    <wps:wsp>
                      <wps:cNvCnPr/>
                      <wps:spPr>
                        <a:xfrm flipV="1">
                          <a:off x="0" y="0"/>
                          <a:ext cx="557974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25pt;margin-top:4.55pt;height:0.85pt;width:439.35pt;z-index:251659264;mso-width-relative:page;mso-height-relative:page;" filled="f" stroked="t" coordsize="21600,21600" o:gfxdata="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8CgRXVAAAABwEAAA8AAAAAAAAAAQAgAAAAIgAA&#10;AGRycy9kb3ducmV2LnhtbFBLAQIUABQAAAAIAIdO4kDdojgsCwIAAAYEAAAOAAAAAAAAAAEAIAAA&#10;ACQBAABkcnMvZTJvRG9jLnhtbFBLBQYAAAAABgAGAFkBAAChBQ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sz w:val="28"/>
          <w:szCs w:val="28"/>
          <w:highlight w:val="none"/>
        </w:rPr>
        <w:t>抄送：盟生态环境综合行政执法支队、盟生态环境局东乌珠穆沁旗分局。</w:t>
      </w:r>
    </w:p>
    <w:p w14:paraId="70319025">
      <w:pPr>
        <w:ind w:firstLine="280" w:firstLineChars="100"/>
        <w:rPr>
          <w:highlight w:val="none"/>
        </w:rPr>
      </w:pPr>
      <w:r>
        <w:rPr>
          <w:rFonts w:hint="eastAsia" w:ascii="仿宋_GB2312" w:hAnsi="仿宋_GB2312" w:eastAsia="仿宋_GB2312" w:cs="仿宋_GB2312"/>
          <w:color w:val="auto"/>
          <w:kern w:val="2"/>
          <w:sz w:val="28"/>
          <w:szCs w:val="28"/>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385445</wp:posOffset>
                </wp:positionV>
                <wp:extent cx="5579745" cy="10795"/>
                <wp:effectExtent l="0" t="4445" r="1905" b="13335"/>
                <wp:wrapNone/>
                <wp:docPr id="2" name="直接箭头连接符 2"/>
                <wp:cNvGraphicFramePr/>
                <a:graphic xmlns:a="http://schemas.openxmlformats.org/drawingml/2006/main">
                  <a:graphicData uri="http://schemas.microsoft.com/office/word/2010/wordprocessingShape">
                    <wps:wsp>
                      <wps:cNvCnPr/>
                      <wps:spPr>
                        <a:xfrm flipV="1">
                          <a:off x="0" y="0"/>
                          <a:ext cx="557974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25pt;margin-top:30.35pt;height:0.85pt;width:439.35pt;z-index:251661312;mso-width-relative:page;mso-height-relative:page;" filled="f" stroked="t" coordsize="21600,21600" o:gfxdata="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TxaAtcAAAAIAQAADwAAAAAAAAABACAAAAAi&#10;AAAAZHJzL2Rvd25yZXYueG1sUEsBAhQAFAAAAAgAh07iQO5NW0QLAgAABAQAAA4AAAAAAAAAAQAg&#10;AAAAJgEAAGRycy9lMm9Eb2MueG1sUEsFBgAAAAAGAAYAWQEAAKMFA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color w:val="auto"/>
          <w:kern w:val="2"/>
          <w:sz w:val="28"/>
          <w:szCs w:val="28"/>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13970</wp:posOffset>
                </wp:positionV>
                <wp:extent cx="5579745" cy="10795"/>
                <wp:effectExtent l="0" t="4445" r="1905" b="13335"/>
                <wp:wrapNone/>
                <wp:docPr id="1" name="直接箭头连接符 1"/>
                <wp:cNvGraphicFramePr/>
                <a:graphic xmlns:a="http://schemas.openxmlformats.org/drawingml/2006/main">
                  <a:graphicData uri="http://schemas.microsoft.com/office/word/2010/wordprocessingShape">
                    <wps:wsp>
                      <wps:cNvCnPr/>
                      <wps:spPr>
                        <a:xfrm flipV="1">
                          <a:off x="0" y="0"/>
                          <a:ext cx="557974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25pt;margin-top:1.1pt;height:0.85pt;width:439.35pt;z-index:251660288;mso-width-relative:page;mso-height-relative:page;" filled="f" stroked="t" coordsize="21600,21600" o:gfxdata="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&#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iLVL9UAAAAGAQAADwAAAAAAAAABACAAAAAiAAAA&#10;ZHJzL2Rvd25yZXYueG1sUEsBAhQAFAAAAAgAh07iQMJOwGUKAgAABAQAAA4AAAAAAAAAAQAgAAAA&#10;JAEAAGRycy9lMm9Eb2MueG1sUEsFBgAAAAAGAAYAWQEAAKAFA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sz w:val="28"/>
          <w:szCs w:val="28"/>
          <w:highlight w:val="none"/>
        </w:rPr>
        <w:t xml:space="preserve">锡林郭勒盟生态环境局办公室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18</w:t>
      </w:r>
      <w:r>
        <w:rPr>
          <w:rFonts w:hint="eastAsia" w:ascii="仿宋_GB2312" w:hAnsi="仿宋_GB2312" w:eastAsia="仿宋_GB2312" w:cs="仿宋_GB2312"/>
          <w:sz w:val="28"/>
          <w:szCs w:val="28"/>
          <w:highlight w:val="none"/>
        </w:rPr>
        <w:t>日印发</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8EABC">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BF903">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9BF903">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EC8A4">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24EC8A4">
                    <w:pPr>
                      <w:pStyle w:val="3"/>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71382">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2071382">
                    <w:pPr>
                      <w:rPr>
                        <w:rFonts w:hint="eastAsia"/>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6E0BA">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256E0BA">
                    <w:pPr>
                      <w:pStyle w:val="3"/>
                      <w:rPr>
                        <w:rFonts w:hint="eastAsia" w:asciiTheme="minorEastAsia" w:hAnsiTheme="minorEastAsia" w:eastAsiaTheme="minorEastAsia" w:cstheme="minor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18EB6"/>
    <w:multiLevelType w:val="singleLevel"/>
    <w:tmpl w:val="3B018EB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F362D"/>
    <w:rsid w:val="03C94DF8"/>
    <w:rsid w:val="04363AE8"/>
    <w:rsid w:val="04EF16F3"/>
    <w:rsid w:val="05AC22B4"/>
    <w:rsid w:val="05E7509A"/>
    <w:rsid w:val="06400C4E"/>
    <w:rsid w:val="09495357"/>
    <w:rsid w:val="0C647288"/>
    <w:rsid w:val="0D55286F"/>
    <w:rsid w:val="0EE77EB9"/>
    <w:rsid w:val="0F401D30"/>
    <w:rsid w:val="11362576"/>
    <w:rsid w:val="113D24B2"/>
    <w:rsid w:val="117143B2"/>
    <w:rsid w:val="11AB78C4"/>
    <w:rsid w:val="133438E9"/>
    <w:rsid w:val="135B70C7"/>
    <w:rsid w:val="13F35552"/>
    <w:rsid w:val="146124BC"/>
    <w:rsid w:val="14AC4CB6"/>
    <w:rsid w:val="150712B5"/>
    <w:rsid w:val="15175270"/>
    <w:rsid w:val="15EF58A5"/>
    <w:rsid w:val="161D03CE"/>
    <w:rsid w:val="17B648CC"/>
    <w:rsid w:val="1A3441CE"/>
    <w:rsid w:val="1A854C6D"/>
    <w:rsid w:val="1B1541F5"/>
    <w:rsid w:val="1D2642A2"/>
    <w:rsid w:val="1E4A0464"/>
    <w:rsid w:val="1E9A4F48"/>
    <w:rsid w:val="1F594207"/>
    <w:rsid w:val="1FD04999"/>
    <w:rsid w:val="21130FE1"/>
    <w:rsid w:val="22C85EE6"/>
    <w:rsid w:val="24CC572F"/>
    <w:rsid w:val="25B763DF"/>
    <w:rsid w:val="26231057"/>
    <w:rsid w:val="27A961FC"/>
    <w:rsid w:val="298F67FD"/>
    <w:rsid w:val="2A0230BF"/>
    <w:rsid w:val="2A950CB9"/>
    <w:rsid w:val="2AD03A9F"/>
    <w:rsid w:val="2B536BAA"/>
    <w:rsid w:val="2B8126A8"/>
    <w:rsid w:val="2B8E1990"/>
    <w:rsid w:val="2B9D6077"/>
    <w:rsid w:val="2CCB5D71"/>
    <w:rsid w:val="2DF24D8A"/>
    <w:rsid w:val="2E075A2A"/>
    <w:rsid w:val="3086532C"/>
    <w:rsid w:val="30CD2F5B"/>
    <w:rsid w:val="310444A3"/>
    <w:rsid w:val="312829E4"/>
    <w:rsid w:val="32C0264B"/>
    <w:rsid w:val="34B120B3"/>
    <w:rsid w:val="34B166F0"/>
    <w:rsid w:val="360D5BA8"/>
    <w:rsid w:val="36145188"/>
    <w:rsid w:val="36AD2EE7"/>
    <w:rsid w:val="37555A58"/>
    <w:rsid w:val="378620B5"/>
    <w:rsid w:val="38454688"/>
    <w:rsid w:val="3B0A0908"/>
    <w:rsid w:val="3FA40CD6"/>
    <w:rsid w:val="41801B6F"/>
    <w:rsid w:val="419929E5"/>
    <w:rsid w:val="41A76EB0"/>
    <w:rsid w:val="425F778B"/>
    <w:rsid w:val="42957651"/>
    <w:rsid w:val="43452E25"/>
    <w:rsid w:val="463E3B5B"/>
    <w:rsid w:val="46B04A59"/>
    <w:rsid w:val="46C93D6D"/>
    <w:rsid w:val="4740402F"/>
    <w:rsid w:val="48CE11C6"/>
    <w:rsid w:val="4ACD3DE4"/>
    <w:rsid w:val="4DE66FB2"/>
    <w:rsid w:val="4F391364"/>
    <w:rsid w:val="51986CF2"/>
    <w:rsid w:val="52081BED"/>
    <w:rsid w:val="5212481A"/>
    <w:rsid w:val="523222A9"/>
    <w:rsid w:val="55432F3C"/>
    <w:rsid w:val="56391260"/>
    <w:rsid w:val="57C02622"/>
    <w:rsid w:val="59A52665"/>
    <w:rsid w:val="5A0C7DA1"/>
    <w:rsid w:val="5A6C17A9"/>
    <w:rsid w:val="5FA6467B"/>
    <w:rsid w:val="612E684E"/>
    <w:rsid w:val="6260512D"/>
    <w:rsid w:val="6292105F"/>
    <w:rsid w:val="643E4FFA"/>
    <w:rsid w:val="64412D3D"/>
    <w:rsid w:val="652E1513"/>
    <w:rsid w:val="66106E6A"/>
    <w:rsid w:val="67424E02"/>
    <w:rsid w:val="683B7691"/>
    <w:rsid w:val="692D2530"/>
    <w:rsid w:val="69531548"/>
    <w:rsid w:val="698F00A6"/>
    <w:rsid w:val="6A3F387A"/>
    <w:rsid w:val="6CFF32DC"/>
    <w:rsid w:val="6D6655C2"/>
    <w:rsid w:val="6E2A65EF"/>
    <w:rsid w:val="70FA674D"/>
    <w:rsid w:val="72F07E08"/>
    <w:rsid w:val="746F1200"/>
    <w:rsid w:val="75B07D22"/>
    <w:rsid w:val="75D73501"/>
    <w:rsid w:val="76685F07"/>
    <w:rsid w:val="767E1BCE"/>
    <w:rsid w:val="76DD06A3"/>
    <w:rsid w:val="7B170E7E"/>
    <w:rsid w:val="7B30793B"/>
    <w:rsid w:val="7B92632C"/>
    <w:rsid w:val="7DBD2FDC"/>
    <w:rsid w:val="7F916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rPr>
      <w:kern w:val="0"/>
      <w:sz w:val="24"/>
      <w:szCs w:val="20"/>
    </w:rPr>
  </w:style>
  <w:style w:type="paragraph" w:styleId="3">
    <w:name w:val="footer"/>
    <w:basedOn w:val="1"/>
    <w:next w:val="1"/>
    <w:semiHidden/>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1"/>
    <w:next w:val="1"/>
    <w:unhideWhenUsed/>
    <w:qFormat/>
    <w:uiPriority w:val="0"/>
    <w:pPr>
      <w:ind w:firstLine="420" w:firstLineChars="200"/>
    </w:pPr>
  </w:style>
  <w:style w:type="character" w:styleId="8">
    <w:name w:val="Strong"/>
    <w:basedOn w:val="7"/>
    <w:qFormat/>
    <w:uiPriority w:val="0"/>
    <w:rPr>
      <w:b/>
    </w:rPr>
  </w:style>
  <w:style w:type="paragraph" w:customStyle="1" w:styleId="9">
    <w:name w:val="Body text|1"/>
    <w:basedOn w:val="1"/>
    <w:qFormat/>
    <w:uiPriority w:val="0"/>
    <w:pPr>
      <w:spacing w:line="449"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90d87747-75f8-4988-aee7-3a8dece0735d</errorID>
      <errorWord>:</errorWord>
      <group>L1_Format</group>
      <groupName>格式问题</groupName>
      <ability>L2_HalfPunc</ability>
      <abilityName>全半角检查</abilityName>
      <candidateList>
        <item>：</item>
      </candidateList>
      <explain>文本全半角错误。</explain>
      <paraID>7323A254</paraID>
      <start>16</start>
      <end>17</end>
      <status>ignored</status>
      <modifiedWord/>
      <trackRevisions>false</trackRevisions>
    </reviewItem>
    <reviewItem>
      <errorID>f77d6e3a-130d-4ced-8724-f93ba59bc22d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F8E80A7</paraID>
      <start>204</start>
      <end>205</end>
      <status>unmodified</status>
      <modifiedWord/>
      <trackRevisions>false</trackRevisions>
    </reviewItem>
    <reviewItem>
      <errorID>9974ffe1-0246-443e-9ebe-d466940eec3b</errorID>
      <errorWord>《产业结构调整指导目录》(2024年本)</errorWord>
      <group>L1_Knowledge</group>
      <groupName>知识性问题</groupName>
      <ability>L2_Knowledge</ability>
      <abilityName>其他知识</abilityName>
      <candidateList>
        <item>《产业结构调整指导目录(2024年本)》</item>
      </candidateList>
      <explain>疑似政策文件、法律法规名称等书写不规范，请注意检查。</explain>
      <paraID>665F9C57</paraID>
      <start>2</start>
      <end>22</end>
      <status>modified</status>
      <modifiedWord>《产业结构调整指导目录(2024年本)》</modifiedWord>
      <trackRevisions>false</trackRevisions>
    </reviewItem>
    <reviewItem>
      <errorID>94e463f7-2d2c-4b4b-a2f6-65f6b15212b9</errorID>
      <errorWord>施工期</errorWord>
      <group>L1_Word</group>
      <groupName>字词问题</groupName>
      <ability>L2_Typo</ability>
      <abilityName>字词错误</abilityName>
      <candidateList>
        <item>施工</item>
      </candidateList>
      <explain>〈动〉按照设计的规格和要求建筑房屋、桥梁、道路、水利工程等。</explain>
      <paraID>58D22904</paraID>
      <start>0</start>
      <end>2</end>
      <status>modified</status>
      <modifiedWord>施工</modifiedWord>
      <trackRevisions>false</trackRevisions>
    </reviewItem>
    <reviewItem>
      <errorID>85ff01cf-3e66-430f-b650-94523726006f</errorID>
      <errorWord>期</errorWord>
      <group>L1_Word</group>
      <groupName>字词问题</groupName>
      <ability>L2_Typo</ability>
      <abilityName>字词错误</abilityName>
      <candidateList>
        <item>期间</item>
      </candidateList>
      <explain>〈名〉某个时期里面：农忙～｜春节～｜抗战～。</explain>
      <paraID>58D22904</paraID>
      <start>37</start>
      <end>38</end>
      <status>ignored</status>
      <modifiedWord/>
      <trackRevisions>false</trackRevisions>
    </reviewItem>
    <reviewItem>
      <errorID>cb7ebd83-cf10-4fc7-9390-c382c68cff1d</errorID>
      <errorWord>;</errorWord>
      <group>L1_Format</group>
      <groupName>格式问题</groupName>
      <ability>L2_HalfPunc</ability>
      <abilityName>全半角检查</abilityName>
      <candidateList>
        <item>；</item>
      </candidateList>
      <explain>文本全半角错误。</explain>
      <paraID>7B4C27FD</paraID>
      <start>22</start>
      <end>23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06307a-0a81-4095-a1e4-14bd76ee9da3}">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1500</Words>
  <Characters>1628</Characters>
  <Lines>0</Lines>
  <Paragraphs>0</Paragraphs>
  <TotalTime>126</TotalTime>
  <ScaleCrop>false</ScaleCrop>
  <LinksUpToDate>false</LinksUpToDate>
  <CharactersWithSpaces>1690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2024-12-19T02:59:00Z</dcterms:created>
  <dc:creator>Administrator</dc:creator>
  <cp:lastModifiedBy>sargai</cp:lastModifiedBy>
  <cp:lastPrinted>2025-12-18T01:26:02Z</cp:lastPrinted>
  <dcterms:modified xsi:type="dcterms:W3CDTF">2025-12-18T01:44:36Z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1A548754AF574F308D61EB64787C7BF4_13</vt:lpwstr>
  </property>
  <property fmtid="{D5CDD505-2E9C-101B-9397-08002B2CF9AE}" pid="4" name="KSOTemplateDocerSaveRecord">
    <vt:lpwstr>eyJoZGlkIjoiNzQ5YzIwZGE2ZmU0ZDQ1NzU1ODA3Y2ZhM2Y3NzgzNmIiLCJ1c2VySWQiOiIyNzY5NTQ3NjAifQ==</vt:lpwstr>
  </property>
</Properties>
</file>