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8DEC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14:paraId="49D94D8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14:paraId="4D124D9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14:paraId="6D6B28C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14:paraId="4FA5CD1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14:paraId="646C665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14:paraId="7D3154C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14:paraId="33C3754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14:paraId="75C54B3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14:paraId="64BE418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rPr>
      </w:pPr>
      <w:r>
        <w:rPr>
          <w:rFonts w:hint="default" w:ascii="Times New Roman" w:hAnsi="Times New Roman" w:cs="Times New Roman"/>
        </w:rPr>
        <w:t>锡市环</w:t>
      </w:r>
      <w:r>
        <w:rPr>
          <w:rFonts w:hint="default" w:ascii="Times New Roman" w:hAnsi="Times New Roman" w:cs="Times New Roman"/>
          <w:lang w:val="en-US" w:eastAsia="zh-CN"/>
        </w:rPr>
        <w:t>审</w:t>
      </w:r>
      <w:r>
        <w:rPr>
          <w:rFonts w:hint="default" w:ascii="Times New Roman" w:hAnsi="Times New Roman" w:cs="Times New Roman"/>
        </w:rPr>
        <w:t>表﹝202</w:t>
      </w:r>
      <w:r>
        <w:rPr>
          <w:rFonts w:hint="default" w:ascii="Times New Roman" w:hAnsi="Times New Roman" w:cs="Times New Roman"/>
          <w:lang w:val="en-US" w:eastAsia="zh-CN"/>
        </w:rPr>
        <w:t>6</w:t>
      </w:r>
      <w:r>
        <w:rPr>
          <w:rFonts w:hint="default" w:ascii="Times New Roman" w:hAnsi="Times New Roman" w:cs="Times New Roman"/>
        </w:rPr>
        <w:t>﹞</w:t>
      </w:r>
      <w:r>
        <w:rPr>
          <w:rFonts w:hint="eastAsia" w:ascii="Times New Roman" w:hAnsi="Times New Roman" w:cs="Times New Roman"/>
          <w:lang w:val="en-US" w:eastAsia="zh-CN"/>
        </w:rPr>
        <w:t>8</w:t>
      </w:r>
      <w:r>
        <w:rPr>
          <w:rFonts w:hint="default" w:ascii="Times New Roman" w:hAnsi="Times New Roman" w:cs="Times New Roman"/>
        </w:rPr>
        <w:t>号</w:t>
      </w:r>
    </w:p>
    <w:p w14:paraId="78E05B8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rPr>
      </w:pPr>
    </w:p>
    <w:p w14:paraId="7810FA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锡林郭勒盟生态环境局</w:t>
      </w:r>
    </w:p>
    <w:p w14:paraId="5FFBD9D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关于中船风电（锡林郭勒）新能源装备</w:t>
      </w:r>
    </w:p>
    <w:p w14:paraId="39ABBAC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制造产业园建设项目变更环境影响</w:t>
      </w:r>
    </w:p>
    <w:p w14:paraId="2223100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rPr>
      </w:pPr>
      <w:r>
        <w:rPr>
          <w:rFonts w:hint="default" w:ascii="Times New Roman" w:hAnsi="Times New Roman" w:eastAsia="方正小标宋简体" w:cs="Times New Roman"/>
          <w:sz w:val="44"/>
          <w:szCs w:val="44"/>
        </w:rPr>
        <w:t>报告表的批复</w:t>
      </w:r>
    </w:p>
    <w:p w14:paraId="3A14340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14:paraId="09425F2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rPr>
        <w:t>中船风电（锡林郭勒）新能源投资有限公司：</w:t>
      </w:r>
    </w:p>
    <w:p w14:paraId="04E237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rPr>
      </w:pPr>
      <w:r>
        <w:rPr>
          <w:rFonts w:hint="default" w:ascii="Times New Roman" w:hAnsi="Times New Roman" w:cs="Times New Roman"/>
        </w:rPr>
        <w:t>你单位报送的《中船风电（锡林郭勒）新能源装备制造产业园建设项目变更环境影响报告表》已收悉。经研究，现批复如下：</w:t>
      </w:r>
    </w:p>
    <w:p w14:paraId="755999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rPr>
      </w:pPr>
      <w:r>
        <w:rPr>
          <w:rFonts w:hint="default" w:ascii="Times New Roman" w:hAnsi="Times New Roman" w:eastAsia="黑体" w:cs="Times New Roman"/>
        </w:rPr>
        <w:t>一、建设项目基本情况</w:t>
      </w:r>
    </w:p>
    <w:p w14:paraId="66B4DD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rPr>
      </w:pPr>
      <w:r>
        <w:rPr>
          <w:rFonts w:hint="default" w:ascii="Times New Roman" w:hAnsi="Times New Roman" w:cs="Times New Roman"/>
        </w:rPr>
        <w:t>中船风电（锡林郭勒）新能源装备制造产业园建设项目变更位于内蒙古自治区锡林郭勒盟锡林浩特市额尔敦街道（锡林郭勒盟新能源装备制造园区），厂区总占地面积88000.44平方米。本项目为重大变动重新报批项目，变更内容主要为取消原环评中的偏航和变桨齿轮箱组装生产线、逆变器集成主控系统生产线及其相关清洗废水产生环节；将原风电关键配套件生产联合车间调整为箱式变压器生产车间，新增“容量25000kVA、电压等级35kV及以下的环氧树脂浇筑干式变压器”生产线，并配套新增浇筑、固化及打磨工序。变更后，项目建设规模为年产锂电池储能系统400万千瓦、6~8MW风力发电机500台、容量25000kVA及电压等级35kV以下环氧树脂浇筑干式变压器500台。项目总投资为83000万元，其中313万元为环保投资，占比0.38%。</w:t>
      </w:r>
    </w:p>
    <w:p w14:paraId="32E42D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highlight w:val="none"/>
        </w:rPr>
      </w:pPr>
      <w:r>
        <w:rPr>
          <w:rFonts w:hint="default" w:ascii="Times New Roman" w:hAnsi="Times New Roman" w:cs="Times New Roman"/>
        </w:rPr>
        <w:t>根据《产业结构</w:t>
      </w:r>
      <w:r>
        <w:rPr>
          <w:rFonts w:hint="default" w:ascii="Times New Roman" w:hAnsi="Times New Roman" w:cs="Times New Roman"/>
          <w:highlight w:val="none"/>
        </w:rPr>
        <w:t>调整指导目录（2024年本）》，</w:t>
      </w:r>
      <w:r>
        <w:rPr>
          <w:rFonts w:hint="default" w:ascii="Times New Roman" w:hAnsi="Times New Roman" w:cs="Times New Roman"/>
          <w:color w:val="auto"/>
          <w:highlight w:val="none"/>
        </w:rPr>
        <w:t>该项目属于</w:t>
      </w:r>
      <w:r>
        <w:rPr>
          <w:rFonts w:hint="default" w:ascii="Times New Roman" w:hAnsi="Times New Roman" w:cs="Times New Roman"/>
          <w:color w:val="auto"/>
          <w:highlight w:val="none"/>
          <w:lang w:val="en-US" w:eastAsia="zh-CN"/>
        </w:rPr>
        <w:t>允许</w:t>
      </w:r>
      <w:r>
        <w:rPr>
          <w:rFonts w:hint="default" w:ascii="Times New Roman" w:hAnsi="Times New Roman" w:cs="Times New Roman"/>
          <w:color w:val="auto"/>
          <w:highlight w:val="none"/>
        </w:rPr>
        <w:t>类项目。</w:t>
      </w:r>
      <w:r>
        <w:rPr>
          <w:rFonts w:hint="default" w:ascii="Times New Roman" w:hAnsi="Times New Roman" w:cs="Times New Roman"/>
          <w:highlight w:val="none"/>
        </w:rPr>
        <w:t>根据《关于印发锡林郭勒盟“三线一单”生态环境分区管控意见修改单和锡林郭勒盟生态环境准入清单的通知》</w:t>
      </w:r>
      <w:r>
        <w:rPr>
          <w:rFonts w:hint="default" w:ascii="Times New Roman" w:hAnsi="Times New Roman" w:cs="Times New Roman"/>
        </w:rPr>
        <w:t>，项目位于</w:t>
      </w:r>
      <w:r>
        <w:rPr>
          <w:rFonts w:hint="default" w:ascii="Times New Roman" w:hAnsi="Times New Roman" w:cs="Times New Roman"/>
          <w:lang w:eastAsia="zh-CN"/>
        </w:rPr>
        <w:t>“</w:t>
      </w:r>
      <w:r>
        <w:rPr>
          <w:rFonts w:hint="default" w:ascii="Times New Roman" w:hAnsi="Times New Roman" w:cs="Times New Roman"/>
          <w:highlight w:val="none"/>
        </w:rPr>
        <w:t>内蒙古锡林郭勒经济技术开发区</w:t>
      </w:r>
      <w:r>
        <w:rPr>
          <w:rFonts w:hint="default" w:ascii="Times New Roman" w:hAnsi="Times New Roman" w:cs="Times New Roman"/>
          <w:highlight w:val="none"/>
          <w:lang w:eastAsia="zh-CN"/>
        </w:rPr>
        <w:t>（ZH15250220004）</w:t>
      </w:r>
      <w:r>
        <w:rPr>
          <w:rFonts w:hint="default" w:ascii="Times New Roman" w:hAnsi="Times New Roman" w:cs="Times New Roman"/>
          <w:highlight w:val="none"/>
          <w:lang w:val="en-US" w:eastAsia="zh-CN"/>
        </w:rPr>
        <w:t>/</w:t>
      </w:r>
      <w:r>
        <w:rPr>
          <w:rFonts w:hint="default" w:ascii="Times New Roman" w:hAnsi="Times New Roman" w:cs="Times New Roman"/>
          <w:highlight w:val="none"/>
        </w:rPr>
        <w:t>重点管控单元”，建设运营应严格执行所属单元管控要求。</w:t>
      </w:r>
    </w:p>
    <w:p w14:paraId="2BE650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highlight w:val="none"/>
        </w:rPr>
      </w:pPr>
      <w:r>
        <w:rPr>
          <w:rFonts w:hint="default" w:ascii="Times New Roman" w:hAnsi="Times New Roman" w:eastAsia="黑体" w:cs="Times New Roman"/>
          <w:highlight w:val="none"/>
        </w:rPr>
        <w:t>二、项目建设及运营过程中的相关职责</w:t>
      </w:r>
    </w:p>
    <w:p w14:paraId="037D5EC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highlight w:val="none"/>
        </w:rPr>
      </w:pPr>
      <w:r>
        <w:rPr>
          <w:rFonts w:hint="default" w:ascii="Times New Roman" w:hAnsi="Times New Roman" w:eastAsia="楷体" w:cs="Times New Roman"/>
          <w:b/>
          <w:bCs/>
          <w:highlight w:val="none"/>
        </w:rPr>
        <w:t>（一）废气方面</w:t>
      </w:r>
    </w:p>
    <w:p w14:paraId="482D8A7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highlight w:val="yellow"/>
          <w:lang w:val="en-US" w:eastAsia="zh-CN"/>
        </w:rPr>
      </w:pPr>
      <w:r>
        <w:rPr>
          <w:rFonts w:hint="default" w:ascii="Times New Roman" w:hAnsi="Times New Roman" w:cs="Times New Roman"/>
        </w:rPr>
        <w:t>严格落实各项大气污染防治措施。项目运营期废气主要包括喷漆废气、浇筑固化废气、打磨粉尘等。</w:t>
      </w:r>
      <w:r>
        <w:rPr>
          <w:rFonts w:hint="eastAsia" w:ascii="Times New Roman" w:hAnsi="Times New Roman" w:cs="Times New Roman"/>
          <w:lang w:val="en-US" w:eastAsia="zh-CN"/>
        </w:rPr>
        <w:t>针对</w:t>
      </w:r>
      <w:r>
        <w:rPr>
          <w:rFonts w:hint="default" w:ascii="Times New Roman" w:hAnsi="Times New Roman" w:cs="Times New Roman"/>
        </w:rPr>
        <w:t>喷漆废气</w:t>
      </w:r>
      <w:r>
        <w:rPr>
          <w:rFonts w:hint="eastAsia" w:ascii="Times New Roman" w:hAnsi="Times New Roman" w:cs="Times New Roman"/>
          <w:lang w:val="en-US" w:eastAsia="zh-CN"/>
        </w:rPr>
        <w:t>通过设置</w:t>
      </w:r>
      <w:r>
        <w:rPr>
          <w:rFonts w:hint="default" w:ascii="Times New Roman" w:hAnsi="Times New Roman" w:cs="Times New Roman"/>
        </w:rPr>
        <w:t>密闭喷漆房，采用“水帘柜收集+干式漆雾过滤+活性炭吸附</w:t>
      </w:r>
      <w:r>
        <w:rPr>
          <w:rFonts w:hint="eastAsia" w:ascii="Times New Roman" w:hAnsi="Times New Roman" w:cs="Times New Roman"/>
          <w:lang w:val="en-US" w:eastAsia="zh-CN"/>
        </w:rPr>
        <w:t>脱附</w:t>
      </w:r>
      <w:r>
        <w:rPr>
          <w:rFonts w:hint="default" w:ascii="Times New Roman" w:hAnsi="Times New Roman" w:cs="Times New Roman"/>
        </w:rPr>
        <w:t>+催化燃烧”工艺处理后</w:t>
      </w:r>
      <w:r>
        <w:rPr>
          <w:rFonts w:hint="eastAsia" w:ascii="Times New Roman" w:hAnsi="Times New Roman" w:cs="Times New Roman"/>
          <w:lang w:val="en-US" w:eastAsia="zh-CN"/>
        </w:rPr>
        <w:t>由</w:t>
      </w:r>
      <w:r>
        <w:rPr>
          <w:rFonts w:hint="default" w:ascii="Times New Roman" w:hAnsi="Times New Roman" w:cs="Times New Roman"/>
        </w:rPr>
        <w:t>排气筒达标排放；浇筑、固化废气经“水雾分离器+干式过滤箱+活性炭吸附”处理后</w:t>
      </w:r>
      <w:r>
        <w:rPr>
          <w:rFonts w:hint="eastAsia" w:ascii="Times New Roman" w:hAnsi="Times New Roman" w:cs="Times New Roman"/>
          <w:lang w:val="en-US" w:eastAsia="zh-CN"/>
        </w:rPr>
        <w:t>由</w:t>
      </w:r>
      <w:r>
        <w:rPr>
          <w:rFonts w:hint="default" w:ascii="Times New Roman" w:hAnsi="Times New Roman" w:cs="Times New Roman"/>
        </w:rPr>
        <w:t>排气筒达标排放；打磨粉尘经滤筒除尘系统处理后</w:t>
      </w:r>
      <w:r>
        <w:rPr>
          <w:rFonts w:hint="eastAsia" w:ascii="Times New Roman" w:hAnsi="Times New Roman" w:cs="Times New Roman"/>
          <w:lang w:val="en-US" w:eastAsia="zh-CN"/>
        </w:rPr>
        <w:t>由</w:t>
      </w:r>
      <w:r>
        <w:rPr>
          <w:rFonts w:hint="default" w:ascii="Times New Roman" w:hAnsi="Times New Roman" w:cs="Times New Roman"/>
        </w:rPr>
        <w:t>排气筒达标排放。加强车间及危废暂存间等场所的无组织废气管控，确保各类污染物排放满足相关标准要求。</w:t>
      </w:r>
    </w:p>
    <w:p w14:paraId="26A63A7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rPr>
      </w:pPr>
      <w:r>
        <w:rPr>
          <w:rFonts w:hint="default" w:ascii="Times New Roman" w:hAnsi="Times New Roman" w:eastAsia="楷体" w:cs="Times New Roman"/>
          <w:b/>
          <w:bCs/>
        </w:rPr>
        <w:t>（二）废水方面</w:t>
      </w:r>
    </w:p>
    <w:p w14:paraId="42806E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cs="Times New Roman"/>
        </w:rPr>
        <w:t>严格落实各项水污染防治措施。</w:t>
      </w:r>
      <w:r>
        <w:rPr>
          <w:rFonts w:hint="eastAsia" w:ascii="Times New Roman" w:hAnsi="Times New Roman" w:cs="Times New Roman"/>
          <w:lang w:val="en-US" w:eastAsia="zh-CN"/>
        </w:rPr>
        <w:t>项目运营期废水主要为生活污水，经厂内化粪池收集后，定期清运至城镇污水处理厂进一步处理，不得直接排放。落实厂区雨污分流措施，防止废水对周边环境造成影响。</w:t>
      </w:r>
    </w:p>
    <w:p w14:paraId="4AAB722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rPr>
      </w:pPr>
      <w:r>
        <w:rPr>
          <w:rFonts w:hint="default" w:ascii="Times New Roman" w:hAnsi="Times New Roman" w:eastAsia="楷体" w:cs="Times New Roman"/>
          <w:b/>
          <w:bCs/>
        </w:rPr>
        <w:t>（三）噪声方面</w:t>
      </w:r>
    </w:p>
    <w:p w14:paraId="3765F4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rPr>
      </w:pPr>
      <w:r>
        <w:rPr>
          <w:rFonts w:hint="default" w:ascii="Times New Roman" w:hAnsi="Times New Roman" w:cs="Times New Roman"/>
        </w:rPr>
        <w:t>严格落实噪声防治措施。通过选用低噪声设备，做好减震装置、消声器，设立隔声罩等综合治理措施，以减少噪声传播和影响范围；加强机械的保养维护，确保良好的运行状态，从而减少噪声产生；加强项目周边绿化，增加植被覆盖，如树木和草坪，以吸收和隔离噪声，确保厂界噪声</w:t>
      </w:r>
      <w:r>
        <w:rPr>
          <w:rFonts w:hint="eastAsia" w:ascii="Times New Roman" w:hAnsi="Times New Roman" w:cs="Times New Roman"/>
          <w:lang w:val="en-US" w:eastAsia="zh-CN"/>
        </w:rPr>
        <w:t>达标排放</w:t>
      </w:r>
      <w:r>
        <w:rPr>
          <w:rFonts w:hint="default" w:ascii="Times New Roman" w:hAnsi="Times New Roman" w:cs="Times New Roman"/>
        </w:rPr>
        <w:t>。</w:t>
      </w:r>
    </w:p>
    <w:p w14:paraId="54471D9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rPr>
      </w:pPr>
      <w:r>
        <w:rPr>
          <w:rFonts w:hint="default" w:ascii="Times New Roman" w:hAnsi="Times New Roman" w:eastAsia="楷体" w:cs="Times New Roman"/>
          <w:b/>
          <w:bCs/>
        </w:rPr>
        <w:t>（四）固废方面</w:t>
      </w:r>
    </w:p>
    <w:p w14:paraId="123648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cs="Times New Roman"/>
        </w:rPr>
        <w:t>加强固体废物处置管理。按照固体废物“资源化、减量化、无害化”处置原则，落实各类固体废物的收集、处置和综合利用措施。</w:t>
      </w:r>
      <w:r>
        <w:rPr>
          <w:rFonts w:hint="eastAsia" w:ascii="Times New Roman" w:hAnsi="Times New Roman" w:cs="Times New Roman"/>
          <w:lang w:val="en-US" w:eastAsia="zh-CN"/>
        </w:rPr>
        <w:t>项目</w:t>
      </w:r>
      <w:r>
        <w:rPr>
          <w:rFonts w:hint="default" w:ascii="Times New Roman" w:hAnsi="Times New Roman" w:cs="Times New Roman"/>
        </w:rPr>
        <w:t>运营期产生的一般固废如废包装材料、焊渣、边角料等，分类收集后外售综合利用或委托处置；漆渣、废油漆桶、废过滤棉、废活性炭、废机油</w:t>
      </w:r>
      <w:r>
        <w:rPr>
          <w:rFonts w:hint="default" w:ascii="Times New Roman" w:hAnsi="Times New Roman" w:cs="Times New Roman"/>
          <w:highlight w:val="none"/>
          <w:lang w:eastAsia="zh-CN"/>
        </w:rPr>
        <w:t>等危险废物，须采用符合标准要求的包装容器密闭分类分区贮存，定期委托有资质单位进行安全处置。危险废物暂存及处置应严格按照《中华人民共和国固体废物污染环境防治法》《内蒙古自治区固体废物污染环境防治条例》《危险废物贮存污染控制标准》（GB18597-2023）、《危险废物识别标志设置技术规范》（HJ1276-2022）、《危险废物收集贮存运输技术规范》（HJ2025-2012）等有关要求执行。</w:t>
      </w:r>
    </w:p>
    <w:p w14:paraId="2B5BD35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rPr>
      </w:pPr>
      <w:r>
        <w:rPr>
          <w:rFonts w:hint="default" w:ascii="Times New Roman" w:hAnsi="Times New Roman" w:eastAsia="楷体" w:cs="Times New Roman"/>
          <w:b/>
          <w:bCs/>
        </w:rPr>
        <w:t>（五）进一步提高环保投入，提高周边绿化率。</w:t>
      </w:r>
    </w:p>
    <w:p w14:paraId="0EA686A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rPr>
      </w:pPr>
      <w:r>
        <w:rPr>
          <w:rFonts w:hint="default" w:ascii="Times New Roman" w:hAnsi="Times New Roman" w:eastAsia="楷体" w:cs="Times New Roman"/>
          <w:b/>
          <w:bCs/>
        </w:rPr>
        <w:t>（</w:t>
      </w:r>
      <w:r>
        <w:rPr>
          <w:rFonts w:hint="eastAsia" w:ascii="Times New Roman" w:hAnsi="Times New Roman" w:eastAsia="楷体" w:cs="Times New Roman"/>
          <w:b/>
          <w:bCs/>
          <w:lang w:val="en-US" w:eastAsia="zh-CN"/>
        </w:rPr>
        <w:t>六</w:t>
      </w:r>
      <w:r>
        <w:rPr>
          <w:rFonts w:hint="default" w:ascii="Times New Roman" w:hAnsi="Times New Roman" w:eastAsia="楷体" w:cs="Times New Roman"/>
          <w:b/>
          <w:bCs/>
        </w:rPr>
        <w:t>）做好各防渗区的防渗工作。</w:t>
      </w:r>
    </w:p>
    <w:p w14:paraId="25D1A00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三、执行“三同时”制度</w:t>
      </w:r>
    </w:p>
    <w:p w14:paraId="5318721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r>
        <w:rPr>
          <w:rFonts w:hint="default" w:ascii="Times New Roman" w:hAnsi="Times New Roman" w:cs="Times New Roman"/>
        </w:rPr>
        <w:t>项目建设必须严格执行环境保护设施与主体工程同时设计、同时施工、同时投产使用的环境保护“三同时”制度。</w:t>
      </w:r>
    </w:p>
    <w:p w14:paraId="6A11257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r>
        <w:rPr>
          <w:rFonts w:hint="default" w:ascii="Times New Roman" w:hAnsi="Times New Roman" w:cs="Times New Roman"/>
        </w:rPr>
        <w:t>（一</w:t>
      </w:r>
      <w:r>
        <w:rPr>
          <w:rFonts w:hint="default" w:ascii="Times New Roman" w:hAnsi="Times New Roman" w:cs="Times New Roman"/>
          <w:lang w:eastAsia="zh-CN"/>
        </w:rPr>
        <w:t>）</w:t>
      </w:r>
      <w:r>
        <w:rPr>
          <w:rFonts w:hint="default" w:ascii="Times New Roman" w:hAnsi="Times New Roman" w:cs="Times New Roman"/>
        </w:rPr>
        <w:t>将环境保护措施纳入初步设计报告并落实环保设施投资概算。</w:t>
      </w:r>
    </w:p>
    <w:p w14:paraId="3BBC280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r>
        <w:rPr>
          <w:rFonts w:hint="default" w:ascii="Times New Roman" w:hAnsi="Times New Roman" w:cs="Times New Roman"/>
        </w:rPr>
        <w:t>（二</w:t>
      </w:r>
      <w:r>
        <w:rPr>
          <w:rFonts w:hint="default" w:ascii="Times New Roman" w:hAnsi="Times New Roman" w:cs="Times New Roman"/>
          <w:lang w:eastAsia="zh-CN"/>
        </w:rPr>
        <w:t>）</w:t>
      </w:r>
      <w:r>
        <w:rPr>
          <w:rFonts w:hint="default" w:ascii="Times New Roman" w:hAnsi="Times New Roman" w:cs="Times New Roman"/>
        </w:rPr>
        <w:t>将环境保护设施建设纳入施工合同，保证环境保护设施建设进度和</w:t>
      </w:r>
      <w:r>
        <w:rPr>
          <w:rFonts w:hint="default" w:ascii="Times New Roman" w:hAnsi="Times New Roman" w:cs="Times New Roman"/>
          <w:lang w:eastAsia="zh-CN"/>
        </w:rPr>
        <w:t>资</w:t>
      </w:r>
      <w:r>
        <w:rPr>
          <w:rFonts w:hint="default" w:ascii="Times New Roman" w:hAnsi="Times New Roman" w:cs="Times New Roman"/>
        </w:rPr>
        <w:t>金</w:t>
      </w:r>
      <w:r>
        <w:rPr>
          <w:rFonts w:hint="default" w:ascii="Times New Roman" w:hAnsi="Times New Roman" w:cs="Times New Roman"/>
          <w:lang w:eastAsia="zh-CN"/>
        </w:rPr>
        <w:t>投入</w:t>
      </w:r>
      <w:r>
        <w:rPr>
          <w:rFonts w:hint="default" w:ascii="Times New Roman" w:hAnsi="Times New Roman" w:cs="Times New Roman"/>
        </w:rPr>
        <w:t>。</w:t>
      </w:r>
    </w:p>
    <w:p w14:paraId="117E25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r>
        <w:rPr>
          <w:rFonts w:hint="default" w:ascii="Times New Roman" w:hAnsi="Times New Roman" w:cs="Times New Roman"/>
        </w:rPr>
        <w:t>（三）项目竣工后须按规定程序实施竣工环境保护验收，验收合格后方可正式投运。</w:t>
      </w:r>
    </w:p>
    <w:p w14:paraId="65A408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四、其他要求</w:t>
      </w:r>
    </w:p>
    <w:p w14:paraId="72E71D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rPr>
      </w:pPr>
      <w:r>
        <w:rPr>
          <w:rFonts w:hint="default" w:ascii="Times New Roman" w:hAnsi="Times New Roman" w:cs="Times New Roman"/>
        </w:rPr>
        <w:t>锡林郭勒盟生态环境综合行政执法支队</w:t>
      </w:r>
      <w:r>
        <w:rPr>
          <w:rFonts w:hint="default" w:ascii="Times New Roman" w:hAnsi="Times New Roman" w:cs="Times New Roman"/>
          <w:lang w:val="en-US" w:eastAsia="zh-CN"/>
        </w:rPr>
        <w:t>锡林浩特执法大队</w:t>
      </w:r>
      <w:r>
        <w:rPr>
          <w:rFonts w:hint="default" w:ascii="Times New Roman" w:hAnsi="Times New Roman" w:cs="Times New Roman"/>
        </w:rPr>
        <w:t>对该项目建设</w:t>
      </w:r>
      <w:r>
        <w:rPr>
          <w:rFonts w:hint="default" w:ascii="Times New Roman" w:hAnsi="Times New Roman" w:cs="Times New Roman"/>
          <w:lang w:val="en-US" w:eastAsia="zh-CN"/>
        </w:rPr>
        <w:t>运营</w:t>
      </w:r>
      <w:r>
        <w:rPr>
          <w:rFonts w:hint="default" w:ascii="Times New Roman" w:hAnsi="Times New Roman" w:cs="Times New Roman"/>
        </w:rPr>
        <w:t>期间各项生态环境保护措施落实情况进行监督检查和管理。</w:t>
      </w:r>
    </w:p>
    <w:p w14:paraId="0BCD5105">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default" w:ascii="Times New Roman" w:hAnsi="Times New Roman" w:cs="Times New Roman"/>
        </w:rPr>
      </w:pPr>
      <w:r>
        <w:rPr>
          <w:rFonts w:hint="default" w:ascii="Times New Roman" w:hAnsi="Times New Roman" w:cs="Times New Roman"/>
        </w:rPr>
        <w:t>锡林郭勒盟生态环境局</w:t>
      </w:r>
    </w:p>
    <w:p w14:paraId="7DE562CC">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2026年</w:t>
      </w:r>
      <w:r>
        <w:rPr>
          <w:rFonts w:hint="eastAsia" w:ascii="Times New Roman" w:hAnsi="Times New Roman" w:cs="Times New Roman"/>
          <w:lang w:val="en-US" w:eastAsia="zh-CN"/>
        </w:rPr>
        <w:t>4</w:t>
      </w:r>
      <w:r>
        <w:rPr>
          <w:rFonts w:hint="default" w:ascii="Times New Roman" w:hAnsi="Times New Roman" w:cs="Times New Roman"/>
          <w:lang w:val="en-US" w:eastAsia="zh-CN"/>
        </w:rPr>
        <w:t>月</w:t>
      </w:r>
      <w:r>
        <w:rPr>
          <w:rFonts w:hint="eastAsia" w:ascii="Times New Roman" w:hAnsi="Times New Roman" w:cs="Times New Roman"/>
          <w:lang w:val="en-US" w:eastAsia="zh-CN"/>
        </w:rPr>
        <w:t>20</w:t>
      </w:r>
      <w:r>
        <w:rPr>
          <w:rFonts w:hint="default" w:ascii="Times New Roman" w:hAnsi="Times New Roman" w:cs="Times New Roman"/>
          <w:lang w:val="en-US" w:eastAsia="zh-CN"/>
        </w:rPr>
        <w:t>日</w:t>
      </w:r>
    </w:p>
    <w:p w14:paraId="5FEEE5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28"/>
          <w:szCs w:val="28"/>
        </w:rPr>
      </w:pPr>
      <w:r>
        <w:rPr>
          <w:rFonts w:hint="default" w:ascii="Times New Roman" w:hAnsi="Times New Roman" w:cs="Times New Roman"/>
          <w:sz w:val="32"/>
        </w:rPr>
        <mc:AlternateContent>
          <mc:Choice Requires="wps">
            <w:drawing>
              <wp:anchor distT="0" distB="0" distL="114300" distR="114300" simplePos="0" relativeHeight="251659264" behindDoc="0" locked="0" layoutInCell="1" allowOverlap="1">
                <wp:simplePos x="0" y="0"/>
                <wp:positionH relativeFrom="column">
                  <wp:posOffset>171450</wp:posOffset>
                </wp:positionH>
                <wp:positionV relativeFrom="paragraph">
                  <wp:posOffset>73660</wp:posOffset>
                </wp:positionV>
                <wp:extent cx="5305425" cy="0"/>
                <wp:effectExtent l="0" t="6350" r="0" b="6350"/>
                <wp:wrapNone/>
                <wp:docPr id="6" name="直接连接符 6"/>
                <wp:cNvGraphicFramePr/>
                <a:graphic xmlns:a="http://schemas.openxmlformats.org/drawingml/2006/main">
                  <a:graphicData uri="http://schemas.microsoft.com/office/word/2010/wordprocessingShape">
                    <wps:wsp>
                      <wps:cNvCnPr/>
                      <wps:spPr>
                        <a:xfrm>
                          <a:off x="895985" y="8778875"/>
                          <a:ext cx="5305425" cy="0"/>
                        </a:xfrm>
                        <a:prstGeom prst="line">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3.5pt;margin-top:5.8pt;height:0pt;width:417.75pt;z-index:251659264;mso-width-relative:page;mso-height-relative:page;" filled="f" stroked="t" coordsize="21600,21600" o:gfxdata="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Zj4U3XAAAACAEAAA8AAAAAAAAAAQAgAAAAIgAAAGRycy9kb3ducmV2LnhtbFBLAQIUABQA&#10;AAAIAIdO4kDxZxZS8QEAAL0DAAAOAAAAAAAAAAEAIAAAACYBAABkcnMvZTJvRG9jLnhtbFBLBQYA&#10;AAAABgAGAFkBAACJBQAAAAA=&#10;">
                <v:fill on="f" focussize="0,0"/>
                <v:stroke weight="1pt" color="#000000 [3213]" miterlimit="8" joinstyle="miter"/>
                <v:imagedata o:title=""/>
                <o:lock v:ext="edit" aspectratio="f"/>
              </v:line>
            </w:pict>
          </mc:Fallback>
        </mc:AlternateContent>
      </w:r>
      <w:r>
        <w:rPr>
          <w:rFonts w:hint="default" w:ascii="Times New Roman" w:hAnsi="Times New Roman" w:cs="Times New Roman"/>
          <w:sz w:val="28"/>
          <w:szCs w:val="28"/>
        </w:rPr>
        <w:t>抄送：盟生态环境综合行政执法支队、盟生态环境局锡市分局</w:t>
      </w:r>
    </w:p>
    <w:p w14:paraId="40ADBC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28"/>
          <w:szCs w:val="28"/>
        </w:rPr>
      </w:pPr>
      <w:r>
        <w:rPr>
          <w:rFonts w:hint="default" w:ascii="Times New Roman" w:hAnsi="Times New Roman" w:cs="Times New Roman"/>
          <w:sz w:val="32"/>
        </w:rPr>
        <mc:AlternateContent>
          <mc:Choice Requires="wps">
            <w:drawing>
              <wp:anchor distT="0" distB="0" distL="114300" distR="114300" simplePos="0" relativeHeight="251661312" behindDoc="0" locked="0" layoutInCell="1" allowOverlap="1">
                <wp:simplePos x="0" y="0"/>
                <wp:positionH relativeFrom="column">
                  <wp:posOffset>171450</wp:posOffset>
                </wp:positionH>
                <wp:positionV relativeFrom="paragraph">
                  <wp:posOffset>387985</wp:posOffset>
                </wp:positionV>
                <wp:extent cx="5305425" cy="0"/>
                <wp:effectExtent l="0" t="6350" r="0" b="6350"/>
                <wp:wrapNone/>
                <wp:docPr id="11" name="直接连接符 11"/>
                <wp:cNvGraphicFramePr/>
                <a:graphic xmlns:a="http://schemas.openxmlformats.org/drawingml/2006/main">
                  <a:graphicData uri="http://schemas.microsoft.com/office/word/2010/wordprocessingShape">
                    <wps:wsp>
                      <wps:cNvCnPr/>
                      <wps:spPr>
                        <a:xfrm>
                          <a:off x="0" y="0"/>
                          <a:ext cx="5305425" cy="0"/>
                        </a:xfrm>
                        <a:prstGeom prst="line">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3.5pt;margin-top:30.55pt;height:0pt;width:417.75pt;z-index:251661312;mso-width-relative:page;mso-height-relative:page;" filled="f" stroked="t" coordsize="21600,21600" o:gfxdata="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wsNAk2AAA&#10;AAgBAAAPAAAAAAAAAAEAIAAAACIAAABkcnMvZG93bnJldi54bWxQSwECFAAUAAAACACHTuJAgsFU&#10;tuUBAAC0AwAADgAAAAAAAAABACAAAAAnAQAAZHJzL2Uyb0RvYy54bWxQSwUGAAAAAAYABgBZAQAA&#10;fgUAAAAA&#10;">
                <v:fill on="f" focussize="0,0"/>
                <v:stroke weight="1pt" color="#000000 [3213]" miterlimit="8" joinstyle="miter"/>
                <v:imagedata o:title=""/>
                <o:lock v:ext="edit" aspectratio="f"/>
              </v:line>
            </w:pict>
          </mc:Fallback>
        </mc:AlternateContent>
      </w:r>
      <w:r>
        <w:rPr>
          <w:rFonts w:hint="default" w:ascii="Times New Roman" w:hAnsi="Times New Roman" w:cs="Times New Roman"/>
          <w:sz w:val="32"/>
        </w:rPr>
        <mc:AlternateContent>
          <mc:Choice Requires="wps">
            <w:drawing>
              <wp:anchor distT="0" distB="0" distL="114300" distR="114300" simplePos="0" relativeHeight="251660288" behindDoc="0" locked="0" layoutInCell="1" allowOverlap="1">
                <wp:simplePos x="0" y="0"/>
                <wp:positionH relativeFrom="column">
                  <wp:posOffset>171450</wp:posOffset>
                </wp:positionH>
                <wp:positionV relativeFrom="paragraph">
                  <wp:posOffset>83185</wp:posOffset>
                </wp:positionV>
                <wp:extent cx="5305425" cy="0"/>
                <wp:effectExtent l="0" t="6350" r="0" b="6350"/>
                <wp:wrapNone/>
                <wp:docPr id="10" name="直接连接符 10"/>
                <wp:cNvGraphicFramePr/>
                <a:graphic xmlns:a="http://schemas.openxmlformats.org/drawingml/2006/main">
                  <a:graphicData uri="http://schemas.microsoft.com/office/word/2010/wordprocessingShape">
                    <wps:wsp>
                      <wps:cNvCnPr/>
                      <wps:spPr>
                        <a:xfrm>
                          <a:off x="0" y="0"/>
                          <a:ext cx="5305425" cy="0"/>
                        </a:xfrm>
                        <a:prstGeom prst="line">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3.5pt;margin-top:6.55pt;height:0pt;width:417.75pt;z-index:251660288;mso-width-relative:page;mso-height-relative:page;" filled="f" stroked="t" coordsize="21600,21600" o:gfxdata="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t5UwS9cAAAAI&#10;AQAADwAAAAAAAAABACAAAAAiAAAAZHJzL2Rvd25yZXYueG1sUEsBAhQAFAAAAAgAh07iQFF5Q7Xk&#10;AQAAtAMAAA4AAAAAAAAAAQAgAAAAJgEAAGRycy9lMm9Eb2MueG1sUEsFBgAAAAAGAAYAWQEAAHwF&#10;AAAAAA==&#10;">
                <v:fill on="f" focussize="0,0"/>
                <v:stroke weight="1pt" color="#000000 [3213]" miterlimit="8" joinstyle="miter"/>
                <v:imagedata o:title=""/>
                <o:lock v:ext="edit" aspectratio="f"/>
              </v:line>
            </w:pict>
          </mc:Fallback>
        </mc:AlternateContent>
      </w:r>
      <w:r>
        <w:rPr>
          <w:rFonts w:hint="default" w:ascii="Times New Roman" w:hAnsi="Times New Roman" w:cs="Times New Roman"/>
          <w:sz w:val="28"/>
          <w:szCs w:val="28"/>
        </w:rPr>
        <w:t xml:space="preserve">锡林郭勒盟生态环境局办公室        </w:t>
      </w:r>
      <w:r>
        <w:rPr>
          <w:rFonts w:hint="default" w:ascii="Times New Roman" w:hAnsi="Times New Roman" w:cs="Times New Roman"/>
          <w:sz w:val="28"/>
          <w:szCs w:val="28"/>
          <w:lang w:val="en-US" w:eastAsia="zh-CN"/>
        </w:rPr>
        <w:t xml:space="preserve"> 2026年</w:t>
      </w:r>
      <w:r>
        <w:rPr>
          <w:rFonts w:hint="eastAsia" w:ascii="Times New Roman" w:hAnsi="Times New Roman" w:cs="Times New Roman"/>
          <w:sz w:val="28"/>
          <w:szCs w:val="28"/>
          <w:lang w:val="en-US" w:eastAsia="zh-CN"/>
        </w:rPr>
        <w:t>4</w:t>
      </w:r>
      <w:r>
        <w:rPr>
          <w:rFonts w:hint="default" w:ascii="Times New Roman" w:hAnsi="Times New Roman" w:cs="Times New Roman"/>
          <w:sz w:val="28"/>
          <w:szCs w:val="28"/>
          <w:lang w:val="en-US" w:eastAsia="zh-CN"/>
        </w:rPr>
        <w:t>月</w:t>
      </w:r>
      <w:r>
        <w:rPr>
          <w:rFonts w:hint="eastAsia" w:ascii="Times New Roman" w:hAnsi="Times New Roman" w:cs="Times New Roman"/>
          <w:sz w:val="28"/>
          <w:szCs w:val="28"/>
          <w:lang w:val="en-US" w:eastAsia="zh-CN"/>
        </w:rPr>
        <w:t>20</w:t>
      </w:r>
      <w:bookmarkStart w:id="0" w:name="_GoBack"/>
      <w:bookmarkEnd w:id="0"/>
      <w:r>
        <w:rPr>
          <w:rFonts w:hint="default" w:ascii="Times New Roman" w:hAnsi="Times New Roman" w:cs="Times New Roman"/>
          <w:sz w:val="28"/>
          <w:szCs w:val="28"/>
          <w:lang w:val="en-US" w:eastAsia="zh-CN"/>
        </w:rPr>
        <w:t>日</w:t>
      </w:r>
      <w:r>
        <w:rPr>
          <w:rFonts w:hint="default" w:ascii="Times New Roman" w:hAnsi="Times New Roman" w:cs="Times New Roman"/>
          <w:sz w:val="28"/>
          <w:szCs w:val="28"/>
        </w:rPr>
        <w:t>印发</w:t>
      </w:r>
    </w:p>
    <w:sectPr>
      <w:footerReference r:id="rId3" w:type="default"/>
      <w:pgSz w:w="11906" w:h="16838"/>
      <w:pgMar w:top="2154" w:right="1531" w:bottom="1928" w:left="1531" w:header="851" w:footer="992" w:gutter="0"/>
      <w:pgNumType w:fmt="numberInDash"/>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D9B3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C70174">
                          <w:pPr>
                            <w:pStyle w:val="2"/>
                            <w:rPr>
                              <w:rFonts w:hint="eastAsia" w:ascii="楷体" w:hAnsi="楷体" w:eastAsia="楷体" w:cs="楷体"/>
                              <w:sz w:val="28"/>
                              <w:szCs w:val="28"/>
                            </w:rPr>
                          </w:pPr>
                        </w:p>
                        <w:p w14:paraId="1AD90072">
                          <w:pPr>
                            <w:pStyle w:val="2"/>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  \* MERGEFORMAT </w:instrText>
                          </w:r>
                          <w:r>
                            <w:rPr>
                              <w:rFonts w:hint="eastAsia" w:ascii="楷体" w:hAnsi="楷体" w:eastAsia="楷体" w:cs="楷体"/>
                              <w:sz w:val="28"/>
                              <w:szCs w:val="28"/>
                            </w:rPr>
                            <w:fldChar w:fldCharType="separate"/>
                          </w:r>
                          <w:r>
                            <w:rPr>
                              <w:rFonts w:hint="eastAsia" w:ascii="楷体" w:hAnsi="楷体" w:eastAsia="楷体" w:cs="楷体"/>
                              <w:sz w:val="28"/>
                              <w:szCs w:val="28"/>
                            </w:rPr>
                            <w:t>1</w:t>
                          </w:r>
                          <w:r>
                            <w:rPr>
                              <w:rFonts w:hint="eastAsia" w:ascii="楷体" w:hAnsi="楷体" w:eastAsia="楷体" w:cs="楷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EC70174">
                    <w:pPr>
                      <w:pStyle w:val="2"/>
                      <w:rPr>
                        <w:rFonts w:hint="eastAsia" w:ascii="楷体" w:hAnsi="楷体" w:eastAsia="楷体" w:cs="楷体"/>
                        <w:sz w:val="28"/>
                        <w:szCs w:val="28"/>
                      </w:rPr>
                    </w:pPr>
                  </w:p>
                  <w:p w14:paraId="1AD90072">
                    <w:pPr>
                      <w:pStyle w:val="2"/>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  \* MERGEFORMAT </w:instrText>
                    </w:r>
                    <w:r>
                      <w:rPr>
                        <w:rFonts w:hint="eastAsia" w:ascii="楷体" w:hAnsi="楷体" w:eastAsia="楷体" w:cs="楷体"/>
                        <w:sz w:val="28"/>
                        <w:szCs w:val="28"/>
                      </w:rPr>
                      <w:fldChar w:fldCharType="separate"/>
                    </w:r>
                    <w:r>
                      <w:rPr>
                        <w:rFonts w:hint="eastAsia" w:ascii="楷体" w:hAnsi="楷体" w:eastAsia="楷体" w:cs="楷体"/>
                        <w:sz w:val="28"/>
                        <w:szCs w:val="28"/>
                      </w:rPr>
                      <w:t>1</w:t>
                    </w:r>
                    <w:r>
                      <w:rPr>
                        <w:rFonts w:hint="eastAsia" w:ascii="楷体" w:hAnsi="楷体" w:eastAsia="楷体" w:cs="楷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2M2VmMTViNjIwOWYxYWM0Mjc1NTRkYTQ5MDY3MzQifQ=="/>
  </w:docVars>
  <w:rsids>
    <w:rsidRoot w:val="00000000"/>
    <w:rsid w:val="00107D23"/>
    <w:rsid w:val="00627C89"/>
    <w:rsid w:val="008E2A0E"/>
    <w:rsid w:val="017350FB"/>
    <w:rsid w:val="01C012ED"/>
    <w:rsid w:val="02313F99"/>
    <w:rsid w:val="02380E08"/>
    <w:rsid w:val="02505281"/>
    <w:rsid w:val="02E2244F"/>
    <w:rsid w:val="02F31FD9"/>
    <w:rsid w:val="030D0562"/>
    <w:rsid w:val="03A7308B"/>
    <w:rsid w:val="04565F0C"/>
    <w:rsid w:val="047906B4"/>
    <w:rsid w:val="048B5BE2"/>
    <w:rsid w:val="056F72B2"/>
    <w:rsid w:val="05E800DE"/>
    <w:rsid w:val="062F3250"/>
    <w:rsid w:val="06A709CA"/>
    <w:rsid w:val="06F747D9"/>
    <w:rsid w:val="07407CDF"/>
    <w:rsid w:val="074D5C69"/>
    <w:rsid w:val="0819123D"/>
    <w:rsid w:val="089846B9"/>
    <w:rsid w:val="08A63C7D"/>
    <w:rsid w:val="08BB08D3"/>
    <w:rsid w:val="08ED4DD6"/>
    <w:rsid w:val="0969118E"/>
    <w:rsid w:val="09AC4ECD"/>
    <w:rsid w:val="0B506547"/>
    <w:rsid w:val="0C057014"/>
    <w:rsid w:val="0C761BF9"/>
    <w:rsid w:val="0CB61617"/>
    <w:rsid w:val="0D365943"/>
    <w:rsid w:val="0D756ED0"/>
    <w:rsid w:val="0D815095"/>
    <w:rsid w:val="0DB735A4"/>
    <w:rsid w:val="0DD8176C"/>
    <w:rsid w:val="0DFB5D03"/>
    <w:rsid w:val="0E0301EB"/>
    <w:rsid w:val="0E4929AB"/>
    <w:rsid w:val="0EC8358F"/>
    <w:rsid w:val="0EFB5E46"/>
    <w:rsid w:val="0F6628F6"/>
    <w:rsid w:val="0F684E4E"/>
    <w:rsid w:val="0F6D69BB"/>
    <w:rsid w:val="108D5E7E"/>
    <w:rsid w:val="10C76C75"/>
    <w:rsid w:val="10FD3220"/>
    <w:rsid w:val="113413B0"/>
    <w:rsid w:val="11E74CB9"/>
    <w:rsid w:val="120B303E"/>
    <w:rsid w:val="13354411"/>
    <w:rsid w:val="13C47604"/>
    <w:rsid w:val="13C965E7"/>
    <w:rsid w:val="14151024"/>
    <w:rsid w:val="14173BB3"/>
    <w:rsid w:val="142B6BEC"/>
    <w:rsid w:val="1486051A"/>
    <w:rsid w:val="14E27F85"/>
    <w:rsid w:val="15E30A79"/>
    <w:rsid w:val="16472C49"/>
    <w:rsid w:val="16645E6C"/>
    <w:rsid w:val="167873D6"/>
    <w:rsid w:val="16831A50"/>
    <w:rsid w:val="16D0271B"/>
    <w:rsid w:val="16DE2E67"/>
    <w:rsid w:val="16E276A1"/>
    <w:rsid w:val="171C6A37"/>
    <w:rsid w:val="17B85C2A"/>
    <w:rsid w:val="17C476FF"/>
    <w:rsid w:val="17D510CE"/>
    <w:rsid w:val="1820443C"/>
    <w:rsid w:val="18BA4999"/>
    <w:rsid w:val="1917525C"/>
    <w:rsid w:val="195F581C"/>
    <w:rsid w:val="19B62042"/>
    <w:rsid w:val="19EC62D2"/>
    <w:rsid w:val="1A6848EC"/>
    <w:rsid w:val="1A8B5FAA"/>
    <w:rsid w:val="1ACF4D8D"/>
    <w:rsid w:val="1B1B6AA2"/>
    <w:rsid w:val="1B2B5375"/>
    <w:rsid w:val="1B6C00C4"/>
    <w:rsid w:val="1B7A0B41"/>
    <w:rsid w:val="1C191C7C"/>
    <w:rsid w:val="1C6B38EC"/>
    <w:rsid w:val="1C810BEC"/>
    <w:rsid w:val="1CBC1555"/>
    <w:rsid w:val="1CDC36FC"/>
    <w:rsid w:val="1CDE296E"/>
    <w:rsid w:val="1CE472D0"/>
    <w:rsid w:val="1CEB326A"/>
    <w:rsid w:val="1D680D09"/>
    <w:rsid w:val="1D71334C"/>
    <w:rsid w:val="1DD42D4F"/>
    <w:rsid w:val="1DD548E1"/>
    <w:rsid w:val="1DDE4F94"/>
    <w:rsid w:val="1DE57CB9"/>
    <w:rsid w:val="1EEB3D1B"/>
    <w:rsid w:val="1EEB7551"/>
    <w:rsid w:val="1F187782"/>
    <w:rsid w:val="1F2D56A1"/>
    <w:rsid w:val="1F403C04"/>
    <w:rsid w:val="1FEE1AC6"/>
    <w:rsid w:val="200D03CB"/>
    <w:rsid w:val="202A615B"/>
    <w:rsid w:val="20336CE1"/>
    <w:rsid w:val="20E944E0"/>
    <w:rsid w:val="217032BE"/>
    <w:rsid w:val="21705A98"/>
    <w:rsid w:val="21B06E88"/>
    <w:rsid w:val="22197924"/>
    <w:rsid w:val="22A55C69"/>
    <w:rsid w:val="22EC5646"/>
    <w:rsid w:val="22ED07D6"/>
    <w:rsid w:val="23781159"/>
    <w:rsid w:val="238A4EBD"/>
    <w:rsid w:val="24B85AC3"/>
    <w:rsid w:val="24C52EC8"/>
    <w:rsid w:val="24CC2727"/>
    <w:rsid w:val="24E40586"/>
    <w:rsid w:val="24FD755C"/>
    <w:rsid w:val="25105990"/>
    <w:rsid w:val="256A0B3D"/>
    <w:rsid w:val="259A570B"/>
    <w:rsid w:val="265175A7"/>
    <w:rsid w:val="268418C0"/>
    <w:rsid w:val="27172CD3"/>
    <w:rsid w:val="272C0399"/>
    <w:rsid w:val="27386837"/>
    <w:rsid w:val="276500BD"/>
    <w:rsid w:val="280C7A48"/>
    <w:rsid w:val="282737C4"/>
    <w:rsid w:val="289E5635"/>
    <w:rsid w:val="28DD6492"/>
    <w:rsid w:val="290D4950"/>
    <w:rsid w:val="298D1A91"/>
    <w:rsid w:val="29A053DC"/>
    <w:rsid w:val="29A9603F"/>
    <w:rsid w:val="2A3058F9"/>
    <w:rsid w:val="2A346916"/>
    <w:rsid w:val="2A4B1AEE"/>
    <w:rsid w:val="2A5833C3"/>
    <w:rsid w:val="2AD74E2E"/>
    <w:rsid w:val="2B0269A3"/>
    <w:rsid w:val="2B051220"/>
    <w:rsid w:val="2B7500B4"/>
    <w:rsid w:val="2C173AFE"/>
    <w:rsid w:val="2C1D6E5D"/>
    <w:rsid w:val="2C867180"/>
    <w:rsid w:val="2D185661"/>
    <w:rsid w:val="2D654973"/>
    <w:rsid w:val="2DBB1E1A"/>
    <w:rsid w:val="2E092D17"/>
    <w:rsid w:val="2E70730F"/>
    <w:rsid w:val="2E920B6E"/>
    <w:rsid w:val="2EBD7A3C"/>
    <w:rsid w:val="2EC22E44"/>
    <w:rsid w:val="2F23005A"/>
    <w:rsid w:val="2F3E4FAD"/>
    <w:rsid w:val="2F5E6DBD"/>
    <w:rsid w:val="2F7D40EF"/>
    <w:rsid w:val="2F984F66"/>
    <w:rsid w:val="2FEB6D20"/>
    <w:rsid w:val="3025488D"/>
    <w:rsid w:val="304F76D1"/>
    <w:rsid w:val="30CA5B14"/>
    <w:rsid w:val="311C0372"/>
    <w:rsid w:val="312276EF"/>
    <w:rsid w:val="31396A7E"/>
    <w:rsid w:val="31460E11"/>
    <w:rsid w:val="31615451"/>
    <w:rsid w:val="3179422E"/>
    <w:rsid w:val="31846BD8"/>
    <w:rsid w:val="31FF2B4E"/>
    <w:rsid w:val="32560617"/>
    <w:rsid w:val="32AF31AF"/>
    <w:rsid w:val="33275FBA"/>
    <w:rsid w:val="33D82705"/>
    <w:rsid w:val="348A3C65"/>
    <w:rsid w:val="35C67F79"/>
    <w:rsid w:val="35C948C7"/>
    <w:rsid w:val="35E56568"/>
    <w:rsid w:val="36A30098"/>
    <w:rsid w:val="36FA6F28"/>
    <w:rsid w:val="370339F0"/>
    <w:rsid w:val="3727621C"/>
    <w:rsid w:val="3757272A"/>
    <w:rsid w:val="37C823FE"/>
    <w:rsid w:val="380B3B4E"/>
    <w:rsid w:val="38234B8E"/>
    <w:rsid w:val="38C60702"/>
    <w:rsid w:val="38F54B56"/>
    <w:rsid w:val="39877913"/>
    <w:rsid w:val="39D06507"/>
    <w:rsid w:val="3A1D0633"/>
    <w:rsid w:val="3A42330D"/>
    <w:rsid w:val="3A7F4DBA"/>
    <w:rsid w:val="3A8114EC"/>
    <w:rsid w:val="3B4A51A8"/>
    <w:rsid w:val="3B7616FC"/>
    <w:rsid w:val="3BF95EBB"/>
    <w:rsid w:val="3C143255"/>
    <w:rsid w:val="3C1674D0"/>
    <w:rsid w:val="3C2D6FA3"/>
    <w:rsid w:val="3C547AC7"/>
    <w:rsid w:val="3C7A51A9"/>
    <w:rsid w:val="3CFC1E6C"/>
    <w:rsid w:val="3D180369"/>
    <w:rsid w:val="3D406863"/>
    <w:rsid w:val="3D5B369C"/>
    <w:rsid w:val="3D651D55"/>
    <w:rsid w:val="3DB03A35"/>
    <w:rsid w:val="3DE60791"/>
    <w:rsid w:val="3E2162DA"/>
    <w:rsid w:val="3F0C1354"/>
    <w:rsid w:val="3FDF4CAD"/>
    <w:rsid w:val="402D0ECF"/>
    <w:rsid w:val="4086373C"/>
    <w:rsid w:val="40B72674"/>
    <w:rsid w:val="40CB0B39"/>
    <w:rsid w:val="41590791"/>
    <w:rsid w:val="41736ED8"/>
    <w:rsid w:val="4185518C"/>
    <w:rsid w:val="41AD1BAE"/>
    <w:rsid w:val="41B61C9F"/>
    <w:rsid w:val="41FF4F3E"/>
    <w:rsid w:val="42DD4FD8"/>
    <w:rsid w:val="42EE2EEE"/>
    <w:rsid w:val="43083194"/>
    <w:rsid w:val="435E53D2"/>
    <w:rsid w:val="43842A9F"/>
    <w:rsid w:val="43916338"/>
    <w:rsid w:val="43E947BE"/>
    <w:rsid w:val="44534DE1"/>
    <w:rsid w:val="448F3867"/>
    <w:rsid w:val="44962EB9"/>
    <w:rsid w:val="44DD6987"/>
    <w:rsid w:val="455E3D2A"/>
    <w:rsid w:val="45673B36"/>
    <w:rsid w:val="45AC7E7F"/>
    <w:rsid w:val="46477875"/>
    <w:rsid w:val="46C040A0"/>
    <w:rsid w:val="46CC756B"/>
    <w:rsid w:val="46F24AE2"/>
    <w:rsid w:val="47173530"/>
    <w:rsid w:val="472D3C48"/>
    <w:rsid w:val="47864444"/>
    <w:rsid w:val="47C31BE2"/>
    <w:rsid w:val="481B7AFF"/>
    <w:rsid w:val="493B1763"/>
    <w:rsid w:val="4954779C"/>
    <w:rsid w:val="49C84105"/>
    <w:rsid w:val="4A110515"/>
    <w:rsid w:val="4A111CB3"/>
    <w:rsid w:val="4A3F2651"/>
    <w:rsid w:val="4A6203A8"/>
    <w:rsid w:val="4B047772"/>
    <w:rsid w:val="4B0715AA"/>
    <w:rsid w:val="4B0D769D"/>
    <w:rsid w:val="4B57340C"/>
    <w:rsid w:val="4B6C6F7C"/>
    <w:rsid w:val="4B890B2B"/>
    <w:rsid w:val="4B9814B2"/>
    <w:rsid w:val="4BAB52EA"/>
    <w:rsid w:val="4BAD3BC3"/>
    <w:rsid w:val="4C1F4975"/>
    <w:rsid w:val="4C2B51F3"/>
    <w:rsid w:val="4C926232"/>
    <w:rsid w:val="4CD26D0B"/>
    <w:rsid w:val="4D007DBC"/>
    <w:rsid w:val="4D0F38CF"/>
    <w:rsid w:val="4D123EA4"/>
    <w:rsid w:val="4D9A7FE1"/>
    <w:rsid w:val="4D9E2A9F"/>
    <w:rsid w:val="4E097E94"/>
    <w:rsid w:val="4E8559DE"/>
    <w:rsid w:val="4E96569C"/>
    <w:rsid w:val="4EFB083B"/>
    <w:rsid w:val="4F260926"/>
    <w:rsid w:val="4FBC0F82"/>
    <w:rsid w:val="4FC46DFC"/>
    <w:rsid w:val="4FFB301B"/>
    <w:rsid w:val="50D47DA5"/>
    <w:rsid w:val="513575EF"/>
    <w:rsid w:val="51CB2E5E"/>
    <w:rsid w:val="51FF4AE6"/>
    <w:rsid w:val="521B2BDC"/>
    <w:rsid w:val="52307478"/>
    <w:rsid w:val="538C3DBD"/>
    <w:rsid w:val="53ED479A"/>
    <w:rsid w:val="54277D4F"/>
    <w:rsid w:val="54505185"/>
    <w:rsid w:val="547D0BE8"/>
    <w:rsid w:val="54D65388"/>
    <w:rsid w:val="551271B5"/>
    <w:rsid w:val="55983288"/>
    <w:rsid w:val="56063A10"/>
    <w:rsid w:val="56157207"/>
    <w:rsid w:val="570375C9"/>
    <w:rsid w:val="57DE1C43"/>
    <w:rsid w:val="57ED7CDD"/>
    <w:rsid w:val="58197E1A"/>
    <w:rsid w:val="585B3B3E"/>
    <w:rsid w:val="58807A14"/>
    <w:rsid w:val="594924D9"/>
    <w:rsid w:val="5A5A6003"/>
    <w:rsid w:val="5A6E575B"/>
    <w:rsid w:val="5AE30668"/>
    <w:rsid w:val="5B2B4256"/>
    <w:rsid w:val="5B5E2F0C"/>
    <w:rsid w:val="5C3A6E47"/>
    <w:rsid w:val="5C7C63A1"/>
    <w:rsid w:val="5D4F6922"/>
    <w:rsid w:val="5DCA244C"/>
    <w:rsid w:val="5E794778"/>
    <w:rsid w:val="5E834510"/>
    <w:rsid w:val="5EA52572"/>
    <w:rsid w:val="5EAE2BA6"/>
    <w:rsid w:val="5F5D0AF7"/>
    <w:rsid w:val="5FB25DFC"/>
    <w:rsid w:val="600850D5"/>
    <w:rsid w:val="604C0EF7"/>
    <w:rsid w:val="60A56859"/>
    <w:rsid w:val="60E2116F"/>
    <w:rsid w:val="60FA5EB0"/>
    <w:rsid w:val="614918DA"/>
    <w:rsid w:val="618C2F57"/>
    <w:rsid w:val="62035F2D"/>
    <w:rsid w:val="62222F3A"/>
    <w:rsid w:val="628306A0"/>
    <w:rsid w:val="63E12AF6"/>
    <w:rsid w:val="64441708"/>
    <w:rsid w:val="644A2A14"/>
    <w:rsid w:val="651D1811"/>
    <w:rsid w:val="653A1F3B"/>
    <w:rsid w:val="65BF7AD2"/>
    <w:rsid w:val="65C50E3A"/>
    <w:rsid w:val="65CB6408"/>
    <w:rsid w:val="65FA3636"/>
    <w:rsid w:val="669F5C44"/>
    <w:rsid w:val="672A7AB8"/>
    <w:rsid w:val="675D6DC0"/>
    <w:rsid w:val="67B8077F"/>
    <w:rsid w:val="67C020E9"/>
    <w:rsid w:val="67D57A24"/>
    <w:rsid w:val="67D6379C"/>
    <w:rsid w:val="67E71F3C"/>
    <w:rsid w:val="67E91880"/>
    <w:rsid w:val="67FA392E"/>
    <w:rsid w:val="68623D98"/>
    <w:rsid w:val="689A40B9"/>
    <w:rsid w:val="68BE6C24"/>
    <w:rsid w:val="68EE1288"/>
    <w:rsid w:val="69333522"/>
    <w:rsid w:val="694251E2"/>
    <w:rsid w:val="69DC51A4"/>
    <w:rsid w:val="69F24FF1"/>
    <w:rsid w:val="6A103F70"/>
    <w:rsid w:val="6A884BFC"/>
    <w:rsid w:val="6B254399"/>
    <w:rsid w:val="6B4001B5"/>
    <w:rsid w:val="6C337F2A"/>
    <w:rsid w:val="6D0C15C3"/>
    <w:rsid w:val="6D4025A3"/>
    <w:rsid w:val="6D605AE9"/>
    <w:rsid w:val="6F2F7149"/>
    <w:rsid w:val="6F841512"/>
    <w:rsid w:val="6FD66C1A"/>
    <w:rsid w:val="6FEF5D43"/>
    <w:rsid w:val="710812D5"/>
    <w:rsid w:val="7214383E"/>
    <w:rsid w:val="72381204"/>
    <w:rsid w:val="733E67BD"/>
    <w:rsid w:val="73DF154D"/>
    <w:rsid w:val="73F77193"/>
    <w:rsid w:val="746149C3"/>
    <w:rsid w:val="74C44B0A"/>
    <w:rsid w:val="75500614"/>
    <w:rsid w:val="75FE6299"/>
    <w:rsid w:val="765344D6"/>
    <w:rsid w:val="7677439C"/>
    <w:rsid w:val="76C40854"/>
    <w:rsid w:val="773B448B"/>
    <w:rsid w:val="77AF1B9B"/>
    <w:rsid w:val="77CA3AC1"/>
    <w:rsid w:val="77F21009"/>
    <w:rsid w:val="781A3512"/>
    <w:rsid w:val="78255DA7"/>
    <w:rsid w:val="78B04D31"/>
    <w:rsid w:val="794B470B"/>
    <w:rsid w:val="797846B3"/>
    <w:rsid w:val="799A618E"/>
    <w:rsid w:val="79D435A8"/>
    <w:rsid w:val="7A73769A"/>
    <w:rsid w:val="7ABD0F17"/>
    <w:rsid w:val="7AEE530B"/>
    <w:rsid w:val="7BF34CC8"/>
    <w:rsid w:val="7C0400B6"/>
    <w:rsid w:val="7CAB4D9F"/>
    <w:rsid w:val="7CD12A58"/>
    <w:rsid w:val="7D7D0332"/>
    <w:rsid w:val="7E3736CB"/>
    <w:rsid w:val="7E5D1143"/>
    <w:rsid w:val="7EA30F65"/>
    <w:rsid w:val="7F052E8D"/>
    <w:rsid w:val="7F2A250B"/>
    <w:rsid w:val="7FD667C5"/>
    <w:rsid w:val="7FDE6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6951feeb-d49f-4144-bdbf-b60e14f65bbb</errorID>
      <errorWord>﹝2026﹞</errorWord>
      <group>L1_AI</group>
      <groupName>深度校对</groupName>
      <ability>L2_AI_Punc</ability>
      <abilityName>标点纠错</abilityName>
      <candidateList>
        <item>〔2026〕</item>
      </candidateList>
      <explain/>
      <paraID>64BE418D</paraID>
      <start>5</start>
      <end>11</end>
      <status>modified</status>
      <modifiedWord>〔2026〕</modifiedWord>
      <trackRevisions>false</trackRevisions>
    </reviewItem>
    <reviewItem>
      <errorID>2760dfd7-23c0-4c24-9dfd-3fc5782c6ee0</errorID>
      <errorWord>年月日</errorWord>
      <group>L1_AI</group>
      <groupName>深度校对</groupName>
      <ability>L2_AI_Grammar</ability>
      <abilityName>语法纠错</abilityName>
      <candidateList>
        <item>年  月  日</item>
      </candidateList>
      <explain/>
      <paraID>7DE562CC</paraID>
      <start>4</start>
      <end>7</end>
      <status>ignored</status>
      <modifiedWord/>
      <trackRevisions>false</trackRevisions>
    </reviewItem>
    <reviewItem>
      <errorID>7217a5e4-2a6b-4261-96dc-b5617ca531c9</errorID>
      <errorWord>年月日</errorWord>
      <group>L1_AI</group>
      <groupName>深度校对</groupName>
      <ability>L2_AI_Grammar</ability>
      <abilityName>语法纠错</abilityName>
      <candidateList>
        <item>年X月X日</item>
      </candidateList>
      <explain/>
      <paraID>40ADBCE6</paraID>
      <start>28</start>
      <end>31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93cbe2-2105-4a69-a85b-da2821b635e1}">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1659</Words>
  <Characters>1761</Characters>
  <Lines>0</Lines>
  <Paragraphs>0</Paragraphs>
  <TotalTime>5</TotalTime>
  <ScaleCrop>false</ScaleCrop>
  <LinksUpToDate>false</LinksUpToDate>
  <CharactersWithSpaces>1770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2022-10-17T08:28:00Z</dcterms:created>
  <dc:creator>DELL</dc:creator>
  <cp:lastModifiedBy>WPS_1712737004</cp:lastModifiedBy>
  <cp:lastPrinted>2025-03-25T09:01:00Z</cp:lastPrinted>
  <dcterms:modified xsi:type="dcterms:W3CDTF">2026-04-20T02:26:51Z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F2272C73ADBF40BA9F461E5581216794</vt:lpwstr>
  </property>
  <property fmtid="{D5CDD505-2E9C-101B-9397-08002B2CF9AE}" pid="4" name="KSOTemplateDocerSaveRecord">
    <vt:lpwstr>eyJoZGlkIjoiYzA2M2VmMTViNjIwOWYxYWM0Mjc1NTRkYTQ5MDY3MzQiLCJ1c2VySWQiOiIxNTkyMTgzNDY3In0=</vt:lpwstr>
  </property>
</Properties>
</file>