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E1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eastAsia="zh-CN"/>
        </w:rPr>
      </w:pPr>
    </w:p>
    <w:p w14:paraId="38D920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49B2D6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F67AC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3247C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9D84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0DD50CB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D62AB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9251D1C">
      <w:pPr>
        <w:keepNext w:val="0"/>
        <w:keepLines w:val="0"/>
        <w:pageBreakBefore w:val="0"/>
        <w:widowControl w:val="0"/>
        <w:kinsoku/>
        <w:wordWrap/>
        <w:overflowPunct/>
        <w:topLinePunct w:val="0"/>
        <w:bidi w:val="0"/>
        <w:snapToGrid w:val="0"/>
        <w:spacing w:line="560" w:lineRule="exact"/>
        <w:jc w:val="center"/>
        <w:rPr>
          <w:rFonts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东环审表</w:t>
      </w:r>
      <w:r>
        <w:rPr>
          <w:rFonts w:hint="eastAsia" w:ascii="仿宋_GB2312" w:hAnsi="黑体" w:eastAsia="仿宋_GB2312" w:cs="Arial"/>
          <w:color w:val="auto"/>
          <w:sz w:val="32"/>
          <w:szCs w:val="32"/>
          <w:highlight w:val="none"/>
        </w:rPr>
        <w:t>〔202</w:t>
      </w:r>
      <w:r>
        <w:rPr>
          <w:rFonts w:hint="eastAsia" w:ascii="仿宋_GB2312" w:hAnsi="黑体" w:eastAsia="仿宋_GB2312" w:cs="Arial"/>
          <w:color w:val="auto"/>
          <w:sz w:val="32"/>
          <w:szCs w:val="32"/>
          <w:highlight w:val="none"/>
          <w:lang w:val="en-US" w:eastAsia="zh-CN"/>
        </w:rPr>
        <w:t>6</w:t>
      </w:r>
      <w:r>
        <w:rPr>
          <w:rFonts w:hint="eastAsia" w:ascii="仿宋_GB2312" w:hAnsi="黑体" w:eastAsia="仿宋_GB2312" w:cs="Arial"/>
          <w:color w:val="auto"/>
          <w:sz w:val="32"/>
          <w:szCs w:val="32"/>
          <w:highlight w:val="none"/>
        </w:rPr>
        <w:t>〕</w:t>
      </w:r>
      <w:r>
        <w:rPr>
          <w:rFonts w:hint="eastAsia" w:ascii="仿宋_GB2312" w:hAnsi="黑体" w:eastAsia="仿宋_GB2312" w:cs="Arial"/>
          <w:color w:val="auto"/>
          <w:sz w:val="32"/>
          <w:szCs w:val="32"/>
          <w:highlight w:val="none"/>
          <w:lang w:val="en-US" w:eastAsia="zh-CN"/>
        </w:rPr>
        <w:t>3</w:t>
      </w:r>
      <w:r>
        <w:rPr>
          <w:rFonts w:hint="eastAsia" w:ascii="仿宋_GB2312" w:hAnsi="Calibri" w:eastAsia="仿宋_GB2312" w:cs="Arial"/>
          <w:color w:val="auto"/>
          <w:sz w:val="32"/>
          <w:szCs w:val="32"/>
          <w:highlight w:val="none"/>
        </w:rPr>
        <w:t xml:space="preserve">号   </w:t>
      </w:r>
    </w:p>
    <w:p w14:paraId="48EDA33E">
      <w:pPr>
        <w:keepNext w:val="0"/>
        <w:keepLines w:val="0"/>
        <w:pageBreakBefore w:val="0"/>
        <w:widowControl w:val="0"/>
        <w:kinsoku/>
        <w:wordWrap/>
        <w:overflowPunct/>
        <w:topLinePunct w:val="0"/>
        <w:bidi w:val="0"/>
        <w:snapToGrid w:val="0"/>
        <w:spacing w:line="560" w:lineRule="exact"/>
        <w:rPr>
          <w:rFonts w:hint="eastAsia" w:ascii="Calibri" w:hAnsi="Calibri" w:eastAsia="宋体" w:cs="Arial"/>
          <w:color w:val="auto"/>
          <w:sz w:val="44"/>
          <w:szCs w:val="44"/>
          <w:highlight w:val="none"/>
        </w:rPr>
      </w:pPr>
      <w:r>
        <w:rPr>
          <w:rFonts w:ascii="Calibri" w:hAnsi="Calibri" w:eastAsia="宋体" w:cs="Arial"/>
          <w:color w:val="auto"/>
          <w:sz w:val="28"/>
          <w:szCs w:val="28"/>
          <w:highlight w:val="none"/>
        </w:rPr>
        <w:t xml:space="preserve"> </w:t>
      </w:r>
    </w:p>
    <w:p w14:paraId="30939483">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锡林郭勒盟生态环境局</w:t>
      </w:r>
    </w:p>
    <w:p w14:paraId="07B98FEB">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bookmarkStart w:id="0" w:name="OLE_LINK1"/>
      <w:r>
        <w:rPr>
          <w:rFonts w:hint="eastAsia" w:ascii="方正小标宋简体" w:hAnsi="Calibri" w:eastAsia="方正小标宋简体" w:cs="Arial"/>
          <w:color w:val="auto"/>
          <w:sz w:val="44"/>
          <w:szCs w:val="44"/>
          <w:highlight w:val="none"/>
        </w:rPr>
        <w:t>关于</w:t>
      </w:r>
      <w:r>
        <w:rPr>
          <w:rFonts w:hint="eastAsia" w:ascii="方正小标宋简体" w:hAnsi="Calibri" w:eastAsia="方正小标宋简体" w:cs="Arial"/>
          <w:color w:val="auto"/>
          <w:sz w:val="44"/>
          <w:szCs w:val="44"/>
          <w:highlight w:val="none"/>
          <w:lang w:eastAsia="zh-CN"/>
        </w:rPr>
        <w:t>巴</w:t>
      </w:r>
      <w:r>
        <w:rPr>
          <w:rFonts w:hint="eastAsia" w:ascii="方正小标宋简体" w:hAnsi="Calibri" w:eastAsia="方正小标宋简体" w:cs="Arial"/>
          <w:color w:val="auto"/>
          <w:sz w:val="44"/>
          <w:szCs w:val="44"/>
          <w:highlight w:val="none"/>
          <w:lang w:val="en-US" w:eastAsia="zh-CN"/>
        </w:rPr>
        <w:t>96X</w:t>
      </w:r>
      <w:r>
        <w:rPr>
          <w:rFonts w:hint="eastAsia" w:ascii="方正小标宋简体" w:hAnsi="Calibri" w:eastAsia="方正小标宋简体" w:cs="Arial"/>
          <w:color w:val="auto"/>
          <w:sz w:val="44"/>
          <w:szCs w:val="44"/>
          <w:highlight w:val="none"/>
        </w:rPr>
        <w:t>井勘探项目环境影响</w:t>
      </w:r>
    </w:p>
    <w:p w14:paraId="745B315E">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 xml:space="preserve">报告表的批复 </w:t>
      </w:r>
    </w:p>
    <w:bookmarkEnd w:id="0"/>
    <w:p w14:paraId="5C50DEFA">
      <w:pPr>
        <w:keepNext w:val="0"/>
        <w:keepLines w:val="0"/>
        <w:pageBreakBefore w:val="0"/>
        <w:widowControl w:val="0"/>
        <w:kinsoku/>
        <w:wordWrap/>
        <w:overflowPunct/>
        <w:topLinePunct w:val="0"/>
        <w:bidi w:val="0"/>
        <w:adjustRightInd w:val="0"/>
        <w:snapToGrid w:val="0"/>
        <w:spacing w:line="560" w:lineRule="exact"/>
        <w:jc w:val="left"/>
        <w:rPr>
          <w:rFonts w:hint="eastAsia" w:ascii="仿宋_GB2312" w:hAnsi="Calibri" w:eastAsia="仿宋_GB2312" w:cs="Arial"/>
          <w:color w:val="auto"/>
          <w:sz w:val="36"/>
          <w:szCs w:val="36"/>
          <w:highlight w:val="none"/>
        </w:rPr>
      </w:pPr>
      <w:r>
        <w:rPr>
          <w:rFonts w:hint="eastAsia" w:ascii="方正小标宋简体" w:hAnsi="Calibri" w:eastAsia="方正小标宋简体" w:cs="Arial"/>
          <w:color w:val="auto"/>
          <w:sz w:val="44"/>
          <w:szCs w:val="44"/>
          <w:highlight w:val="none"/>
          <w:lang w:val="en-US" w:eastAsia="zh-CN"/>
        </w:rPr>
        <w:t xml:space="preserve"> </w:t>
      </w:r>
      <w:r>
        <w:rPr>
          <w:rFonts w:hint="eastAsia" w:ascii="仿宋_GB2312" w:hAnsi="Calibri" w:eastAsia="仿宋_GB2312" w:cs="Arial"/>
          <w:color w:val="auto"/>
          <w:sz w:val="36"/>
          <w:szCs w:val="36"/>
          <w:highlight w:val="none"/>
        </w:rPr>
        <w:t xml:space="preserve"> </w:t>
      </w:r>
    </w:p>
    <w:p w14:paraId="0B963E6F">
      <w:pPr>
        <w:keepNext w:val="0"/>
        <w:keepLines w:val="0"/>
        <w:pageBreakBefore w:val="0"/>
        <w:widowControl w:val="0"/>
        <w:kinsoku/>
        <w:wordWrap/>
        <w:overflowPunct/>
        <w:topLinePunct w:val="0"/>
        <w:autoSpaceDN/>
        <w:bidi w:val="0"/>
        <w:spacing w:line="52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中国石油华北油田公司二连分公司</w:t>
      </w:r>
      <w:r>
        <w:rPr>
          <w:rFonts w:hint="eastAsia" w:ascii="仿宋_GB2312" w:hAnsi="仿宋_GB2312" w:eastAsia="仿宋_GB2312" w:cs="仿宋_GB2312"/>
          <w:color w:val="auto"/>
          <w:sz w:val="32"/>
          <w:szCs w:val="32"/>
          <w:highlight w:val="none"/>
          <w:lang w:eastAsia="zh-CN"/>
        </w:rPr>
        <w:t>：</w:t>
      </w:r>
    </w:p>
    <w:p w14:paraId="5597E2B4">
      <w:pPr>
        <w:keepNext w:val="0"/>
        <w:keepLines w:val="0"/>
        <w:pageBreakBefore w:val="0"/>
        <w:widowControl w:val="0"/>
        <w:kinsoku/>
        <w:wordWrap/>
        <w:overflowPunct/>
        <w:topLinePunct w:val="0"/>
        <w:autoSpaceDE w:val="0"/>
        <w:autoSpaceDN/>
        <w:bidi w:val="0"/>
        <w:adjustRightInd w:val="0"/>
        <w:snapToGrid w:val="0"/>
        <w:spacing w:line="52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你公司委托</w:t>
      </w:r>
      <w:r>
        <w:rPr>
          <w:rFonts w:hint="eastAsia" w:ascii="仿宋_GB2312" w:hAnsi="仿宋_GB2312" w:eastAsia="仿宋_GB2312" w:cs="仿宋_GB2312"/>
          <w:bCs/>
          <w:color w:val="auto"/>
          <w:sz w:val="32"/>
          <w:szCs w:val="32"/>
          <w:highlight w:val="none"/>
          <w:lang w:val="en-US" w:eastAsia="zh-CN"/>
        </w:rPr>
        <w:t>河北油诚安全评价有限公司</w:t>
      </w:r>
      <w:r>
        <w:rPr>
          <w:rFonts w:hint="eastAsia" w:ascii="仿宋_GB2312" w:hAnsi="仿宋_GB2312" w:eastAsia="仿宋_GB2312" w:cs="仿宋_GB2312"/>
          <w:bCs/>
          <w:color w:val="auto"/>
          <w:sz w:val="32"/>
          <w:szCs w:val="32"/>
          <w:highlight w:val="none"/>
        </w:rPr>
        <w:t>编制的《</w:t>
      </w:r>
      <w:r>
        <w:rPr>
          <w:rFonts w:hint="eastAsia" w:ascii="仿宋_GB2312" w:hAnsi="仿宋_GB2312" w:eastAsia="仿宋_GB2312" w:cs="仿宋_GB2312"/>
          <w:bCs/>
          <w:color w:val="auto"/>
          <w:sz w:val="32"/>
          <w:szCs w:val="32"/>
          <w:highlight w:val="none"/>
          <w:lang w:eastAsia="zh-CN"/>
        </w:rPr>
        <w:t>巴</w:t>
      </w:r>
      <w:r>
        <w:rPr>
          <w:rFonts w:hint="eastAsia" w:ascii="仿宋_GB2312" w:hAnsi="仿宋_GB2312" w:eastAsia="仿宋_GB2312" w:cs="仿宋_GB2312"/>
          <w:bCs/>
          <w:color w:val="auto"/>
          <w:sz w:val="32"/>
          <w:szCs w:val="32"/>
          <w:highlight w:val="none"/>
          <w:lang w:val="en-US" w:eastAsia="zh-CN"/>
        </w:rPr>
        <w:t>96X</w:t>
      </w:r>
      <w:r>
        <w:rPr>
          <w:rFonts w:hint="eastAsia" w:ascii="仿宋_GB2312" w:hAnsi="仿宋_GB2312" w:eastAsia="仿宋_GB2312" w:cs="仿宋_GB2312"/>
          <w:bCs/>
          <w:color w:val="auto"/>
          <w:sz w:val="32"/>
          <w:szCs w:val="32"/>
          <w:highlight w:val="none"/>
        </w:rPr>
        <w:t>井勘探项目环境影响报告表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收悉，现批复如下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p>
    <w:p w14:paraId="676C3D2C">
      <w:pPr>
        <w:keepNext w:val="0"/>
        <w:keepLines w:val="0"/>
        <w:pageBreakBefore w:val="0"/>
        <w:widowControl w:val="0"/>
        <w:kinsoku/>
        <w:wordWrap/>
        <w:overflowPunct/>
        <w:topLinePunct w:val="0"/>
        <w:autoSpaceDE w:val="0"/>
        <w:autoSpaceDN/>
        <w:bidi w:val="0"/>
        <w:adjustRightInd w:val="0"/>
        <w:snapToGrid w:val="0"/>
        <w:spacing w:line="52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一、建设项目基本情况</w:t>
      </w:r>
    </w:p>
    <w:p w14:paraId="0F8E80A7">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本项目位于内蒙古自治区锡林郭勒盟东乌珠穆沁旗</w:t>
      </w:r>
      <w:r>
        <w:rPr>
          <w:rFonts w:hint="eastAsia" w:ascii="仿宋_GB2312" w:hAnsi="仿宋_GB2312" w:eastAsia="仿宋_GB2312" w:cs="仿宋_GB2312"/>
          <w:color w:val="auto"/>
          <w:sz w:val="32"/>
          <w:szCs w:val="32"/>
          <w:highlight w:val="none"/>
          <w:lang w:eastAsia="zh-CN"/>
        </w:rPr>
        <w:t>嘎达布其镇巴彦都兰嘎查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井场中心坐标为东经：116°20′38.231″北纬：45°32′39.450″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属于</w:t>
      </w:r>
      <w:r>
        <w:rPr>
          <w:rFonts w:hint="eastAsia" w:ascii="仿宋_GB2312" w:hAnsi="仿宋_GB2312" w:eastAsia="仿宋_GB2312" w:cs="仿宋_GB2312"/>
          <w:color w:val="auto"/>
          <w:sz w:val="32"/>
          <w:szCs w:val="32"/>
          <w:highlight w:val="none"/>
          <w:lang w:val="en-US" w:eastAsia="zh-CN"/>
        </w:rPr>
        <w:t>新建项目，拟建设钻探评价井一口，设计井深为2250m，采用二开井深结构，总占地面积15481m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本项目主体工程为钻前工程、钻井工程（设置泥浆不落地循环系统装置）、试油工程、封井作业；辅助工程为施工围挡、钻井测定装置、钻井监控装置、施工营地；储运工程为原材料堆存区、柴油罐、废水罐、撬装式危废贮存点、储液罐；依托工程为宝一联合站、钻井泥浆集中处理站。</w:t>
      </w:r>
      <w:r>
        <w:rPr>
          <w:rFonts w:hint="eastAsia" w:ascii="仿宋_GB2312" w:hAnsi="仿宋_GB2312" w:eastAsia="仿宋_GB2312" w:cs="仿宋_GB2312"/>
          <w:bCs/>
          <w:color w:val="auto"/>
          <w:sz w:val="32"/>
          <w:szCs w:val="32"/>
          <w:highlight w:val="none"/>
          <w:lang w:val="en-US" w:eastAsia="zh-CN"/>
        </w:rPr>
        <w:t>总投资585</w:t>
      </w:r>
      <w:r>
        <w:rPr>
          <w:rFonts w:hint="eastAsia" w:ascii="仿宋_GB2312" w:hAnsi="仿宋_GB2312" w:eastAsia="仿宋_GB2312" w:cs="仿宋_GB2312"/>
          <w:bCs/>
          <w:color w:val="auto"/>
          <w:sz w:val="32"/>
          <w:szCs w:val="32"/>
          <w:highlight w:val="none"/>
        </w:rPr>
        <w:t>万元，环保投资</w:t>
      </w:r>
      <w:r>
        <w:rPr>
          <w:rFonts w:hint="eastAsia" w:ascii="仿宋_GB2312" w:hAnsi="仿宋_GB2312" w:eastAsia="仿宋_GB2312" w:cs="仿宋_GB2312"/>
          <w:color w:val="auto"/>
          <w:sz w:val="32"/>
          <w:szCs w:val="32"/>
          <w:highlight w:val="none"/>
          <w:lang w:val="en-US" w:eastAsia="zh-CN"/>
        </w:rPr>
        <w:t>35.1</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占总投资的</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sz w:val="32"/>
          <w:szCs w:val="32"/>
          <w:highlight w:val="none"/>
        </w:rPr>
        <w:t>。</w:t>
      </w:r>
    </w:p>
    <w:p w14:paraId="290BDC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GB" w:eastAsia="zh-CN"/>
        </w:rPr>
        <w:t>依</w:t>
      </w:r>
      <w:r>
        <w:rPr>
          <w:rFonts w:hint="eastAsia" w:ascii="仿宋_GB2312" w:hAnsi="仿宋_GB2312" w:eastAsia="仿宋_GB2312" w:cs="仿宋_GB2312"/>
          <w:color w:val="auto"/>
          <w:sz w:val="32"/>
          <w:szCs w:val="32"/>
          <w:highlight w:val="none"/>
          <w:lang w:val="en-GB"/>
        </w:rPr>
        <w:t>据</w:t>
      </w:r>
      <w:r>
        <w:rPr>
          <w:rFonts w:hint="eastAsia" w:ascii="仿宋_GB2312" w:hAnsi="仿宋_GB2312" w:eastAsia="仿宋_GB2312" w:cs="仿宋_GB2312"/>
          <w:color w:val="auto"/>
          <w:sz w:val="32"/>
          <w:szCs w:val="32"/>
          <w:highlight w:val="none"/>
          <w:lang w:val="en-GB" w:eastAsia="zh-CN"/>
        </w:rPr>
        <w:t>《产业结构调整指导目录(2024年本)》</w:t>
      </w:r>
      <w:r>
        <w:rPr>
          <w:rFonts w:hint="eastAsia" w:ascii="仿宋_GB2312" w:hAnsi="仿宋_GB2312" w:eastAsia="仿宋_GB2312" w:cs="仿宋_GB2312"/>
          <w:color w:val="auto"/>
          <w:sz w:val="32"/>
          <w:szCs w:val="32"/>
          <w:highlight w:val="none"/>
          <w:lang w:val="en-GB"/>
        </w:rPr>
        <w:t>，本项目属于</w:t>
      </w:r>
      <w:r>
        <w:rPr>
          <w:rFonts w:hint="eastAsia" w:ascii="仿宋_GB2312" w:hAnsi="仿宋_GB2312" w:eastAsia="仿宋_GB2312" w:cs="仿宋_GB2312"/>
          <w:color w:val="auto"/>
          <w:sz w:val="32"/>
          <w:szCs w:val="32"/>
          <w:highlight w:val="none"/>
          <w:lang w:val="en-US" w:eastAsia="zh-CN"/>
        </w:rPr>
        <w:t>鼓励类建设项目。</w:t>
      </w:r>
      <w:r>
        <w:rPr>
          <w:rFonts w:hint="eastAsia" w:ascii="仿宋_GB2312" w:hAnsi="仿宋_GB2312" w:eastAsia="仿宋_GB2312" w:cs="仿宋_GB2312"/>
          <w:color w:val="auto"/>
          <w:sz w:val="32"/>
          <w:szCs w:val="32"/>
          <w:highlight w:val="none"/>
          <w:lang w:val="en-GB" w:eastAsia="zh-CN"/>
        </w:rPr>
        <w:t>符合</w:t>
      </w:r>
      <w:r>
        <w:rPr>
          <w:rFonts w:hint="eastAsia" w:ascii="仿宋_GB2312" w:hAnsi="仿宋_GB2312" w:eastAsia="仿宋_GB2312" w:cs="仿宋_GB2312"/>
          <w:color w:val="auto"/>
          <w:sz w:val="32"/>
          <w:szCs w:val="32"/>
          <w:highlight w:val="none"/>
          <w:lang w:val="en-US" w:eastAsia="zh-CN"/>
        </w:rPr>
        <w:t>国家相关法律法规，符合</w:t>
      </w:r>
      <w:r>
        <w:rPr>
          <w:rFonts w:hint="eastAsia" w:ascii="仿宋_GB2312" w:hAnsi="仿宋_GB2312" w:eastAsia="仿宋_GB2312" w:cs="仿宋_GB2312"/>
          <w:color w:val="auto"/>
          <w:sz w:val="32"/>
          <w:szCs w:val="32"/>
          <w:highlight w:val="none"/>
          <w:lang w:val="en-GB" w:eastAsia="zh-CN"/>
        </w:rPr>
        <w:t>国家产业政策要求</w:t>
      </w:r>
      <w:r>
        <w:rPr>
          <w:rFonts w:hint="eastAsia" w:ascii="仿宋_GB2312" w:hAnsi="仿宋_GB2312" w:eastAsia="仿宋_GB2312" w:cs="仿宋_GB2312"/>
          <w:color w:val="auto"/>
          <w:sz w:val="32"/>
          <w:szCs w:val="32"/>
          <w:highlight w:val="none"/>
          <w:lang w:val="en-US" w:eastAsia="zh-CN"/>
        </w:rPr>
        <w:t>及我盟“三线一单”管控要求。在全面落实《</w:t>
      </w:r>
      <w:r>
        <w:rPr>
          <w:rFonts w:hint="eastAsia" w:ascii="仿宋_GB2312" w:hAnsi="仿宋_GB2312" w:eastAsia="仿宋_GB2312" w:cs="仿宋_GB2312"/>
          <w:b w:val="0"/>
          <w:bCs/>
          <w:color w:val="auto"/>
          <w:sz w:val="32"/>
          <w:szCs w:val="32"/>
          <w:highlight w:val="none"/>
          <w:u w:val="none"/>
          <w:lang w:val="en-US" w:eastAsia="zh-CN"/>
        </w:rPr>
        <w:t>报告表</w:t>
      </w:r>
      <w:r>
        <w:rPr>
          <w:rFonts w:hint="eastAsia" w:ascii="仿宋_GB2312" w:hAnsi="仿宋_GB2312" w:eastAsia="仿宋_GB2312" w:cs="仿宋_GB2312"/>
          <w:color w:val="auto"/>
          <w:sz w:val="32"/>
          <w:szCs w:val="32"/>
          <w:highlight w:val="none"/>
          <w:lang w:val="en-US" w:eastAsia="zh-CN"/>
        </w:rPr>
        <w:t>》中提出的各项污染防治措施后，可使环境污染和生态破坏控制在允许范围内，从生态环境保护的角度分析，该项目建设可行。</w:t>
      </w:r>
    </w:p>
    <w:p w14:paraId="2D249FA8">
      <w:pPr>
        <w:keepNext w:val="0"/>
        <w:keepLines w:val="0"/>
        <w:pageBreakBefore w:val="0"/>
        <w:widowControl w:val="0"/>
        <w:kinsoku/>
        <w:wordWrap/>
        <w:overflowPunct/>
        <w:topLinePunct w:val="0"/>
        <w:bidi w:val="0"/>
        <w:spacing w:line="560" w:lineRule="exact"/>
        <w:ind w:firstLine="640" w:firstLineChars="200"/>
        <w:rPr>
          <w:rFonts w:hint="eastAsia" w:ascii="黑体" w:hAnsi="黑体" w:eastAsia="黑体" w:cs="Arial"/>
          <w:color w:val="auto"/>
          <w:sz w:val="32"/>
          <w:szCs w:val="32"/>
          <w:highlight w:val="none"/>
          <w:lang w:eastAsia="zh-CN"/>
        </w:rPr>
      </w:pPr>
      <w:r>
        <w:rPr>
          <w:rFonts w:hint="eastAsia" w:ascii="黑体" w:hAnsi="黑体" w:eastAsia="黑体" w:cs="Arial"/>
          <w:color w:val="auto"/>
          <w:sz w:val="32"/>
          <w:szCs w:val="32"/>
          <w:highlight w:val="none"/>
        </w:rPr>
        <w:t>二、项目建设</w:t>
      </w:r>
      <w:r>
        <w:rPr>
          <w:rFonts w:hint="eastAsia" w:ascii="黑体" w:hAnsi="黑体" w:eastAsia="黑体" w:cs="Arial"/>
          <w:color w:val="auto"/>
          <w:sz w:val="32"/>
          <w:szCs w:val="32"/>
          <w:highlight w:val="none"/>
          <w:lang w:val="en-US" w:eastAsia="zh-CN"/>
        </w:rPr>
        <w:t>过程中的相关责任</w:t>
      </w:r>
    </w:p>
    <w:p w14:paraId="2F1F59E6">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（一）废气方面</w:t>
      </w:r>
    </w:p>
    <w:p w14:paraId="5E78B5C7">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eastAsia="仿宋_GB2312"/>
          <w:color w:val="auto"/>
          <w:sz w:val="32"/>
          <w:szCs w:val="32"/>
          <w:highlight w:val="none"/>
          <w:shd w:val="clear" w:color="auto" w:fill="FFFFFF"/>
          <w:lang w:val="en-US" w:eastAsia="zh-CN"/>
        </w:rPr>
      </w:pPr>
      <w:r>
        <w:rPr>
          <w:rFonts w:hint="eastAsia" w:ascii="仿宋_GB2312" w:eastAsia="仿宋_GB2312"/>
          <w:color w:val="auto"/>
          <w:sz w:val="32"/>
          <w:szCs w:val="32"/>
          <w:highlight w:val="none"/>
          <w:shd w:val="clear" w:color="auto" w:fill="FFFFFF"/>
          <w:lang w:val="en-US" w:eastAsia="zh-CN"/>
        </w:rPr>
        <w:t>施工期现场采取围挡，通过物料苫盖、施工场地和路面洒水降尘、车辆减速慢行、物料密闭运输、遇到恶劣天气禁止施工作业等措施，抑制施工扬尘污染，严格执行《大气污染物综合排放标准》（GB16297-1996）要求。油气集输过程中采取浸没式装车、密闭集输、防腐储罐等措施，定期对井场设备、管线、阀门等进行检查、检修，防止烃类泄漏及挥发，严格执行《陆上石油天然气开采工业大气污染物排放标准》（GB39728-2020）；柴油机使用轻质燃料，定期检查、检修，不得超负荷运行。</w:t>
      </w:r>
    </w:p>
    <w:p w14:paraId="6A196A56">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（二）废水方面</w:t>
      </w:r>
    </w:p>
    <w:p w14:paraId="055C99E9">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生活污水经收集后</w:t>
      </w:r>
      <w:r>
        <w:rPr>
          <w:rFonts w:hint="eastAsia" w:ascii="仿宋_GB2312" w:hAnsi="仿宋_GB2312" w:eastAsia="仿宋_GB2312" w:cs="仿宋_GB2312"/>
          <w:sz w:val="32"/>
          <w:szCs w:val="32"/>
          <w:highlight w:val="none"/>
          <w:lang w:val="en-US" w:eastAsia="zh-CN"/>
        </w:rPr>
        <w:t>由密闭罐车</w:t>
      </w:r>
      <w:r>
        <w:rPr>
          <w:rFonts w:hint="eastAsia" w:ascii="仿宋_GB2312" w:hAnsi="仿宋_GB2312" w:eastAsia="仿宋_GB2312" w:cs="仿宋_GB2312"/>
          <w:sz w:val="32"/>
          <w:szCs w:val="32"/>
          <w:highlight w:val="none"/>
        </w:rPr>
        <w:t>拉运至</w:t>
      </w:r>
      <w:r>
        <w:rPr>
          <w:rFonts w:hint="eastAsia" w:ascii="仿宋_GB2312" w:hAnsi="仿宋_GB2312" w:eastAsia="仿宋_GB2312" w:cs="仿宋_GB2312"/>
          <w:sz w:val="32"/>
          <w:szCs w:val="32"/>
          <w:highlight w:val="none"/>
          <w:lang w:val="en-US" w:eastAsia="zh-CN"/>
        </w:rPr>
        <w:t>乌里雅斯太镇</w:t>
      </w:r>
      <w:r>
        <w:rPr>
          <w:rFonts w:hint="eastAsia" w:ascii="仿宋_GB2312" w:hAnsi="仿宋_GB2312" w:eastAsia="仿宋_GB2312" w:cs="仿宋_GB2312"/>
          <w:sz w:val="32"/>
          <w:szCs w:val="32"/>
          <w:highlight w:val="none"/>
        </w:rPr>
        <w:t>生活污水处理</w:t>
      </w:r>
      <w:r>
        <w:rPr>
          <w:rFonts w:hint="eastAsia" w:ascii="仿宋_GB2312" w:hAnsi="仿宋_GB2312" w:eastAsia="仿宋_GB2312" w:cs="仿宋_GB2312"/>
          <w:sz w:val="32"/>
          <w:szCs w:val="32"/>
          <w:highlight w:val="none"/>
          <w:lang w:val="en-US" w:eastAsia="zh-CN"/>
        </w:rPr>
        <w:t>厂进行处理</w:t>
      </w:r>
      <w:r>
        <w:rPr>
          <w:rFonts w:hint="eastAsia" w:ascii="仿宋_GB2312" w:hAnsi="仿宋_GB2312" w:eastAsia="仿宋_GB2312" w:cs="仿宋_GB2312"/>
          <w:sz w:val="32"/>
          <w:szCs w:val="32"/>
          <w:highlight w:val="none"/>
        </w:rPr>
        <w:t>；钻井废水随同废弃泥浆、岩屑拉运至钻井泥浆集中处理站处理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洗井</w:t>
      </w:r>
      <w:r>
        <w:rPr>
          <w:rFonts w:hint="eastAsia" w:ascii="仿宋_GB2312" w:hAnsi="仿宋_GB2312" w:eastAsia="仿宋_GB2312" w:cs="仿宋_GB2312"/>
          <w:sz w:val="32"/>
          <w:szCs w:val="32"/>
          <w:highlight w:val="none"/>
        </w:rPr>
        <w:t>废水经集中收集后由密闭罐车拉运至</w:t>
      </w:r>
      <w:r>
        <w:rPr>
          <w:rFonts w:hint="eastAsia" w:ascii="仿宋_GB2312" w:hAnsi="仿宋_GB2312" w:eastAsia="仿宋_GB2312" w:cs="仿宋_GB2312"/>
          <w:sz w:val="32"/>
          <w:szCs w:val="32"/>
          <w:highlight w:val="none"/>
          <w:lang w:eastAsia="zh-CN"/>
        </w:rPr>
        <w:t>宝一联合站</w:t>
      </w:r>
      <w:r>
        <w:rPr>
          <w:rFonts w:hint="eastAsia" w:ascii="仿宋_GB2312" w:hAnsi="仿宋_GB2312" w:eastAsia="仿宋_GB2312" w:cs="仿宋_GB2312"/>
          <w:sz w:val="32"/>
          <w:szCs w:val="32"/>
          <w:highlight w:val="none"/>
          <w:lang w:val="en-US" w:eastAsia="zh-CN"/>
        </w:rPr>
        <w:t>处理</w:t>
      </w:r>
      <w:r>
        <w:rPr>
          <w:rFonts w:hint="eastAsia" w:ascii="仿宋_GB2312" w:hAnsi="仿宋_GB2312" w:eastAsia="仿宋_GB2312" w:cs="仿宋_GB2312"/>
          <w:sz w:val="32"/>
          <w:szCs w:val="32"/>
          <w:highlight w:val="none"/>
        </w:rPr>
        <w:t>，处理达标后回注现役油气藏，严禁向外环境排放。严格落实一般防渗区、重点防渗区防渗措施。</w:t>
      </w:r>
      <w:r>
        <w:rPr>
          <w:rFonts w:hint="eastAsia" w:ascii="仿宋_GB2312" w:hAnsi="仿宋_GB2312" w:eastAsia="仿宋_GB2312" w:cs="仿宋_GB2312"/>
          <w:sz w:val="32"/>
          <w:szCs w:val="32"/>
          <w:highlight w:val="none"/>
          <w:lang w:val="en-US" w:eastAsia="zh-CN"/>
        </w:rPr>
        <w:t xml:space="preserve"> </w:t>
      </w:r>
    </w:p>
    <w:p w14:paraId="00F1E2E5">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kern w:val="0"/>
          <w:sz w:val="32"/>
          <w:szCs w:val="32"/>
          <w:highlight w:val="none"/>
          <w:lang w:eastAsia="zh-CN"/>
        </w:rPr>
      </w:pPr>
      <w:r>
        <w:rPr>
          <w:rFonts w:hint="eastAsia" w:ascii="楷体_GB2312" w:hAnsi="Calibri" w:eastAsia="楷体_GB2312" w:cs="Arial"/>
          <w:b/>
          <w:bCs/>
          <w:color w:val="auto"/>
          <w:kern w:val="0"/>
          <w:sz w:val="32"/>
          <w:szCs w:val="32"/>
          <w:highlight w:val="none"/>
        </w:rPr>
        <w:t>（三）噪声方面</w:t>
      </w:r>
    </w:p>
    <w:p w14:paraId="52F21DA8">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Calibri" w:eastAsia="仿宋_GB2312" w:cs="Arial"/>
          <w:color w:val="auto"/>
          <w:sz w:val="32"/>
          <w:szCs w:val="32"/>
          <w:highlight w:val="none"/>
          <w:lang w:val="en-US" w:eastAsia="zh-CN"/>
        </w:rPr>
      </w:pPr>
      <w:r>
        <w:rPr>
          <w:rFonts w:hint="eastAsia" w:ascii="仿宋_GB2312" w:hAnsi="Calibri" w:eastAsia="仿宋_GB2312" w:cs="Arial"/>
          <w:color w:val="auto"/>
          <w:sz w:val="32"/>
          <w:szCs w:val="32"/>
          <w:highlight w:val="none"/>
          <w:lang w:val="en-US" w:eastAsia="zh-CN"/>
        </w:rPr>
        <w:t>施工期加强运输车辆管理，采取减速慢行、禁止鸣笛等措施，采取减振、降噪等先进技术措施，选用低噪声设备和工艺减轻噪声污染。施工期噪声执行《建筑施工噪声排放标准》（GB12523-2025）。</w:t>
      </w:r>
    </w:p>
    <w:p w14:paraId="66872328">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（四）固废方面</w:t>
      </w:r>
    </w:p>
    <w:p w14:paraId="458E8FE3">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Calibri" w:eastAsia="仿宋_GB2312" w:cs="Arial"/>
          <w:color w:val="auto"/>
          <w:sz w:val="32"/>
          <w:szCs w:val="32"/>
          <w:highlight w:val="none"/>
          <w:lang w:val="en-US" w:eastAsia="zh-CN"/>
        </w:rPr>
        <w:t>施工期产生的弃土、弃料等随产随清，及时回收综合利用或及时清运至正规处置场所；产生的废弃泥浆、岩屑收集后交由钻井泥浆集中处理站进行处理；产生的生活垃圾集中收集后规范处置。严格执行《一般工业固体废物贮存和填埋污染控制标准》（GB18599-2020）。施工期产生的废润滑油、落地油、废防渗材料及其他危险废物委托有资质的单位进行处置，严格执行《危险废物贮存污染控制标准》（GB18597-2023）、《危险废物收集、贮存、运输技术规范》（HJ2025-2012）等相关法律法规及管理要求，张贴危险废物标识，建立危险废物台账，如实记载危险废物种类、数量、性质、产生环节、流向、贮存、利用处置等信息。</w:t>
      </w:r>
    </w:p>
    <w:p w14:paraId="70505458">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sz w:val="32"/>
          <w:szCs w:val="32"/>
          <w:highlight w:val="none"/>
          <w:lang w:val="en-US" w:eastAsia="zh-CN"/>
        </w:rPr>
      </w:pPr>
      <w:r>
        <w:rPr>
          <w:rFonts w:hint="eastAsia" w:ascii="楷体_GB2312" w:hAnsi="Calibri" w:eastAsia="楷体_GB2312" w:cs="Arial"/>
          <w:b/>
          <w:bCs/>
          <w:color w:val="auto"/>
          <w:sz w:val="32"/>
          <w:szCs w:val="32"/>
          <w:highlight w:val="none"/>
        </w:rPr>
        <w:t>（</w:t>
      </w:r>
      <w:r>
        <w:rPr>
          <w:rFonts w:hint="eastAsia" w:ascii="楷体_GB2312" w:hAnsi="Calibri" w:eastAsia="楷体_GB2312" w:cs="Arial"/>
          <w:b/>
          <w:bCs/>
          <w:color w:val="auto"/>
          <w:sz w:val="32"/>
          <w:szCs w:val="32"/>
          <w:highlight w:val="none"/>
          <w:lang w:val="en-US" w:eastAsia="zh-CN"/>
        </w:rPr>
        <w:t>五</w:t>
      </w:r>
      <w:r>
        <w:rPr>
          <w:rFonts w:hint="eastAsia" w:ascii="楷体_GB2312" w:hAnsi="Calibri" w:eastAsia="楷体_GB2312" w:cs="Arial"/>
          <w:b/>
          <w:bCs/>
          <w:color w:val="auto"/>
          <w:sz w:val="32"/>
          <w:szCs w:val="32"/>
          <w:highlight w:val="none"/>
        </w:rPr>
        <w:t>）</w:t>
      </w:r>
      <w:r>
        <w:rPr>
          <w:rFonts w:hint="eastAsia" w:ascii="楷体_GB2312" w:hAnsi="Calibri" w:eastAsia="楷体_GB2312" w:cs="Arial"/>
          <w:b/>
          <w:bCs/>
          <w:color w:val="auto"/>
          <w:sz w:val="32"/>
          <w:szCs w:val="32"/>
          <w:highlight w:val="none"/>
          <w:lang w:val="en-US" w:eastAsia="zh-CN"/>
        </w:rPr>
        <w:t>生态保护</w:t>
      </w:r>
      <w:r>
        <w:rPr>
          <w:rFonts w:hint="eastAsia" w:ascii="楷体_GB2312" w:hAnsi="Calibri" w:eastAsia="楷体_GB2312" w:cs="Arial"/>
          <w:b/>
          <w:bCs/>
          <w:color w:val="auto"/>
          <w:sz w:val="32"/>
          <w:szCs w:val="32"/>
          <w:highlight w:val="none"/>
        </w:rPr>
        <w:t>方面</w:t>
      </w:r>
    </w:p>
    <w:p w14:paraId="02A7CE2C">
      <w:pPr>
        <w:keepNext w:val="0"/>
        <w:keepLines w:val="0"/>
        <w:pageBreakBefore w:val="0"/>
        <w:widowControl w:val="0"/>
        <w:shd w:val="clear"/>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施工期剥离表土单独堆存，施工完成后对</w:t>
      </w:r>
      <w:r>
        <w:rPr>
          <w:rFonts w:hint="eastAsia" w:ascii="仿宋_GB2312" w:hAnsi="仿宋_GB2312" w:eastAsia="仿宋_GB2312" w:cs="仿宋_GB2312"/>
          <w:sz w:val="32"/>
          <w:szCs w:val="32"/>
          <w:highlight w:val="none"/>
        </w:rPr>
        <w:t>临时占地进行植被恢复，优先使用原生表土和乡土物种，恢复植被和土壤</w:t>
      </w:r>
      <w:r>
        <w:rPr>
          <w:rFonts w:hint="eastAsia" w:ascii="仿宋_GB2312" w:hAnsi="仿宋_GB2312" w:eastAsia="仿宋_GB2312" w:cs="仿宋_GB2312"/>
          <w:sz w:val="32"/>
          <w:szCs w:val="32"/>
          <w:highlight w:val="none"/>
          <w:lang w:val="en-US" w:eastAsia="zh-CN"/>
        </w:rPr>
        <w:t>。</w:t>
      </w:r>
    </w:p>
    <w:p w14:paraId="4AA74BA2">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执行“三同时”制度</w:t>
      </w:r>
    </w:p>
    <w:p w14:paraId="1A3F4A4C">
      <w:pPr>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本项目建设必须严格执行生态环境保护设施与主体工程同时设计、同时施工、同时投产使用的生态环境保护“三同时”制度。</w:t>
      </w:r>
    </w:p>
    <w:p w14:paraId="5D0C924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（一</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rPr>
        <w:t>将生态环境保护措施纳入初步设计报告并落实环保设施投资概算。</w:t>
      </w:r>
    </w:p>
    <w:p w14:paraId="59EB69CD">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（二</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rPr>
        <w:t>将生态环境保护设施建设纳入施工合同，保证生态环境保护设施建设进度和资金。</w:t>
      </w:r>
    </w:p>
    <w:p w14:paraId="4E167FAF">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（三）项目竣工后须按规定程序实施竣工环境保护验收，验收合格后方可正式投运。</w:t>
      </w:r>
    </w:p>
    <w:p w14:paraId="52680C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四、其他要求</w:t>
      </w:r>
    </w:p>
    <w:p w14:paraId="3D27FB97">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东乌珠穆沁旗生态环境综合行政执法大队对该项目建设期间及运行期间各项生态环境保护措施落实情况进行监督检查和管理。</w:t>
      </w:r>
    </w:p>
    <w:p w14:paraId="73D11A03">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_GB2312" w:hAnsi="Calibri" w:eastAsia="仿宋_GB2312" w:cs="Arial"/>
          <w:color w:val="auto"/>
          <w:sz w:val="32"/>
          <w:szCs w:val="32"/>
          <w:highlight w:val="none"/>
        </w:rPr>
      </w:pPr>
    </w:p>
    <w:p w14:paraId="27896F5A">
      <w:pPr>
        <w:keepNext w:val="0"/>
        <w:keepLines w:val="0"/>
        <w:pageBreakBefore w:val="0"/>
        <w:widowControl w:val="0"/>
        <w:kinsoku/>
        <w:wordWrap/>
        <w:overflowPunct/>
        <w:topLinePunct w:val="0"/>
        <w:autoSpaceDE w:val="0"/>
        <w:autoSpaceDN w:val="0"/>
        <w:bidi w:val="0"/>
        <w:adjustRightInd w:val="0"/>
        <w:snapToGrid/>
        <w:spacing w:line="560" w:lineRule="exact"/>
        <w:ind w:firstLine="4480" w:firstLineChars="14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锡林郭勒盟生态环境局</w:t>
      </w:r>
    </w:p>
    <w:p w14:paraId="7F9712D7">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r>
        <w:rPr>
          <w:rFonts w:hint="eastAsia" w:ascii="仿宋_GB2312" w:hAnsi="Calibri" w:eastAsia="仿宋_GB2312" w:cs="Arial"/>
          <w:color w:val="auto"/>
          <w:sz w:val="32"/>
          <w:szCs w:val="32"/>
          <w:highlight w:val="none"/>
        </w:rPr>
        <w:t xml:space="preserve">                  </w:t>
      </w:r>
      <w:r>
        <w:rPr>
          <w:rFonts w:hint="eastAsia" w:ascii="仿宋_GB2312" w:hAnsi="Calibri" w:eastAsia="仿宋_GB2312" w:cs="Arial"/>
          <w:color w:val="auto"/>
          <w:sz w:val="32"/>
          <w:szCs w:val="32"/>
          <w:highlight w:val="none"/>
          <w:lang w:eastAsia="zh-CN"/>
        </w:rPr>
        <w:t>202</w:t>
      </w:r>
      <w:r>
        <w:rPr>
          <w:rFonts w:hint="eastAsia" w:ascii="仿宋_GB2312" w:hAnsi="Calibri" w:eastAsia="仿宋_GB2312" w:cs="Arial"/>
          <w:color w:val="auto"/>
          <w:sz w:val="32"/>
          <w:szCs w:val="32"/>
          <w:highlight w:val="none"/>
          <w:lang w:val="en-US" w:eastAsia="zh-CN"/>
        </w:rPr>
        <w:t>6</w:t>
      </w:r>
      <w:r>
        <w:rPr>
          <w:rFonts w:hint="eastAsia" w:ascii="仿宋_GB2312" w:hAnsi="Calibri" w:eastAsia="仿宋_GB2312" w:cs="Arial"/>
          <w:color w:val="auto"/>
          <w:sz w:val="32"/>
          <w:szCs w:val="32"/>
          <w:highlight w:val="none"/>
          <w:lang w:eastAsia="zh-CN"/>
        </w:rPr>
        <w:t>年</w:t>
      </w:r>
      <w:r>
        <w:rPr>
          <w:rFonts w:hint="eastAsia" w:ascii="仿宋_GB2312" w:hAnsi="Calibri" w:eastAsia="仿宋_GB2312" w:cs="Arial"/>
          <w:color w:val="auto"/>
          <w:sz w:val="32"/>
          <w:szCs w:val="32"/>
          <w:highlight w:val="none"/>
          <w:lang w:val="en-US" w:eastAsia="zh-CN"/>
        </w:rPr>
        <w:t>4</w:t>
      </w:r>
      <w:r>
        <w:rPr>
          <w:rFonts w:hint="eastAsia" w:ascii="仿宋_GB2312" w:hAnsi="Calibri" w:eastAsia="仿宋_GB2312" w:cs="Arial"/>
          <w:color w:val="auto"/>
          <w:sz w:val="32"/>
          <w:szCs w:val="32"/>
          <w:highlight w:val="none"/>
          <w:lang w:eastAsia="zh-CN"/>
        </w:rPr>
        <w:t>月</w:t>
      </w:r>
      <w:r>
        <w:rPr>
          <w:rFonts w:hint="eastAsia" w:ascii="仿宋_GB2312" w:hAnsi="Calibri" w:eastAsia="仿宋_GB2312" w:cs="Arial"/>
          <w:color w:val="auto"/>
          <w:sz w:val="32"/>
          <w:szCs w:val="32"/>
          <w:highlight w:val="none"/>
          <w:lang w:val="en-US" w:eastAsia="zh-CN"/>
        </w:rPr>
        <w:t>20</w:t>
      </w:r>
      <w:r>
        <w:rPr>
          <w:rFonts w:hint="eastAsia" w:ascii="仿宋_GB2312" w:hAnsi="Calibri" w:eastAsia="仿宋_GB2312" w:cs="Arial"/>
          <w:color w:val="auto"/>
          <w:sz w:val="32"/>
          <w:szCs w:val="32"/>
          <w:highlight w:val="none"/>
          <w:lang w:eastAsia="zh-CN"/>
        </w:rPr>
        <w:t>日</w:t>
      </w:r>
    </w:p>
    <w:p w14:paraId="1B8D1359">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ascii="仿宋_GB2312" w:hAnsi="Calibri" w:eastAsia="仿宋_GB2312" w:cs="Arial"/>
          <w:color w:val="auto"/>
          <w:sz w:val="32"/>
          <w:szCs w:val="32"/>
          <w:highlight w:val="none"/>
          <w:lang w:eastAsia="zh-CN"/>
        </w:rPr>
      </w:pPr>
      <w:bookmarkStart w:id="1" w:name="_GoBack"/>
      <w:bookmarkEnd w:id="1"/>
    </w:p>
    <w:p w14:paraId="61E15974">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default" w:ascii="仿宋_GB2312" w:hAnsi="Calibri" w:eastAsia="仿宋_GB2312" w:cs="Arial"/>
          <w:color w:val="auto"/>
          <w:sz w:val="32"/>
          <w:szCs w:val="32"/>
          <w:highlight w:val="none"/>
          <w:lang w:val="en-US" w:eastAsia="zh-CN"/>
        </w:rPr>
      </w:pPr>
    </w:p>
    <w:p w14:paraId="49EAC187">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default" w:ascii="仿宋_GB2312" w:hAnsi="Calibri" w:eastAsia="仿宋_GB2312" w:cs="Arial"/>
          <w:color w:val="auto"/>
          <w:sz w:val="32"/>
          <w:szCs w:val="32"/>
          <w:highlight w:val="none"/>
          <w:lang w:val="en-US" w:eastAsia="zh-CN"/>
        </w:rPr>
      </w:pPr>
    </w:p>
    <w:p w14:paraId="0CA625FD">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25400</wp:posOffset>
                </wp:positionV>
                <wp:extent cx="5220335" cy="10795"/>
                <wp:effectExtent l="0" t="4445" r="18415" b="13335"/>
                <wp:wrapNone/>
                <wp:docPr id="12" name="直接箭头连接符 12"/>
                <wp:cNvGraphicFramePr/>
                <a:graphic xmlns:a="http://schemas.openxmlformats.org/drawingml/2006/main">
                  <a:graphicData uri="http://schemas.microsoft.com/office/word/2010/wordprocessingShape">
                    <wps:wsp>
                      <wps:cNvCnPr/>
                      <wps:spPr>
                        <a:xfrm flipV="1">
                          <a:off x="0" y="0"/>
                          <a:ext cx="522033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pt;margin-top:2pt;height:0.85pt;width:411.05pt;z-index:251659264;mso-width-relative:page;mso-height-relative:page;" filled="f" stroked="t" coordsize="21600,21600" o:gfxdata="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u6p5TVAAAABQEAAA8AAAAAAAAAAQAgAAAAIgAA&#10;AGRycy9kb3ducmV2LnhtbFBLAQIUABQAAAAIAIdO4kBCcdFb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4"/>
          <w:szCs w:val="24"/>
          <w:highlight w:val="none"/>
          <w:lang w:val="en-US" w:eastAsia="zh-CN" w:bidi="ar-SA"/>
        </w:rPr>
        <w:t>抄送：盟生态环境综合行政执法支队       盟生态环境局东乌珠穆沁旗分局</w:t>
      </w:r>
    </w:p>
    <w:p w14:paraId="68A44406">
      <w:pPr>
        <w:pStyle w:val="3"/>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pacing w:before="62" w:beforeLines="20" w:line="560" w:lineRule="exact"/>
        <w:jc w:val="both"/>
        <w:textAlignment w:val="auto"/>
        <w:rPr>
          <w:rFonts w:ascii="Calibri" w:hAnsi="Calibri" w:eastAsia="宋体" w:cs="Arial"/>
          <w:color w:val="auto"/>
          <w:szCs w:val="21"/>
          <w:highlight w:val="none"/>
        </w:rPr>
      </w:pPr>
      <w:r>
        <w:rPr>
          <w:rFonts w:hint="eastAsia" w:ascii="仿宋_GB2312" w:hAnsi="仿宋_GB2312" w:eastAsia="仿宋_GB2312" w:cs="仿宋_GB2312"/>
          <w:color w:val="auto"/>
          <w:kern w:val="2"/>
          <w:sz w:val="28"/>
          <w:szCs w:val="28"/>
          <w:highlight w:val="none"/>
          <w:lang w:val="en-US" w:eastAsia="zh-CN" w:bidi="ar-SA"/>
        </w:rPr>
        <w:t>锡林郭勒盟生态环境局办公室             2026年4月20日印发</w:t>
      </w:r>
    </w:p>
    <w:p w14:paraId="4ACD6116">
      <w:pPr>
        <w:ind w:firstLine="210" w:firstLineChars="100"/>
        <w:rPr>
          <w:highlight w:val="none"/>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EABC">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EC8A4">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24EC8A4">
                    <w:pPr>
                      <w:pStyle w:val="3"/>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71382">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2071382">
                    <w:pPr>
                      <w:rPr>
                        <w:rFonts w:hint="eastAsia"/>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6E0BA">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56E0BA">
                    <w:pPr>
                      <w:pStyle w:val="3"/>
                      <w:rPr>
                        <w:rFonts w:hint="eastAsia" w:asciiTheme="minorEastAsia" w:hAnsiTheme="minorEastAsia" w:eastAsiaTheme="minorEastAsia" w:cstheme="min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18EB6"/>
    <w:multiLevelType w:val="singleLevel"/>
    <w:tmpl w:val="3B018EB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685F"/>
    <w:rsid w:val="00FF362D"/>
    <w:rsid w:val="01246D1A"/>
    <w:rsid w:val="014B4068"/>
    <w:rsid w:val="01D134FA"/>
    <w:rsid w:val="03C94DF8"/>
    <w:rsid w:val="04BC5D9C"/>
    <w:rsid w:val="05882122"/>
    <w:rsid w:val="05E7509A"/>
    <w:rsid w:val="07B90CB8"/>
    <w:rsid w:val="080261BB"/>
    <w:rsid w:val="08397703"/>
    <w:rsid w:val="088766C0"/>
    <w:rsid w:val="09102D8D"/>
    <w:rsid w:val="09615163"/>
    <w:rsid w:val="09A46BC3"/>
    <w:rsid w:val="0BDB6971"/>
    <w:rsid w:val="0CF63E15"/>
    <w:rsid w:val="0D136775"/>
    <w:rsid w:val="0D980131"/>
    <w:rsid w:val="0E1E1CB4"/>
    <w:rsid w:val="0F5D6655"/>
    <w:rsid w:val="107F5E6C"/>
    <w:rsid w:val="117143B2"/>
    <w:rsid w:val="118063A3"/>
    <w:rsid w:val="11EA01E5"/>
    <w:rsid w:val="125F420A"/>
    <w:rsid w:val="12C67865"/>
    <w:rsid w:val="13425D97"/>
    <w:rsid w:val="14682881"/>
    <w:rsid w:val="1A937147"/>
    <w:rsid w:val="1B0148F2"/>
    <w:rsid w:val="1B1541F5"/>
    <w:rsid w:val="1B8151F1"/>
    <w:rsid w:val="1F463C49"/>
    <w:rsid w:val="1F7A665D"/>
    <w:rsid w:val="1FD53DA5"/>
    <w:rsid w:val="1FE85B38"/>
    <w:rsid w:val="208E79CF"/>
    <w:rsid w:val="2100305C"/>
    <w:rsid w:val="2302130E"/>
    <w:rsid w:val="23BB613A"/>
    <w:rsid w:val="24166807"/>
    <w:rsid w:val="245E4322"/>
    <w:rsid w:val="25CE54D7"/>
    <w:rsid w:val="26E52AD8"/>
    <w:rsid w:val="273E043A"/>
    <w:rsid w:val="28221B0A"/>
    <w:rsid w:val="29424212"/>
    <w:rsid w:val="2AC84BEB"/>
    <w:rsid w:val="2AFA0B1C"/>
    <w:rsid w:val="2B553B0E"/>
    <w:rsid w:val="2BAB49C5"/>
    <w:rsid w:val="2BC639DD"/>
    <w:rsid w:val="2BCC070B"/>
    <w:rsid w:val="2C5C1A8E"/>
    <w:rsid w:val="2E075A2A"/>
    <w:rsid w:val="2E1F501B"/>
    <w:rsid w:val="2F282117"/>
    <w:rsid w:val="2F4F1437"/>
    <w:rsid w:val="2F6824F8"/>
    <w:rsid w:val="2F8F5CD7"/>
    <w:rsid w:val="2FA15A0A"/>
    <w:rsid w:val="30CD2F5B"/>
    <w:rsid w:val="30FD3114"/>
    <w:rsid w:val="310444A3"/>
    <w:rsid w:val="31E63BA8"/>
    <w:rsid w:val="342F5CDB"/>
    <w:rsid w:val="34B166F0"/>
    <w:rsid w:val="34E268A9"/>
    <w:rsid w:val="35F766F6"/>
    <w:rsid w:val="3781403B"/>
    <w:rsid w:val="38C073F1"/>
    <w:rsid w:val="39A53079"/>
    <w:rsid w:val="3A105C66"/>
    <w:rsid w:val="3B3836C7"/>
    <w:rsid w:val="3CAF1767"/>
    <w:rsid w:val="3DD84CED"/>
    <w:rsid w:val="3ECB598F"/>
    <w:rsid w:val="3EE04D72"/>
    <w:rsid w:val="3FA17A03"/>
    <w:rsid w:val="41070D79"/>
    <w:rsid w:val="410A7F42"/>
    <w:rsid w:val="414601C0"/>
    <w:rsid w:val="415428DD"/>
    <w:rsid w:val="426A36E7"/>
    <w:rsid w:val="436F39FE"/>
    <w:rsid w:val="43BC6374"/>
    <w:rsid w:val="43E066A9"/>
    <w:rsid w:val="44114AB5"/>
    <w:rsid w:val="44641089"/>
    <w:rsid w:val="44BF0334"/>
    <w:rsid w:val="46477E5A"/>
    <w:rsid w:val="479F062A"/>
    <w:rsid w:val="47ED7875"/>
    <w:rsid w:val="496477F7"/>
    <w:rsid w:val="49D96075"/>
    <w:rsid w:val="4B552AA6"/>
    <w:rsid w:val="4B670384"/>
    <w:rsid w:val="4DE66FB2"/>
    <w:rsid w:val="50B213CE"/>
    <w:rsid w:val="5119144D"/>
    <w:rsid w:val="51402E7D"/>
    <w:rsid w:val="52EA0FEF"/>
    <w:rsid w:val="53C7562B"/>
    <w:rsid w:val="54603F5B"/>
    <w:rsid w:val="553B42E8"/>
    <w:rsid w:val="56391260"/>
    <w:rsid w:val="56571EDD"/>
    <w:rsid w:val="57995095"/>
    <w:rsid w:val="58006EC2"/>
    <w:rsid w:val="5A6C17A9"/>
    <w:rsid w:val="5AB10EDB"/>
    <w:rsid w:val="5C250DAD"/>
    <w:rsid w:val="5C547A3A"/>
    <w:rsid w:val="5C666C4B"/>
    <w:rsid w:val="5D373EE0"/>
    <w:rsid w:val="5E2E29DB"/>
    <w:rsid w:val="5E714676"/>
    <w:rsid w:val="5E7C0CB8"/>
    <w:rsid w:val="5F096FA4"/>
    <w:rsid w:val="5F1F4CE5"/>
    <w:rsid w:val="5F623CFA"/>
    <w:rsid w:val="5F954394"/>
    <w:rsid w:val="5FA6467B"/>
    <w:rsid w:val="6235508F"/>
    <w:rsid w:val="62AC1363"/>
    <w:rsid w:val="62B94D98"/>
    <w:rsid w:val="641A4CCC"/>
    <w:rsid w:val="64AF141D"/>
    <w:rsid w:val="64DF78E7"/>
    <w:rsid w:val="671758A4"/>
    <w:rsid w:val="685A2794"/>
    <w:rsid w:val="691C1682"/>
    <w:rsid w:val="69855536"/>
    <w:rsid w:val="6AD42215"/>
    <w:rsid w:val="6B623CC4"/>
    <w:rsid w:val="6B8E4AB9"/>
    <w:rsid w:val="6BFF57BE"/>
    <w:rsid w:val="6D4D192F"/>
    <w:rsid w:val="6E387165"/>
    <w:rsid w:val="6F084B83"/>
    <w:rsid w:val="6F1E6154"/>
    <w:rsid w:val="6F55769C"/>
    <w:rsid w:val="6F9B4E77"/>
    <w:rsid w:val="716A30B7"/>
    <w:rsid w:val="72AB41A3"/>
    <w:rsid w:val="72E12285"/>
    <w:rsid w:val="733312B8"/>
    <w:rsid w:val="73A4210F"/>
    <w:rsid w:val="746F1200"/>
    <w:rsid w:val="752E4C17"/>
    <w:rsid w:val="773C1B94"/>
    <w:rsid w:val="77550B81"/>
    <w:rsid w:val="78AE17FB"/>
    <w:rsid w:val="792E3203"/>
    <w:rsid w:val="7A342CD0"/>
    <w:rsid w:val="7ABD49D6"/>
    <w:rsid w:val="7B9559F0"/>
    <w:rsid w:val="7C111664"/>
    <w:rsid w:val="7D9F1960"/>
    <w:rsid w:val="7E633B84"/>
    <w:rsid w:val="7F34107C"/>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rPr>
      <w:kern w:val="0"/>
      <w:sz w:val="24"/>
      <w:szCs w:val="20"/>
    </w:rPr>
  </w:style>
  <w:style w:type="paragraph" w:styleId="3">
    <w:name w:val="footer"/>
    <w:basedOn w:val="1"/>
    <w:next w:val="1"/>
    <w:semiHidden/>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 text|1"/>
    <w:basedOn w:val="1"/>
    <w:qFormat/>
    <w:uiPriority w:val="0"/>
    <w:pPr>
      <w:spacing w:line="449"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50360863-592e-47c9-b9fc-5fd35b63e89b</errorID>
      <errorWord>:</errorWord>
      <group>L1_Format</group>
      <groupName>格式问题</groupName>
      <ability>L2_HalfPunc</ability>
      <abilityName>全半角检查</abilityName>
      <candidateList>
        <item>：</item>
      </candidateList>
      <explain>文本全半角错误。</explain>
      <paraID> B963E6F</paraID>
      <start>15</start>
      <end>16</end>
      <status>modified</status>
      <modifiedWord>：</modifiedWord>
      <trackRevisions>false</trackRevisions>
    </reviewItem>
    <reviewItem>
      <errorID>75f0d368-6e52-4737-873b-57da5a7f89bb</errorID>
      <errorWord>,</errorWord>
      <group>L1_Format</group>
      <groupName>格式问题</groupName>
      <ability>L2_HalfPunc</ability>
      <abilityName>全半角检查</abilityName>
      <candidateList>
        <item>，</item>
      </candidateList>
      <explain>文本全半角错误。</explain>
      <paraID> F8E80A7</paraID>
      <start>88</start>
      <end>89</end>
      <status>modified</status>
      <modifiedWord>，</modifiedWord>
      <trackRevisions>false</trackRevisions>
    </reviewItem>
    <reviewItem>
      <errorID>18a1950c-997f-41f2-9cc6-033cc0077c67</errorID>
      <errorWord>《产业结构调整指导目录》(2024年本)</errorWord>
      <group>L1_Knowledge</group>
      <groupName>知识性问题</groupName>
      <ability>L2_Knowledge</ability>
      <abilityName>其他知识</abilityName>
      <candidateList>
        <item>《产业结构调整指导目录(2024年本)》</item>
      </candidateList>
      <explain>疑似政策文件、法律法规名称等书写不规范，请注意检查。</explain>
      <paraID>290BDC48</paraID>
      <start>2</start>
      <end>22</end>
      <status>modified</status>
      <modifiedWord>《产业结构调整指导目录(2024年本)》</modifiedWord>
      <trackRevisions>false</trackRevisions>
    </reviewItem>
    <reviewItem>
      <errorID>907a61f4-bf9c-4b94-9e55-183eb26d78de</errorID>
      <errorWord>）要</errorWord>
      <group>L1_Word</group>
      <groupName>字词问题</groupName>
      <ability>L2_Typo</ability>
      <abilityName>字词错误</abilityName>
      <candidateList>
        <item>）</item>
      </candidateList>
      <explain/>
      <paraID>5D0C9246</paraID>
      <start>2</start>
      <end>3</end>
      <status>modified</status>
      <modifiedWord>）</modifiedWord>
      <trackRevisions>false</trackRevisions>
    </reviewItem>
    <reviewItem>
      <errorID>554e07ed-04b4-4e99-a76c-35741580510c</errorID>
      <errorWord>）要</errorWord>
      <group>L1_Word</group>
      <groupName>字词问题</groupName>
      <ability>L2_Typo</ability>
      <abilityName>字词错误</abilityName>
      <candidateList>
        <item>）</item>
      </candidateList>
      <explain/>
      <paraID>59EB69CD</paraID>
      <start>2</start>
      <end>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5107ce-d0a3-4c8d-90f8-542aa118ca6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1575</Words>
  <Characters>1688</Characters>
  <Lines>0</Lines>
  <Paragraphs>0</Paragraphs>
  <TotalTime>19</TotalTime>
  <ScaleCrop>false</ScaleCrop>
  <LinksUpToDate>false</LinksUpToDate>
  <CharactersWithSpaces>1737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2024-12-19T02:59:00Z</dcterms:created>
  <dc:creator>Administrator</dc:creator>
  <cp:lastModifiedBy>sargai</cp:lastModifiedBy>
  <cp:lastPrinted>2026-04-20T02:13:00Z</cp:lastPrinted>
  <dcterms:modified xsi:type="dcterms:W3CDTF">2026-04-20T07:41:50Z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5307BDEC1B624BFF884BAD60DBA9F639_13</vt:lpwstr>
  </property>
  <property fmtid="{D5CDD505-2E9C-101B-9397-08002B2CF9AE}" pid="4" name="KSOTemplateDocerSaveRecord">
    <vt:lpwstr>eyJoZGlkIjoiNzQ5YzIwZGE2ZmU0ZDQ1NzU1ODA3Y2ZhM2Y3NzgzNmIiLCJ1c2VySWQiOiIyNzY5NTQ3NjAifQ==</vt:lpwstr>
  </property>
</Properties>
</file>