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251D1C">
      <w:pPr>
        <w:keepNext w:val="0"/>
        <w:keepLines w:val="0"/>
        <w:pageBreakBefore w:val="0"/>
        <w:widowControl w:val="0"/>
        <w:kinsoku/>
        <w:wordWrap/>
        <w:overflowPunct/>
        <w:topLinePunct w:val="0"/>
        <w:bidi w:val="0"/>
        <w:snapToGrid w:val="0"/>
        <w:spacing w:line="560" w:lineRule="exact"/>
        <w:ind w:left="0" w:leftChars="0"/>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6</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11</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ind w:left="0" w:leftChars="0"/>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3EA3FA25">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关于东乌珠穆沁旗乌里雅斯太镇污水处理厂扩容及设备更新改造工程环境影响报告表的</w:t>
      </w:r>
    </w:p>
    <w:p w14:paraId="745B315E">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 xml:space="preserve">批复 </w:t>
      </w:r>
    </w:p>
    <w:bookmarkEnd w:id="0"/>
    <w:p w14:paraId="5C50DEFA">
      <w:pPr>
        <w:keepNext w:val="0"/>
        <w:keepLines w:val="0"/>
        <w:pageBreakBefore w:val="0"/>
        <w:widowControl w:val="0"/>
        <w:kinsoku/>
        <w:wordWrap/>
        <w:overflowPunct/>
        <w:topLinePunct w:val="0"/>
        <w:bidi w:val="0"/>
        <w:adjustRightInd w:val="0"/>
        <w:snapToGrid w:val="0"/>
        <w:spacing w:line="560" w:lineRule="exact"/>
        <w:ind w:left="0" w:leftChars="0"/>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东乌珠穆沁旗住房和城乡建设局:</w:t>
      </w:r>
    </w:p>
    <w:p w14:paraId="5597E2B4">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委托</w:t>
      </w:r>
      <w:r>
        <w:rPr>
          <w:rFonts w:hint="eastAsia" w:ascii="仿宋_GB2312" w:hAnsi="仿宋_GB2312" w:eastAsia="仿宋_GB2312" w:cs="仿宋_GB2312"/>
          <w:bCs/>
          <w:color w:val="auto"/>
          <w:sz w:val="32"/>
          <w:szCs w:val="32"/>
          <w:highlight w:val="none"/>
          <w:lang w:eastAsia="zh-CN"/>
        </w:rPr>
        <w:t>内蒙古亿信项目管理有限公司</w:t>
      </w:r>
      <w:r>
        <w:rPr>
          <w:rFonts w:hint="eastAsia" w:ascii="仿宋_GB2312" w:hAnsi="仿宋_GB2312" w:eastAsia="仿宋_GB2312" w:cs="仿宋_GB2312"/>
          <w:bCs/>
          <w:color w:val="auto"/>
          <w:sz w:val="32"/>
          <w:szCs w:val="32"/>
          <w:highlight w:val="none"/>
        </w:rPr>
        <w:t>编制的《东乌珠穆沁旗乌里雅斯太镇污水处理厂扩容及设备更新改造工程环境影响报告表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6322C2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w:t>
      </w:r>
      <w:r>
        <w:rPr>
          <w:rFonts w:hint="eastAsia" w:ascii="仿宋_GB2312" w:hAnsi="仿宋_GB2312" w:eastAsia="仿宋_GB2312" w:cs="仿宋_GB2312"/>
          <w:color w:val="auto"/>
          <w:sz w:val="32"/>
          <w:szCs w:val="32"/>
          <w:highlight w:val="none"/>
          <w:lang w:val="en-US" w:eastAsia="zh-CN"/>
        </w:rPr>
        <w:t>东乌珠穆沁旗乌里雅斯太镇西环路西侧</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改扩建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项目总占地面积为119000m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lang w:val="en-US" w:eastAsia="zh-CN"/>
        </w:rPr>
        <w:t>扩建后，</w:t>
      </w:r>
      <w:r>
        <w:rPr>
          <w:rFonts w:hint="eastAsia" w:ascii="仿宋_GB2312" w:hAnsi="仿宋_GB2312" w:eastAsia="仿宋_GB2312" w:cs="仿宋_GB2312"/>
          <w:color w:val="auto"/>
          <w:sz w:val="32"/>
          <w:szCs w:val="32"/>
          <w:highlight w:val="none"/>
        </w:rPr>
        <w:t>污水处理规模由10000m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rPr>
        <w:t>/d提升至15000m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rPr>
        <w:t>/d</w:t>
      </w:r>
      <w:r>
        <w:rPr>
          <w:rFonts w:hint="eastAsia" w:ascii="仿宋_GB2312" w:hAnsi="仿宋_GB2312" w:eastAsia="仿宋_GB2312" w:cs="仿宋_GB2312"/>
          <w:color w:val="auto"/>
          <w:sz w:val="32"/>
          <w:szCs w:val="32"/>
          <w:highlight w:val="none"/>
          <w:lang w:eastAsia="zh-CN"/>
        </w:rPr>
        <w:t>，其中改造原有规模10000m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eastAsia="zh-CN"/>
        </w:rPr>
        <w:t>/d，新增扩建规模5000m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eastAsia="zh-CN"/>
        </w:rPr>
        <w:t>/d。</w:t>
      </w:r>
      <w:r>
        <w:rPr>
          <w:rFonts w:hint="eastAsia" w:ascii="仿宋_GB2312" w:hAnsi="仿宋_GB2312" w:eastAsia="仿宋_GB2312" w:cs="仿宋_GB2312"/>
          <w:color w:val="auto"/>
          <w:sz w:val="32"/>
          <w:szCs w:val="32"/>
          <w:highlight w:val="none"/>
          <w:lang w:val="en-US" w:eastAsia="zh-CN"/>
        </w:rPr>
        <w:t>建设内容主要包括污水处理工艺优化、建构筑物新建与改造及现状污水设施设备更新三部分。采用“预处理+二级生化处理+深度处理”相结合的污水处理工艺，预处理段由粗格栅、提升泵房、细格栅及沉砂池组成，二级生化处理段由AAO综合生化池及二沉池组成，深度处理段由高效沉淀池、反硝化深床滤池及消毒池组成；新建细格栅及旋流沉砂池及车间、多段AAO综合生化池及保温棚、配水井各1座、辐流式二沉池及保温棚2座、污泥回流池、高效沉淀池、反硝化深床滤池、深度处理车间各1座；改造生化池为多段AAO综合生化池2座并增设保温棚，改造应急事故调节池1座；同步更新现状污水设施设备，涵盖粗格栅机提升泵房（粗格栅机、提升泵、螺旋输送机等）、细格栅间（细格栅机、螺旋输送机、旋流沉砂池提砂泵和搅拌机、砂水分离器、风机等）、中间水池（提升泵等）、反硝化深床滤池（反洗水泵）、再生水送水泵、污泥处理车间（污泥脱水机、输送机、加药计量泵等）及进水出水在线监测仪表等各类相关设备。</w:t>
      </w:r>
      <w:r>
        <w:rPr>
          <w:rFonts w:hint="eastAsia" w:ascii="仿宋_GB2312" w:hAnsi="仿宋_GB2312" w:eastAsia="仿宋_GB2312" w:cs="仿宋_GB2312"/>
          <w:color w:val="auto"/>
          <w:sz w:val="32"/>
          <w:szCs w:val="32"/>
          <w:highlight w:val="none"/>
        </w:rPr>
        <w:t>项目总投资</w:t>
      </w:r>
      <w:r>
        <w:rPr>
          <w:rFonts w:hint="eastAsia" w:ascii="仿宋_GB2312" w:hAnsi="仿宋_GB2312" w:eastAsia="仿宋_GB2312" w:cs="仿宋_GB2312"/>
          <w:color w:val="auto"/>
          <w:sz w:val="32"/>
          <w:szCs w:val="32"/>
          <w:highlight w:val="none"/>
          <w:lang w:val="en-US" w:eastAsia="zh-CN"/>
        </w:rPr>
        <w:t>7152</w:t>
      </w:r>
      <w:r>
        <w:rPr>
          <w:rFonts w:hint="eastAsia" w:ascii="仿宋_GB2312" w:hAnsi="仿宋_GB2312" w:eastAsia="仿宋_GB2312" w:cs="仿宋_GB2312"/>
          <w:color w:val="auto"/>
          <w:sz w:val="32"/>
          <w:szCs w:val="32"/>
          <w:highlight w:val="none"/>
        </w:rPr>
        <w:t>万元，其中环保投资</w:t>
      </w:r>
      <w:r>
        <w:rPr>
          <w:rFonts w:hint="eastAsia" w:ascii="仿宋_GB2312" w:hAnsi="仿宋_GB2312" w:eastAsia="仿宋_GB2312" w:cs="仿宋_GB2312"/>
          <w:color w:val="auto"/>
          <w:sz w:val="32"/>
          <w:szCs w:val="32"/>
          <w:highlight w:val="none"/>
          <w:lang w:val="en-US" w:eastAsia="zh-CN"/>
        </w:rPr>
        <w:t>143</w:t>
      </w:r>
      <w:r>
        <w:rPr>
          <w:rFonts w:hint="eastAsia" w:ascii="仿宋_GB2312" w:hAnsi="仿宋_GB2312" w:eastAsia="仿宋_GB2312" w:cs="仿宋_GB2312"/>
          <w:color w:val="auto"/>
          <w:sz w:val="32"/>
          <w:szCs w:val="32"/>
          <w:highlight w:val="none"/>
        </w:rPr>
        <w:t>万元，占总投资的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bookmarkStart w:id="1" w:name="_GoBack"/>
      <w:bookmarkEnd w:id="1"/>
    </w:p>
    <w:p w14:paraId="290BDC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年本)，本项目不属于鼓励类、限制类和淘汰类，为允许类</w:t>
      </w:r>
      <w:r>
        <w:rPr>
          <w:rFonts w:hint="eastAsia" w:ascii="仿宋_GB2312" w:hAnsi="仿宋_GB2312" w:eastAsia="仿宋_GB2312" w:cs="仿宋_GB2312"/>
          <w:color w:val="auto"/>
          <w:sz w:val="32"/>
          <w:szCs w:val="32"/>
          <w:highlight w:val="none"/>
          <w:lang w:val="en-US" w:eastAsia="zh-CN"/>
        </w:rPr>
        <w:t>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left="0" w:leftChars="0"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w:t>
      </w:r>
      <w:r>
        <w:rPr>
          <w:rFonts w:hint="eastAsia" w:ascii="黑体" w:hAnsi="黑体" w:eastAsia="黑体" w:cs="黑体"/>
          <w:color w:val="auto"/>
          <w:sz w:val="32"/>
          <w:szCs w:val="32"/>
          <w:highlight w:val="none"/>
        </w:rPr>
        <w:t>项目建设及运营过程中的相关责任</w:t>
      </w:r>
    </w:p>
    <w:p w14:paraId="14C2A56E">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（一）废气方面</w:t>
      </w:r>
    </w:p>
    <w:p w14:paraId="0918AB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施工期现场</w:t>
      </w:r>
      <w:r>
        <w:rPr>
          <w:rFonts w:hint="eastAsia" w:ascii="仿宋_GB2312" w:hAnsi="仿宋_GB2312" w:eastAsia="仿宋_GB2312" w:cs="仿宋_GB2312"/>
          <w:color w:val="auto"/>
          <w:sz w:val="32"/>
          <w:szCs w:val="32"/>
          <w:highlight w:val="none"/>
          <w:lang w:val="en-US" w:eastAsia="zh-CN"/>
        </w:rPr>
        <w:t>通过洒水降尘、物料苫盖、</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减速慢行、物料密闭运输、</w:t>
      </w:r>
      <w:r>
        <w:rPr>
          <w:rFonts w:hint="eastAsia" w:ascii="仿宋_GB2312" w:hAnsi="仿宋_GB2312" w:eastAsia="仿宋_GB2312" w:cs="仿宋_GB2312"/>
          <w:color w:val="auto"/>
          <w:sz w:val="32"/>
          <w:szCs w:val="32"/>
          <w:highlight w:val="none"/>
        </w:rPr>
        <w:t>遇到恶劣天气禁止施工作业等措施，抑制扬尘污染</w:t>
      </w:r>
      <w:r>
        <w:rPr>
          <w:rFonts w:hint="eastAsia" w:ascii="仿宋_GB2312" w:hAnsi="仿宋_GB2312" w:eastAsia="仿宋_GB2312" w:cs="仿宋_GB2312"/>
          <w:color w:val="auto"/>
          <w:sz w:val="32"/>
          <w:szCs w:val="32"/>
          <w:highlight w:val="none"/>
          <w:lang w:val="en-US" w:eastAsia="zh-CN"/>
        </w:rPr>
        <w:t>。运营期生产车间的恶臭气体集气罩收集后，经UV光氧+活性炭吸附装置处理达标排放；加强厂区及运输道路硬化建设，定期清扫洒水降尘；各车间定期喷洒除臭剂。</w:t>
      </w:r>
      <w:r>
        <w:rPr>
          <w:rFonts w:hint="eastAsia" w:ascii="仿宋_GB2312" w:hAnsi="仿宋_GB2312" w:eastAsia="仿宋_GB2312" w:cs="仿宋_GB2312"/>
          <w:color w:val="auto"/>
          <w:sz w:val="32"/>
          <w:szCs w:val="32"/>
          <w:highlight w:val="none"/>
        </w:rPr>
        <w:t>严格</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eastAsia="仿宋_GB2312" w:cs="仿宋_GB2312"/>
          <w:color w:val="auto"/>
          <w:sz w:val="32"/>
          <w:szCs w:val="32"/>
          <w:highlight w:val="none"/>
        </w:rPr>
        <w:t>《大气污染物综合排放标准》（GB16297-1996）、《恶臭污染物排放标准》（GB14554-93）、《城镇污水处理厂污染物排放标准》（GB18918-2002）及其修改单要求。</w:t>
      </w:r>
    </w:p>
    <w:p w14:paraId="22CD5E80">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（二）废水方面</w:t>
      </w:r>
    </w:p>
    <w:p w14:paraId="7BA95693">
      <w:pPr>
        <w:keepNext w:val="0"/>
        <w:keepLines w:val="0"/>
        <w:widowControl/>
        <w:suppressLineNumbers w:val="0"/>
        <w:ind w:firstLine="620" w:firstLineChars="200"/>
        <w:jc w:val="left"/>
        <w:rPr>
          <w:rFonts w:hint="default" w:ascii="仿宋_GB2312" w:hAnsi="仿宋_GB2312" w:eastAsia="仿宋_GB2312" w:cs="仿宋_GB2312"/>
          <w:color w:val="auto"/>
          <w:sz w:val="32"/>
          <w:szCs w:val="32"/>
          <w:highlight w:val="none"/>
          <w:lang w:val="en-US" w:eastAsia="zh-CN"/>
        </w:rPr>
      </w:pPr>
      <w:r>
        <w:rPr>
          <w:rFonts w:ascii="仿宋_GB2312" w:hAnsi="宋体" w:eastAsia="仿宋_GB2312" w:cs="仿宋_GB2312"/>
          <w:color w:val="000000"/>
          <w:kern w:val="0"/>
          <w:sz w:val="31"/>
          <w:szCs w:val="31"/>
          <w:lang w:val="en-US" w:eastAsia="zh-CN" w:bidi="ar"/>
        </w:rPr>
        <w:t>施工</w:t>
      </w:r>
      <w:r>
        <w:rPr>
          <w:rFonts w:hint="eastAsia" w:ascii="仿宋_GB2312" w:hAnsi="宋体" w:eastAsia="仿宋_GB2312" w:cs="仿宋_GB2312"/>
          <w:color w:val="000000"/>
          <w:kern w:val="0"/>
          <w:sz w:val="31"/>
          <w:szCs w:val="31"/>
          <w:lang w:val="en-US" w:eastAsia="zh-CN" w:bidi="ar"/>
        </w:rPr>
        <w:t>废水</w:t>
      </w:r>
      <w:r>
        <w:rPr>
          <w:rFonts w:ascii="仿宋_GB2312" w:hAnsi="宋体" w:eastAsia="仿宋_GB2312" w:cs="仿宋_GB2312"/>
          <w:color w:val="000000"/>
          <w:kern w:val="0"/>
          <w:sz w:val="31"/>
          <w:szCs w:val="31"/>
          <w:lang w:val="en-US" w:eastAsia="zh-CN" w:bidi="ar"/>
        </w:rPr>
        <w:t>临时沉淀池处理后，回用于施工</w:t>
      </w:r>
      <w:r>
        <w:rPr>
          <w:rFonts w:hint="eastAsia" w:ascii="仿宋_GB2312" w:hAnsi="宋体" w:eastAsia="仿宋_GB2312" w:cs="仿宋_GB2312"/>
          <w:color w:val="000000"/>
          <w:kern w:val="0"/>
          <w:sz w:val="31"/>
          <w:szCs w:val="31"/>
          <w:lang w:val="en-US" w:eastAsia="zh-CN" w:bidi="ar"/>
        </w:rPr>
        <w:t>环节或地面洒水降尘，不外排。</w:t>
      </w: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val="en-US" w:eastAsia="zh-CN"/>
        </w:rPr>
        <w:t>及运营期</w:t>
      </w:r>
      <w:r>
        <w:rPr>
          <w:rFonts w:hint="eastAsia" w:ascii="仿宋_GB2312" w:hAnsi="仿宋_GB2312" w:eastAsia="仿宋_GB2312" w:cs="仿宋_GB2312"/>
          <w:color w:val="auto"/>
          <w:sz w:val="32"/>
          <w:szCs w:val="32"/>
          <w:highlight w:val="none"/>
        </w:rPr>
        <w:t>生活污水经集中收集后进行处理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不外排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废水经处理达标后用于中湖水、广厦热电，使用不了的污水排放至厂区西北侧天鹅湖，</w:t>
      </w:r>
      <w:r>
        <w:rPr>
          <w:rFonts w:hint="eastAsia" w:ascii="仿宋_GB2312" w:hAnsi="宋体" w:eastAsia="仿宋_GB2312" w:cs="仿宋_GB2312"/>
          <w:color w:val="000000"/>
          <w:kern w:val="0"/>
          <w:sz w:val="31"/>
          <w:szCs w:val="31"/>
          <w:lang w:val="en-US" w:eastAsia="zh-CN" w:bidi="ar"/>
        </w:rPr>
        <w:t>污水排放</w:t>
      </w:r>
      <w:r>
        <w:rPr>
          <w:rFonts w:ascii="仿宋_GB2312" w:hAnsi="宋体" w:eastAsia="仿宋_GB2312" w:cs="仿宋_GB2312"/>
          <w:color w:val="000000"/>
          <w:kern w:val="0"/>
          <w:sz w:val="31"/>
          <w:szCs w:val="31"/>
          <w:lang w:val="en-US" w:eastAsia="zh-CN" w:bidi="ar"/>
        </w:rPr>
        <w:t>执行</w:t>
      </w:r>
      <w:r>
        <w:rPr>
          <w:rFonts w:hint="eastAsia" w:ascii="仿宋_GB2312" w:hAnsi="宋体" w:eastAsia="仿宋_GB2312" w:cs="仿宋_GB2312"/>
          <w:color w:val="000000"/>
          <w:kern w:val="0"/>
          <w:sz w:val="31"/>
          <w:szCs w:val="31"/>
          <w:lang w:val="en-US" w:eastAsia="zh-CN" w:bidi="ar"/>
        </w:rPr>
        <w:t>《城镇污水处理厂污染物排放标准》（</w:t>
      </w:r>
      <w:r>
        <w:rPr>
          <w:rFonts w:hint="default" w:ascii="仿宋_GB2312" w:hAnsi="宋体" w:eastAsia="仿宋_GB2312" w:cs="仿宋_GB2312"/>
          <w:color w:val="000000"/>
          <w:kern w:val="0"/>
          <w:sz w:val="31"/>
          <w:szCs w:val="31"/>
          <w:lang w:val="en-US" w:eastAsia="zh-CN" w:bidi="ar"/>
        </w:rPr>
        <w:t>GB18918-2002</w:t>
      </w:r>
      <w:r>
        <w:rPr>
          <w:rFonts w:hint="eastAsia" w:ascii="仿宋_GB2312" w:hAnsi="宋体" w:eastAsia="仿宋_GB2312" w:cs="仿宋_GB2312"/>
          <w:color w:val="000000"/>
          <w:kern w:val="0"/>
          <w:sz w:val="31"/>
          <w:szCs w:val="31"/>
          <w:lang w:val="en-US" w:eastAsia="zh-CN" w:bidi="ar"/>
        </w:rPr>
        <w:t>）及其修改单中规定的一级</w:t>
      </w:r>
      <w:r>
        <w:rPr>
          <w:rFonts w:hint="default" w:ascii="仿宋_GB2312" w:hAnsi="宋体" w:eastAsia="仿宋_GB2312" w:cs="仿宋_GB2312"/>
          <w:color w:val="000000"/>
          <w:kern w:val="0"/>
          <w:sz w:val="31"/>
          <w:szCs w:val="31"/>
          <w:lang w:val="en-US" w:eastAsia="zh-CN" w:bidi="ar"/>
        </w:rPr>
        <w:t>A</w:t>
      </w:r>
      <w:r>
        <w:rPr>
          <w:rFonts w:hint="eastAsia" w:ascii="仿宋_GB2312" w:hAnsi="宋体" w:eastAsia="仿宋_GB2312" w:cs="仿宋_GB2312"/>
          <w:color w:val="000000"/>
          <w:kern w:val="0"/>
          <w:sz w:val="31"/>
          <w:szCs w:val="31"/>
          <w:lang w:val="en-US" w:eastAsia="zh-CN" w:bidi="ar"/>
        </w:rPr>
        <w:t>标准</w:t>
      </w:r>
      <w:r>
        <w:rPr>
          <w:rFonts w:hint="eastAsia" w:ascii="仿宋_GB2312" w:hAnsi="仿宋_GB2312" w:eastAsia="仿宋_GB2312" w:cs="仿宋_GB2312"/>
          <w:color w:val="auto"/>
          <w:sz w:val="32"/>
          <w:szCs w:val="32"/>
          <w:highlight w:val="none"/>
          <w:lang w:val="en-US" w:eastAsia="zh-CN"/>
        </w:rPr>
        <w:t>。</w:t>
      </w:r>
    </w:p>
    <w:p w14:paraId="503A1A2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kern w:val="0"/>
          <w:sz w:val="32"/>
          <w:szCs w:val="32"/>
          <w:highlight w:val="none"/>
          <w:lang w:eastAsia="zh-CN"/>
        </w:rPr>
      </w:pPr>
      <w:r>
        <w:rPr>
          <w:rFonts w:hint="eastAsia" w:ascii="楷体_GB2312" w:hAnsi="Calibri" w:eastAsia="楷体_GB2312" w:cs="Arial"/>
          <w:b w:val="0"/>
          <w:bCs w:val="0"/>
          <w:color w:val="auto"/>
          <w:kern w:val="0"/>
          <w:sz w:val="32"/>
          <w:szCs w:val="32"/>
          <w:highlight w:val="none"/>
        </w:rPr>
        <w:t>（三）噪声方面</w:t>
      </w:r>
    </w:p>
    <w:p w14:paraId="2C8E6A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施工期加强运输车辆管理，采取减速慢行、禁止鸣笛等措施，选用低噪声设备和工艺减轻噪声污染。施工期执行《建筑施工场界环境噪声排放标准》（GB12523-2025）。运营期针对不同的声源采取相应的隔声、消声、减振、降噪措施，所有设备均置于封闭车间内并加装减震基座，同时加强机械设备日常维护。运营期执行《工业企业厂界环境噪声排放标准》（GB12348-2008）。</w:t>
      </w:r>
    </w:p>
    <w:p w14:paraId="1348C26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（四）固废方面</w:t>
      </w:r>
    </w:p>
    <w:p w14:paraId="085967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建设期产生的弃土、弃料等随产随清，及时回收综合利用或清运至正规处置场所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建设期</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营运期产生的生活垃圾集中收集后规范处置</w:t>
      </w:r>
      <w:r>
        <w:rPr>
          <w:rFonts w:hint="eastAsia" w:ascii="仿宋_GB2312" w:hAnsi="仿宋_GB2312" w:eastAsia="仿宋_GB2312" w:cs="仿宋_GB2312"/>
          <w:color w:val="auto"/>
          <w:sz w:val="32"/>
          <w:szCs w:val="32"/>
          <w:highlight w:val="none"/>
          <w:lang w:eastAsia="zh-CN"/>
        </w:rPr>
        <w:t>；运营期产生的</w:t>
      </w:r>
      <w:r>
        <w:rPr>
          <w:rFonts w:hint="eastAsia" w:ascii="仿宋_GB2312" w:hAnsi="仿宋_GB2312" w:eastAsia="仿宋_GB2312" w:cs="仿宋_GB2312"/>
          <w:color w:val="auto"/>
          <w:sz w:val="32"/>
          <w:szCs w:val="32"/>
          <w:highlight w:val="none"/>
          <w:lang w:val="en-US" w:eastAsia="zh-CN"/>
        </w:rPr>
        <w:t>废包装材料、沉砂、污泥、栅渣等统一收集后规范处置</w:t>
      </w:r>
      <w:r>
        <w:rPr>
          <w:rFonts w:hint="eastAsia" w:ascii="仿宋_GB2312" w:hAnsi="仿宋_GB2312" w:eastAsia="仿宋_GB2312" w:cs="仿宋_GB2312"/>
          <w:color w:val="auto"/>
          <w:sz w:val="32"/>
          <w:szCs w:val="32"/>
          <w:highlight w:val="none"/>
          <w:lang w:eastAsia="zh-CN"/>
        </w:rPr>
        <w:t>。运营期一般固体废物</w:t>
      </w:r>
      <w:r>
        <w:rPr>
          <w:rFonts w:hint="eastAsia" w:ascii="仿宋_GB2312" w:hAnsi="仿宋_GB2312" w:eastAsia="仿宋_GB2312" w:cs="仿宋_GB2312"/>
          <w:color w:val="auto"/>
          <w:sz w:val="32"/>
          <w:szCs w:val="32"/>
          <w:highlight w:val="none"/>
        </w:rPr>
        <w:t>执行《一般工业固体废物贮存和填埋污染控制标准》（GB18599-2020）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运营期产生的废活性炭、废UV灯管、废机油、废油桶、在线废液等危险废物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C20B685">
      <w:pPr>
        <w:pStyle w:val="6"/>
        <w:keepNext w:val="0"/>
        <w:keepLines w:val="0"/>
        <w:pageBreakBefore w:val="0"/>
        <w:widowControl w:val="0"/>
        <w:kinsoku/>
        <w:wordWrap/>
        <w:overflowPunct/>
        <w:topLinePunct w:val="0"/>
        <w:bidi w:val="0"/>
        <w:spacing w:after="0" w:line="560" w:lineRule="exact"/>
        <w:ind w:left="0" w:leftChars="0"/>
        <w:rPr>
          <w:rFonts w:hint="eastAsia" w:ascii="仿宋_GB2312" w:hAnsi="Calibri" w:eastAsia="仿宋_GB2312" w:cs="Arial"/>
          <w:color w:val="auto"/>
          <w:sz w:val="32"/>
          <w:szCs w:val="32"/>
          <w:highlight w:val="none"/>
        </w:rPr>
      </w:pPr>
    </w:p>
    <w:p w14:paraId="2DC43482">
      <w:pPr>
        <w:pStyle w:val="6"/>
        <w:keepNext w:val="0"/>
        <w:keepLines w:val="0"/>
        <w:pageBreakBefore w:val="0"/>
        <w:widowControl w:val="0"/>
        <w:kinsoku/>
        <w:wordWrap/>
        <w:overflowPunct/>
        <w:topLinePunct w:val="0"/>
        <w:bidi w:val="0"/>
        <w:spacing w:after="0" w:line="560" w:lineRule="exact"/>
        <w:ind w:left="0" w:leftChars="0"/>
        <w:rPr>
          <w:rFonts w:hint="eastAsia"/>
          <w:color w:val="auto"/>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5153EA69">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18</w:t>
      </w:r>
      <w:r>
        <w:rPr>
          <w:rFonts w:hint="eastAsia" w:ascii="仿宋_GB2312" w:hAnsi="Calibri" w:eastAsia="仿宋_GB2312" w:cs="Arial"/>
          <w:color w:val="auto"/>
          <w:sz w:val="32"/>
          <w:szCs w:val="32"/>
          <w:highlight w:val="none"/>
          <w:lang w:eastAsia="zh-CN"/>
        </w:rPr>
        <w:t>日</w:t>
      </w:r>
    </w:p>
    <w:p w14:paraId="347E4CCA">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4D8582D0">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76CBA801">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757460BC">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3C8A5A4B">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4A1EBF0E">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10A42233">
      <w:pPr>
        <w:keepNext w:val="0"/>
        <w:keepLines w:val="0"/>
        <w:pageBreakBefore w:val="0"/>
        <w:widowControl w:val="0"/>
        <w:kinsoku/>
        <w:wordWrap/>
        <w:overflowPunct/>
        <w:topLinePunct w:val="0"/>
        <w:autoSpaceDE w:val="0"/>
        <w:autoSpaceDN w:val="0"/>
        <w:bidi w:val="0"/>
        <w:adjustRightInd w:val="0"/>
        <w:spacing w:line="560" w:lineRule="exact"/>
        <w:jc w:val="both"/>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4ACD6116">
      <w:pPr>
        <w:pStyle w:val="4"/>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line="560" w:lineRule="exact"/>
        <w:ind w:left="0" w:leftChars="0"/>
        <w:jc w:val="both"/>
        <w:textAlignment w:val="auto"/>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2026年5月18日印发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4"/>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4"/>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257D"/>
    <w:rsid w:val="00F44F67"/>
    <w:rsid w:val="00FF362D"/>
    <w:rsid w:val="01246D1A"/>
    <w:rsid w:val="014B4068"/>
    <w:rsid w:val="01D134FA"/>
    <w:rsid w:val="02E66B31"/>
    <w:rsid w:val="03C94DF8"/>
    <w:rsid w:val="043F3009"/>
    <w:rsid w:val="04BC5D9C"/>
    <w:rsid w:val="05191440"/>
    <w:rsid w:val="053D6920"/>
    <w:rsid w:val="05706B86"/>
    <w:rsid w:val="05882122"/>
    <w:rsid w:val="05E7509A"/>
    <w:rsid w:val="060354C6"/>
    <w:rsid w:val="06695809"/>
    <w:rsid w:val="071C34B5"/>
    <w:rsid w:val="07B90CB8"/>
    <w:rsid w:val="080261BB"/>
    <w:rsid w:val="083245C7"/>
    <w:rsid w:val="08397703"/>
    <w:rsid w:val="088766C0"/>
    <w:rsid w:val="09102D8D"/>
    <w:rsid w:val="09615163"/>
    <w:rsid w:val="09776735"/>
    <w:rsid w:val="09862E1C"/>
    <w:rsid w:val="0A171A87"/>
    <w:rsid w:val="0B0E131B"/>
    <w:rsid w:val="0C0544CC"/>
    <w:rsid w:val="0CF63E15"/>
    <w:rsid w:val="0D136775"/>
    <w:rsid w:val="0D215336"/>
    <w:rsid w:val="0D7A4A46"/>
    <w:rsid w:val="0D980131"/>
    <w:rsid w:val="0DA30884"/>
    <w:rsid w:val="0E1E1CB4"/>
    <w:rsid w:val="0F5D6655"/>
    <w:rsid w:val="10BB784F"/>
    <w:rsid w:val="11420CBB"/>
    <w:rsid w:val="117143B2"/>
    <w:rsid w:val="118063A3"/>
    <w:rsid w:val="11EA01E5"/>
    <w:rsid w:val="125F420A"/>
    <w:rsid w:val="12C67865"/>
    <w:rsid w:val="13425D97"/>
    <w:rsid w:val="14682881"/>
    <w:rsid w:val="14E268E1"/>
    <w:rsid w:val="15595889"/>
    <w:rsid w:val="17F94C98"/>
    <w:rsid w:val="18D4224A"/>
    <w:rsid w:val="1A69031C"/>
    <w:rsid w:val="1A937147"/>
    <w:rsid w:val="1B1541F5"/>
    <w:rsid w:val="1B612DA1"/>
    <w:rsid w:val="1B8151F1"/>
    <w:rsid w:val="1BE0460E"/>
    <w:rsid w:val="1C9C6787"/>
    <w:rsid w:val="1CDC4DD5"/>
    <w:rsid w:val="1F127786"/>
    <w:rsid w:val="1F463C49"/>
    <w:rsid w:val="1FD53DA5"/>
    <w:rsid w:val="208E79CF"/>
    <w:rsid w:val="2100305C"/>
    <w:rsid w:val="215D18CA"/>
    <w:rsid w:val="22B12860"/>
    <w:rsid w:val="232748D0"/>
    <w:rsid w:val="236D70AB"/>
    <w:rsid w:val="23BB613A"/>
    <w:rsid w:val="23CE7442"/>
    <w:rsid w:val="23FC5D5D"/>
    <w:rsid w:val="24737FE6"/>
    <w:rsid w:val="24B86128"/>
    <w:rsid w:val="254479BB"/>
    <w:rsid w:val="25CE54D7"/>
    <w:rsid w:val="26B66697"/>
    <w:rsid w:val="26E52AD8"/>
    <w:rsid w:val="27B064B8"/>
    <w:rsid w:val="28221B0A"/>
    <w:rsid w:val="29424212"/>
    <w:rsid w:val="297D16EE"/>
    <w:rsid w:val="2A720E15"/>
    <w:rsid w:val="2AC84BEB"/>
    <w:rsid w:val="2ADB2B70"/>
    <w:rsid w:val="2AFA0B1C"/>
    <w:rsid w:val="2B553B0E"/>
    <w:rsid w:val="2BA32F62"/>
    <w:rsid w:val="2BAB49C5"/>
    <w:rsid w:val="2BC639DD"/>
    <w:rsid w:val="2C5E58D5"/>
    <w:rsid w:val="2DAF2092"/>
    <w:rsid w:val="2E075A2A"/>
    <w:rsid w:val="2E1F501B"/>
    <w:rsid w:val="2ED753FC"/>
    <w:rsid w:val="2F4F1437"/>
    <w:rsid w:val="2F6824F8"/>
    <w:rsid w:val="2F8F5CD7"/>
    <w:rsid w:val="2F9652B7"/>
    <w:rsid w:val="2FA15A0A"/>
    <w:rsid w:val="2FB66037"/>
    <w:rsid w:val="2FE14059"/>
    <w:rsid w:val="30CD2F5B"/>
    <w:rsid w:val="30FD3114"/>
    <w:rsid w:val="310444A3"/>
    <w:rsid w:val="322D17D7"/>
    <w:rsid w:val="334F1746"/>
    <w:rsid w:val="342F5CDB"/>
    <w:rsid w:val="34A51AF9"/>
    <w:rsid w:val="34B166F0"/>
    <w:rsid w:val="34E268A9"/>
    <w:rsid w:val="35F766F6"/>
    <w:rsid w:val="37895702"/>
    <w:rsid w:val="3828316D"/>
    <w:rsid w:val="38C073F1"/>
    <w:rsid w:val="39A53079"/>
    <w:rsid w:val="39AD1A2C"/>
    <w:rsid w:val="3A105C66"/>
    <w:rsid w:val="3B3836C7"/>
    <w:rsid w:val="3CAF1767"/>
    <w:rsid w:val="3CED35CD"/>
    <w:rsid w:val="3DD84CED"/>
    <w:rsid w:val="3EA3599C"/>
    <w:rsid w:val="3ECB598F"/>
    <w:rsid w:val="3EE04D72"/>
    <w:rsid w:val="3F1B0236"/>
    <w:rsid w:val="40166D7F"/>
    <w:rsid w:val="41070D79"/>
    <w:rsid w:val="414601C0"/>
    <w:rsid w:val="415428DD"/>
    <w:rsid w:val="41E579D9"/>
    <w:rsid w:val="42326612"/>
    <w:rsid w:val="42B9333F"/>
    <w:rsid w:val="436F39FE"/>
    <w:rsid w:val="43BC6374"/>
    <w:rsid w:val="43E066A9"/>
    <w:rsid w:val="44641089"/>
    <w:rsid w:val="44EC107E"/>
    <w:rsid w:val="45442C68"/>
    <w:rsid w:val="45D109A0"/>
    <w:rsid w:val="479F062A"/>
    <w:rsid w:val="47ED7875"/>
    <w:rsid w:val="496477F7"/>
    <w:rsid w:val="497D499A"/>
    <w:rsid w:val="49D96075"/>
    <w:rsid w:val="4A542F03"/>
    <w:rsid w:val="4AF3760A"/>
    <w:rsid w:val="4B552AA6"/>
    <w:rsid w:val="4B670384"/>
    <w:rsid w:val="4BF120D4"/>
    <w:rsid w:val="4C8E75EA"/>
    <w:rsid w:val="4DE66FB2"/>
    <w:rsid w:val="4E172515"/>
    <w:rsid w:val="4E9E646A"/>
    <w:rsid w:val="4F251D5C"/>
    <w:rsid w:val="4F2B7BF3"/>
    <w:rsid w:val="5060304C"/>
    <w:rsid w:val="50B213CE"/>
    <w:rsid w:val="5119144D"/>
    <w:rsid w:val="52EA0FEF"/>
    <w:rsid w:val="53FF0DCE"/>
    <w:rsid w:val="54603F5B"/>
    <w:rsid w:val="54E83610"/>
    <w:rsid w:val="553B42E8"/>
    <w:rsid w:val="55A61065"/>
    <w:rsid w:val="561623FF"/>
    <w:rsid w:val="56391260"/>
    <w:rsid w:val="57995095"/>
    <w:rsid w:val="58006EC2"/>
    <w:rsid w:val="581B1F4E"/>
    <w:rsid w:val="585D4D1D"/>
    <w:rsid w:val="585F62DF"/>
    <w:rsid w:val="58FA7DB6"/>
    <w:rsid w:val="592C7607"/>
    <w:rsid w:val="5A6C17A9"/>
    <w:rsid w:val="5AB10EDB"/>
    <w:rsid w:val="5AFF7905"/>
    <w:rsid w:val="5BEF767F"/>
    <w:rsid w:val="5C435D6C"/>
    <w:rsid w:val="5C547A3A"/>
    <w:rsid w:val="5C5D2B35"/>
    <w:rsid w:val="5C666C4B"/>
    <w:rsid w:val="5D373EE0"/>
    <w:rsid w:val="5DAD3649"/>
    <w:rsid w:val="5E2E29DB"/>
    <w:rsid w:val="5E3A73D5"/>
    <w:rsid w:val="5E4C40D7"/>
    <w:rsid w:val="5E714676"/>
    <w:rsid w:val="5E7C0CB8"/>
    <w:rsid w:val="5F096FA4"/>
    <w:rsid w:val="5F1F4CE5"/>
    <w:rsid w:val="5F623CFA"/>
    <w:rsid w:val="5F954394"/>
    <w:rsid w:val="5FA6467B"/>
    <w:rsid w:val="60C91F73"/>
    <w:rsid w:val="60E73507"/>
    <w:rsid w:val="61021EFD"/>
    <w:rsid w:val="621E3793"/>
    <w:rsid w:val="6235508F"/>
    <w:rsid w:val="62AC1363"/>
    <w:rsid w:val="62B94D98"/>
    <w:rsid w:val="631B72A6"/>
    <w:rsid w:val="641A4CCC"/>
    <w:rsid w:val="64DF78E7"/>
    <w:rsid w:val="652C7549"/>
    <w:rsid w:val="6663343E"/>
    <w:rsid w:val="67D5211A"/>
    <w:rsid w:val="685A2794"/>
    <w:rsid w:val="691C1682"/>
    <w:rsid w:val="6AD42215"/>
    <w:rsid w:val="6B623CC4"/>
    <w:rsid w:val="6B841E8D"/>
    <w:rsid w:val="6B8E4AB9"/>
    <w:rsid w:val="6BC24763"/>
    <w:rsid w:val="6BFF57BE"/>
    <w:rsid w:val="6CB26586"/>
    <w:rsid w:val="6CF7668E"/>
    <w:rsid w:val="6D4D192F"/>
    <w:rsid w:val="6E387165"/>
    <w:rsid w:val="6E71421E"/>
    <w:rsid w:val="6F084B83"/>
    <w:rsid w:val="6F1E6154"/>
    <w:rsid w:val="6F2422EF"/>
    <w:rsid w:val="6F55769C"/>
    <w:rsid w:val="6F9B4E77"/>
    <w:rsid w:val="6FAA5C3A"/>
    <w:rsid w:val="705844BF"/>
    <w:rsid w:val="70EE7DA8"/>
    <w:rsid w:val="716A30B7"/>
    <w:rsid w:val="72534367"/>
    <w:rsid w:val="729A01E8"/>
    <w:rsid w:val="72E12285"/>
    <w:rsid w:val="73632ADC"/>
    <w:rsid w:val="73A4210F"/>
    <w:rsid w:val="746F1200"/>
    <w:rsid w:val="74A356FB"/>
    <w:rsid w:val="752E4C17"/>
    <w:rsid w:val="76B178AE"/>
    <w:rsid w:val="76D17B9C"/>
    <w:rsid w:val="774B7835"/>
    <w:rsid w:val="77550B81"/>
    <w:rsid w:val="785401A6"/>
    <w:rsid w:val="78A835F4"/>
    <w:rsid w:val="78CC4E73"/>
    <w:rsid w:val="792E3203"/>
    <w:rsid w:val="7A1268B5"/>
    <w:rsid w:val="7A342CD0"/>
    <w:rsid w:val="7A7B26AD"/>
    <w:rsid w:val="7ABD49D6"/>
    <w:rsid w:val="7B446F42"/>
    <w:rsid w:val="7B9559F0"/>
    <w:rsid w:val="7BC97448"/>
    <w:rsid w:val="7E633B84"/>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Body Text Indent"/>
    <w:basedOn w:val="1"/>
    <w:next w:val="1"/>
    <w:semiHidden/>
    <w:qFormat/>
    <w:uiPriority w:val="0"/>
    <w:pPr>
      <w:spacing w:after="120"/>
      <w:ind w:left="420" w:leftChars="200"/>
    </w:pPr>
  </w:style>
  <w:style w:type="paragraph" w:styleId="4">
    <w:name w:val="footer"/>
    <w:basedOn w:val="1"/>
    <w:next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0"/>
    <w:pPr>
      <w:ind w:firstLine="420" w:firstLineChars="200"/>
    </w:p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1965</Words>
  <Characters>2123</Characters>
  <Lines>0</Lines>
  <Paragraphs>0</Paragraphs>
  <TotalTime>46</TotalTime>
  <ScaleCrop>false</ScaleCrop>
  <LinksUpToDate>false</LinksUpToDate>
  <CharactersWithSpaces>2171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2026-05-18T01:54:48Z</cp:lastPrinted>
  <dcterms:modified xsi:type="dcterms:W3CDTF">2026-05-18T02:44:38Z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22BF55E8F35640F5BFD421200C3B8166_13</vt:lpwstr>
  </property>
  <property fmtid="{D5CDD505-2E9C-101B-9397-08002B2CF9AE}" pid="4" name="KSOTemplateDocerSaveRecord">
    <vt:lpwstr>eyJoZGlkIjoiNzQ5YzIwZGE2ZmU0ZDQ1NzU1ODA3Y2ZhM2Y3NzgzNmIiLCJ1c2VySWQiOiIyNzY5NTQ3NjAifQ==</vt:lpwstr>
  </property>
</Properties>
</file>