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9251D1C">
      <w:pPr>
        <w:keepNext w:val="0"/>
        <w:keepLines w:val="0"/>
        <w:pageBreakBefore w:val="0"/>
        <w:widowControl w:val="0"/>
        <w:kinsoku/>
        <w:wordWrap/>
        <w:overflowPunct/>
        <w:topLinePunct w:val="0"/>
        <w:bidi w:val="0"/>
        <w:snapToGrid w:val="0"/>
        <w:spacing w:line="560" w:lineRule="exact"/>
        <w:ind w:left="0" w:leftChars="0"/>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6</w:t>
      </w:r>
      <w:r>
        <w:rPr>
          <w:rFonts w:hint="eastAsia" w:ascii="仿宋_GB2312" w:hAnsi="黑体" w:eastAsia="仿宋_GB2312" w:cs="Arial"/>
          <w:color w:val="auto"/>
          <w:sz w:val="32"/>
          <w:szCs w:val="32"/>
          <w:highlight w:val="none"/>
        </w:rPr>
        <w:t>〕</w:t>
      </w:r>
      <w:r>
        <w:rPr>
          <w:rFonts w:hint="eastAsia" w:ascii="仿宋_GB2312" w:hAnsi="黑体" w:eastAsia="仿宋_GB2312" w:cs="Arial"/>
          <w:color w:val="auto"/>
          <w:sz w:val="32"/>
          <w:szCs w:val="32"/>
          <w:highlight w:val="none"/>
          <w:lang w:val="en-US" w:eastAsia="zh-CN"/>
        </w:rPr>
        <w:t>10</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ind w:left="0" w:leftChars="0"/>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745B315E">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val="en-US" w:eastAsia="zh-CN"/>
        </w:rPr>
        <w:t>东乌珠穆沁旗乌里雅斯太镇第二水源厂设施设备改造工程</w:t>
      </w:r>
      <w:r>
        <w:rPr>
          <w:rFonts w:hint="eastAsia" w:ascii="方正小标宋简体" w:hAnsi="Calibri" w:eastAsia="方正小标宋简体" w:cs="Arial"/>
          <w:color w:val="auto"/>
          <w:sz w:val="44"/>
          <w:szCs w:val="44"/>
          <w:highlight w:val="none"/>
        </w:rPr>
        <w:t xml:space="preserve">环境影响报告表的批复 </w:t>
      </w:r>
    </w:p>
    <w:bookmarkEnd w:id="0"/>
    <w:p w14:paraId="5C50DEFA">
      <w:pPr>
        <w:keepNext w:val="0"/>
        <w:keepLines w:val="0"/>
        <w:pageBreakBefore w:val="0"/>
        <w:widowControl w:val="0"/>
        <w:kinsoku/>
        <w:wordWrap/>
        <w:overflowPunct/>
        <w:topLinePunct w:val="0"/>
        <w:bidi w:val="0"/>
        <w:adjustRightInd w:val="0"/>
        <w:snapToGrid w:val="0"/>
        <w:spacing w:line="560" w:lineRule="exact"/>
        <w:ind w:left="0" w:leftChars="0"/>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东乌珠穆沁旗住房和城乡建设局</w:t>
      </w:r>
      <w:r>
        <w:rPr>
          <w:rFonts w:hint="eastAsia" w:ascii="仿宋_GB2312" w:hAnsi="仿宋_GB2312" w:eastAsia="仿宋_GB2312" w:cs="仿宋_GB2312"/>
          <w:color w:val="auto"/>
          <w:sz w:val="32"/>
          <w:szCs w:val="32"/>
          <w:highlight w:val="none"/>
          <w:lang w:eastAsia="zh-CN"/>
        </w:rPr>
        <w:t>：</w:t>
      </w:r>
    </w:p>
    <w:p w14:paraId="5597E2B4">
      <w:pPr>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委托</w:t>
      </w:r>
      <w:r>
        <w:rPr>
          <w:rFonts w:hint="eastAsia" w:ascii="仿宋_GB2312" w:hAnsi="仿宋_GB2312" w:eastAsia="仿宋_GB2312" w:cs="仿宋_GB2312"/>
          <w:bCs/>
          <w:color w:val="auto"/>
          <w:sz w:val="32"/>
          <w:szCs w:val="32"/>
          <w:highlight w:val="none"/>
          <w:lang w:eastAsia="zh-CN"/>
        </w:rPr>
        <w:t>内蒙古亿信项目管理有限公司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val="en-US" w:eastAsia="zh-CN"/>
        </w:rPr>
        <w:t>东乌珠穆沁旗乌里雅斯太镇第二水源厂设施设备改造工程</w:t>
      </w:r>
      <w:r>
        <w:rPr>
          <w:rFonts w:hint="eastAsia" w:ascii="仿宋_GB2312" w:hAnsi="仿宋_GB2312" w:eastAsia="仿宋_GB2312" w:cs="仿宋_GB2312"/>
          <w:bCs/>
          <w:color w:val="auto"/>
          <w:sz w:val="32"/>
          <w:szCs w:val="32"/>
          <w:highlight w:val="none"/>
        </w:rPr>
        <w:t>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6322C2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本项目位于内蒙古自治区锡林郭勒盟</w:t>
      </w:r>
      <w:r>
        <w:rPr>
          <w:rFonts w:hint="eastAsia" w:ascii="仿宋_GB2312" w:hAnsi="仿宋_GB2312" w:eastAsia="仿宋_GB2312" w:cs="仿宋_GB2312"/>
          <w:color w:val="auto"/>
          <w:sz w:val="32"/>
          <w:szCs w:val="32"/>
          <w:highlight w:val="none"/>
          <w:lang w:val="en-US" w:eastAsia="zh-CN"/>
        </w:rPr>
        <w:t>东乌珠穆沁旗乌里雅斯太镇</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改建</w:t>
      </w:r>
      <w:r>
        <w:rPr>
          <w:rFonts w:hint="eastAsia" w:ascii="仿宋_GB2312" w:hAnsi="仿宋_GB2312" w:eastAsia="仿宋_GB2312" w:cs="仿宋_GB2312"/>
          <w:color w:val="auto"/>
          <w:sz w:val="32"/>
          <w:szCs w:val="32"/>
          <w:highlight w:val="none"/>
        </w:rPr>
        <w:t>项目，因生产规模发生重大变动，重新报批环评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项目总占地面积为45000m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vertAlign w:val="baseline"/>
          <w:lang w:val="en-US" w:eastAsia="zh-CN"/>
        </w:rPr>
        <w:t>，处理规模扩建5000m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vertAlign w:val="baseline"/>
          <w:lang w:val="en-US" w:eastAsia="zh-CN"/>
        </w:rPr>
        <w:t>/d，扩建后总体处理规模达到15000m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vertAlign w:val="baseline"/>
          <w:lang w:val="en-US" w:eastAsia="zh-CN"/>
        </w:rPr>
        <w:t>/d。水处理采用“预处理＋超滤+反渗透”工艺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建设内容主要包括在已建净水车间内更换部分超滤和反渗透膜组件；新建容积1000m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原水池1座；按5000m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d出水规模，在现状净水车间内设置成套的超滤-反渗透水处理设备及其配套清洗、控制、配电等设备；在现状加氯车间内增设次氯酸钠发生器及其配套设备一套；在现状净水车间出水水泵间内设置二级供水设备及其配套控制、配电等设备。辅助工程依托原有办公楼、仓库、活动室、锅炉房。</w:t>
      </w:r>
      <w:r>
        <w:rPr>
          <w:rFonts w:hint="eastAsia" w:ascii="仿宋_GB2312" w:hAnsi="仿宋_GB2312" w:eastAsia="仿宋_GB2312" w:cs="仿宋_GB2312"/>
          <w:color w:val="auto"/>
          <w:sz w:val="32"/>
          <w:szCs w:val="32"/>
          <w:highlight w:val="none"/>
        </w:rPr>
        <w:t>项目总投资</w:t>
      </w:r>
      <w:r>
        <w:rPr>
          <w:rFonts w:hint="eastAsia" w:ascii="仿宋_GB2312" w:hAnsi="仿宋_GB2312" w:eastAsia="仿宋_GB2312" w:cs="仿宋_GB2312"/>
          <w:color w:val="auto"/>
          <w:sz w:val="32"/>
          <w:szCs w:val="32"/>
          <w:highlight w:val="none"/>
          <w:lang w:val="en-US" w:eastAsia="zh-CN"/>
        </w:rPr>
        <w:t>2502.3</w:t>
      </w:r>
      <w:r>
        <w:rPr>
          <w:rFonts w:hint="eastAsia" w:ascii="仿宋_GB2312" w:hAnsi="仿宋_GB2312" w:eastAsia="仿宋_GB2312" w:cs="仿宋_GB2312"/>
          <w:color w:val="auto"/>
          <w:sz w:val="32"/>
          <w:szCs w:val="32"/>
          <w:highlight w:val="none"/>
        </w:rPr>
        <w:t>万元，其中环保投资</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万元，占总投资的</w:t>
      </w:r>
      <w:r>
        <w:rPr>
          <w:rFonts w:hint="eastAsia" w:ascii="仿宋_GB2312" w:hAnsi="仿宋_GB2312" w:eastAsia="仿宋_GB2312" w:cs="仿宋_GB2312"/>
          <w:color w:val="auto"/>
          <w:sz w:val="32"/>
          <w:szCs w:val="32"/>
          <w:highlight w:val="none"/>
          <w:lang w:val="en-US" w:eastAsia="zh-CN"/>
        </w:rPr>
        <w:t>0.52</w:t>
      </w:r>
      <w:r>
        <w:rPr>
          <w:rFonts w:hint="eastAsia" w:ascii="仿宋_GB2312" w:hAnsi="仿宋_GB2312" w:eastAsia="仿宋_GB2312" w:cs="仿宋_GB2312"/>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w:t>
      </w:r>
      <w:r>
        <w:rPr>
          <w:rFonts w:hint="eastAsia" w:ascii="仿宋_GB2312" w:hAnsi="仿宋_GB2312" w:eastAsia="仿宋_GB2312" w:cs="仿宋_GB2312"/>
          <w:color w:val="auto"/>
          <w:sz w:val="32"/>
          <w:szCs w:val="32"/>
          <w:highlight w:val="none"/>
          <w:lang w:val="en-GB" w:eastAsia="zh-CN"/>
        </w:rPr>
        <w:t>《产业结构调整指导目录(2024年本)》</w:t>
      </w:r>
      <w:r>
        <w:rPr>
          <w:rFonts w:hint="eastAsia" w:ascii="仿宋_GB2312" w:hAnsi="仿宋_GB2312" w:eastAsia="仿宋_GB2312" w:cs="仿宋_GB2312"/>
          <w:color w:val="auto"/>
          <w:sz w:val="32"/>
          <w:szCs w:val="32"/>
          <w:highlight w:val="none"/>
          <w:lang w:val="en-GB"/>
        </w:rPr>
        <w:t>，本项目不属于鼓励类、限制类和淘汰类，为允许类</w:t>
      </w:r>
      <w:r>
        <w:rPr>
          <w:rFonts w:hint="eastAsia" w:ascii="仿宋_GB2312" w:hAnsi="仿宋_GB2312" w:eastAsia="仿宋_GB2312" w:cs="仿宋_GB2312"/>
          <w:color w:val="auto"/>
          <w:sz w:val="32"/>
          <w:szCs w:val="32"/>
          <w:highlight w:val="none"/>
          <w:lang w:val="en-US" w:eastAsia="zh-CN"/>
        </w:rPr>
        <w:t>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left="0" w:leftChars="0"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w:t>
      </w:r>
      <w:r>
        <w:rPr>
          <w:rFonts w:hint="eastAsia" w:ascii="黑体" w:hAnsi="黑体" w:eastAsia="黑体" w:cs="黑体"/>
          <w:color w:val="auto"/>
          <w:sz w:val="32"/>
          <w:szCs w:val="32"/>
          <w:highlight w:val="none"/>
        </w:rPr>
        <w:t>项目建设及运营过程中的相关责任</w:t>
      </w:r>
    </w:p>
    <w:p w14:paraId="14C2A56E">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（一）废气方面</w:t>
      </w:r>
    </w:p>
    <w:p w14:paraId="0918AB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C00000"/>
          <w:sz w:val="32"/>
          <w:szCs w:val="32"/>
          <w:highlight w:val="red"/>
          <w:lang w:val="en-US" w:eastAsia="zh-CN"/>
        </w:rPr>
      </w:pPr>
      <w:r>
        <w:rPr>
          <w:rFonts w:hint="eastAsia" w:ascii="仿宋_GB2312" w:hAnsi="仿宋_GB2312" w:eastAsia="仿宋_GB2312" w:cs="仿宋_GB2312"/>
          <w:color w:val="auto"/>
          <w:sz w:val="32"/>
          <w:szCs w:val="32"/>
          <w:highlight w:val="none"/>
        </w:rPr>
        <w:t>施工期现场</w:t>
      </w:r>
      <w:r>
        <w:rPr>
          <w:rFonts w:hint="eastAsia" w:ascii="仿宋_GB2312" w:hAnsi="仿宋_GB2312" w:eastAsia="仿宋_GB2312" w:cs="仿宋_GB2312"/>
          <w:color w:val="auto"/>
          <w:sz w:val="32"/>
          <w:szCs w:val="32"/>
          <w:highlight w:val="none"/>
          <w:lang w:val="en-US" w:eastAsia="zh-CN"/>
        </w:rPr>
        <w:t>通过洒水降尘、物料苫盖、</w:t>
      </w:r>
      <w:r>
        <w:rPr>
          <w:rFonts w:hint="eastAsia" w:ascii="仿宋_GB2312" w:hAnsi="仿宋_GB2312" w:eastAsia="仿宋_GB2312" w:cs="仿宋_GB2312"/>
          <w:color w:val="auto"/>
          <w:sz w:val="32"/>
          <w:szCs w:val="32"/>
          <w:highlight w:val="none"/>
        </w:rPr>
        <w:t>车辆</w:t>
      </w:r>
      <w:r>
        <w:rPr>
          <w:rFonts w:hint="eastAsia" w:ascii="仿宋_GB2312" w:hAnsi="仿宋_GB2312" w:eastAsia="仿宋_GB2312" w:cs="仿宋_GB2312"/>
          <w:color w:val="auto"/>
          <w:sz w:val="32"/>
          <w:szCs w:val="32"/>
          <w:highlight w:val="none"/>
          <w:lang w:val="en-US" w:eastAsia="zh-CN"/>
        </w:rPr>
        <w:t>减速慢行、物料密闭运输、</w:t>
      </w:r>
      <w:r>
        <w:rPr>
          <w:rFonts w:hint="eastAsia" w:ascii="仿宋_GB2312" w:hAnsi="仿宋_GB2312" w:eastAsia="仿宋_GB2312" w:cs="仿宋_GB2312"/>
          <w:color w:val="auto"/>
          <w:sz w:val="32"/>
          <w:szCs w:val="32"/>
          <w:highlight w:val="none"/>
        </w:rPr>
        <w:t>遇到恶劣天气禁止施工作业等措施，抑制扬尘污染</w:t>
      </w:r>
      <w:r>
        <w:rPr>
          <w:rFonts w:hint="eastAsia" w:ascii="仿宋_GB2312" w:hAnsi="仿宋_GB2312" w:eastAsia="仿宋_GB2312" w:cs="仿宋_GB2312"/>
          <w:color w:val="auto"/>
          <w:sz w:val="32"/>
          <w:szCs w:val="32"/>
          <w:highlight w:val="none"/>
          <w:lang w:val="en-US" w:eastAsia="zh-CN"/>
        </w:rPr>
        <w:t>。严格执行《大气污染物综合排放标准》（GB16297-1996）。</w:t>
      </w:r>
    </w:p>
    <w:p w14:paraId="22CD5E80">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（二）废水方面</w:t>
      </w:r>
    </w:p>
    <w:p w14:paraId="7BA956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施工场地设置临时沉淀池，施工废水经沉淀池处理后回用于地面洒水降尘；</w:t>
      </w:r>
      <w:r>
        <w:rPr>
          <w:rFonts w:hint="eastAsia" w:ascii="仿宋_GB2312" w:hAnsi="仿宋_GB2312" w:eastAsia="仿宋_GB2312" w:cs="仿宋_GB2312"/>
          <w:color w:val="auto"/>
          <w:sz w:val="32"/>
          <w:szCs w:val="32"/>
          <w:highlight w:val="none"/>
          <w:lang w:val="en-US" w:eastAsia="zh-CN"/>
        </w:rPr>
        <w:t>施工</w:t>
      </w:r>
      <w:r>
        <w:rPr>
          <w:rFonts w:hint="eastAsia" w:ascii="仿宋_GB2312" w:hAnsi="仿宋_GB2312" w:eastAsia="仿宋_GB2312" w:cs="仿宋_GB2312"/>
          <w:color w:val="auto"/>
          <w:sz w:val="32"/>
          <w:szCs w:val="32"/>
          <w:highlight w:val="none"/>
        </w:rPr>
        <w:t>期生活污水经集中收集后进行处理，严禁向外环境排放</w:t>
      </w:r>
      <w:r>
        <w:rPr>
          <w:rFonts w:hint="eastAsia" w:ascii="仿宋_GB2312" w:hAnsi="仿宋_GB2312" w:eastAsia="仿宋_GB2312" w:cs="仿宋_GB2312"/>
          <w:color w:val="auto"/>
          <w:sz w:val="32"/>
          <w:szCs w:val="32"/>
          <w:highlight w:val="none"/>
          <w:lang w:val="en-US" w:eastAsia="zh-CN"/>
        </w:rPr>
        <w:t>。生产废水最终排入乌里雅斯太镇污水处理厂处理。严格执行《污水综合排放标准》（GB8978-1996）。</w:t>
      </w:r>
    </w:p>
    <w:p w14:paraId="503A1A2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kern w:val="0"/>
          <w:sz w:val="32"/>
          <w:szCs w:val="32"/>
          <w:highlight w:val="none"/>
          <w:lang w:eastAsia="zh-CN"/>
        </w:rPr>
      </w:pPr>
      <w:r>
        <w:rPr>
          <w:rFonts w:hint="eastAsia" w:ascii="楷体_GB2312" w:hAnsi="Calibri" w:eastAsia="楷体_GB2312" w:cs="Arial"/>
          <w:b w:val="0"/>
          <w:bCs w:val="0"/>
          <w:color w:val="auto"/>
          <w:kern w:val="0"/>
          <w:sz w:val="32"/>
          <w:szCs w:val="32"/>
          <w:highlight w:val="none"/>
        </w:rPr>
        <w:t>（三）噪声方面</w:t>
      </w:r>
    </w:p>
    <w:p w14:paraId="2C8E6A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施工期加强运输车辆管理，采取减速慢行、禁止鸣笛等措施，选用低噪声设备和工艺减轻噪声污染。施工期执行《建筑施工场界环境噪声排放标准》（GB12523-2025）。运营期针对不同的声源采取相应的隔声、消声、减振、降噪措施，所有设备均置于封闭车间内并加装减振基座，同时加强机械设备日常维护。运营期执行《工业企业厂界环境噪声排放标准》（GB12348-2008）</w:t>
      </w:r>
      <w:bookmarkStart w:id="1" w:name="_GoBack"/>
      <w:bookmarkEnd w:id="1"/>
      <w:r>
        <w:rPr>
          <w:rFonts w:hint="eastAsia" w:ascii="仿宋_GB2312" w:hAnsi="仿宋_GB2312" w:eastAsia="仿宋_GB2312" w:cs="仿宋_GB2312"/>
          <w:color w:val="auto"/>
          <w:sz w:val="32"/>
          <w:szCs w:val="32"/>
          <w:highlight w:val="none"/>
          <w:lang w:val="en-US" w:eastAsia="zh-CN"/>
        </w:rPr>
        <w:t>。</w:t>
      </w:r>
    </w:p>
    <w:p w14:paraId="1348C26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（四）固废方面</w:t>
      </w:r>
    </w:p>
    <w:p w14:paraId="085967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施工期</w:t>
      </w:r>
      <w:r>
        <w:rPr>
          <w:rFonts w:hint="eastAsia" w:ascii="仿宋_GB2312" w:hAnsi="仿宋_GB2312" w:eastAsia="仿宋_GB2312" w:cs="仿宋_GB2312"/>
          <w:color w:val="auto"/>
          <w:sz w:val="32"/>
          <w:szCs w:val="32"/>
          <w:highlight w:val="none"/>
        </w:rPr>
        <w:t>产生的弃土、弃料等随产随清，及时回收综合利用或清运至正规处置场所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施工期及</w:t>
      </w:r>
      <w:r>
        <w:rPr>
          <w:rFonts w:hint="eastAsia" w:ascii="仿宋_GB2312" w:hAnsi="仿宋_GB2312" w:eastAsia="仿宋_GB2312" w:cs="仿宋_GB2312"/>
          <w:color w:val="auto"/>
          <w:sz w:val="32"/>
          <w:szCs w:val="32"/>
          <w:highlight w:val="none"/>
        </w:rPr>
        <w:t>营运期产生的生活垃圾集中收集后规范处置</w:t>
      </w:r>
      <w:r>
        <w:rPr>
          <w:rFonts w:hint="eastAsia" w:ascii="仿宋_GB2312" w:hAnsi="仿宋_GB2312" w:eastAsia="仿宋_GB2312" w:cs="仿宋_GB2312"/>
          <w:color w:val="auto"/>
          <w:sz w:val="32"/>
          <w:szCs w:val="32"/>
          <w:highlight w:val="none"/>
          <w:lang w:eastAsia="zh-CN"/>
        </w:rPr>
        <w:t>；运营期产生的</w:t>
      </w:r>
      <w:r>
        <w:rPr>
          <w:rFonts w:hint="eastAsia" w:ascii="仿宋_GB2312" w:hAnsi="仿宋_GB2312" w:eastAsia="仿宋_GB2312" w:cs="仿宋_GB2312"/>
          <w:color w:val="auto"/>
          <w:sz w:val="32"/>
          <w:szCs w:val="32"/>
          <w:highlight w:val="none"/>
          <w:lang w:val="en-US" w:eastAsia="zh-CN"/>
        </w:rPr>
        <w:t>废弃滤芯、废反渗透膜等统一收集后规范处置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执行《一般工业固体废物贮存和填埋污染控制标准》（GB18599-2020）</w:t>
      </w:r>
      <w:r>
        <w:rPr>
          <w:rFonts w:hint="eastAsia" w:ascii="仿宋_GB2312" w:hAnsi="仿宋_GB2312" w:eastAsia="仿宋_GB2312" w:cs="仿宋_GB2312"/>
          <w:color w:val="auto"/>
          <w:sz w:val="32"/>
          <w:szCs w:val="32"/>
          <w:highlight w:val="none"/>
          <w:lang w:eastAsia="zh-CN"/>
        </w:rPr>
        <w:t>。</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8CE5E1E">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2C20B685">
      <w:pPr>
        <w:pStyle w:val="6"/>
        <w:keepNext w:val="0"/>
        <w:keepLines w:val="0"/>
        <w:pageBreakBefore w:val="0"/>
        <w:widowControl w:val="0"/>
        <w:kinsoku/>
        <w:wordWrap/>
        <w:overflowPunct/>
        <w:topLinePunct w:val="0"/>
        <w:bidi w:val="0"/>
        <w:spacing w:after="0" w:line="560" w:lineRule="exact"/>
        <w:ind w:left="0" w:leftChars="0"/>
        <w:rPr>
          <w:rFonts w:hint="eastAsia" w:ascii="仿宋_GB2312" w:hAnsi="Calibri" w:eastAsia="仿宋_GB2312" w:cs="Arial"/>
          <w:color w:val="auto"/>
          <w:sz w:val="32"/>
          <w:szCs w:val="32"/>
          <w:highlight w:val="none"/>
        </w:rPr>
      </w:pPr>
    </w:p>
    <w:p w14:paraId="2DC43482">
      <w:pPr>
        <w:pStyle w:val="6"/>
        <w:keepNext w:val="0"/>
        <w:keepLines w:val="0"/>
        <w:pageBreakBefore w:val="0"/>
        <w:widowControl w:val="0"/>
        <w:kinsoku/>
        <w:wordWrap/>
        <w:overflowPunct/>
        <w:topLinePunct w:val="0"/>
        <w:bidi w:val="0"/>
        <w:spacing w:after="0" w:line="560" w:lineRule="exact"/>
        <w:ind w:left="0" w:leftChars="0"/>
        <w:rPr>
          <w:rFonts w:hint="eastAsia"/>
          <w:color w:val="auto"/>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5153EA69">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18</w:t>
      </w:r>
      <w:r>
        <w:rPr>
          <w:rFonts w:hint="eastAsia" w:ascii="仿宋_GB2312" w:hAnsi="Calibri" w:eastAsia="仿宋_GB2312" w:cs="Arial"/>
          <w:color w:val="auto"/>
          <w:sz w:val="32"/>
          <w:szCs w:val="32"/>
          <w:highlight w:val="none"/>
          <w:lang w:eastAsia="zh-CN"/>
        </w:rPr>
        <w:t>日</w:t>
      </w:r>
    </w:p>
    <w:p w14:paraId="347E4CCA">
      <w:pPr>
        <w:keepNext w:val="0"/>
        <w:keepLines w:val="0"/>
        <w:pageBreakBefore w:val="0"/>
        <w:widowControl w:val="0"/>
        <w:kinsoku/>
        <w:wordWrap/>
        <w:overflowPunct/>
        <w:topLinePunct w:val="0"/>
        <w:autoSpaceDE w:val="0"/>
        <w:autoSpaceDN w:val="0"/>
        <w:bidi w:val="0"/>
        <w:adjustRightInd w:val="0"/>
        <w:spacing w:line="560" w:lineRule="exact"/>
        <w:jc w:val="both"/>
        <w:rPr>
          <w:rFonts w:hint="eastAsia" w:ascii="仿宋_GB2312" w:hAnsi="Calibri" w:eastAsia="仿宋_GB2312" w:cs="Arial"/>
          <w:color w:val="auto"/>
          <w:sz w:val="32"/>
          <w:szCs w:val="32"/>
          <w:highlight w:val="none"/>
          <w:lang w:eastAsia="zh-CN"/>
        </w:rPr>
      </w:pPr>
    </w:p>
    <w:p w14:paraId="4D8582D0">
      <w:pPr>
        <w:keepNext w:val="0"/>
        <w:keepLines w:val="0"/>
        <w:pageBreakBefore w:val="0"/>
        <w:widowControl w:val="0"/>
        <w:kinsoku/>
        <w:wordWrap/>
        <w:overflowPunct/>
        <w:topLinePunct w:val="0"/>
        <w:autoSpaceDE w:val="0"/>
        <w:autoSpaceDN w:val="0"/>
        <w:bidi w:val="0"/>
        <w:adjustRightInd w:val="0"/>
        <w:spacing w:line="560" w:lineRule="exact"/>
        <w:jc w:val="both"/>
        <w:rPr>
          <w:rFonts w:hint="eastAsia" w:ascii="仿宋_GB2312" w:hAnsi="Calibri" w:eastAsia="仿宋_GB2312" w:cs="Arial"/>
          <w:color w:val="auto"/>
          <w:sz w:val="32"/>
          <w:szCs w:val="32"/>
          <w:highlight w:val="none"/>
          <w:lang w:eastAsia="zh-CN"/>
        </w:rPr>
      </w:pPr>
    </w:p>
    <w:p w14:paraId="54D16C4C">
      <w:pPr>
        <w:keepNext w:val="0"/>
        <w:keepLines w:val="0"/>
        <w:pageBreakBefore w:val="0"/>
        <w:widowControl w:val="0"/>
        <w:kinsoku/>
        <w:wordWrap/>
        <w:overflowPunct/>
        <w:topLinePunct w:val="0"/>
        <w:autoSpaceDE w:val="0"/>
        <w:autoSpaceDN w:val="0"/>
        <w:bidi w:val="0"/>
        <w:adjustRightInd w:val="0"/>
        <w:spacing w:line="560" w:lineRule="exact"/>
        <w:jc w:val="both"/>
        <w:rPr>
          <w:rFonts w:hint="eastAsia" w:ascii="仿宋_GB2312" w:hAnsi="Calibri" w:eastAsia="仿宋_GB2312" w:cs="Arial"/>
          <w:color w:val="auto"/>
          <w:sz w:val="32"/>
          <w:szCs w:val="32"/>
          <w:highlight w:val="none"/>
          <w:lang w:eastAsia="zh-CN"/>
        </w:rPr>
      </w:pPr>
    </w:p>
    <w:p w14:paraId="76CBA801">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6FB24ECE">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43263039">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10A42233">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0CA625FD">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4ACD6116">
      <w:pPr>
        <w:pStyle w:val="4"/>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line="560" w:lineRule="exact"/>
        <w:ind w:left="0" w:leftChars="0"/>
        <w:jc w:val="both"/>
        <w:textAlignment w:val="auto"/>
        <w:rPr>
          <w:color w:val="auto"/>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2026年5月18日印发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4"/>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4"/>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4F67"/>
    <w:rsid w:val="00FF362D"/>
    <w:rsid w:val="01246D1A"/>
    <w:rsid w:val="014B4068"/>
    <w:rsid w:val="016120A8"/>
    <w:rsid w:val="01D134FA"/>
    <w:rsid w:val="02E66B31"/>
    <w:rsid w:val="03C94DF8"/>
    <w:rsid w:val="03F45E22"/>
    <w:rsid w:val="043F3009"/>
    <w:rsid w:val="04BC5D9C"/>
    <w:rsid w:val="05191440"/>
    <w:rsid w:val="053D6920"/>
    <w:rsid w:val="05706B86"/>
    <w:rsid w:val="05882122"/>
    <w:rsid w:val="05E7509A"/>
    <w:rsid w:val="060354C6"/>
    <w:rsid w:val="06695809"/>
    <w:rsid w:val="071C34B5"/>
    <w:rsid w:val="07AC0345"/>
    <w:rsid w:val="07B90CB8"/>
    <w:rsid w:val="080261BB"/>
    <w:rsid w:val="083245C7"/>
    <w:rsid w:val="08397703"/>
    <w:rsid w:val="088766C0"/>
    <w:rsid w:val="09102D8D"/>
    <w:rsid w:val="09615163"/>
    <w:rsid w:val="09776735"/>
    <w:rsid w:val="09862E1C"/>
    <w:rsid w:val="0AD35BED"/>
    <w:rsid w:val="0B0E131B"/>
    <w:rsid w:val="0C0544CC"/>
    <w:rsid w:val="0CAA64F9"/>
    <w:rsid w:val="0CF63E15"/>
    <w:rsid w:val="0D136775"/>
    <w:rsid w:val="0D215336"/>
    <w:rsid w:val="0D7A4A46"/>
    <w:rsid w:val="0D980131"/>
    <w:rsid w:val="0DA30884"/>
    <w:rsid w:val="0E1E1CB4"/>
    <w:rsid w:val="0F5D6655"/>
    <w:rsid w:val="117143B2"/>
    <w:rsid w:val="118063A3"/>
    <w:rsid w:val="11EA01E5"/>
    <w:rsid w:val="123E24E6"/>
    <w:rsid w:val="125F420A"/>
    <w:rsid w:val="127C05EB"/>
    <w:rsid w:val="12C67865"/>
    <w:rsid w:val="13425D97"/>
    <w:rsid w:val="14682881"/>
    <w:rsid w:val="14E268E1"/>
    <w:rsid w:val="15595889"/>
    <w:rsid w:val="17F94C98"/>
    <w:rsid w:val="18D4224A"/>
    <w:rsid w:val="198A06FD"/>
    <w:rsid w:val="1A69031C"/>
    <w:rsid w:val="1A937147"/>
    <w:rsid w:val="1B153D91"/>
    <w:rsid w:val="1B1541F5"/>
    <w:rsid w:val="1B612DA1"/>
    <w:rsid w:val="1B8151F1"/>
    <w:rsid w:val="1BE0460E"/>
    <w:rsid w:val="1C9C6787"/>
    <w:rsid w:val="1CDC4DD5"/>
    <w:rsid w:val="1DAD0520"/>
    <w:rsid w:val="1F127786"/>
    <w:rsid w:val="1F463C49"/>
    <w:rsid w:val="1FD53DA5"/>
    <w:rsid w:val="20651585"/>
    <w:rsid w:val="208E79CF"/>
    <w:rsid w:val="2100305C"/>
    <w:rsid w:val="215D18CA"/>
    <w:rsid w:val="22B12860"/>
    <w:rsid w:val="232748D0"/>
    <w:rsid w:val="235D02F2"/>
    <w:rsid w:val="236D70AB"/>
    <w:rsid w:val="238255CE"/>
    <w:rsid w:val="23BB613A"/>
    <w:rsid w:val="23CE7442"/>
    <w:rsid w:val="23FC5D5D"/>
    <w:rsid w:val="24B86128"/>
    <w:rsid w:val="254479BB"/>
    <w:rsid w:val="25CE54D7"/>
    <w:rsid w:val="26B66697"/>
    <w:rsid w:val="26E52AD8"/>
    <w:rsid w:val="28221B0A"/>
    <w:rsid w:val="28564561"/>
    <w:rsid w:val="28620159"/>
    <w:rsid w:val="29424212"/>
    <w:rsid w:val="295108F9"/>
    <w:rsid w:val="297D16EE"/>
    <w:rsid w:val="2AC84BEB"/>
    <w:rsid w:val="2ADB2B70"/>
    <w:rsid w:val="2AFA0B1C"/>
    <w:rsid w:val="2B553B0E"/>
    <w:rsid w:val="2BA32F62"/>
    <w:rsid w:val="2BAB49C5"/>
    <w:rsid w:val="2BC639DD"/>
    <w:rsid w:val="2C5E58D5"/>
    <w:rsid w:val="2DAF2092"/>
    <w:rsid w:val="2E075A2A"/>
    <w:rsid w:val="2E1F501B"/>
    <w:rsid w:val="2E67471B"/>
    <w:rsid w:val="2ED753FC"/>
    <w:rsid w:val="2F4F1437"/>
    <w:rsid w:val="2F6824F8"/>
    <w:rsid w:val="2F8F5CD7"/>
    <w:rsid w:val="2F9652B7"/>
    <w:rsid w:val="2FA15A0A"/>
    <w:rsid w:val="2FB66037"/>
    <w:rsid w:val="2FE14059"/>
    <w:rsid w:val="30CD2F5B"/>
    <w:rsid w:val="30FD3114"/>
    <w:rsid w:val="310444A3"/>
    <w:rsid w:val="318A0E4C"/>
    <w:rsid w:val="322D17D7"/>
    <w:rsid w:val="334F1746"/>
    <w:rsid w:val="342F5CDB"/>
    <w:rsid w:val="34A51AF9"/>
    <w:rsid w:val="34B166F0"/>
    <w:rsid w:val="34E268A9"/>
    <w:rsid w:val="35F766F6"/>
    <w:rsid w:val="37895702"/>
    <w:rsid w:val="3828316D"/>
    <w:rsid w:val="38C073F1"/>
    <w:rsid w:val="39A53079"/>
    <w:rsid w:val="3A105C66"/>
    <w:rsid w:val="3B0F4958"/>
    <w:rsid w:val="3B3836C7"/>
    <w:rsid w:val="3CAF1767"/>
    <w:rsid w:val="3CED35CD"/>
    <w:rsid w:val="3DD84CED"/>
    <w:rsid w:val="3E695E39"/>
    <w:rsid w:val="3ECB598F"/>
    <w:rsid w:val="3EE04D72"/>
    <w:rsid w:val="3F1B0236"/>
    <w:rsid w:val="40B841A9"/>
    <w:rsid w:val="41070D79"/>
    <w:rsid w:val="414601C0"/>
    <w:rsid w:val="415428DD"/>
    <w:rsid w:val="41E579D9"/>
    <w:rsid w:val="42326612"/>
    <w:rsid w:val="42B9333F"/>
    <w:rsid w:val="436F39FE"/>
    <w:rsid w:val="43BC6374"/>
    <w:rsid w:val="43E066A9"/>
    <w:rsid w:val="44641089"/>
    <w:rsid w:val="44EC107E"/>
    <w:rsid w:val="45442C68"/>
    <w:rsid w:val="45D109A0"/>
    <w:rsid w:val="46935C55"/>
    <w:rsid w:val="479F062A"/>
    <w:rsid w:val="47ED7875"/>
    <w:rsid w:val="49396A62"/>
    <w:rsid w:val="496477F7"/>
    <w:rsid w:val="497D499A"/>
    <w:rsid w:val="49D61BFD"/>
    <w:rsid w:val="49D96075"/>
    <w:rsid w:val="4A542F03"/>
    <w:rsid w:val="4AF3760A"/>
    <w:rsid w:val="4B552AA6"/>
    <w:rsid w:val="4B670384"/>
    <w:rsid w:val="4BF120D4"/>
    <w:rsid w:val="4C8E75EA"/>
    <w:rsid w:val="4DE566F3"/>
    <w:rsid w:val="4DE66FB2"/>
    <w:rsid w:val="4F251D5C"/>
    <w:rsid w:val="4F2B7BF3"/>
    <w:rsid w:val="5060304C"/>
    <w:rsid w:val="50B213CE"/>
    <w:rsid w:val="5119144D"/>
    <w:rsid w:val="52EA0FEF"/>
    <w:rsid w:val="53FF0DCE"/>
    <w:rsid w:val="54603F5B"/>
    <w:rsid w:val="54E83610"/>
    <w:rsid w:val="553B42E8"/>
    <w:rsid w:val="55A61065"/>
    <w:rsid w:val="561623FF"/>
    <w:rsid w:val="56391260"/>
    <w:rsid w:val="57995095"/>
    <w:rsid w:val="58006EC2"/>
    <w:rsid w:val="581B1F4E"/>
    <w:rsid w:val="585D4D1D"/>
    <w:rsid w:val="585F62DF"/>
    <w:rsid w:val="58E75FA0"/>
    <w:rsid w:val="58FA7DB6"/>
    <w:rsid w:val="5978653D"/>
    <w:rsid w:val="5A6C17A9"/>
    <w:rsid w:val="5AB10EDB"/>
    <w:rsid w:val="5AE9415A"/>
    <w:rsid w:val="5AFF7905"/>
    <w:rsid w:val="5BEF767F"/>
    <w:rsid w:val="5C435D6C"/>
    <w:rsid w:val="5C547A3A"/>
    <w:rsid w:val="5C5D2B35"/>
    <w:rsid w:val="5C666C4B"/>
    <w:rsid w:val="5CF50FC0"/>
    <w:rsid w:val="5D373EE0"/>
    <w:rsid w:val="5DAD3649"/>
    <w:rsid w:val="5E2E29DB"/>
    <w:rsid w:val="5E3A73D5"/>
    <w:rsid w:val="5E714676"/>
    <w:rsid w:val="5E7C0CB8"/>
    <w:rsid w:val="5F096FA4"/>
    <w:rsid w:val="5F1F4CE5"/>
    <w:rsid w:val="5F623CFA"/>
    <w:rsid w:val="5F954394"/>
    <w:rsid w:val="5FA6467B"/>
    <w:rsid w:val="60C91F73"/>
    <w:rsid w:val="60E73507"/>
    <w:rsid w:val="621E3793"/>
    <w:rsid w:val="6235508F"/>
    <w:rsid w:val="62AC1363"/>
    <w:rsid w:val="62B94D98"/>
    <w:rsid w:val="631B72A6"/>
    <w:rsid w:val="641A4CCC"/>
    <w:rsid w:val="645A498D"/>
    <w:rsid w:val="64DF78E7"/>
    <w:rsid w:val="652C7549"/>
    <w:rsid w:val="6663343E"/>
    <w:rsid w:val="67D5211A"/>
    <w:rsid w:val="685A2794"/>
    <w:rsid w:val="691C1682"/>
    <w:rsid w:val="6AD42215"/>
    <w:rsid w:val="6B623CC4"/>
    <w:rsid w:val="6B841E8D"/>
    <w:rsid w:val="6B8E4AB9"/>
    <w:rsid w:val="6BC24763"/>
    <w:rsid w:val="6BFF57BE"/>
    <w:rsid w:val="6CB26586"/>
    <w:rsid w:val="6CF7668E"/>
    <w:rsid w:val="6D4D192F"/>
    <w:rsid w:val="6E387165"/>
    <w:rsid w:val="6E71421E"/>
    <w:rsid w:val="6E855CE3"/>
    <w:rsid w:val="6EB14AD2"/>
    <w:rsid w:val="6F084B83"/>
    <w:rsid w:val="6F1E6154"/>
    <w:rsid w:val="6F2422EF"/>
    <w:rsid w:val="6F55769C"/>
    <w:rsid w:val="6F9B4E77"/>
    <w:rsid w:val="6FAA5C3A"/>
    <w:rsid w:val="70EE7DA8"/>
    <w:rsid w:val="716A30B7"/>
    <w:rsid w:val="72534367"/>
    <w:rsid w:val="729A01E8"/>
    <w:rsid w:val="72E12285"/>
    <w:rsid w:val="73632ADC"/>
    <w:rsid w:val="73A4210F"/>
    <w:rsid w:val="746F1200"/>
    <w:rsid w:val="74A356FB"/>
    <w:rsid w:val="752E4C17"/>
    <w:rsid w:val="75987256"/>
    <w:rsid w:val="76B178AE"/>
    <w:rsid w:val="77550B81"/>
    <w:rsid w:val="785401A6"/>
    <w:rsid w:val="78A835F4"/>
    <w:rsid w:val="792E3203"/>
    <w:rsid w:val="7A1268B5"/>
    <w:rsid w:val="7A342CD0"/>
    <w:rsid w:val="7A7B26AD"/>
    <w:rsid w:val="7ABD49D6"/>
    <w:rsid w:val="7B446F42"/>
    <w:rsid w:val="7B9559F0"/>
    <w:rsid w:val="7BC97448"/>
    <w:rsid w:val="7E633B84"/>
    <w:rsid w:val="7EE30820"/>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Body Text Indent"/>
    <w:basedOn w:val="1"/>
    <w:next w:val="1"/>
    <w:semiHidden/>
    <w:qFormat/>
    <w:uiPriority w:val="0"/>
    <w:pPr>
      <w:spacing w:after="120"/>
      <w:ind w:left="420" w:leftChars="200"/>
    </w:pPr>
  </w:style>
  <w:style w:type="paragraph" w:styleId="4">
    <w:name w:val="footer"/>
    <w:basedOn w:val="1"/>
    <w:next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nhideWhenUsed/>
    <w:qFormat/>
    <w:uiPriority w:val="0"/>
    <w:pPr>
      <w:ind w:firstLine="420" w:firstLineChars="200"/>
    </w:p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798553f4-129b-405f-8b6c-aa8c0aa2ac3f</errorID>
      <errorWord>:</errorWord>
      <group>L1_Format</group>
      <groupName>格式问题</groupName>
      <ability>L2_HalfPunc</ability>
      <abilityName>全半角检查</abilityName>
      <candidateList>
        <item>：</item>
      </candidateList>
      <explain>文本全半角错误。</explain>
      <paraID>7323A254</paraID>
      <start>14</start>
      <end>15</end>
      <status>modified</status>
      <modifiedWord>：</modifiedWord>
      <trackRevisions>false</trackRevisions>
    </reviewItem>
    <reviewItem>
      <errorID>3514c9eb-bc65-4ba0-8f67-bc5438ef3893</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290BDC48</paraID>
      <start>2</start>
      <end>22</end>
      <status>modified</status>
      <modifiedWord>《产业结构调整指导目录(2024年本)》</modifiedWord>
      <trackRevisions>false</trackRevisions>
    </reviewItem>
    <reviewItem>
      <errorID>f3373b9a-ecc4-470f-b1e5-a0e74f376375</errorID>
      <errorWord>减震</errorWord>
      <group>L1_Word</group>
      <groupName>字词问题</groupName>
      <ability>L2_Typo</ability>
      <abilityName>字词错误</abilityName>
      <candidateList>
        <item>减振</item>
      </candidateList>
      <explain>存在发音相同字词的误用。</explain>
      <paraID>2C8E6AD2</paraID>
      <start>124</start>
      <end>126</end>
      <status>modified</status>
      <modifiedWord>减振</modifiedWord>
      <trackRevisions>false</trackRevisions>
    </reviewItem>
    <reviewItem>
      <errorID>d2245c61-cf75-4dc1-85ec-4353d0744e48</errorID>
      <errorWord>）要</errorWord>
      <group>L1_Word</group>
      <groupName>字词问题</groupName>
      <ability>L2_Typo</ability>
      <abilityName>字词错误</abilityName>
      <candidateList>
        <item>）</item>
      </candidateList>
      <explain/>
      <paraID>5D0C9246</paraID>
      <start>2</start>
      <end>3</end>
      <status>modified</status>
      <modifiedWord>）</modifiedWord>
      <trackRevisions>false</trackRevisions>
    </reviewItem>
    <reviewItem>
      <errorID>9dfa9462-3192-4e9f-adce-d9d8bd60e8f2</errorID>
      <errorWord>）要</errorWord>
      <group>L1_Word</group>
      <groupName>字词问题</groupName>
      <ability>L2_Typo</ability>
      <abilityName>字词错误</abilityName>
      <candidateList>
        <item>）</item>
      </candidateList>
      <explain/>
      <paraID>59EB69CD</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af64b8-0fac-45e8-b282-a35bf0a790a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1430</Words>
  <Characters>1547</Characters>
  <Lines>0</Lines>
  <Paragraphs>0</Paragraphs>
  <TotalTime>72</TotalTime>
  <ScaleCrop>false</ScaleCrop>
  <LinksUpToDate>false</LinksUpToDate>
  <CharactersWithSpaces>1595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2026-05-18T01:54:00Z</cp:lastPrinted>
  <dcterms:modified xsi:type="dcterms:W3CDTF">2026-05-18T08:54:18Z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22BF55E8F35640F5BFD421200C3B8166_13</vt:lpwstr>
  </property>
  <property fmtid="{D5CDD505-2E9C-101B-9397-08002B2CF9AE}" pid="4" name="KSOTemplateDocerSaveRecord">
    <vt:lpwstr>eyJoZGlkIjoiNzQ5YzIwZGE2ZmU0ZDQ1NzU1ODA3Y2ZhM2Y3NzgzNmIiLCJ1c2VySWQiOiIyNzY5NTQ3NjAifQ==</vt:lpwstr>
  </property>
</Properties>
</file>