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Ansi="仿宋" w:eastAsia="仿宋"/>
          <w:color w:val="auto"/>
          <w:sz w:val="30"/>
          <w:szCs w:val="30"/>
          <w:highlight w:val="none"/>
        </w:rPr>
      </w:pPr>
      <w:r>
        <w:rPr>
          <w:rFonts w:hint="eastAsia" w:ascii="仿宋_GB2312" w:hAnsi="仿宋_GB2312" w:eastAsia="仿宋_GB2312" w:cs="仿宋_GB2312"/>
          <w:color w:val="auto"/>
          <w:sz w:val="30"/>
          <w:szCs w:val="30"/>
          <w:highlight w:val="none"/>
        </w:rPr>
        <w:t>锡市环</w:t>
      </w:r>
      <w:r>
        <w:rPr>
          <w:rFonts w:hint="eastAsia" w:ascii="仿宋_GB2312" w:hAnsi="仿宋_GB2312" w:eastAsia="仿宋_GB2312" w:cs="仿宋_GB2312"/>
          <w:color w:val="auto"/>
          <w:sz w:val="30"/>
          <w:szCs w:val="30"/>
          <w:highlight w:val="none"/>
          <w:lang w:eastAsia="zh-CN"/>
        </w:rPr>
        <w:t>表</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]第</w:t>
      </w:r>
      <w:r>
        <w:rPr>
          <w:rFonts w:hint="eastAsia" w:ascii="仿宋_GB2312" w:hAnsi="仿宋_GB2312" w:eastAsia="仿宋_GB2312" w:cs="仿宋_GB2312"/>
          <w:color w:val="auto"/>
          <w:sz w:val="30"/>
          <w:szCs w:val="30"/>
          <w:highlight w:val="none"/>
          <w:lang w:val="en-US" w:eastAsia="zh-CN"/>
        </w:rPr>
        <w:t>37</w:t>
      </w:r>
      <w:r>
        <w:rPr>
          <w:rFonts w:hint="eastAsia" w:ascii="仿宋_GB2312" w:hAnsi="仿宋_GB2312" w:eastAsia="仿宋_GB2312" w:cs="仿宋_GB2312"/>
          <w:color w:val="auto"/>
          <w:sz w:val="30"/>
          <w:szCs w:val="30"/>
          <w:highlight w:val="none"/>
        </w:rPr>
        <w:t>号</w:t>
      </w:r>
    </w:p>
    <w:p>
      <w:pPr>
        <w:adjustRightInd w:val="0"/>
        <w:snapToGrid w:val="0"/>
        <w:spacing w:line="240" w:lineRule="auto"/>
        <w:jc w:val="center"/>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于包郎-五间房道路工程</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ind w:firstLine="880" w:firstLineChars="200"/>
        <w:rPr>
          <w:rFonts w:ascii="Times New Roman" w:cs="Times New Roman"/>
          <w:color w:val="auto"/>
          <w:sz w:val="44"/>
          <w:szCs w:val="44"/>
          <w:highlight w:val="none"/>
        </w:rPr>
      </w:pPr>
    </w:p>
    <w:p>
      <w:pPr>
        <w:shd w:val="clear"/>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锡林浩特市交通运输局：</w:t>
      </w:r>
    </w:p>
    <w:p>
      <w:pPr>
        <w:shd w:val="clear"/>
        <w:ind w:firstLine="640" w:firstLineChars="200"/>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w:t>
      </w:r>
      <w:r>
        <w:rPr>
          <w:rFonts w:hint="eastAsia" w:ascii="仿宋_GB2312" w:hAnsi="仿宋_GB2312" w:eastAsia="仿宋_GB2312" w:cs="仿宋_GB2312"/>
          <w:color w:val="auto"/>
          <w:sz w:val="32"/>
          <w:szCs w:val="32"/>
          <w:highlight w:val="none"/>
          <w:lang w:val="en-GB"/>
        </w:rPr>
        <w:t>内蒙古筹信环保科技有限公司</w:t>
      </w:r>
      <w:r>
        <w:rPr>
          <w:rFonts w:hint="eastAsia" w:ascii="仿宋_GB2312" w:hAnsi="仿宋_GB2312" w:eastAsia="仿宋_GB2312" w:cs="仿宋_GB2312"/>
          <w:color w:val="auto"/>
          <w:sz w:val="32"/>
          <w:szCs w:val="32"/>
          <w:highlight w:val="none"/>
          <w:lang w:val="en-GB" w:eastAsia="zh-CN"/>
        </w:rPr>
        <w:t>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《包郎-五间房道路工程》报告表已收悉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20"/>
        <w:numPr>
          <w:ilvl w:val="0"/>
          <w:numId w:val="1"/>
        </w:numPr>
        <w:shd w:val="clear"/>
        <w:ind w:firstLineChars="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lang w:val="en-GB"/>
        </w:rPr>
        <w:t>项目概况</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东北侧洪格尔嘎查，本项目起点桩号为K0+000，起点坐标为：东经116°22′40"，北纬44°47′58"。终点桩号K16+637.190，终点坐标为：东经116°30′50"，北纬44°43′10"。路线长16.637km，按四级公路技术标准设计，设计速度20km/h，全线采用路基宽7.5米，路面宽4.5米，土路肩2×15米，路面结构采用18厘米厚水泥混凝土路面+20厘米天然碎石土功能层。</w:t>
      </w:r>
      <w:r>
        <w:rPr>
          <w:rFonts w:hint="default" w:ascii="仿宋_GB2312" w:hAnsi="仿宋_GB2312" w:eastAsia="仿宋_GB2312" w:cs="仿宋_GB2312"/>
          <w:color w:val="auto"/>
          <w:kern w:val="2"/>
          <w:sz w:val="32"/>
          <w:szCs w:val="32"/>
          <w:highlight w:val="none"/>
          <w:lang w:val="en-US" w:eastAsia="zh-CN" w:bidi="ar-SA"/>
        </w:rPr>
        <w:t>本项目总投资1438.2574万元，环保投资项目环保投资估算为</w:t>
      </w:r>
      <w:r>
        <w:rPr>
          <w:rFonts w:hint="eastAsia" w:ascii="仿宋_GB2312" w:hAnsi="仿宋_GB2312" w:eastAsia="仿宋_GB2312" w:cs="仿宋_GB2312"/>
          <w:color w:val="auto"/>
          <w:kern w:val="2"/>
          <w:sz w:val="32"/>
          <w:szCs w:val="32"/>
          <w:highlight w:val="none"/>
          <w:lang w:val="en-US" w:eastAsia="zh-CN" w:bidi="ar-SA"/>
        </w:rPr>
        <w:t>33</w:t>
      </w:r>
      <w:r>
        <w:rPr>
          <w:rFonts w:hint="default" w:ascii="仿宋_GB2312" w:hAnsi="仿宋_GB2312" w:eastAsia="仿宋_GB2312" w:cs="仿宋_GB2312"/>
          <w:color w:val="auto"/>
          <w:kern w:val="2"/>
          <w:sz w:val="32"/>
          <w:szCs w:val="32"/>
          <w:highlight w:val="none"/>
          <w:lang w:val="en-US" w:eastAsia="zh-CN" w:bidi="ar-SA"/>
        </w:rPr>
        <w:t>万元，占总投资金额的</w:t>
      </w:r>
      <w:r>
        <w:rPr>
          <w:rFonts w:hint="eastAsia" w:ascii="仿宋_GB2312" w:hAnsi="仿宋_GB2312" w:eastAsia="仿宋_GB2312" w:cs="仿宋_GB2312"/>
          <w:color w:val="auto"/>
          <w:kern w:val="2"/>
          <w:sz w:val="32"/>
          <w:szCs w:val="32"/>
          <w:highlight w:val="none"/>
          <w:lang w:val="en-US" w:eastAsia="zh-CN" w:bidi="ar-SA"/>
        </w:rPr>
        <w:t>2.29</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。项目属于《产业结构调整指导目录（2019年本）》鼓励类。经审查符合锡林浩</w:t>
      </w:r>
      <w:r>
        <w:rPr>
          <w:rFonts w:hint="eastAsia" w:ascii="仿宋_GB2312" w:hAnsi="仿宋_GB2312" w:eastAsia="仿宋_GB2312" w:cs="仿宋_GB2312"/>
          <w:color w:val="auto"/>
          <w:kern w:val="2"/>
          <w:sz w:val="32"/>
          <w:szCs w:val="32"/>
          <w:highlight w:val="none"/>
          <w:lang w:val="en-US" w:eastAsia="zh-CN" w:bidi="ar-SA"/>
        </w:rPr>
        <w:t>特市总体规划，符合“三线一单”要求。</w:t>
      </w:r>
    </w:p>
    <w:p>
      <w:pPr>
        <w:pStyle w:val="20"/>
        <w:numPr>
          <w:ilvl w:val="0"/>
          <w:numId w:val="1"/>
        </w:numPr>
        <w:ind w:firstLineChars="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项目在设计、建设和运营期过程中应做好以下工</w:t>
      </w:r>
    </w:p>
    <w:p>
      <w:pPr>
        <w:pStyle w:val="20"/>
        <w:numPr>
          <w:ilvl w:val="0"/>
          <w:numId w:val="0"/>
        </w:numPr>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作：</w:t>
      </w:r>
    </w:p>
    <w:p>
      <w:pPr>
        <w:pStyle w:val="5"/>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一）项目施工期大气污染物主要为基础施工、土石方挖掘及弃土运输时产生的扬尘及建筑材料(商品混凝土、钢材及少量的沙、石、水泥等)运输进场装、卸及堆放过程产生的扬尘。施工单位应采取路面进行洒水降尘减少运输扬尘，对运输车辆进行篷布苫盖等措施减少扬尘排放。</w:t>
      </w:r>
    </w:p>
    <w:p>
      <w:pPr>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（二）通过尽量选用低噪声的机械和工艺、加强各类设备的维护和保养、距离衰减等措施使项目噪声达标排放。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w:t>
      </w:r>
      <w:r>
        <w:rPr>
          <w:rFonts w:hint="eastAsia" w:ascii="仿宋_GB2312" w:hAnsi="仿宋_GB2312" w:eastAsia="仿宋_GB2312" w:cs="仿宋_GB2312"/>
          <w:color w:val="auto"/>
          <w:sz w:val="32"/>
          <w:szCs w:val="32"/>
          <w:highlight w:val="none"/>
          <w:lang w:eastAsia="zh-CN"/>
        </w:rPr>
        <w:t>本项目中施工过程中废水主要为施工人员产生的生活污水。施工期间，施工人员生活污水经移动式化粪池收集后，定期交由第三方拉运</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（四）本项目施工期产生固体废物主要为施工人员的生活垃圾。施工过程中将施工人员产生的生活垃圾集中收集于垃圾桶，定期运往锡林浩特市生活垃圾填埋场填埋处置</w:t>
      </w:r>
      <w:r>
        <w:rPr>
          <w:rFonts w:hint="eastAsia" w:ascii="仿宋_GB2312" w:hAnsi="仿宋_GB2312" w:eastAsia="仿宋_GB2312" w:cs="仿宋_GB2312"/>
          <w:sz w:val="32"/>
          <w:szCs w:val="32"/>
          <w:highlight w:val="none"/>
          <w:lang w:val="en-US" w:eastAsia="zh-CN"/>
        </w:rPr>
        <w:t>。</w:t>
      </w:r>
    </w:p>
    <w:p>
      <w:pPr>
        <w:pStyle w:val="2"/>
        <w:rPr>
          <w:rFonts w:hint="eastAsia"/>
          <w:lang w:val="en-US" w:eastAsia="zh-CN"/>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kern w:val="2"/>
          <w:sz w:val="32"/>
          <w:szCs w:val="32"/>
          <w:highlight w:val="none"/>
          <w:lang w:val="en-US" w:eastAsia="zh-CN" w:bidi="ar-SA"/>
        </w:rPr>
        <w:t>按环评要求做好生态环境保护措施，减少生态扰动。</w:t>
      </w:r>
    </w:p>
    <w:p>
      <w:pPr>
        <w:pStyle w:val="20"/>
        <w:numPr>
          <w:ilvl w:val="0"/>
          <w:numId w:val="0"/>
        </w:num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四、锡林郭勒盟生态环境综合行政执法支队对该项目建设期间各项生态环境保护措施落实情况进行监督检查和管理。      </w:t>
      </w: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pStyle w:val="20"/>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ind w:firstLine="2560" w:firstLineChars="8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锡林郭勒盟生态环境局锡林浩特市分局</w:t>
      </w:r>
    </w:p>
    <w:p>
      <w:pPr>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 xml:space="preserve">                     2022年10月8日</w:t>
      </w:r>
    </w:p>
    <w:p>
      <w:pPr>
        <w:pStyle w:val="19"/>
        <w:ind w:left="0" w:leftChars="0" w:firstLine="0" w:firstLineChars="0"/>
        <w:rPr>
          <w:rFonts w:hint="eastAsia" w:ascii="仿宋_GB2312" w:hAnsi="仿宋_GB2312" w:eastAsia="仿宋_GB2312" w:cs="仿宋_GB2312"/>
          <w:sz w:val="32"/>
          <w:szCs w:val="32"/>
          <w:highlight w:val="none"/>
          <w:lang w:eastAsia="zh-CN"/>
        </w:rPr>
      </w:pPr>
    </w:p>
    <w:p>
      <w:pPr>
        <w:pStyle w:val="19"/>
        <w:ind w:left="0" w:leftChars="0" w:firstLine="0" w:firstLineChars="0"/>
        <w:rPr>
          <w:rFonts w:hint="eastAsia" w:ascii="仿宋_GB2312" w:hAnsi="仿宋_GB2312" w:eastAsia="仿宋_GB2312" w:cs="仿宋_GB2312"/>
          <w:sz w:val="32"/>
          <w:szCs w:val="32"/>
          <w:highlight w:val="none"/>
          <w:lang w:eastAsia="zh-CN"/>
        </w:rPr>
      </w:pPr>
      <w:bookmarkStart w:id="0" w:name="_GoBack"/>
      <w:bookmarkEnd w:id="0"/>
    </w:p>
    <w:p>
      <w:pPr>
        <w:pStyle w:val="19"/>
        <w:ind w:left="0" w:leftChars="0" w:firstLine="0" w:firstLineChars="0"/>
        <w:rPr>
          <w:rFonts w:hint="eastAsia" w:ascii="仿宋" w:hAnsi="仿宋" w:eastAsia="仿宋"/>
          <w:sz w:val="32"/>
          <w:szCs w:val="32"/>
          <w:highlight w:val="yellow"/>
        </w:rPr>
      </w:pPr>
      <w:r>
        <w:rPr>
          <w:rFonts w:hint="eastAsia" w:ascii="仿宋_GB2312" w:hAnsi="仿宋_GB2312" w:eastAsia="仿宋_GB2312" w:cs="仿宋_GB2312"/>
          <w:sz w:val="32"/>
          <w:szCs w:val="32"/>
          <w:highlight w:val="none"/>
          <w:lang w:eastAsia="zh-CN"/>
        </w:rPr>
        <w:t>抄送：锡林郭勒盟生态环境局、</w:t>
      </w:r>
      <w:r>
        <w:rPr>
          <w:rFonts w:hint="eastAsia" w:ascii="仿宋_GB2312" w:hAnsi="仿宋_GB2312" w:eastAsia="仿宋_GB2312" w:cs="仿宋_GB2312"/>
          <w:sz w:val="32"/>
          <w:szCs w:val="32"/>
          <w:highlight w:val="none"/>
          <w:lang w:val="en-US" w:eastAsia="zh-CN"/>
        </w:rPr>
        <w:t>锡林郭勒盟生态环境综合行政执法支队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315"/>
      <w:docPartObj>
        <w:docPartGallery w:val="autotext"/>
      </w:docPartObj>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E71C8"/>
    <w:multiLevelType w:val="multilevel"/>
    <w:tmpl w:val="781E71C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1MmU3NDVmNTQ2MTZjOGNmODYyOTI4M2Q1YmU5OGIifQ=="/>
  </w:docVars>
  <w:rsids>
    <w:rsidRoot w:val="001E271C"/>
    <w:rsid w:val="001E271C"/>
    <w:rsid w:val="00B87117"/>
    <w:rsid w:val="00E83F57"/>
    <w:rsid w:val="01166DA6"/>
    <w:rsid w:val="01D027C7"/>
    <w:rsid w:val="07D679D6"/>
    <w:rsid w:val="0C9B2141"/>
    <w:rsid w:val="0D502605"/>
    <w:rsid w:val="0DC94DA4"/>
    <w:rsid w:val="10773E64"/>
    <w:rsid w:val="11815149"/>
    <w:rsid w:val="119E5AF7"/>
    <w:rsid w:val="1B4F5180"/>
    <w:rsid w:val="204C4C91"/>
    <w:rsid w:val="21041E6B"/>
    <w:rsid w:val="23BD04C6"/>
    <w:rsid w:val="272A677C"/>
    <w:rsid w:val="29CC3487"/>
    <w:rsid w:val="2AB067B8"/>
    <w:rsid w:val="2AF85194"/>
    <w:rsid w:val="2CC02721"/>
    <w:rsid w:val="2FB4465A"/>
    <w:rsid w:val="30EB2DA6"/>
    <w:rsid w:val="333A6BDB"/>
    <w:rsid w:val="37D943F6"/>
    <w:rsid w:val="39CE76C6"/>
    <w:rsid w:val="3BC60B27"/>
    <w:rsid w:val="3DDE2FC6"/>
    <w:rsid w:val="405F6E03"/>
    <w:rsid w:val="472B6FD6"/>
    <w:rsid w:val="4E2978F9"/>
    <w:rsid w:val="4FA672D9"/>
    <w:rsid w:val="532F7E23"/>
    <w:rsid w:val="58D316BE"/>
    <w:rsid w:val="5A294206"/>
    <w:rsid w:val="5D0775B6"/>
    <w:rsid w:val="5DE829AC"/>
    <w:rsid w:val="5EBE21AB"/>
    <w:rsid w:val="601B1FAB"/>
    <w:rsid w:val="60BF3BD0"/>
    <w:rsid w:val="61BF76EB"/>
    <w:rsid w:val="623E6920"/>
    <w:rsid w:val="66E83653"/>
    <w:rsid w:val="67B67782"/>
    <w:rsid w:val="68704CA1"/>
    <w:rsid w:val="6BEB1D6D"/>
    <w:rsid w:val="6CA80FF3"/>
    <w:rsid w:val="6CF81186"/>
    <w:rsid w:val="6E7E0DC8"/>
    <w:rsid w:val="6FD235D4"/>
    <w:rsid w:val="733379D0"/>
    <w:rsid w:val="749E0175"/>
    <w:rsid w:val="74A13F8F"/>
    <w:rsid w:val="75B535E3"/>
    <w:rsid w:val="75C311C4"/>
    <w:rsid w:val="7779709C"/>
    <w:rsid w:val="799A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Normal Indent"/>
    <w:basedOn w:val="1"/>
    <w:next w:val="9"/>
    <w:qFormat/>
    <w:uiPriority w:val="0"/>
    <w:pPr>
      <w:ind w:firstLine="420" w:firstLineChars="200"/>
    </w:pPr>
    <w:rPr>
      <w:rFonts w:eastAsia="宋体"/>
      <w:kern w:val="2"/>
      <w:sz w:val="21"/>
      <w:szCs w:val="24"/>
      <w:lang w:val="en-US" w:eastAsia="zh-CN" w:bidi="ar-SA"/>
    </w:rPr>
  </w:style>
  <w:style w:type="paragraph" w:customStyle="1" w:styleId="9">
    <w:name w:val="正文首行缩进2个字 Char"/>
    <w:basedOn w:val="1"/>
    <w:qFormat/>
    <w:uiPriority w:val="0"/>
    <w:pPr>
      <w:ind w:firstLine="480" w:firstLineChars="200"/>
    </w:pPr>
    <w:rPr>
      <w:rFonts w:eastAsia="楷体"/>
      <w:sz w:val="24"/>
    </w:rPr>
  </w:style>
  <w:style w:type="paragraph" w:styleId="1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basedOn w:val="1"/>
    <w:unhideWhenUsed/>
    <w:qFormat/>
    <w:uiPriority w:val="0"/>
    <w:pPr>
      <w:ind w:firstLine="570"/>
    </w:pPr>
    <w:rPr>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20">
    <w:name w:val="列出段落1"/>
    <w:basedOn w:val="1"/>
    <w:qFormat/>
    <w:uiPriority w:val="34"/>
    <w:pPr>
      <w:ind w:firstLine="420" w:firstLineChars="200"/>
    </w:pPr>
  </w:style>
  <w:style w:type="paragraph" w:customStyle="1" w:styleId="21">
    <w:name w:val="a正文"/>
    <w:basedOn w:val="1"/>
    <w:qFormat/>
    <w:uiPriority w:val="0"/>
    <w:pPr>
      <w:adjustRightInd w:val="0"/>
      <w:snapToGrid w:val="0"/>
      <w:spacing w:line="360" w:lineRule="auto"/>
      <w:ind w:firstLine="200" w:firstLineChars="200"/>
    </w:pPr>
    <w:rPr>
      <w:kern w:val="0"/>
      <w:sz w:val="24"/>
      <w:szCs w:val="20"/>
    </w:rPr>
  </w:style>
  <w:style w:type="character" w:customStyle="1" w:styleId="22">
    <w:name w:val="页眉 Char"/>
    <w:basedOn w:val="18"/>
    <w:link w:val="12"/>
    <w:qFormat/>
    <w:uiPriority w:val="0"/>
    <w:rPr>
      <w:kern w:val="2"/>
      <w:sz w:val="18"/>
      <w:szCs w:val="18"/>
    </w:rPr>
  </w:style>
  <w:style w:type="character" w:customStyle="1" w:styleId="23">
    <w:name w:val="页脚 Char"/>
    <w:basedOn w:val="18"/>
    <w:link w:val="11"/>
    <w:qFormat/>
    <w:uiPriority w:val="99"/>
    <w:rPr>
      <w:kern w:val="2"/>
      <w:sz w:val="18"/>
      <w:szCs w:val="18"/>
    </w:rPr>
  </w:style>
  <w:style w:type="paragraph" w:customStyle="1" w:styleId="24">
    <w:name w:val="表 正文"/>
    <w:basedOn w:val="1"/>
    <w:qFormat/>
    <w:uiPriority w:val="0"/>
    <w:pPr>
      <w:spacing w:line="360" w:lineRule="auto"/>
      <w:ind w:firstLine="480" w:firstLineChars="200"/>
    </w:pPr>
    <w:rPr>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987</Words>
  <Characters>1066</Characters>
  <Lines>20</Lines>
  <Paragraphs>5</Paragraphs>
  <TotalTime>0</TotalTime>
  <ScaleCrop>false</ScaleCrop>
  <LinksUpToDate>false</LinksUpToDate>
  <CharactersWithSpaces>1100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fox</cp:lastModifiedBy>
  <cp:lastPrinted>2022-02-28T06:47:00Z</cp:lastPrinted>
  <dcterms:modified xsi:type="dcterms:W3CDTF">2022-10-08T07:19:30Z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