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578" w:lineRule="exact"/>
        <w:textAlignment w:val="auto"/>
        <w:rPr>
          <w:sz w:val="32"/>
          <w:szCs w:val="32"/>
          <w:highlight w:val="none"/>
        </w:rPr>
      </w:pPr>
    </w:p>
    <w:p>
      <w:pPr>
        <w:keepNext w:val="0"/>
        <w:keepLines w:val="0"/>
        <w:pageBreakBefore w:val="0"/>
        <w:widowControl w:val="0"/>
        <w:kinsoku/>
        <w:wordWrap/>
        <w:overflowPunct/>
        <w:autoSpaceDE/>
        <w:autoSpaceDN/>
        <w:bidi w:val="0"/>
        <w:spacing w:line="578" w:lineRule="exact"/>
        <w:textAlignment w:val="auto"/>
        <w:rPr>
          <w:sz w:val="32"/>
          <w:szCs w:val="32"/>
          <w:highlight w:val="none"/>
        </w:rPr>
      </w:pPr>
    </w:p>
    <w:p>
      <w:pPr>
        <w:keepNext w:val="0"/>
        <w:keepLines w:val="0"/>
        <w:pageBreakBefore w:val="0"/>
        <w:widowControl w:val="0"/>
        <w:kinsoku/>
        <w:wordWrap/>
        <w:overflowPunct/>
        <w:autoSpaceDE/>
        <w:autoSpaceDN/>
        <w:bidi w:val="0"/>
        <w:spacing w:line="578" w:lineRule="exact"/>
        <w:textAlignment w:val="auto"/>
        <w:rPr>
          <w:sz w:val="32"/>
          <w:szCs w:val="32"/>
          <w:highlight w:val="none"/>
        </w:rPr>
      </w:pPr>
    </w:p>
    <w:p>
      <w:pPr>
        <w:keepNext w:val="0"/>
        <w:keepLines w:val="0"/>
        <w:pageBreakBefore w:val="0"/>
        <w:widowControl w:val="0"/>
        <w:kinsoku/>
        <w:wordWrap/>
        <w:overflowPunct/>
        <w:autoSpaceDE/>
        <w:autoSpaceDN/>
        <w:bidi w:val="0"/>
        <w:spacing w:line="578" w:lineRule="exact"/>
        <w:textAlignment w:val="auto"/>
        <w:rPr>
          <w:sz w:val="32"/>
          <w:szCs w:val="32"/>
          <w:highlight w:val="none"/>
        </w:rPr>
      </w:pPr>
    </w:p>
    <w:p>
      <w:pPr>
        <w:keepNext w:val="0"/>
        <w:keepLines w:val="0"/>
        <w:pageBreakBefore w:val="0"/>
        <w:widowControl w:val="0"/>
        <w:kinsoku/>
        <w:wordWrap/>
        <w:overflowPunct/>
        <w:autoSpaceDE/>
        <w:autoSpaceDN/>
        <w:bidi w:val="0"/>
        <w:spacing w:line="578" w:lineRule="exact"/>
        <w:textAlignment w:val="auto"/>
        <w:rPr>
          <w:sz w:val="32"/>
          <w:szCs w:val="32"/>
          <w:highlight w:val="none"/>
        </w:rPr>
      </w:pPr>
    </w:p>
    <w:p>
      <w:pPr>
        <w:keepNext w:val="0"/>
        <w:keepLines w:val="0"/>
        <w:pageBreakBefore w:val="0"/>
        <w:widowControl w:val="0"/>
        <w:kinsoku/>
        <w:wordWrap/>
        <w:overflowPunct/>
        <w:autoSpaceDE/>
        <w:autoSpaceDN/>
        <w:bidi w:val="0"/>
        <w:spacing w:line="578" w:lineRule="exact"/>
        <w:textAlignment w:val="auto"/>
        <w:rPr>
          <w:sz w:val="32"/>
          <w:szCs w:val="32"/>
          <w:highlight w:val="none"/>
        </w:rPr>
      </w:pPr>
    </w:p>
    <w:p>
      <w:pPr>
        <w:keepNext w:val="0"/>
        <w:keepLines w:val="0"/>
        <w:pageBreakBefore w:val="0"/>
        <w:widowControl w:val="0"/>
        <w:kinsoku/>
        <w:wordWrap/>
        <w:overflowPunct/>
        <w:autoSpaceDE/>
        <w:autoSpaceDN/>
        <w:bidi w:val="0"/>
        <w:spacing w:line="578" w:lineRule="exact"/>
        <w:textAlignment w:val="auto"/>
        <w:rPr>
          <w:sz w:val="32"/>
          <w:szCs w:val="32"/>
          <w:highlight w:val="none"/>
        </w:rPr>
      </w:pPr>
    </w:p>
    <w:p>
      <w:pPr>
        <w:keepNext w:val="0"/>
        <w:keepLines w:val="0"/>
        <w:pageBreakBefore w:val="0"/>
        <w:widowControl w:val="0"/>
        <w:kinsoku/>
        <w:wordWrap/>
        <w:overflowPunct/>
        <w:autoSpaceDE/>
        <w:autoSpaceDN/>
        <w:bidi w:val="0"/>
        <w:spacing w:line="578" w:lineRule="exact"/>
        <w:textAlignment w:val="auto"/>
        <w:rPr>
          <w:sz w:val="32"/>
          <w:szCs w:val="32"/>
          <w:highlight w:val="none"/>
        </w:rPr>
      </w:pPr>
    </w:p>
    <w:p>
      <w:pPr>
        <w:keepNext w:val="0"/>
        <w:keepLines w:val="0"/>
        <w:pageBreakBefore w:val="0"/>
        <w:widowControl w:val="0"/>
        <w:kinsoku/>
        <w:wordWrap/>
        <w:overflowPunct/>
        <w:autoSpaceDE/>
        <w:autoSpaceDN/>
        <w:bidi w:val="0"/>
        <w:spacing w:line="578"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rPr>
          <w:rFonts w:hAnsi="仿宋" w:eastAsia="仿宋"/>
          <w:color w:val="auto"/>
          <w:sz w:val="30"/>
          <w:szCs w:val="30"/>
          <w:highlight w:val="none"/>
        </w:rPr>
      </w:pPr>
      <w:r>
        <w:rPr>
          <w:rFonts w:hint="eastAsia" w:ascii="仿宋_GB2312" w:hAnsi="仿宋_GB2312" w:eastAsia="仿宋_GB2312" w:cs="仿宋_GB2312"/>
          <w:color w:val="auto"/>
          <w:sz w:val="30"/>
          <w:szCs w:val="30"/>
          <w:highlight w:val="none"/>
        </w:rPr>
        <w:t>锡市环</w:t>
      </w:r>
      <w:r>
        <w:rPr>
          <w:rFonts w:hint="eastAsia" w:ascii="仿宋_GB2312" w:hAnsi="仿宋_GB2312" w:eastAsia="仿宋_GB2312" w:cs="仿宋_GB2312"/>
          <w:color w:val="auto"/>
          <w:sz w:val="30"/>
          <w:szCs w:val="30"/>
          <w:highlight w:val="none"/>
          <w:lang w:eastAsia="zh-CN"/>
        </w:rPr>
        <w:t>表</w:t>
      </w: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]第</w:t>
      </w:r>
      <w:r>
        <w:rPr>
          <w:rFonts w:hint="eastAsia" w:ascii="仿宋_GB2312" w:hAnsi="仿宋_GB2312" w:eastAsia="仿宋_GB2312" w:cs="仿宋_GB2312"/>
          <w:color w:val="auto"/>
          <w:sz w:val="30"/>
          <w:szCs w:val="30"/>
          <w:highlight w:val="none"/>
          <w:lang w:val="en-US" w:eastAsia="zh-CN"/>
        </w:rPr>
        <w:t>41</w:t>
      </w:r>
      <w:r>
        <w:rPr>
          <w:rFonts w:hint="eastAsia" w:ascii="仿宋_GB2312" w:hAnsi="仿宋_GB2312" w:eastAsia="仿宋_GB2312" w:cs="仿宋_GB2312"/>
          <w:color w:val="auto"/>
          <w:sz w:val="30"/>
          <w:szCs w:val="30"/>
          <w:highlight w:val="none"/>
        </w:rPr>
        <w:t>号</w:t>
      </w:r>
    </w:p>
    <w:p>
      <w:pPr>
        <w:keepNext w:val="0"/>
        <w:keepLines w:val="0"/>
        <w:pageBreakBefore w:val="0"/>
        <w:widowControl w:val="0"/>
        <w:kinsoku/>
        <w:wordWrap/>
        <w:overflowPunct/>
        <w:autoSpaceDE/>
        <w:autoSpaceDN/>
        <w:bidi w:val="0"/>
        <w:adjustRightInd w:val="0"/>
        <w:snapToGrid w:val="0"/>
        <w:spacing w:line="578"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于内蒙古自治区锡林郭勒盟中心医院</w:t>
      </w:r>
    </w:p>
    <w:p>
      <w:pPr>
        <w:keepNext w:val="0"/>
        <w:keepLines w:val="0"/>
        <w:pageBreakBefore w:val="0"/>
        <w:widowControl w:val="0"/>
        <w:kinsoku/>
        <w:wordWrap/>
        <w:overflowPunct/>
        <w:autoSpaceDE/>
        <w:autoSpaceDN/>
        <w:bidi w:val="0"/>
        <w:adjustRightInd w:val="0"/>
        <w:snapToGrid w:val="0"/>
        <w:spacing w:line="578"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高压氧楼建设项目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autoSpaceDE/>
        <w:autoSpaceDN/>
        <w:bidi w:val="0"/>
        <w:spacing w:line="578"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autoSpaceDE/>
        <w:autoSpaceDN/>
        <w:bidi w:val="0"/>
        <w:spacing w:line="578"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锡林郭勒盟中心医院：</w:t>
      </w:r>
    </w:p>
    <w:p>
      <w:pPr>
        <w:keepNext w:val="0"/>
        <w:keepLines w:val="0"/>
        <w:pageBreakBefore w:val="0"/>
        <w:widowControl w:val="0"/>
        <w:shd w:val="clea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由内蒙古致远方略工程咨询有限公司编制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《内蒙古自治区锡林郭勒盟中心医院高压氧楼建设项目》报告表已收悉</w:t>
      </w:r>
      <w:r>
        <w:rPr>
          <w:rFonts w:hint="eastAsia" w:ascii="仿宋_GB2312" w:hAnsi="仿宋_GB2312" w:eastAsia="仿宋_GB2312" w:cs="仿宋_GB2312"/>
          <w:color w:val="auto"/>
          <w:sz w:val="32"/>
          <w:szCs w:val="32"/>
          <w:highlight w:val="none"/>
          <w:lang w:val="en-GB"/>
        </w:rPr>
        <w:t>。</w:t>
      </w:r>
      <w:bookmarkStart w:id="0" w:name="_GoBack"/>
      <w:r>
        <w:rPr>
          <w:rFonts w:hint="eastAsia" w:ascii="仿宋_GB2312" w:hAnsi="仿宋_GB2312" w:eastAsia="仿宋_GB2312" w:cs="仿宋_GB2312"/>
          <w:sz w:val="32"/>
          <w:szCs w:val="32"/>
          <w:lang w:val="en-US" w:eastAsia="zh-CN"/>
        </w:rPr>
        <w:t>该项目已经通过评审会评审，</w:t>
      </w:r>
      <w:bookmarkEnd w:id="0"/>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21"/>
        <w:keepNext w:val="0"/>
        <w:keepLines w:val="0"/>
        <w:pageBreakBefore w:val="0"/>
        <w:widowControl w:val="0"/>
        <w:numPr>
          <w:ilvl w:val="0"/>
          <w:numId w:val="0"/>
        </w:numPr>
        <w:shd w:val="clear"/>
        <w:kinsoku/>
        <w:wordWrap/>
        <w:overflowPunct/>
        <w:autoSpaceDE/>
        <w:autoSpaceDN/>
        <w:bidi w:val="0"/>
        <w:spacing w:line="578" w:lineRule="exact"/>
        <w:ind w:left="640" w:leftChars="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GB"/>
        </w:rPr>
        <w:t>项目概况</w:t>
      </w:r>
    </w:p>
    <w:p>
      <w:pPr>
        <w:pStyle w:val="21"/>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位于锡林浩特市那达慕大街体检中心南侧。新建锡林郭勒盟中心医院高压氧楼一座，总占地面积920平方米，总建筑面积4063.62平方米，为主体四层局部五层框架结构，建设配套给水、排水、供暖、供电、消防及净化工程。主要建设内容为一层：办公室、资料室、修养室、工具间、强电间、污物间、高压氧舱、储气罐间、机房、诊疗室、控制室、候诊大厅、值班室等相关房间。二层为生殖中心，包括：取卵手术室、移植手术室、人工授精手术室、培养室、精液处理、检测室等相应的洁净辅房。工程内容为装饰装修、基本设施、净化空调、自动控制、电气系统、给排水、医用气体、数字化系统等相关房间。三层为病理实验室中心，包括：病理实验室、血药实验室、蛋白质组学实验室、免疫实验室、神经组学实验室、中心实验室等辅助用房。工程内容为装修装饰、净化空调、自动控制、电气系统、给排水、医用气体等相关房间。四层为细胞实验室，包括:细胞实验室、细胞培养室、动物实验室、分析室、生物实验室、动物暂存间等辅助用房。工程内容为装修装饰、净化空调、自动控制、电气系统、给排水、医用气体等相关房间。五层为风机房、电梯机房。本项目总投资2700万元，环保投资项目环保投资估算为50万元，占总投资金额的1.85%。项目属于《产业结构调整指导目录（2019年本）》鼓励类。经审查符合锡林浩特市总体规划，符合“三线一单”要求。</w:t>
      </w:r>
    </w:p>
    <w:p>
      <w:pPr>
        <w:pStyle w:val="21"/>
        <w:keepNext w:val="0"/>
        <w:keepLines w:val="0"/>
        <w:pageBreakBefore w:val="0"/>
        <w:widowControl w:val="0"/>
        <w:numPr>
          <w:ilvl w:val="0"/>
          <w:numId w:val="0"/>
        </w:numPr>
        <w:kinsoku/>
        <w:wordWrap/>
        <w:overflowPunct/>
        <w:autoSpaceDE/>
        <w:autoSpaceDN/>
        <w:bidi w:val="0"/>
        <w:spacing w:line="578" w:lineRule="exact"/>
        <w:ind w:left="640" w:leftChars="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二、项目在设计、建设和运营期过程中应做好以下工</w:t>
      </w:r>
    </w:p>
    <w:p>
      <w:pPr>
        <w:pStyle w:val="21"/>
        <w:keepNext w:val="0"/>
        <w:keepLines w:val="0"/>
        <w:pageBreakBefore w:val="0"/>
        <w:widowControl w:val="0"/>
        <w:numPr>
          <w:ilvl w:val="0"/>
          <w:numId w:val="0"/>
        </w:numPr>
        <w:kinsoku/>
        <w:wordWrap/>
        <w:overflowPunct/>
        <w:autoSpaceDE/>
        <w:autoSpaceDN/>
        <w:bidi w:val="0"/>
        <w:spacing w:line="578" w:lineRule="exact"/>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作：</w:t>
      </w:r>
    </w:p>
    <w:p>
      <w:pPr>
        <w:pStyle w:val="21"/>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一）项目施工期大气污染物主要为施工过程中产生的扬尘。施工单位应采取设置固定的堆棚或加盖塑料布、表面洒水、大风天气不作业等方式，减少扬尘排放。项目运营期产生的废气主要为生物性气态污染物、化学性气态污染物及小动物散发的恶臭气体。针对生物性气态污染物，通过在生物安全柜进行试验，对排出气体采取杀灭和隔离措施，确保实验生物得到有效控制。针对化学性气态污染物，采取通过实验室排风系统高效过滤后无组织排放。针对化学性气态污染物及小动物散发的恶臭气体，通过负压隔离笼具的高效过滤后，经专用管道与实验室排风管道相通，最终通过实验室空调排风的高效过滤后排放。</w:t>
      </w:r>
      <w:r>
        <w:rPr>
          <w:rFonts w:hint="eastAsia" w:ascii="仿宋_GB2312" w:hAnsi="仿宋_GB2312" w:eastAsia="仿宋_GB2312" w:cs="仿宋_GB2312"/>
          <w:sz w:val="32"/>
          <w:szCs w:val="32"/>
          <w:highlight w:val="none"/>
          <w:lang w:val="en-US" w:eastAsia="zh-CN"/>
        </w:rPr>
        <w:t>通过采取以上措施，确保各项大气污染物达标排放。</w:t>
      </w:r>
    </w:p>
    <w:p>
      <w:pPr>
        <w:pStyle w:val="21"/>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施工期废水主要为施工人员产生的生活污水，通过锡林郭勒盟中心医院现有污水处理设施进行处理。运营期产生的废水主要为职工、病人及家属的生活污水和实验室废水。生活污水通过锡林郭勒盟中心医院现有污水处理站处理后达到《医疗机构水污染物排放标准》GB18466-2005表2中预处理排放标准后通过污水管网进入锡林浩特市污水处理厂进一步处理。实验室废水主要为生物培养液、清洗废水，通过装入废液收集装置，排入半污染区的双扉高压灭菌器进行(121C、0.21MPa、30min)灭菌，后由排水管道排到实验室的活毒废水处理系统；对已经消毒灭菌处理的实验室废水排入锡林浩特市中心医院污水处理站，进行集中处理达到《医疗机构水污染物排放标准》GB18466-2005表2中预处理排放标准后过污水管网进入锡林浩特市污水处理厂进一步处理。</w:t>
      </w:r>
    </w:p>
    <w:p>
      <w:pPr>
        <w:pStyle w:val="21"/>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针对施工期产生的噪声，通过选用硬质围挡、低噪声施工工艺、噪声较低的设备等方式，使施工噪声对项目周围敏感点的影响降到最低限度。加强一线操作人员的环境意识，夜间不得施工。运营期产生的噪声主要噪声源为实验室通风系统的空调外机、送风机、引风机、水泵等。由于项目自身要求安静，项目设备噪声经基础减振、隔音降噪以及距离衰减后，</w:t>
      </w:r>
      <w:r>
        <w:rPr>
          <w:rFonts w:hint="eastAsia" w:ascii="仿宋_GB2312" w:hAnsi="仿宋_GB2312" w:eastAsia="仿宋_GB2312" w:cs="仿宋_GB2312"/>
          <w:sz w:val="32"/>
          <w:szCs w:val="32"/>
          <w:highlight w:val="none"/>
          <w:lang w:val="en-US" w:eastAsia="zh-CN"/>
        </w:rPr>
        <w:t>必须</w:t>
      </w:r>
      <w:r>
        <w:rPr>
          <w:rFonts w:hint="eastAsia" w:ascii="仿宋_GB2312" w:hAnsi="仿宋_GB2312" w:eastAsia="仿宋_GB2312" w:cs="仿宋_GB2312"/>
          <w:sz w:val="32"/>
          <w:szCs w:val="32"/>
          <w:highlight w:val="none"/>
          <w:lang w:eastAsia="zh-CN"/>
        </w:rPr>
        <w:t>满足《工业企业厂界环境噪声排放标准》（GB12348-2008）1类标准</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lang w:eastAsia="zh-CN"/>
        </w:rPr>
        <w:t>达标排放。</w:t>
      </w:r>
    </w:p>
    <w:p>
      <w:pPr>
        <w:pStyle w:val="21"/>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施工期固体废物主要为生活垃圾和建筑垃圾，其中以建筑垃圾为主，主要包括混凝土、碎砖、砂浆、包装材料等废弃施工材料。针对施工生产废料，进行分类回收，交废品收购站处理，建筑垃圾集中堆放，及时清运到市政指定的建筑垃圾处置场；对生活垃圾应加强管理，用垃圾桶收集，垃圾堆放点不得排放生活污水，不得倾倒建筑垃圾；针对完工清场的固体废物，工程完工后将施工中使用的临时建筑全部拆除，对所有施工作业面和施工活动区的施工废弃物彻底清理处置，运至当地环卫部门指定弃渣场、垃圾堆放点。运营期固体废物主要为医疗固废和生活固废。医疗废物主要来自于高压氧仓、生殖中心、病理实验中心和细胞实验室产生的医疗固废、动物尸体、废垫料和更换的废过滤材料。</w:t>
      </w:r>
      <w:r>
        <w:rPr>
          <w:rFonts w:hint="eastAsia" w:ascii="仿宋_GB2312" w:hAnsi="仿宋_GB2312" w:eastAsia="仿宋_GB2312" w:cs="仿宋_GB2312"/>
          <w:sz w:val="32"/>
          <w:szCs w:val="32"/>
          <w:highlight w:val="none"/>
          <w:lang w:val="en-US" w:eastAsia="zh-CN"/>
        </w:rPr>
        <w:t>针对</w:t>
      </w:r>
      <w:r>
        <w:rPr>
          <w:rFonts w:hint="eastAsia" w:ascii="仿宋_GB2312" w:hAnsi="仿宋_GB2312" w:eastAsia="仿宋_GB2312" w:cs="仿宋_GB2312"/>
          <w:sz w:val="32"/>
          <w:szCs w:val="32"/>
          <w:highlight w:val="none"/>
          <w:lang w:eastAsia="zh-CN"/>
        </w:rPr>
        <w:t>高压氧仓医疗垃圾、生殖中心医疗垃圾（针头、注射器、药品瓶等）</w:t>
      </w:r>
      <w:r>
        <w:rPr>
          <w:rFonts w:hint="eastAsia" w:ascii="仿宋_GB2312" w:hAnsi="仿宋_GB2312" w:eastAsia="仿宋_GB2312" w:cs="仿宋_GB2312"/>
          <w:sz w:val="32"/>
          <w:szCs w:val="32"/>
          <w:highlight w:val="none"/>
          <w:lang w:val="en-US" w:eastAsia="zh-CN"/>
        </w:rPr>
        <w:t>采取通过</w:t>
      </w:r>
      <w:r>
        <w:rPr>
          <w:rFonts w:hint="eastAsia" w:ascii="仿宋_GB2312" w:hAnsi="仿宋_GB2312" w:eastAsia="仿宋_GB2312" w:cs="仿宋_GB2312"/>
          <w:sz w:val="32"/>
          <w:szCs w:val="32"/>
          <w:highlight w:val="none"/>
          <w:lang w:eastAsia="zh-CN"/>
        </w:rPr>
        <w:t>密封包装暂存于锡林郭勒盟中心医院现有危险废物暂存间定期由有资质</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单位进行收集及安全化处理；</w:t>
      </w:r>
      <w:r>
        <w:rPr>
          <w:rFonts w:hint="eastAsia" w:ascii="仿宋_GB2312" w:hAnsi="仿宋_GB2312" w:eastAsia="仿宋_GB2312" w:cs="仿宋_GB2312"/>
          <w:sz w:val="32"/>
          <w:szCs w:val="32"/>
          <w:highlight w:val="none"/>
          <w:lang w:val="en-US" w:eastAsia="zh-CN"/>
        </w:rPr>
        <w:t>针对</w:t>
      </w:r>
      <w:r>
        <w:rPr>
          <w:rFonts w:hint="eastAsia" w:ascii="仿宋_GB2312" w:hAnsi="仿宋_GB2312" w:eastAsia="仿宋_GB2312" w:cs="仿宋_GB2312"/>
          <w:sz w:val="32"/>
          <w:szCs w:val="32"/>
          <w:highlight w:val="none"/>
          <w:lang w:eastAsia="zh-CN"/>
        </w:rPr>
        <w:t>实验过程</w:t>
      </w:r>
      <w:r>
        <w:rPr>
          <w:rFonts w:hint="eastAsia" w:ascii="仿宋_GB2312" w:hAnsi="仿宋_GB2312" w:eastAsia="仿宋_GB2312" w:cs="仿宋_GB2312"/>
          <w:sz w:val="32"/>
          <w:szCs w:val="32"/>
          <w:highlight w:val="none"/>
          <w:lang w:val="en-US" w:eastAsia="zh-CN"/>
        </w:rPr>
        <w:t>中产生的动物尸体（小白鼠等小型动物）、废垫料及动物粪便、实验室废物以及定期更换的废过滤材料，采取密封包装后投入所产生废物的实验室内小型高压灭菌锅内，然后投入双扉高压灭菌柜进行二次消毒灭菌，最后运出实验室存入锡林郭勒盟中心医院危废暂存间，定期由有资质单位进行收集及安全化处理，做到日产日清。</w:t>
      </w:r>
      <w:r>
        <w:rPr>
          <w:rFonts w:hint="eastAsia" w:ascii="仿宋_GB2312" w:hAnsi="仿宋_GB2312" w:eastAsia="仿宋_GB2312" w:cs="仿宋_GB2312"/>
          <w:sz w:val="32"/>
          <w:szCs w:val="32"/>
          <w:highlight w:val="none"/>
          <w:lang w:eastAsia="zh-CN"/>
        </w:rPr>
        <w:t>生活固废主要为患者及家属生活过程中产生一定量的生活垃圾，统一收集后定期交由环卫部门处理。</w:t>
      </w:r>
    </w:p>
    <w:p>
      <w:pPr>
        <w:pStyle w:val="21"/>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21"/>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21"/>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21"/>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21"/>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keepNext w:val="0"/>
        <w:keepLines w:val="0"/>
        <w:pageBreakBefore w:val="0"/>
        <w:widowControl w:val="0"/>
        <w:kinsoku/>
        <w:wordWrap/>
        <w:overflowPunct/>
        <w:autoSpaceDE/>
        <w:autoSpaceDN/>
        <w:bidi w:val="0"/>
        <w:spacing w:line="578" w:lineRule="exact"/>
        <w:ind w:firstLine="2560" w:firstLineChars="8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autoSpaceDE/>
        <w:autoSpaceDN/>
        <w:bidi w:val="0"/>
        <w:spacing w:line="578"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autoSpaceDE/>
        <w:autoSpaceDN/>
        <w:bidi w:val="0"/>
        <w:spacing w:line="578" w:lineRule="exact"/>
        <w:ind w:firstLine="4160" w:firstLineChars="13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2022年10月14日</w:t>
      </w:r>
    </w:p>
    <w:p>
      <w:pPr>
        <w:pStyle w:val="20"/>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 w:hAnsi="仿宋" w:eastAsia="仿宋"/>
          <w:sz w:val="32"/>
          <w:szCs w:val="32"/>
          <w:highlight w:val="yellow"/>
        </w:rPr>
      </w:pPr>
      <w:r>
        <w:rPr>
          <w:rFonts w:hint="eastAsia" w:ascii="仿宋_GB2312" w:hAnsi="仿宋_GB2312" w:eastAsia="仿宋_GB2312" w:cs="仿宋_GB2312"/>
          <w:sz w:val="32"/>
          <w:szCs w:val="32"/>
          <w:highlight w:val="none"/>
          <w:lang w:eastAsia="zh-CN"/>
        </w:rPr>
        <w:t>抄送：锡林郭勒盟生态环境局、</w:t>
      </w:r>
      <w:r>
        <w:rPr>
          <w:rFonts w:hint="eastAsia" w:ascii="仿宋_GB2312" w:hAnsi="仿宋_GB2312" w:eastAsia="仿宋_GB2312" w:cs="仿宋_GB2312"/>
          <w:sz w:val="32"/>
          <w:szCs w:val="32"/>
          <w:highlight w:val="none"/>
          <w:lang w:val="en-US" w:eastAsia="zh-CN"/>
        </w:rPr>
        <w:t>锡林郭勒盟生态环境综合行政执法支队</w:t>
      </w:r>
    </w:p>
    <w:sectPr>
      <w:footerReference r:id="rId3" w:type="default"/>
      <w:pgSz w:w="11906" w:h="16838"/>
      <w:pgMar w:top="2154" w:right="1531" w:bottom="1928"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315"/>
      <w:docPartObj>
        <w:docPartGallery w:val="autotext"/>
      </w:docPartObj>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s>
  <w:rsids>
    <w:rsidRoot w:val="001E271C"/>
    <w:rsid w:val="001E271C"/>
    <w:rsid w:val="00B87117"/>
    <w:rsid w:val="00E83F57"/>
    <w:rsid w:val="01166DA6"/>
    <w:rsid w:val="01D027C7"/>
    <w:rsid w:val="04A62A1C"/>
    <w:rsid w:val="05015B69"/>
    <w:rsid w:val="06C13B3D"/>
    <w:rsid w:val="07D679D6"/>
    <w:rsid w:val="0A1E3055"/>
    <w:rsid w:val="0C9B2141"/>
    <w:rsid w:val="0D502605"/>
    <w:rsid w:val="0DC94DA4"/>
    <w:rsid w:val="0E146C48"/>
    <w:rsid w:val="10773E64"/>
    <w:rsid w:val="11815149"/>
    <w:rsid w:val="119E5AF7"/>
    <w:rsid w:val="135651C1"/>
    <w:rsid w:val="18E453EE"/>
    <w:rsid w:val="1B4F5180"/>
    <w:rsid w:val="1BDE167F"/>
    <w:rsid w:val="204C4C91"/>
    <w:rsid w:val="20DE5961"/>
    <w:rsid w:val="21041E6B"/>
    <w:rsid w:val="23BD04C6"/>
    <w:rsid w:val="271664C8"/>
    <w:rsid w:val="272A677C"/>
    <w:rsid w:val="29CC3487"/>
    <w:rsid w:val="2AB067B8"/>
    <w:rsid w:val="2AF85194"/>
    <w:rsid w:val="2B330DF4"/>
    <w:rsid w:val="2C1005F7"/>
    <w:rsid w:val="2C8114F5"/>
    <w:rsid w:val="2CC02721"/>
    <w:rsid w:val="2FB4465A"/>
    <w:rsid w:val="30EB2DA6"/>
    <w:rsid w:val="333A6BDB"/>
    <w:rsid w:val="3372163A"/>
    <w:rsid w:val="35D72A2D"/>
    <w:rsid w:val="37D943F6"/>
    <w:rsid w:val="38CD7870"/>
    <w:rsid w:val="39CE76C6"/>
    <w:rsid w:val="3BC60B27"/>
    <w:rsid w:val="3DDE2FC6"/>
    <w:rsid w:val="3F156020"/>
    <w:rsid w:val="405F6E03"/>
    <w:rsid w:val="42A31D6D"/>
    <w:rsid w:val="43776D56"/>
    <w:rsid w:val="459171B6"/>
    <w:rsid w:val="459612D4"/>
    <w:rsid w:val="45DA1917"/>
    <w:rsid w:val="472B6FD6"/>
    <w:rsid w:val="4AE65F38"/>
    <w:rsid w:val="4AE66C9B"/>
    <w:rsid w:val="4B92472D"/>
    <w:rsid w:val="4E2978F9"/>
    <w:rsid w:val="4EAA7967"/>
    <w:rsid w:val="4FA672D9"/>
    <w:rsid w:val="532F7E23"/>
    <w:rsid w:val="575E7CEE"/>
    <w:rsid w:val="58D316BE"/>
    <w:rsid w:val="5A294206"/>
    <w:rsid w:val="5C4001D5"/>
    <w:rsid w:val="5C635BEB"/>
    <w:rsid w:val="5D0775B6"/>
    <w:rsid w:val="5DE829AC"/>
    <w:rsid w:val="5E55710C"/>
    <w:rsid w:val="5EBE21AB"/>
    <w:rsid w:val="60BF3BD0"/>
    <w:rsid w:val="61BF76EB"/>
    <w:rsid w:val="623D4D9E"/>
    <w:rsid w:val="623E6920"/>
    <w:rsid w:val="652266CA"/>
    <w:rsid w:val="65312F5D"/>
    <w:rsid w:val="66E83653"/>
    <w:rsid w:val="67B67782"/>
    <w:rsid w:val="681650AF"/>
    <w:rsid w:val="68704CA1"/>
    <w:rsid w:val="6AEF61B9"/>
    <w:rsid w:val="6BA12544"/>
    <w:rsid w:val="6BEB1D6D"/>
    <w:rsid w:val="6CA80FF3"/>
    <w:rsid w:val="6CF81186"/>
    <w:rsid w:val="6E7E0DC8"/>
    <w:rsid w:val="6FD235D4"/>
    <w:rsid w:val="733379D0"/>
    <w:rsid w:val="749E0175"/>
    <w:rsid w:val="75B535E3"/>
    <w:rsid w:val="75C311C4"/>
    <w:rsid w:val="7779709C"/>
    <w:rsid w:val="799A104A"/>
    <w:rsid w:val="7B401BFC"/>
    <w:rsid w:val="7C5510E6"/>
    <w:rsid w:val="7FD5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23"/>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next w:val="5"/>
    <w:qFormat/>
    <w:uiPriority w:val="0"/>
    <w:pPr>
      <w:ind w:firstLine="420" w:firstLineChars="200"/>
    </w:pPr>
    <w:rPr>
      <w:rFonts w:eastAsia="宋体"/>
      <w:kern w:val="2"/>
      <w:sz w:val="21"/>
      <w:szCs w:val="24"/>
      <w:lang w:val="en-US" w:eastAsia="zh-CN" w:bidi="ar-SA"/>
    </w:rPr>
  </w:style>
  <w:style w:type="paragraph" w:customStyle="1" w:styleId="5">
    <w:name w:val="正文首行缩进2个字 Char"/>
    <w:basedOn w:val="1"/>
    <w:qFormat/>
    <w:uiPriority w:val="0"/>
    <w:pPr>
      <w:ind w:firstLine="480" w:firstLineChars="200"/>
    </w:pPr>
    <w:rPr>
      <w:rFonts w:eastAsia="楷体"/>
      <w:sz w:val="24"/>
    </w:rPr>
  </w:style>
  <w:style w:type="paragraph" w:styleId="6">
    <w:name w:val="Body Text"/>
    <w:basedOn w:val="1"/>
    <w:next w:val="1"/>
    <w:qFormat/>
    <w:uiPriority w:val="0"/>
    <w:pPr>
      <w:spacing w:line="360" w:lineRule="auto"/>
    </w:pPr>
    <w:rPr>
      <w:sz w:val="24"/>
      <w:szCs w:val="20"/>
    </w:rPr>
  </w:style>
  <w:style w:type="paragraph" w:styleId="7">
    <w:name w:val="Body Text Indent"/>
    <w:basedOn w:val="1"/>
    <w:next w:val="6"/>
    <w:qFormat/>
    <w:uiPriority w:val="0"/>
    <w:pPr>
      <w:keepNext/>
      <w:spacing w:line="360" w:lineRule="auto"/>
      <w:ind w:firstLine="200" w:firstLineChars="200"/>
    </w:pPr>
    <w:rPr>
      <w:sz w:val="24"/>
    </w:rPr>
  </w:style>
  <w:style w:type="paragraph" w:styleId="8">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toc 1"/>
    <w:basedOn w:val="1"/>
    <w:next w:val="1"/>
    <w:unhideWhenUsed/>
    <w:qFormat/>
    <w:uiPriority w:val="39"/>
  </w:style>
  <w:style w:type="paragraph" w:styleId="11">
    <w:name w:val="Body Text Indent 3"/>
    <w:basedOn w:val="1"/>
    <w:unhideWhenUsed/>
    <w:qFormat/>
    <w:uiPriority w:val="0"/>
    <w:pPr>
      <w:ind w:firstLine="570"/>
    </w:pPr>
    <w:rPr>
      <w:szCs w:val="20"/>
    </w:rPr>
  </w:style>
  <w:style w:type="paragraph" w:styleId="12">
    <w:name w:val="Normal (Web)"/>
    <w:basedOn w:val="1"/>
    <w:qFormat/>
    <w:uiPriority w:val="0"/>
    <w:pPr>
      <w:widowControl/>
      <w:spacing w:before="100" w:beforeAutospacing="1" w:after="100" w:afterAutospacing="1"/>
      <w:jc w:val="left"/>
    </w:pPr>
    <w:rPr>
      <w:rFonts w:ascii="宋体" w:hAnsi="宋体"/>
      <w:kern w:val="0"/>
    </w:rPr>
  </w:style>
  <w:style w:type="paragraph" w:styleId="13">
    <w:name w:val="Body Text First Indent"/>
    <w:basedOn w:val="6"/>
    <w:next w:val="14"/>
    <w:qFormat/>
    <w:uiPriority w:val="0"/>
    <w:pPr>
      <w:adjustRightInd/>
      <w:spacing w:line="240" w:lineRule="auto"/>
      <w:ind w:left="0" w:firstLine="420" w:firstLineChars="100"/>
      <w:textAlignment w:val="auto"/>
    </w:pPr>
    <w:rPr>
      <w:spacing w:val="0"/>
      <w:kern w:val="2"/>
      <w:sz w:val="21"/>
      <w:szCs w:val="24"/>
    </w:rPr>
  </w:style>
  <w:style w:type="paragraph" w:styleId="14">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styleId="15">
    <w:name w:val="Body Text First Indent 2"/>
    <w:basedOn w:val="7"/>
    <w:next w:val="13"/>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20">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21">
    <w:name w:val="列出段落1"/>
    <w:basedOn w:val="1"/>
    <w:qFormat/>
    <w:uiPriority w:val="34"/>
    <w:pPr>
      <w:ind w:firstLine="420" w:firstLineChars="200"/>
    </w:pPr>
  </w:style>
  <w:style w:type="paragraph" w:customStyle="1" w:styleId="22">
    <w:name w:val="a正文"/>
    <w:basedOn w:val="1"/>
    <w:qFormat/>
    <w:uiPriority w:val="0"/>
    <w:pPr>
      <w:adjustRightInd w:val="0"/>
      <w:snapToGrid w:val="0"/>
      <w:spacing w:line="360" w:lineRule="auto"/>
      <w:ind w:firstLine="200" w:firstLineChars="200"/>
    </w:pPr>
    <w:rPr>
      <w:kern w:val="0"/>
      <w:sz w:val="24"/>
      <w:szCs w:val="20"/>
    </w:rPr>
  </w:style>
  <w:style w:type="character" w:customStyle="1" w:styleId="23">
    <w:name w:val="页眉 Char"/>
    <w:basedOn w:val="18"/>
    <w:link w:val="2"/>
    <w:qFormat/>
    <w:uiPriority w:val="0"/>
    <w:rPr>
      <w:kern w:val="2"/>
      <w:sz w:val="18"/>
      <w:szCs w:val="18"/>
    </w:rPr>
  </w:style>
  <w:style w:type="character" w:customStyle="1" w:styleId="24">
    <w:name w:val="页脚 Char"/>
    <w:basedOn w:val="18"/>
    <w:link w:val="9"/>
    <w:qFormat/>
    <w:uiPriority w:val="99"/>
    <w:rPr>
      <w:kern w:val="2"/>
      <w:sz w:val="18"/>
      <w:szCs w:val="18"/>
    </w:rPr>
  </w:style>
  <w:style w:type="paragraph" w:customStyle="1" w:styleId="25">
    <w:name w:val="表 正文"/>
    <w:basedOn w:val="1"/>
    <w:qFormat/>
    <w:uiPriority w:val="0"/>
    <w:pPr>
      <w:spacing w:line="360" w:lineRule="auto"/>
      <w:ind w:firstLine="480" w:firstLineChars="200"/>
    </w:pPr>
    <w:rPr>
      <w:sz w:val="24"/>
      <w:szCs w:val="21"/>
    </w:rPr>
  </w:style>
  <w:style w:type="paragraph" w:customStyle="1" w:styleId="26">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2464</Words>
  <Characters>2559</Characters>
  <Lines>20</Lines>
  <Paragraphs>5</Paragraphs>
  <TotalTime>10</TotalTime>
  <ScaleCrop>false</ScaleCrop>
  <LinksUpToDate>false</LinksUpToDate>
  <CharactersWithSpaces>2562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小左佐</cp:lastModifiedBy>
  <cp:lastPrinted>2022-02-28T06:47:00Z</cp:lastPrinted>
  <dcterms:modified xsi:type="dcterms:W3CDTF">2022-10-14T07:17:45Z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