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rFonts w:hAnsi="仿宋" w:eastAsia="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48</w:t>
      </w:r>
      <w:bookmarkStart w:id="0" w:name="_GoBack"/>
      <w:bookmarkEnd w:id="0"/>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于锡林郭勒盟蒙医医院特色专科专病楼项目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锡林郭勒盟蒙医医院：</w:t>
      </w:r>
    </w:p>
    <w:p>
      <w:pPr>
        <w:keepNext w:val="0"/>
        <w:keepLines w:val="0"/>
        <w:pageBreakBefore w:val="0"/>
        <w:widowControl w:val="0"/>
        <w:shd w:val="clea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由北京中企环科工程咨询有限公司编制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《锡林郭勒盟蒙医医院特色专科专病楼项目》报告表已收悉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0"/>
        <w:keepNext w:val="0"/>
        <w:keepLines w:val="0"/>
        <w:pageBreakBefore w:val="0"/>
        <w:widowControl w:val="0"/>
        <w:numPr>
          <w:ilvl w:val="0"/>
          <w:numId w:val="0"/>
        </w:numPr>
        <w:shd w:val="clea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锡林浩特市锡林东大街59号（原锡盟高级技工学校院内）。项目规划占地面积38290.71平方米，新建用房总建筑面积24290平方米，主要建设框架结构中医特色专科专病楼综合楼1座，建筑主体地上7层，地下1层，一到三层为门诊、医技等功能，四到七层为住院部。其中，新建地上建筑面积21253.83平方米（包括急诊部、门诊部、住院部、医技科室、药房、屋顶机房等），地下建筑面积3036.17平方米（包括设备用房、人防工程等）；院内道路及硬化面积8871.00平方米，绿化面积12124.34平方米，同时配套项目建设所需的给排水、采暖、电力等公用设施工程，共设有240个床位。本项目总投资</w:t>
      </w:r>
      <w:r>
        <w:rPr>
          <w:rFonts w:hint="eastAsia" w:ascii="仿宋_GB2312" w:hAnsi="仿宋_GB2312" w:eastAsia="仿宋_GB2312" w:cs="仿宋_GB2312"/>
          <w:color w:val="auto"/>
          <w:sz w:val="32"/>
          <w:szCs w:val="32"/>
          <w:highlight w:val="none"/>
          <w:lang w:val="en-US" w:eastAsia="zh-CN"/>
        </w:rPr>
        <w:t>16910</w:t>
      </w:r>
      <w:r>
        <w:rPr>
          <w:rFonts w:hint="eastAsia" w:ascii="仿宋_GB2312" w:hAnsi="仿宋_GB2312" w:eastAsia="仿宋_GB2312" w:cs="仿宋_GB2312"/>
          <w:color w:val="auto"/>
          <w:kern w:val="2"/>
          <w:sz w:val="32"/>
          <w:szCs w:val="32"/>
          <w:highlight w:val="none"/>
          <w:lang w:val="en-US" w:eastAsia="zh-CN" w:bidi="ar-SA"/>
        </w:rPr>
        <w:t>万元，环保投资为</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kern w:val="2"/>
          <w:sz w:val="32"/>
          <w:szCs w:val="32"/>
          <w:highlight w:val="none"/>
          <w:lang w:val="en-US" w:eastAsia="zh-CN" w:bidi="ar-SA"/>
        </w:rPr>
        <w:t>万元，占总投资金额的</w:t>
      </w:r>
      <w:r>
        <w:rPr>
          <w:rFonts w:hint="eastAsia" w:ascii="仿宋_GB2312" w:hAnsi="仿宋_GB2312" w:eastAsia="仿宋_GB2312" w:cs="仿宋_GB2312"/>
          <w:color w:val="auto"/>
          <w:sz w:val="32"/>
          <w:szCs w:val="32"/>
          <w:highlight w:val="none"/>
          <w:lang w:val="en-US" w:eastAsia="zh-CN"/>
        </w:rPr>
        <w:t>1.77</w:t>
      </w:r>
      <w:r>
        <w:rPr>
          <w:rFonts w:hint="eastAsia" w:ascii="仿宋_GB2312" w:hAnsi="仿宋_GB2312" w:eastAsia="仿宋_GB2312" w:cs="仿宋_GB2312"/>
          <w:color w:val="auto"/>
          <w:kern w:val="2"/>
          <w:sz w:val="32"/>
          <w:szCs w:val="32"/>
          <w:highlight w:val="none"/>
          <w:lang w:val="en-US" w:eastAsia="zh-CN" w:bidi="ar-SA"/>
        </w:rPr>
        <w:t>%。项目属于《产业结构调整指导目录（2019年本）》鼓励类。经审查符合锡林浩特市总体规划，符合“三线一单”要求。</w:t>
      </w:r>
    </w:p>
    <w:p>
      <w:pPr>
        <w:pStyle w:val="30"/>
        <w:keepNext w:val="0"/>
        <w:keepLines w:val="0"/>
        <w:pageBreakBefore w:val="0"/>
        <w:widowControl w:val="0"/>
        <w:numPr>
          <w:ilvl w:val="0"/>
          <w:numId w:val="0"/>
        </w:numPr>
        <w:kinsoku/>
        <w:wordWrap/>
        <w:overflowPunct/>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二、项目在设计、建设和运营过程中应做好以下工作：</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sz w:val="32"/>
          <w:szCs w:val="32"/>
          <w:highlight w:val="none"/>
          <w:lang w:eastAsia="zh-CN"/>
        </w:rPr>
        <w:t>项目施工期大气污染物主要为施工过程中产生的扬尘、运输车辆行驶排放的尾气。</w:t>
      </w:r>
      <w:r>
        <w:rPr>
          <w:rFonts w:hint="eastAsia" w:ascii="仿宋_GB2312" w:hAnsi="仿宋_GB2312" w:eastAsia="仿宋_GB2312" w:cs="仿宋_GB2312"/>
          <w:sz w:val="32"/>
          <w:szCs w:val="32"/>
          <w:highlight w:val="none"/>
          <w:lang w:val="en-US" w:eastAsia="zh-CN"/>
        </w:rPr>
        <w:t>通过采取</w:t>
      </w:r>
      <w:r>
        <w:rPr>
          <w:rFonts w:hint="eastAsia" w:ascii="仿宋_GB2312" w:hAnsi="仿宋_GB2312" w:eastAsia="仿宋_GB2312" w:cs="仿宋_GB2312"/>
          <w:sz w:val="32"/>
          <w:szCs w:val="32"/>
          <w:highlight w:val="none"/>
          <w:lang w:eastAsia="zh-CN"/>
        </w:rPr>
        <w:t>对施工现场</w:t>
      </w:r>
      <w:r>
        <w:rPr>
          <w:rFonts w:hint="eastAsia" w:ascii="仿宋_GB2312" w:hAnsi="仿宋_GB2312" w:eastAsia="仿宋_GB2312" w:cs="仿宋_GB2312"/>
          <w:sz w:val="32"/>
          <w:szCs w:val="32"/>
          <w:highlight w:val="none"/>
          <w:lang w:val="en-US" w:eastAsia="zh-CN"/>
        </w:rPr>
        <w:t>设置围挡或者围墙，对开挖土方临时堆存处采取洒水或采用绿色覆盖网进行覆盖</w:t>
      </w:r>
      <w:r>
        <w:rPr>
          <w:rFonts w:hint="eastAsia" w:ascii="仿宋_GB2312" w:hAnsi="仿宋_GB2312" w:eastAsia="仿宋_GB2312" w:cs="仿宋_GB2312"/>
          <w:sz w:val="32"/>
          <w:szCs w:val="32"/>
          <w:highlight w:val="none"/>
          <w:lang w:eastAsia="zh-CN"/>
        </w:rPr>
        <w:t>、表面洒水、大风天气不作业</w:t>
      </w:r>
      <w:r>
        <w:rPr>
          <w:rFonts w:hint="eastAsia" w:ascii="仿宋_GB2312" w:hAnsi="仿宋_GB2312" w:eastAsia="仿宋_GB2312" w:cs="仿宋_GB2312"/>
          <w:sz w:val="32"/>
          <w:szCs w:val="32"/>
          <w:highlight w:val="none"/>
          <w:lang w:val="en-US" w:eastAsia="zh-CN"/>
        </w:rPr>
        <w:t>等措施减少扬尘排放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针对</w:t>
      </w:r>
      <w:r>
        <w:rPr>
          <w:rFonts w:hint="eastAsia" w:ascii="仿宋_GB2312" w:hAnsi="仿宋_GB2312" w:eastAsia="仿宋_GB2312" w:cs="仿宋_GB2312"/>
          <w:sz w:val="32"/>
          <w:szCs w:val="32"/>
          <w:highlight w:val="none"/>
          <w:lang w:eastAsia="zh-CN"/>
        </w:rPr>
        <w:t>运输车辆行驶排放的尾气，</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sz w:val="32"/>
          <w:szCs w:val="32"/>
          <w:highlight w:val="none"/>
          <w:lang w:eastAsia="zh-CN"/>
        </w:rPr>
        <w:t>采用排放达标的设备和车辆，加强对机械设备和车辆的维护保养，使之处于良好的运行状态，</w:t>
      </w:r>
      <w:r>
        <w:rPr>
          <w:rFonts w:hint="eastAsia" w:ascii="仿宋_GB2312" w:hAnsi="仿宋_GB2312" w:eastAsia="仿宋_GB2312" w:cs="仿宋_GB2312"/>
          <w:sz w:val="32"/>
          <w:szCs w:val="32"/>
          <w:highlight w:val="none"/>
          <w:lang w:val="en-US" w:eastAsia="zh-CN"/>
        </w:rPr>
        <w:t>并且应</w:t>
      </w:r>
      <w:r>
        <w:rPr>
          <w:rFonts w:hint="eastAsia" w:ascii="仿宋_GB2312" w:hAnsi="仿宋_GB2312" w:eastAsia="仿宋_GB2312" w:cs="仿宋_GB2312"/>
          <w:sz w:val="32"/>
          <w:szCs w:val="32"/>
          <w:highlight w:val="none"/>
          <w:lang w:eastAsia="zh-CN"/>
        </w:rPr>
        <w:t>使用合格的油品，尽量减少设备和车辆空转空驶，进一步减小</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eastAsia="zh-CN"/>
        </w:rPr>
        <w:t>环境</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影响。项目运营期产生的废气主要为污水处理站臭气、医疗废弃物暂存间产生的恶臭气体及治疗过程中挥发性有机废气。</w:t>
      </w:r>
      <w:r>
        <w:rPr>
          <w:rFonts w:hint="eastAsia" w:ascii="仿宋_GB2312" w:hAnsi="仿宋_GB2312" w:eastAsia="仿宋_GB2312" w:cs="仿宋_GB2312"/>
          <w:sz w:val="32"/>
          <w:szCs w:val="32"/>
          <w:highlight w:val="none"/>
          <w:lang w:val="en-US" w:eastAsia="zh-CN"/>
        </w:rPr>
        <w:t>针对</w:t>
      </w:r>
      <w:r>
        <w:rPr>
          <w:rFonts w:hint="eastAsia" w:ascii="仿宋_GB2312" w:hAnsi="仿宋_GB2312" w:eastAsia="仿宋_GB2312" w:cs="仿宋_GB2312"/>
          <w:sz w:val="32"/>
          <w:szCs w:val="32"/>
          <w:highlight w:val="none"/>
          <w:lang w:eastAsia="zh-CN"/>
        </w:rPr>
        <w:t>污水处理站臭气，</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sz w:val="32"/>
          <w:szCs w:val="32"/>
          <w:highlight w:val="none"/>
          <w:lang w:eastAsia="zh-CN"/>
        </w:rPr>
        <w:t>集气罩负压收集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经过</w:t>
      </w:r>
      <w:r>
        <w:rPr>
          <w:rFonts w:hint="eastAsia" w:ascii="仿宋_GB2312" w:hAnsi="仿宋_GB2312" w:eastAsia="仿宋_GB2312" w:cs="仿宋_GB2312"/>
          <w:sz w:val="32"/>
          <w:szCs w:val="32"/>
          <w:highlight w:val="none"/>
          <w:lang w:eastAsia="zh-CN"/>
        </w:rPr>
        <w:t>活性炭吸附装置处理后，通过</w:t>
      </w:r>
      <w:r>
        <w:rPr>
          <w:rFonts w:hint="eastAsia" w:ascii="仿宋_GB2312" w:hAnsi="仿宋_GB2312" w:eastAsia="仿宋_GB2312" w:cs="仿宋_GB2312"/>
          <w:sz w:val="32"/>
          <w:szCs w:val="32"/>
          <w:highlight w:val="none"/>
          <w:lang w:val="en-US" w:eastAsia="zh-CN"/>
        </w:rPr>
        <w:t>15m</w:t>
      </w:r>
      <w:r>
        <w:rPr>
          <w:rFonts w:hint="eastAsia" w:ascii="仿宋_GB2312" w:hAnsi="仿宋_GB2312" w:eastAsia="仿宋_GB2312" w:cs="仿宋_GB2312"/>
          <w:sz w:val="32"/>
          <w:szCs w:val="32"/>
          <w:highlight w:val="none"/>
          <w:lang w:eastAsia="zh-CN"/>
        </w:rPr>
        <w:t>高排气筒排放；</w:t>
      </w:r>
      <w:r>
        <w:rPr>
          <w:rFonts w:hint="eastAsia" w:ascii="仿宋_GB2312" w:hAnsi="仿宋_GB2312" w:eastAsia="仿宋_GB2312" w:cs="仿宋_GB2312"/>
          <w:sz w:val="32"/>
          <w:szCs w:val="32"/>
          <w:highlight w:val="none"/>
          <w:lang w:val="en-US" w:eastAsia="zh-CN"/>
        </w:rPr>
        <w:t>针对医疗废弃物暂存间产生的恶臭气体</w:t>
      </w:r>
      <w:r>
        <w:rPr>
          <w:rFonts w:hint="eastAsia" w:ascii="仿宋_GB2312" w:hAnsi="仿宋_GB2312" w:eastAsia="仿宋_GB2312" w:cs="仿宋_GB2312"/>
          <w:sz w:val="32"/>
          <w:szCs w:val="32"/>
          <w:highlight w:val="none"/>
          <w:lang w:eastAsia="zh-CN"/>
        </w:rPr>
        <w:t>及治疗过程中挥发性有机废气</w:t>
      </w:r>
      <w:r>
        <w:rPr>
          <w:rFonts w:hint="eastAsia" w:ascii="仿宋_GB2312" w:hAnsi="仿宋_GB2312" w:eastAsia="仿宋_GB2312" w:cs="仿宋_GB2312"/>
          <w:sz w:val="32"/>
          <w:szCs w:val="32"/>
          <w:highlight w:val="none"/>
          <w:lang w:val="en-US" w:eastAsia="zh-CN"/>
        </w:rPr>
        <w:t>应经换气扇、通风管道无组织排放。通过采取以上措施，确保各项大气污染物达标排放。</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施工期废水主要为施工人员生活污水、施工废水。</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施工人员生活污水，依托现有化粪池处理后</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eastAsia="zh-CN"/>
        </w:rPr>
        <w:t>市政污水管网进入锡林浩特市污水处理厂进一步处理；</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施工废水，</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lang w:eastAsia="zh-CN"/>
        </w:rPr>
        <w:t>经沉淀池处理后，</w:t>
      </w:r>
      <w:r>
        <w:rPr>
          <w:rFonts w:hint="eastAsia" w:ascii="仿宋_GB2312" w:hAnsi="仿宋_GB2312" w:eastAsia="仿宋_GB2312" w:cs="仿宋_GB2312"/>
          <w:color w:val="auto"/>
          <w:sz w:val="32"/>
          <w:szCs w:val="32"/>
          <w:highlight w:val="none"/>
          <w:lang w:val="en-US" w:eastAsia="zh-CN"/>
        </w:rPr>
        <w:t>再</w:t>
      </w:r>
      <w:r>
        <w:rPr>
          <w:rFonts w:hint="eastAsia" w:ascii="仿宋_GB2312" w:hAnsi="仿宋_GB2312" w:eastAsia="仿宋_GB2312" w:cs="仿宋_GB2312"/>
          <w:color w:val="auto"/>
          <w:sz w:val="32"/>
          <w:szCs w:val="32"/>
          <w:highlight w:val="none"/>
          <w:lang w:eastAsia="zh-CN"/>
        </w:rPr>
        <w:t>循环使用，</w:t>
      </w:r>
      <w:r>
        <w:rPr>
          <w:rFonts w:hint="eastAsia" w:ascii="仿宋_GB2312" w:hAnsi="仿宋_GB2312" w:eastAsia="仿宋_GB2312" w:cs="仿宋_GB2312"/>
          <w:color w:val="auto"/>
          <w:sz w:val="32"/>
          <w:szCs w:val="32"/>
          <w:highlight w:val="none"/>
          <w:lang w:val="en-US" w:eastAsia="zh-CN"/>
        </w:rPr>
        <w:t>不得随意处置；运营期废水主要为</w:t>
      </w:r>
      <w:r>
        <w:rPr>
          <w:rFonts w:hint="eastAsia" w:ascii="仿宋_GB2312" w:hAnsi="仿宋_GB2312" w:eastAsia="仿宋_GB2312" w:cs="仿宋_GB2312"/>
          <w:color w:val="auto"/>
          <w:sz w:val="32"/>
          <w:szCs w:val="32"/>
          <w:highlight w:val="none"/>
          <w:lang w:eastAsia="zh-CN"/>
        </w:rPr>
        <w:t>医疗废水，包含病房及门诊的医疗废水，医院工作人员的生活污水，锅炉软水制备产生的浓盐水，实验室清洗实验用具的废水。</w:t>
      </w:r>
      <w:r>
        <w:rPr>
          <w:rFonts w:hint="eastAsia" w:ascii="仿宋_GB2312" w:hAnsi="仿宋_GB2312" w:eastAsia="仿宋_GB2312" w:cs="仿宋_GB2312"/>
          <w:color w:val="auto"/>
          <w:sz w:val="32"/>
          <w:szCs w:val="32"/>
          <w:highlight w:val="none"/>
          <w:lang w:val="en-US" w:eastAsia="zh-CN"/>
        </w:rPr>
        <w:t>以上废水</w:t>
      </w:r>
      <w:r>
        <w:rPr>
          <w:rFonts w:hint="eastAsia" w:ascii="仿宋_GB2312" w:hAnsi="仿宋_GB2312" w:eastAsia="仿宋_GB2312" w:cs="仿宋_GB2312"/>
          <w:color w:val="auto"/>
          <w:sz w:val="32"/>
          <w:szCs w:val="32"/>
          <w:highlight w:val="none"/>
          <w:lang w:eastAsia="zh-CN"/>
        </w:rPr>
        <w:t>通过混合收集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经</w:t>
      </w:r>
      <w:r>
        <w:rPr>
          <w:rFonts w:hint="eastAsia" w:ascii="仿宋_GB2312" w:hAnsi="仿宋_GB2312" w:eastAsia="仿宋_GB2312" w:cs="仿宋_GB2312"/>
          <w:color w:val="auto"/>
          <w:sz w:val="32"/>
          <w:szCs w:val="32"/>
          <w:highlight w:val="none"/>
          <w:lang w:val="en-US" w:eastAsia="zh-CN"/>
        </w:rPr>
        <w:t>医院</w:t>
      </w:r>
      <w:r>
        <w:rPr>
          <w:rFonts w:hint="eastAsia" w:ascii="仿宋_GB2312" w:hAnsi="仿宋_GB2312" w:eastAsia="仿宋_GB2312" w:cs="仿宋_GB2312"/>
          <w:color w:val="auto"/>
          <w:sz w:val="32"/>
          <w:szCs w:val="32"/>
          <w:highlight w:val="none"/>
          <w:lang w:eastAsia="zh-CN"/>
        </w:rPr>
        <w:t>污水处理站处理，达到《医疗机构水污染物排放标准》GB18466-2005表2中预处理排放标准后，</w:t>
      </w:r>
      <w:r>
        <w:rPr>
          <w:rFonts w:hint="eastAsia" w:ascii="仿宋_GB2312" w:hAnsi="仿宋_GB2312" w:eastAsia="仿宋_GB2312" w:cs="仿宋_GB2312"/>
          <w:color w:val="auto"/>
          <w:sz w:val="32"/>
          <w:szCs w:val="32"/>
          <w:highlight w:val="none"/>
          <w:lang w:val="en-US" w:eastAsia="zh-CN"/>
        </w:rPr>
        <w:t>排入城市污水管网。</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加强噪声环境影响管理，针对施工期产生的噪声，通过选用硬质围挡、低噪声施工工艺、噪声较低的设备，加强一线操作人员的环境意识，夜间不得施工等方式，使施工噪声对项目周围敏感点的影响降到最低限度。运营期产生的噪声主要</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eastAsia="zh-CN"/>
        </w:rPr>
        <w:t>拟建污水处理系统水泵和风机噪声。项目自身要求安静，项目设备噪声经基础减振、隔音降噪以及距离衰减后，</w:t>
      </w:r>
      <w:r>
        <w:rPr>
          <w:rFonts w:hint="eastAsia" w:ascii="仿宋_GB2312" w:hAnsi="仿宋_GB2312" w:eastAsia="仿宋_GB2312" w:cs="仿宋_GB2312"/>
          <w:color w:val="auto"/>
          <w:sz w:val="32"/>
          <w:szCs w:val="32"/>
          <w:highlight w:val="none"/>
          <w:lang w:val="en-US" w:eastAsia="zh-CN"/>
        </w:rPr>
        <w:t>必须</w:t>
      </w:r>
      <w:r>
        <w:rPr>
          <w:rFonts w:hint="eastAsia" w:ascii="仿宋_GB2312" w:hAnsi="仿宋_GB2312" w:eastAsia="仿宋_GB2312" w:cs="仿宋_GB2312"/>
          <w:color w:val="auto"/>
          <w:sz w:val="32"/>
          <w:szCs w:val="32"/>
          <w:highlight w:val="none"/>
          <w:lang w:eastAsia="zh-CN"/>
        </w:rPr>
        <w:t>满足《工业企业厂界环境噪声排放标准》（GB12348-2008）1类标准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达标排放。</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（四）施工期固体废物主要为弃土、建筑垃圾和生活垃圾。</w:t>
      </w:r>
      <w:r>
        <w:rPr>
          <w:rFonts w:hint="eastAsia" w:ascii="仿宋_GB2312" w:hAnsi="仿宋_GB2312" w:eastAsia="仿宋_GB2312" w:cs="仿宋_GB2312"/>
          <w:color w:val="auto"/>
          <w:sz w:val="32"/>
          <w:szCs w:val="32"/>
          <w:highlight w:val="none"/>
          <w:lang w:val="en-US" w:eastAsia="zh-CN"/>
        </w:rPr>
        <w:t>针对施工产生的弃土、建筑垃圾，通过集中</w:t>
      </w:r>
      <w:r>
        <w:rPr>
          <w:rFonts w:hint="eastAsia" w:ascii="仿宋_GB2312" w:hAnsi="仿宋_GB2312" w:eastAsia="仿宋_GB2312" w:cs="仿宋_GB2312"/>
          <w:color w:val="auto"/>
          <w:sz w:val="32"/>
          <w:szCs w:val="32"/>
          <w:highlight w:val="none"/>
          <w:lang w:eastAsia="zh-CN"/>
        </w:rPr>
        <w:t>收集</w:t>
      </w:r>
      <w:r>
        <w:rPr>
          <w:rFonts w:hint="eastAsia" w:ascii="仿宋_GB2312" w:hAnsi="仿宋_GB2312" w:eastAsia="仿宋_GB2312" w:cs="仿宋_GB2312"/>
          <w:color w:val="auto"/>
          <w:sz w:val="32"/>
          <w:szCs w:val="32"/>
          <w:highlight w:val="none"/>
          <w:lang w:val="en-US" w:eastAsia="zh-CN"/>
        </w:rPr>
        <w:t>统一</w:t>
      </w:r>
      <w:r>
        <w:rPr>
          <w:rFonts w:hint="eastAsia" w:ascii="仿宋_GB2312" w:hAnsi="仿宋_GB2312" w:eastAsia="仿宋_GB2312" w:cs="仿宋_GB2312"/>
          <w:color w:val="auto"/>
          <w:sz w:val="32"/>
          <w:szCs w:val="32"/>
          <w:highlight w:val="none"/>
          <w:lang w:eastAsia="zh-CN"/>
        </w:rPr>
        <w:t>清运，</w:t>
      </w:r>
      <w:r>
        <w:rPr>
          <w:rFonts w:hint="eastAsia" w:ascii="仿宋_GB2312" w:hAnsi="仿宋_GB2312" w:eastAsia="仿宋_GB2312" w:cs="仿宋_GB2312"/>
          <w:color w:val="auto"/>
          <w:sz w:val="32"/>
          <w:szCs w:val="32"/>
          <w:highlight w:val="none"/>
          <w:lang w:val="en-US" w:eastAsia="zh-CN"/>
        </w:rPr>
        <w:t>临时</w:t>
      </w:r>
      <w:r>
        <w:rPr>
          <w:rFonts w:hint="eastAsia" w:ascii="仿宋_GB2312" w:hAnsi="仿宋_GB2312" w:eastAsia="仿宋_GB2312" w:cs="仿宋_GB2312"/>
          <w:sz w:val="32"/>
          <w:szCs w:val="32"/>
          <w:highlight w:val="none"/>
          <w:lang w:val="en-US" w:eastAsia="zh-CN"/>
        </w:rPr>
        <w:t>堆存处应采取洒水和采用绿色覆盖网进行覆盖，或针对可再利用的固废可进行</w:t>
      </w:r>
      <w:r>
        <w:rPr>
          <w:rFonts w:hint="eastAsia" w:ascii="仿宋_GB2312" w:hAnsi="仿宋_GB2312" w:eastAsia="仿宋_GB2312" w:cs="仿宋_GB2312"/>
          <w:color w:val="auto"/>
          <w:sz w:val="32"/>
          <w:szCs w:val="32"/>
          <w:highlight w:val="none"/>
          <w:lang w:eastAsia="zh-CN"/>
        </w:rPr>
        <w:t>分类回收，交废品收购站处理；针对完工清场的固体废物，工程完工后将施工中使用的临时建筑全部拆除，对所有施工作业面和施工活动区的施工废弃物彻底清理处置，运至当地环卫部门指定弃渣场、垃圾堆放点。运营期固体废物主要为</w:t>
      </w:r>
      <w:r>
        <w:rPr>
          <w:rFonts w:hint="eastAsia" w:ascii="仿宋_GB2312" w:hAnsi="仿宋_GB2312" w:eastAsia="仿宋_GB2312" w:cs="仿宋_GB2312"/>
          <w:color w:val="auto"/>
          <w:sz w:val="32"/>
          <w:szCs w:val="32"/>
          <w:highlight w:val="none"/>
          <w:lang w:val="en-US" w:eastAsia="zh-CN"/>
        </w:rPr>
        <w:t>危险</w:t>
      </w:r>
      <w:r>
        <w:rPr>
          <w:rFonts w:hint="eastAsia" w:ascii="仿宋_GB2312" w:hAnsi="仿宋_GB2312" w:eastAsia="仿宋_GB2312" w:cs="仿宋_GB2312"/>
          <w:color w:val="auto"/>
          <w:sz w:val="32"/>
          <w:szCs w:val="32"/>
          <w:highlight w:val="none"/>
          <w:lang w:eastAsia="zh-CN"/>
        </w:rPr>
        <w:t>废物</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生活垃圾。</w:t>
      </w:r>
      <w:r>
        <w:rPr>
          <w:rFonts w:hint="eastAsia" w:ascii="仿宋_GB2312" w:hAnsi="仿宋_GB2312" w:eastAsia="仿宋_GB2312" w:cs="仿宋_GB2312"/>
          <w:color w:val="auto"/>
          <w:sz w:val="32"/>
          <w:szCs w:val="32"/>
          <w:highlight w:val="none"/>
          <w:lang w:val="en-US" w:eastAsia="zh-CN"/>
        </w:rPr>
        <w:t>危险废物包括医疗垃圾、污泥、</w:t>
      </w:r>
      <w:r>
        <w:rPr>
          <w:rFonts w:hint="default" w:ascii="仿宋_GB2312" w:hAnsi="仿宋_GB2312" w:eastAsia="仿宋_GB2312" w:cs="仿宋_GB2312"/>
          <w:color w:val="auto"/>
          <w:sz w:val="32"/>
          <w:szCs w:val="32"/>
          <w:highlight w:val="none"/>
          <w:lang w:val="en-US" w:eastAsia="zh-CN"/>
        </w:rPr>
        <w:t>废活性炭</w:t>
      </w:r>
      <w:r>
        <w:rPr>
          <w:rFonts w:hint="eastAsia" w:ascii="仿宋_GB2312" w:hAnsi="仿宋_GB2312" w:eastAsia="仿宋_GB2312" w:cs="仿宋_GB2312"/>
          <w:color w:val="auto"/>
          <w:sz w:val="32"/>
          <w:szCs w:val="32"/>
          <w:highlight w:val="none"/>
          <w:lang w:val="en-US" w:eastAsia="zh-CN"/>
        </w:rPr>
        <w:t>、废灯管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医疗废物</w:t>
      </w:r>
      <w:r>
        <w:rPr>
          <w:rFonts w:hint="default" w:ascii="仿宋_GB2312" w:hAnsi="仿宋_GB2312" w:eastAsia="仿宋_GB2312" w:cs="仿宋_GB2312"/>
          <w:color w:val="auto"/>
          <w:sz w:val="32"/>
          <w:szCs w:val="32"/>
          <w:highlight w:val="none"/>
          <w:lang w:eastAsia="zh-CN"/>
        </w:rPr>
        <w:t>分类收集暂存到</w:t>
      </w:r>
      <w:r>
        <w:rPr>
          <w:rFonts w:hint="eastAsia" w:ascii="仿宋_GB2312" w:hAnsi="仿宋_GB2312" w:eastAsia="仿宋_GB2312" w:cs="仿宋_GB2312"/>
          <w:color w:val="auto"/>
          <w:sz w:val="32"/>
          <w:szCs w:val="32"/>
          <w:highlight w:val="none"/>
          <w:lang w:val="en-US" w:eastAsia="zh-CN"/>
        </w:rPr>
        <w:t>医疗废物</w:t>
      </w:r>
      <w:r>
        <w:rPr>
          <w:rFonts w:hint="default" w:ascii="仿宋_GB2312" w:hAnsi="仿宋_GB2312" w:eastAsia="仿宋_GB2312" w:cs="仿宋_GB2312"/>
          <w:color w:val="auto"/>
          <w:sz w:val="32"/>
          <w:szCs w:val="32"/>
          <w:highlight w:val="none"/>
          <w:lang w:eastAsia="zh-CN"/>
        </w:rPr>
        <w:t>暂存间后委托有资质的单位进行处理处置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化粪池和污水处理站产生的污泥以及</w:t>
      </w:r>
      <w:r>
        <w:rPr>
          <w:rFonts w:hint="default" w:ascii="仿宋_GB2312" w:hAnsi="仿宋_GB2312" w:eastAsia="仿宋_GB2312" w:cs="仿宋_GB2312"/>
          <w:color w:val="auto"/>
          <w:sz w:val="32"/>
          <w:szCs w:val="32"/>
          <w:highlight w:val="none"/>
          <w:lang w:val="en-US" w:eastAsia="zh-CN"/>
        </w:rPr>
        <w:t>废活性炭</w:t>
      </w:r>
      <w:r>
        <w:rPr>
          <w:rFonts w:hint="eastAsia" w:ascii="仿宋_GB2312" w:hAnsi="仿宋_GB2312" w:eastAsia="仿宋_GB2312" w:cs="仿宋_GB2312"/>
          <w:color w:val="auto"/>
          <w:sz w:val="32"/>
          <w:szCs w:val="32"/>
          <w:highlight w:val="none"/>
          <w:lang w:val="en-US" w:eastAsia="zh-CN"/>
        </w:rPr>
        <w:t>、废灯管应按照危险废物进行处理和处置。污泥经消毒脱水、专门容器收集后，封装交由有</w:t>
      </w:r>
      <w:r>
        <w:rPr>
          <w:rFonts w:hint="default" w:ascii="仿宋_GB2312" w:hAnsi="仿宋_GB2312" w:eastAsia="仿宋_GB2312" w:cs="仿宋_GB2312"/>
          <w:color w:val="auto"/>
          <w:sz w:val="32"/>
          <w:szCs w:val="32"/>
          <w:highlight w:val="none"/>
          <w:lang w:val="en-US" w:eastAsia="zh-CN"/>
        </w:rPr>
        <w:t>危险废物处置</w:t>
      </w:r>
      <w:r>
        <w:rPr>
          <w:rFonts w:hint="eastAsia" w:ascii="仿宋_GB2312" w:hAnsi="仿宋_GB2312" w:eastAsia="仿宋_GB2312" w:cs="仿宋_GB2312"/>
          <w:color w:val="auto"/>
          <w:sz w:val="32"/>
          <w:szCs w:val="32"/>
          <w:highlight w:val="none"/>
          <w:lang w:val="en-US" w:eastAsia="zh-CN"/>
        </w:rPr>
        <w:t>资质的单位进行处理，</w:t>
      </w:r>
      <w:r>
        <w:rPr>
          <w:rFonts w:hint="default" w:ascii="仿宋_GB2312" w:hAnsi="仿宋_GB2312" w:eastAsia="仿宋_GB2312" w:cs="仿宋_GB2312"/>
          <w:color w:val="auto"/>
          <w:sz w:val="32"/>
          <w:szCs w:val="32"/>
          <w:highlight w:val="none"/>
          <w:lang w:val="en-US" w:eastAsia="zh-CN"/>
        </w:rPr>
        <w:t>废活性炭</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废灯管通过专用容器收集暂存于危险废物暂存间，定期交由有</w:t>
      </w:r>
      <w:r>
        <w:rPr>
          <w:rFonts w:hint="default" w:ascii="仿宋_GB2312" w:hAnsi="仿宋_GB2312" w:eastAsia="仿宋_GB2312" w:cs="仿宋_GB2312"/>
          <w:color w:val="auto"/>
          <w:sz w:val="32"/>
          <w:szCs w:val="32"/>
          <w:highlight w:val="none"/>
          <w:lang w:val="en-US" w:eastAsia="zh-CN"/>
        </w:rPr>
        <w:t>危险废物处置</w:t>
      </w:r>
      <w:r>
        <w:rPr>
          <w:rFonts w:hint="eastAsia" w:ascii="仿宋_GB2312" w:hAnsi="仿宋_GB2312" w:eastAsia="仿宋_GB2312" w:cs="仿宋_GB2312"/>
          <w:color w:val="auto"/>
          <w:sz w:val="32"/>
          <w:szCs w:val="32"/>
          <w:highlight w:val="none"/>
          <w:lang w:val="en-US" w:eastAsia="zh-CN"/>
        </w:rPr>
        <w:t>资质的单位进行处理；生活垃圾应集中收集后，统一由当地环卫部门清运处理。</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（五）做好各防渗区的防渗工作。</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（六）增加环保投入，提高周边绿化率。</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三、项目建设必须严格执行环境保护设施与主体工程同时设计、同时施工、同时投产使用的环境保护“三同时”制度。</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（一）要将环境保护措施纳入初步设计报告并落实环保设施投资概算。</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（二）要将环境保护设施建设纳入施工合同，保证环境保护设施建设进度和资金。</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（三）项目竣工后须按规定程序实施竣工环境保护验收，验收合格后方可正式投运。</w:t>
      </w:r>
    </w:p>
    <w:p>
      <w:pPr>
        <w:pStyle w:val="30"/>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四、锡林郭勒盟生态环境综合行政执法支队对该项目建设期间各项生态环境保护措施落实情况进行监督检查和管理。</w:t>
      </w: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p>
    <w:p>
      <w:pPr>
        <w:pStyle w:val="2"/>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锡林郭勒盟生态环境局锡林浩特市分局</w:t>
      </w:r>
    </w:p>
    <w:p>
      <w:pPr>
        <w:keepNext w:val="0"/>
        <w:keepLines w:val="0"/>
        <w:pageBreakBefore w:val="0"/>
        <w:widowControl w:val="0"/>
        <w:kinsoku/>
        <w:wordWrap/>
        <w:overflowPunct/>
        <w:autoSpaceDE/>
        <w:autoSpaceDN/>
        <w:bidi w:val="0"/>
        <w:spacing w:line="578" w:lineRule="exact"/>
        <w:ind w:firstLine="4160" w:firstLineChars="1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2022年11月18日</w:t>
      </w: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29"/>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 w:hAnsi="仿宋" w:eastAsia="仿宋"/>
          <w:color w:val="auto"/>
          <w:sz w:val="32"/>
          <w:szCs w:val="32"/>
          <w:highlight w:val="yellow"/>
        </w:rPr>
      </w:pPr>
      <w:r>
        <w:rPr>
          <w:rFonts w:hint="eastAsia" w:ascii="仿宋_GB2312" w:hAnsi="仿宋_GB2312" w:eastAsia="仿宋_GB2312" w:cs="仿宋_GB2312"/>
          <w:color w:val="auto"/>
          <w:sz w:val="32"/>
          <w:szCs w:val="32"/>
          <w:highlight w:val="none"/>
          <w:lang w:eastAsia="zh-CN"/>
        </w:rPr>
        <w:t>抄送：锡林郭勒盟生态环境局、</w:t>
      </w:r>
      <w:r>
        <w:rPr>
          <w:rFonts w:hint="eastAsia" w:ascii="仿宋_GB2312" w:hAnsi="仿宋_GB2312" w:eastAsia="仿宋_GB2312" w:cs="仿宋_GB2312"/>
          <w:color w:val="auto"/>
          <w:sz w:val="32"/>
          <w:szCs w:val="32"/>
          <w:highlight w:val="none"/>
          <w:lang w:val="en-US" w:eastAsia="zh-CN"/>
        </w:rPr>
        <w:t>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- 1 -</w:t>
                </w:r>
                <w:r>
                  <w:rPr>
                    <w:rFonts w:hint="eastAsia" w:ascii="楷体" w:hAnsi="楷体" w:eastAsia="楷体" w:cs="楷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DAE42"/>
    <w:multiLevelType w:val="singleLevel"/>
    <w:tmpl w:val="122DAE4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B87117"/>
    <w:rsid w:val="00E83F57"/>
    <w:rsid w:val="01166DA6"/>
    <w:rsid w:val="01D027C7"/>
    <w:rsid w:val="034A5312"/>
    <w:rsid w:val="04A62A1C"/>
    <w:rsid w:val="05015B69"/>
    <w:rsid w:val="06C13B3D"/>
    <w:rsid w:val="07AD3386"/>
    <w:rsid w:val="07BD2175"/>
    <w:rsid w:val="07D679D6"/>
    <w:rsid w:val="0A1E3055"/>
    <w:rsid w:val="0C9B2141"/>
    <w:rsid w:val="0D502605"/>
    <w:rsid w:val="0DC94DA4"/>
    <w:rsid w:val="0E146C48"/>
    <w:rsid w:val="10773E64"/>
    <w:rsid w:val="11815149"/>
    <w:rsid w:val="119E5AF7"/>
    <w:rsid w:val="12730555"/>
    <w:rsid w:val="135651C1"/>
    <w:rsid w:val="18E453EE"/>
    <w:rsid w:val="19603942"/>
    <w:rsid w:val="1B4F5180"/>
    <w:rsid w:val="1BDE167F"/>
    <w:rsid w:val="1F5E5565"/>
    <w:rsid w:val="204C4C91"/>
    <w:rsid w:val="20DE5961"/>
    <w:rsid w:val="21041E6B"/>
    <w:rsid w:val="23BD04C6"/>
    <w:rsid w:val="271664C8"/>
    <w:rsid w:val="272A677C"/>
    <w:rsid w:val="27E962CE"/>
    <w:rsid w:val="29CC3487"/>
    <w:rsid w:val="2AB067B8"/>
    <w:rsid w:val="2AF85194"/>
    <w:rsid w:val="2B330DF4"/>
    <w:rsid w:val="2C1005F7"/>
    <w:rsid w:val="2C8114F5"/>
    <w:rsid w:val="2CC02721"/>
    <w:rsid w:val="2D555A93"/>
    <w:rsid w:val="2F0A2C1F"/>
    <w:rsid w:val="2FB4465A"/>
    <w:rsid w:val="30AB0140"/>
    <w:rsid w:val="30EB2DA6"/>
    <w:rsid w:val="333A6BDB"/>
    <w:rsid w:val="3372163A"/>
    <w:rsid w:val="35D72A2D"/>
    <w:rsid w:val="37D943F6"/>
    <w:rsid w:val="38CD7870"/>
    <w:rsid w:val="39AB2DBD"/>
    <w:rsid w:val="39CE76C6"/>
    <w:rsid w:val="3BC60B27"/>
    <w:rsid w:val="3C6F0272"/>
    <w:rsid w:val="3D333490"/>
    <w:rsid w:val="3DDE2FC6"/>
    <w:rsid w:val="3F156020"/>
    <w:rsid w:val="405F6E03"/>
    <w:rsid w:val="41B16311"/>
    <w:rsid w:val="42A31D6D"/>
    <w:rsid w:val="43776D56"/>
    <w:rsid w:val="459171B6"/>
    <w:rsid w:val="459612D4"/>
    <w:rsid w:val="45DA1917"/>
    <w:rsid w:val="45F67E46"/>
    <w:rsid w:val="472B6FD6"/>
    <w:rsid w:val="4AE65F38"/>
    <w:rsid w:val="4AE66C9B"/>
    <w:rsid w:val="4B92472D"/>
    <w:rsid w:val="4E2978F9"/>
    <w:rsid w:val="4EAA7967"/>
    <w:rsid w:val="4FA672D9"/>
    <w:rsid w:val="532F7E23"/>
    <w:rsid w:val="53783C67"/>
    <w:rsid w:val="575E7CEE"/>
    <w:rsid w:val="58D316BE"/>
    <w:rsid w:val="5A294206"/>
    <w:rsid w:val="5C4001D5"/>
    <w:rsid w:val="5C635BEB"/>
    <w:rsid w:val="5D0775B6"/>
    <w:rsid w:val="5DE829AC"/>
    <w:rsid w:val="5E55710C"/>
    <w:rsid w:val="5EBE21AB"/>
    <w:rsid w:val="60BF3BD0"/>
    <w:rsid w:val="61BF76EB"/>
    <w:rsid w:val="623D4D9E"/>
    <w:rsid w:val="623E6920"/>
    <w:rsid w:val="652266CA"/>
    <w:rsid w:val="65312F5D"/>
    <w:rsid w:val="66E83653"/>
    <w:rsid w:val="67B67782"/>
    <w:rsid w:val="681650AF"/>
    <w:rsid w:val="68704CA1"/>
    <w:rsid w:val="6AEF61B9"/>
    <w:rsid w:val="6BA12544"/>
    <w:rsid w:val="6BEB1D6D"/>
    <w:rsid w:val="6CA80FF3"/>
    <w:rsid w:val="6CF81186"/>
    <w:rsid w:val="6E7E0DC8"/>
    <w:rsid w:val="6FD235D4"/>
    <w:rsid w:val="7041397E"/>
    <w:rsid w:val="733379D0"/>
    <w:rsid w:val="73973711"/>
    <w:rsid w:val="749E0175"/>
    <w:rsid w:val="75B535E3"/>
    <w:rsid w:val="75C311C4"/>
    <w:rsid w:val="7779709C"/>
    <w:rsid w:val="799A104A"/>
    <w:rsid w:val="79A13C0A"/>
    <w:rsid w:val="7B401BFC"/>
    <w:rsid w:val="7C5510E6"/>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 w:type="paragraph" w:styleId="4">
    <w:name w:val="E-mail Signature"/>
    <w:basedOn w:val="1"/>
    <w:next w:val="5"/>
    <w:qFormat/>
    <w:uiPriority w:val="0"/>
    <w:pPr>
      <w:spacing w:line="460" w:lineRule="exact"/>
      <w:ind w:firstLine="200"/>
    </w:pPr>
    <w:rPr>
      <w:sz w:val="24"/>
    </w:rPr>
  </w:style>
  <w:style w:type="paragraph" w:customStyle="1" w:styleId="5">
    <w:name w:val="文章"/>
    <w:basedOn w:val="6"/>
    <w:next w:val="7"/>
    <w:qFormat/>
    <w:uiPriority w:val="0"/>
    <w:pPr>
      <w:widowControl/>
      <w:ind w:firstLine="480"/>
      <w:jc w:val="center"/>
    </w:pPr>
    <w:rPr>
      <w:sz w:val="26"/>
    </w:rPr>
  </w:style>
  <w:style w:type="paragraph" w:styleId="6">
    <w:name w:val="Body Text Indent"/>
    <w:basedOn w:val="1"/>
    <w:next w:val="1"/>
    <w:qFormat/>
    <w:uiPriority w:val="0"/>
    <w:pPr>
      <w:keepNext/>
      <w:spacing w:line="360" w:lineRule="auto"/>
      <w:ind w:firstLine="200" w:firstLineChars="200"/>
    </w:pPr>
    <w:rPr>
      <w:sz w:val="24"/>
    </w:rPr>
  </w:style>
  <w:style w:type="paragraph" w:styleId="7">
    <w:name w:val="List"/>
    <w:basedOn w:val="1"/>
    <w:next w:val="8"/>
    <w:qFormat/>
    <w:uiPriority w:val="0"/>
    <w:pPr>
      <w:jc w:val="center"/>
    </w:pPr>
  </w:style>
  <w:style w:type="paragraph" w:styleId="8">
    <w:name w:val="List Bullet 2"/>
    <w:basedOn w:val="1"/>
    <w:next w:val="9"/>
    <w:qFormat/>
    <w:uiPriority w:val="0"/>
    <w:pPr>
      <w:numPr>
        <w:ilvl w:val="0"/>
        <w:numId w:val="1"/>
      </w:numPr>
    </w:pPr>
  </w:style>
  <w:style w:type="paragraph" w:customStyle="1" w:styleId="9">
    <w:name w:val="xl70"/>
    <w:basedOn w:val="1"/>
    <w:next w:val="10"/>
    <w:qFormat/>
    <w:uiPriority w:val="0"/>
    <w:pPr>
      <w:widowControl/>
      <w:spacing w:before="280" w:after="280"/>
    </w:pPr>
    <w:rPr>
      <w:rFonts w:ascii="宋体"/>
    </w:rPr>
  </w:style>
  <w:style w:type="paragraph" w:customStyle="1" w:styleId="10">
    <w:name w:val="正文缩进1"/>
    <w:basedOn w:val="1"/>
    <w:next w:val="11"/>
    <w:qFormat/>
    <w:uiPriority w:val="0"/>
    <w:pPr>
      <w:ind w:firstLine="420"/>
    </w:pPr>
    <w:rPr>
      <w:szCs w:val="20"/>
    </w:rPr>
  </w:style>
  <w:style w:type="paragraph" w:customStyle="1" w:styleId="11">
    <w:name w:val="td1"/>
    <w:basedOn w:val="1"/>
    <w:next w:val="1"/>
    <w:qFormat/>
    <w:uiPriority w:val="0"/>
    <w:pPr>
      <w:widowControl/>
      <w:spacing w:before="280" w:after="280" w:line="300" w:lineRule="atLeast"/>
      <w:ind w:firstLine="200"/>
    </w:pPr>
    <w:rPr>
      <w:color w:val="000000"/>
      <w:sz w:val="18"/>
    </w:rPr>
  </w:style>
  <w:style w:type="paragraph" w:styleId="12">
    <w:name w:val="Normal Indent"/>
    <w:basedOn w:val="1"/>
    <w:next w:val="13"/>
    <w:qFormat/>
    <w:uiPriority w:val="0"/>
    <w:pPr>
      <w:ind w:firstLine="420" w:firstLineChars="200"/>
    </w:pPr>
    <w:rPr>
      <w:rFonts w:eastAsia="宋体"/>
      <w:kern w:val="2"/>
      <w:sz w:val="21"/>
      <w:szCs w:val="24"/>
      <w:lang w:val="en-US" w:eastAsia="zh-CN" w:bidi="ar-SA"/>
    </w:rPr>
  </w:style>
  <w:style w:type="paragraph" w:styleId="13">
    <w:name w:val="Body Text First Indent 2"/>
    <w:basedOn w:val="6"/>
    <w:next w:val="1"/>
    <w:qFormat/>
    <w:uiPriority w:val="0"/>
    <w:pPr>
      <w:ind w:firstLine="420" w:firstLineChars="200"/>
    </w:pPr>
  </w:style>
  <w:style w:type="paragraph" w:styleId="14">
    <w:name w:val="Body Text"/>
    <w:basedOn w:val="1"/>
    <w:next w:val="1"/>
    <w:qFormat/>
    <w:uiPriority w:val="0"/>
    <w:pPr>
      <w:spacing w:line="360" w:lineRule="auto"/>
    </w:pPr>
    <w:rPr>
      <w:sz w:val="24"/>
      <w:szCs w:val="20"/>
    </w:rPr>
  </w:style>
  <w:style w:type="paragraph" w:styleId="15">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6">
    <w:name w:val="footer"/>
    <w:basedOn w:val="1"/>
    <w:link w:val="33"/>
    <w:qFormat/>
    <w:uiPriority w:val="99"/>
    <w:pPr>
      <w:tabs>
        <w:tab w:val="center" w:pos="4153"/>
        <w:tab w:val="right" w:pos="8306"/>
      </w:tabs>
      <w:snapToGrid w:val="0"/>
      <w:jc w:val="left"/>
    </w:pPr>
    <w:rPr>
      <w:sz w:val="18"/>
      <w:szCs w:val="18"/>
    </w:rPr>
  </w:style>
  <w:style w:type="paragraph" w:styleId="17">
    <w:name w:val="header"/>
    <w:basedOn w:val="1"/>
    <w:next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Body Text Indent 3"/>
    <w:basedOn w:val="1"/>
    <w:unhideWhenUsed/>
    <w:qFormat/>
    <w:uiPriority w:val="0"/>
    <w:pPr>
      <w:ind w:firstLine="570"/>
    </w:pPr>
    <w:rPr>
      <w:szCs w:val="20"/>
    </w:rPr>
  </w:style>
  <w:style w:type="paragraph" w:styleId="20">
    <w:name w:val="toc 2"/>
    <w:basedOn w:val="1"/>
    <w:next w:val="4"/>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kern w:val="0"/>
    </w:rPr>
  </w:style>
  <w:style w:type="paragraph" w:styleId="22">
    <w:name w:val="Body Text First Indent"/>
    <w:basedOn w:val="14"/>
    <w:next w:val="23"/>
    <w:qFormat/>
    <w:uiPriority w:val="0"/>
    <w:pPr>
      <w:adjustRightInd/>
      <w:spacing w:line="240" w:lineRule="auto"/>
      <w:ind w:left="0" w:firstLine="420" w:firstLineChars="100"/>
      <w:textAlignment w:val="auto"/>
    </w:pPr>
    <w:rPr>
      <w:spacing w:val="0"/>
      <w:kern w:val="2"/>
      <w:sz w:val="21"/>
      <w:szCs w:val="24"/>
    </w:rPr>
  </w:style>
  <w:style w:type="paragraph" w:styleId="23">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正文首行缩进2个字 Char"/>
    <w:basedOn w:val="1"/>
    <w:qFormat/>
    <w:uiPriority w:val="0"/>
    <w:pPr>
      <w:ind w:firstLine="480" w:firstLineChars="200"/>
    </w:pPr>
    <w:rPr>
      <w:rFonts w:eastAsia="楷体"/>
      <w:sz w:val="24"/>
    </w:rPr>
  </w:style>
  <w:style w:type="paragraph" w:customStyle="1" w:styleId="28">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29">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0">
    <w:name w:val="列出段落1"/>
    <w:basedOn w:val="1"/>
    <w:qFormat/>
    <w:uiPriority w:val="34"/>
    <w:pPr>
      <w:ind w:firstLine="420" w:firstLineChars="200"/>
    </w:pPr>
  </w:style>
  <w:style w:type="paragraph" w:customStyle="1" w:styleId="31">
    <w:name w:val="a正文"/>
    <w:basedOn w:val="1"/>
    <w:qFormat/>
    <w:uiPriority w:val="0"/>
    <w:pPr>
      <w:adjustRightInd w:val="0"/>
      <w:snapToGrid w:val="0"/>
      <w:spacing w:line="360" w:lineRule="auto"/>
      <w:ind w:firstLine="200" w:firstLineChars="200"/>
    </w:pPr>
    <w:rPr>
      <w:kern w:val="0"/>
      <w:sz w:val="24"/>
      <w:szCs w:val="20"/>
    </w:rPr>
  </w:style>
  <w:style w:type="character" w:customStyle="1" w:styleId="32">
    <w:name w:val="页眉 Char"/>
    <w:basedOn w:val="26"/>
    <w:link w:val="17"/>
    <w:qFormat/>
    <w:uiPriority w:val="0"/>
    <w:rPr>
      <w:kern w:val="2"/>
      <w:sz w:val="18"/>
      <w:szCs w:val="18"/>
    </w:rPr>
  </w:style>
  <w:style w:type="character" w:customStyle="1" w:styleId="33">
    <w:name w:val="页脚 Char"/>
    <w:basedOn w:val="26"/>
    <w:link w:val="16"/>
    <w:qFormat/>
    <w:uiPriority w:val="99"/>
    <w:rPr>
      <w:kern w:val="2"/>
      <w:sz w:val="18"/>
      <w:szCs w:val="18"/>
    </w:rPr>
  </w:style>
  <w:style w:type="paragraph" w:customStyle="1" w:styleId="34">
    <w:name w:val="表 正文"/>
    <w:basedOn w:val="1"/>
    <w:qFormat/>
    <w:uiPriority w:val="0"/>
    <w:pPr>
      <w:spacing w:line="360" w:lineRule="auto"/>
      <w:ind w:firstLine="480" w:firstLineChars="200"/>
    </w:pPr>
    <w:rPr>
      <w:sz w:val="24"/>
      <w:szCs w:val="21"/>
    </w:rPr>
  </w:style>
  <w:style w:type="paragraph" w:customStyle="1" w:styleId="35">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36">
    <w:name w:val="Default"/>
    <w:basedOn w:val="37"/>
    <w:next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adjustRightInd w:val="0"/>
      <w:textAlignment w:val="baseline"/>
    </w:pPr>
    <w:rPr>
      <w:rFonts w:ascii="宋体" w:hAnsi="Courier New"/>
      <w:snapToGrid w:val="0"/>
      <w:sz w:val="28"/>
    </w:rPr>
  </w:style>
  <w:style w:type="paragraph" w:customStyle="1" w:styleId="38">
    <w:name w:val="样式35"/>
    <w:basedOn w:val="39"/>
    <w:next w:val="40"/>
    <w:qFormat/>
    <w:uiPriority w:val="0"/>
    <w:pPr>
      <w:spacing w:line="312" w:lineRule="auto"/>
      <w:ind w:firstLine="567"/>
    </w:pPr>
    <w:rPr>
      <w:rFonts w:ascii="宋体"/>
    </w:rPr>
  </w:style>
  <w:style w:type="paragraph" w:customStyle="1" w:styleId="39">
    <w:name w:val="表 内容"/>
    <w:basedOn w:val="1"/>
    <w:qFormat/>
    <w:uiPriority w:val="0"/>
    <w:pPr>
      <w:spacing w:line="240" w:lineRule="atLeast"/>
      <w:jc w:val="center"/>
    </w:pPr>
  </w:style>
  <w:style w:type="paragraph" w:customStyle="1" w:styleId="40">
    <w:name w:val="font6"/>
    <w:basedOn w:val="1"/>
    <w:next w:val="20"/>
    <w:qFormat/>
    <w:uiPriority w:val="0"/>
    <w:pPr>
      <w:widowControl/>
      <w:spacing w:before="280" w:after="280"/>
    </w:pPr>
  </w:style>
  <w:style w:type="paragraph" w:customStyle="1" w:styleId="41">
    <w:name w:val="[1]正文"/>
    <w:basedOn w:val="1"/>
    <w:qFormat/>
    <w:uiPriority w:val="0"/>
    <w:pPr>
      <w:autoSpaceDE w:val="0"/>
      <w:autoSpaceDN w:val="0"/>
    </w:pPr>
    <w:rPr>
      <w:rFonts w:ascii="Times New Roman" w:hAnsi="Times New Roman" w:eastAsia="宋体" w:cs="Times New Roman"/>
      <w:color w:val="000000"/>
      <w:kern w:val="0"/>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1953</Words>
  <Characters>2036</Characters>
  <Lines>20</Lines>
  <Paragraphs>5</Paragraphs>
  <TotalTime>4</TotalTime>
  <ScaleCrop>false</ScaleCrop>
  <LinksUpToDate>false</LinksUpToDate>
  <CharactersWithSpaces>2040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2022-11-18T07:54:02Z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